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Heading2"/>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Heading2"/>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TableGrid"/>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30BC6EF" w14:textId="44D83250" w:rsidR="005872AA" w:rsidRPr="003D7FEC" w:rsidRDefault="005872AA" w:rsidP="005872AA">
            <w:pPr>
              <w:snapToGrid w:val="0"/>
              <w:jc w:val="both"/>
              <w:rPr>
                <w:rFonts w:eastAsia="DengXian"/>
                <w:sz w:val="18"/>
                <w:szCs w:val="18"/>
                <w:lang w:eastAsia="zh-CN"/>
              </w:rPr>
            </w:pP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1CF9431" w14:textId="350F0B9E"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9EC163A" w14:textId="1D3D7D19"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267E89A" w14:textId="5AF4F39C" w:rsidR="005872AA" w:rsidRPr="00DA4707" w:rsidRDefault="005872AA" w:rsidP="005872AA">
            <w:pPr>
              <w:snapToGrid w:val="0"/>
              <w:jc w:val="both"/>
              <w:rPr>
                <w:sz w:val="18"/>
                <w:szCs w:val="18"/>
              </w:rPr>
            </w:pP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 xml:space="preserve">Description update of </w:t>
            </w:r>
            <w:proofErr w:type="spellStart"/>
            <w:r>
              <w:rPr>
                <w:rFonts w:eastAsia="DengXian"/>
                <w:sz w:val="18"/>
                <w:szCs w:val="18"/>
                <w:lang w:eastAsia="zh-CN"/>
              </w:rPr>
              <w:t>longBitmap</w:t>
            </w:r>
            <w:proofErr w:type="spellEnd"/>
            <w:r>
              <w:rPr>
                <w:rFonts w:eastAsia="DengXian"/>
                <w:sz w:val="18"/>
                <w:szCs w:val="18"/>
                <w:lang w:eastAsia="zh-CN"/>
              </w:rPr>
              <w:t xml:space="preserve"> of SSB-</w:t>
            </w:r>
            <w:proofErr w:type="spellStart"/>
            <w:r>
              <w:rPr>
                <w:rFonts w:eastAsia="DengXian"/>
                <w:sz w:val="18"/>
                <w:szCs w:val="18"/>
                <w:lang w:eastAsia="zh-CN"/>
              </w:rPr>
              <w:t>ToMeasure</w:t>
            </w:r>
            <w:proofErr w:type="spellEnd"/>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04D6F7B5" w14:textId="0232851D"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71E961F5" w14:textId="67294A0D"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Heading2"/>
        <w:numPr>
          <w:ilvl w:val="0"/>
          <w:numId w:val="47"/>
        </w:numPr>
      </w:pPr>
      <w:r w:rsidRPr="000325D7">
        <w:lastRenderedPageBreak/>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TableGrid"/>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342BB61E" w14:textId="360ACE7C"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57A03BE5" w:rsidR="00213EB9" w:rsidRDefault="00213EB9">
            <w:pPr>
              <w:snapToGrid w:val="0"/>
              <w:jc w:val="both"/>
              <w:rPr>
                <w:rFonts w:eastAsia="SimSun"/>
                <w:sz w:val="18"/>
                <w:szCs w:val="18"/>
                <w:lang w:eastAsia="zh-CN"/>
              </w:rPr>
            </w:pP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392699A8"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2DEB421" w14:textId="046519BB" w:rsidR="00213EB9" w:rsidRDefault="002205C4">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633527BB" w:rsidR="00213EB9" w:rsidRDefault="00A52065">
            <w:pPr>
              <w:snapToGrid w:val="0"/>
              <w:jc w:val="both"/>
              <w:rPr>
                <w:sz w:val="18"/>
                <w:szCs w:val="18"/>
              </w:rPr>
            </w:pPr>
            <w:r>
              <w:rPr>
                <w:sz w:val="18"/>
                <w:szCs w:val="18"/>
              </w:rPr>
              <w:t xml:space="preserve">Qualcomm: </w:t>
            </w:r>
            <w:r w:rsidR="006A4907">
              <w:rPr>
                <w:sz w:val="18"/>
                <w:szCs w:val="18"/>
              </w:rPr>
              <w:t>We support this discussion and believe that this issue is related to 2-1.</w:t>
            </w: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5694943" w14:textId="08B48048" w:rsidR="00213EB9" w:rsidRDefault="002205C4">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B42B425" w:rsidR="00213EB9" w:rsidRDefault="002205C4">
            <w:pPr>
              <w:snapToGrid w:val="0"/>
              <w:jc w:val="both"/>
              <w:rPr>
                <w:sz w:val="18"/>
                <w:szCs w:val="18"/>
              </w:rPr>
            </w:pPr>
            <w:r>
              <w:rPr>
                <w:sz w:val="18"/>
                <w:szCs w:val="18"/>
              </w:rPr>
              <w:t>Intel: We prefer to discuss this issue for an conclusion, though we think the proposal is not necessary</w:t>
            </w: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67BE4"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67BE4" w:rsidRDefault="00267BE4" w:rsidP="00267BE4">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67BE4" w:rsidRDefault="00267BE4" w:rsidP="00267BE4">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A277783" w:rsidR="00267BE4" w:rsidRDefault="00267BE4" w:rsidP="00267BE4">
            <w:pPr>
              <w:snapToGrid w:val="0"/>
              <w:jc w:val="both"/>
              <w:rPr>
                <w:sz w:val="18"/>
                <w:szCs w:val="18"/>
              </w:rPr>
            </w:pPr>
            <w:r>
              <w:rPr>
                <w:sz w:val="18"/>
                <w:szCs w:val="18"/>
              </w:rPr>
              <w:t>Qualcomm: This can be discussed in AI 8.2.4.</w:t>
            </w:r>
          </w:p>
        </w:tc>
      </w:tr>
      <w:tr w:rsidR="00267BE4"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67BE4" w:rsidRDefault="00267BE4" w:rsidP="00267BE4">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67BE4" w:rsidRDefault="00267BE4" w:rsidP="00267BE4">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5720C4BD" w:rsidR="00267BE4" w:rsidRDefault="00267BE4" w:rsidP="00267BE4">
            <w:pPr>
              <w:snapToGrid w:val="0"/>
              <w:jc w:val="both"/>
              <w:rPr>
                <w:sz w:val="18"/>
                <w:szCs w:val="18"/>
              </w:rPr>
            </w:pPr>
            <w:r>
              <w:rPr>
                <w:sz w:val="18"/>
                <w:szCs w:val="18"/>
              </w:rPr>
              <w:t>Qualcomm: This can be discussed in AI 8.2.4.</w:t>
            </w:r>
          </w:p>
        </w:tc>
      </w:tr>
      <w:tr w:rsidR="00267BE4"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67BE4" w:rsidRDefault="00267BE4" w:rsidP="00267BE4">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67BE4" w:rsidRDefault="00267BE4" w:rsidP="00267BE4">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1F287315" w:rsidR="00267BE4" w:rsidRDefault="00267BE4" w:rsidP="00267BE4">
            <w:pPr>
              <w:snapToGrid w:val="0"/>
              <w:jc w:val="both"/>
              <w:rPr>
                <w:sz w:val="18"/>
                <w:szCs w:val="18"/>
              </w:rPr>
            </w:pPr>
            <w:r>
              <w:rPr>
                <w:sz w:val="18"/>
                <w:szCs w:val="18"/>
              </w:rPr>
              <w:t>Qualcomm: This can be discussed in AI 8.2.4.</w:t>
            </w:r>
          </w:p>
        </w:tc>
      </w:tr>
      <w:tr w:rsidR="00267BE4"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67BE4" w:rsidRDefault="00267BE4" w:rsidP="00267BE4">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67BE4" w:rsidRDefault="00267BE4" w:rsidP="00267BE4">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6DD3C019" w:rsidR="00267BE4" w:rsidRDefault="00267BE4" w:rsidP="00267BE4">
            <w:pPr>
              <w:snapToGrid w:val="0"/>
              <w:jc w:val="both"/>
              <w:rPr>
                <w:sz w:val="18"/>
                <w:szCs w:val="18"/>
              </w:rPr>
            </w:pPr>
            <w:r>
              <w:rPr>
                <w:sz w:val="18"/>
                <w:szCs w:val="18"/>
              </w:rPr>
              <w:t>Qualcomm: This can be discussed in AI 8.2.4.</w:t>
            </w: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lastRenderedPageBreak/>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Heading2"/>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9169698" w14:textId="77777777" w:rsidR="0017318B" w:rsidRPr="003D7FEC" w:rsidRDefault="0017318B" w:rsidP="0017318B">
            <w:pPr>
              <w:snapToGrid w:val="0"/>
              <w:jc w:val="both"/>
              <w:rPr>
                <w:rFonts w:eastAsia="DengXian"/>
                <w:sz w:val="18"/>
                <w:szCs w:val="18"/>
                <w:lang w:eastAsia="zh-CN"/>
              </w:rPr>
            </w:pPr>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TableGrid"/>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1C7CEE8C" w14:textId="77777777" w:rsidR="00D72A02" w:rsidRDefault="002E6309">
            <w:pPr>
              <w:snapToGrid w:val="0"/>
              <w:jc w:val="both"/>
              <w:rPr>
                <w:rFonts w:eastAsia="DengXian"/>
                <w:b/>
                <w:bCs/>
                <w:sz w:val="18"/>
                <w:szCs w:val="18"/>
                <w:lang w:eastAsia="zh-CN"/>
              </w:rPr>
            </w:pPr>
            <w:r w:rsidRPr="002E6309">
              <w:rPr>
                <w:rFonts w:eastAsia="DengXian" w:hint="eastAsia"/>
                <w:b/>
                <w:bCs/>
                <w:sz w:val="18"/>
                <w:szCs w:val="18"/>
                <w:lang w:eastAsia="zh-CN"/>
              </w:rPr>
              <w:t>F</w:t>
            </w:r>
            <w:r w:rsidRPr="002E6309">
              <w:rPr>
                <w:rFonts w:eastAsia="DengXian"/>
                <w:b/>
                <w:bCs/>
                <w:sz w:val="18"/>
                <w:szCs w:val="18"/>
                <w:lang w:eastAsia="zh-CN"/>
              </w:rPr>
              <w:t xml:space="preserve">ujitsu: </w:t>
            </w:r>
          </w:p>
          <w:p w14:paraId="53D76261" w14:textId="77777777" w:rsidR="002E6309" w:rsidRDefault="00914471">
            <w:pPr>
              <w:snapToGrid w:val="0"/>
              <w:jc w:val="both"/>
              <w:rPr>
                <w:rFonts w:eastAsia="DengXian"/>
                <w:sz w:val="18"/>
                <w:szCs w:val="18"/>
                <w:lang w:eastAsia="zh-CN"/>
              </w:rPr>
            </w:pPr>
            <w:r>
              <w:rPr>
                <w:rFonts w:eastAsia="DengXian"/>
                <w:sz w:val="18"/>
                <w:szCs w:val="18"/>
                <w:lang w:eastAsia="zh-CN"/>
              </w:rPr>
              <w:t>To FL, w</w:t>
            </w:r>
            <w:r w:rsidR="00A906C1">
              <w:rPr>
                <w:rFonts w:eastAsia="DengXian"/>
                <w:sz w:val="18"/>
                <w:szCs w:val="18"/>
                <w:lang w:eastAsia="zh-CN"/>
              </w:rPr>
              <w:t>e have one question about the discussion plan.</w:t>
            </w:r>
            <w:r w:rsidR="002E6309" w:rsidRPr="002E6309">
              <w:rPr>
                <w:rFonts w:eastAsia="DengXian"/>
                <w:sz w:val="18"/>
                <w:szCs w:val="18"/>
                <w:lang w:eastAsia="zh-CN"/>
              </w:rPr>
              <w:t xml:space="preserve"> </w:t>
            </w:r>
            <w:r w:rsidR="00A906C1" w:rsidRPr="002E6309">
              <w:rPr>
                <w:rFonts w:eastAsia="DengXian"/>
                <w:sz w:val="18"/>
                <w:szCs w:val="18"/>
                <w:lang w:eastAsia="zh-CN"/>
              </w:rPr>
              <w:t xml:space="preserve">We understand </w:t>
            </w:r>
            <w:r w:rsidR="00A906C1">
              <w:rPr>
                <w:rFonts w:eastAsia="DengXian"/>
                <w:sz w:val="18"/>
                <w:szCs w:val="18"/>
                <w:lang w:eastAsia="zh-CN"/>
              </w:rPr>
              <w:t xml:space="preserve">4-1 </w:t>
            </w:r>
            <w:r w:rsidR="00A906C1" w:rsidRPr="002E6309">
              <w:rPr>
                <w:rFonts w:eastAsia="DengXian" w:hint="eastAsia"/>
                <w:sz w:val="18"/>
                <w:szCs w:val="18"/>
                <w:lang w:eastAsia="zh-CN"/>
              </w:rPr>
              <w:t>is</w:t>
            </w:r>
            <w:r w:rsidR="00A906C1" w:rsidRPr="002E6309">
              <w:rPr>
                <w:rFonts w:eastAsia="DengXian"/>
                <w:sz w:val="18"/>
                <w:szCs w:val="18"/>
                <w:lang w:eastAsia="zh-CN"/>
              </w:rPr>
              <w:t xml:space="preserve"> about at least I</w:t>
            </w:r>
            <w:r w:rsidR="00A906C1" w:rsidRPr="002E6309">
              <w:rPr>
                <w:rFonts w:eastAsia="DengXian" w:hint="eastAsia"/>
                <w:sz w:val="18"/>
                <w:szCs w:val="18"/>
                <w:lang w:eastAsia="zh-CN"/>
              </w:rPr>
              <w:t>s</w:t>
            </w:r>
            <w:r w:rsidR="00A906C1" w:rsidRPr="002E6309">
              <w:rPr>
                <w:rFonts w:eastAsia="DengXian"/>
                <w:sz w:val="18"/>
                <w:szCs w:val="18"/>
                <w:lang w:eastAsia="zh-CN"/>
              </w:rPr>
              <w:t xml:space="preserve">sue 1 </w:t>
            </w:r>
            <w:r w:rsidR="00A906C1" w:rsidRPr="002E6309">
              <w:rPr>
                <w:rFonts w:eastAsia="DengXian" w:hint="eastAsia"/>
                <w:sz w:val="18"/>
                <w:szCs w:val="18"/>
                <w:lang w:eastAsia="zh-CN"/>
              </w:rPr>
              <w:t>in</w:t>
            </w:r>
            <w:r w:rsidR="00A906C1" w:rsidRPr="002E6309">
              <w:rPr>
                <w:rFonts w:eastAsia="DengXian"/>
                <w:sz w:val="18"/>
                <w:szCs w:val="18"/>
                <w:lang w:eastAsia="zh-CN"/>
              </w:rPr>
              <w:t xml:space="preserve"> </w:t>
            </w:r>
            <w:r w:rsidR="00A906C1" w:rsidRPr="002E6309">
              <w:rPr>
                <w:rFonts w:eastAsia="DengXian" w:hint="eastAsia"/>
                <w:sz w:val="18"/>
                <w:szCs w:val="18"/>
                <w:lang w:eastAsia="zh-CN"/>
              </w:rPr>
              <w:t>our</w:t>
            </w:r>
            <w:r w:rsidR="00A906C1" w:rsidRPr="002E6309">
              <w:rPr>
                <w:rFonts w:eastAsia="DengXian"/>
                <w:sz w:val="18"/>
                <w:szCs w:val="18"/>
                <w:lang w:eastAsia="zh-CN"/>
              </w:rPr>
              <w:t xml:space="preserve"> contribution. </w:t>
            </w:r>
            <w:r w:rsidR="00A906C1">
              <w:rPr>
                <w:rFonts w:eastAsia="DengXian"/>
                <w:sz w:val="18"/>
                <w:szCs w:val="18"/>
                <w:lang w:eastAsia="zh-CN"/>
              </w:rPr>
              <w:t>I</w:t>
            </w:r>
            <w:r w:rsidR="002E6309" w:rsidRPr="002E6309">
              <w:rPr>
                <w:rFonts w:eastAsia="DengXian"/>
                <w:sz w:val="18"/>
                <w:szCs w:val="18"/>
                <w:lang w:eastAsia="zh-CN"/>
              </w:rPr>
              <w:t>s it</w:t>
            </w:r>
            <w:r w:rsidR="00A906C1">
              <w:rPr>
                <w:rFonts w:eastAsia="DengXian"/>
                <w:sz w:val="18"/>
                <w:szCs w:val="18"/>
                <w:lang w:eastAsia="zh-CN"/>
              </w:rPr>
              <w:t xml:space="preserve"> </w:t>
            </w:r>
            <w:r>
              <w:rPr>
                <w:rFonts w:eastAsia="DengXian"/>
                <w:sz w:val="18"/>
                <w:szCs w:val="18"/>
                <w:lang w:eastAsia="zh-CN"/>
              </w:rPr>
              <w:t xml:space="preserve">the </w:t>
            </w:r>
            <w:r w:rsidR="002E6309" w:rsidRPr="002E6309">
              <w:rPr>
                <w:rFonts w:eastAsia="DengXian"/>
                <w:sz w:val="18"/>
                <w:szCs w:val="18"/>
                <w:lang w:eastAsia="zh-CN"/>
              </w:rPr>
              <w:t xml:space="preserve">plan to also discuss Issue 2 and Issue 3 </w:t>
            </w:r>
            <w:r w:rsidR="002E6309" w:rsidRPr="002E6309">
              <w:rPr>
                <w:rFonts w:eastAsia="DengXian" w:hint="eastAsia"/>
                <w:sz w:val="18"/>
                <w:szCs w:val="18"/>
                <w:lang w:eastAsia="zh-CN"/>
              </w:rPr>
              <w:t>in</w:t>
            </w:r>
            <w:r w:rsidR="002E6309" w:rsidRPr="002E6309">
              <w:rPr>
                <w:rFonts w:eastAsia="DengXian"/>
                <w:sz w:val="18"/>
                <w:szCs w:val="18"/>
                <w:lang w:eastAsia="zh-CN"/>
              </w:rPr>
              <w:t xml:space="preserve"> </w:t>
            </w:r>
            <w:r w:rsidR="002E6309" w:rsidRPr="002E6309">
              <w:rPr>
                <w:rFonts w:eastAsia="DengXian" w:hint="eastAsia"/>
                <w:sz w:val="18"/>
                <w:szCs w:val="18"/>
                <w:lang w:eastAsia="zh-CN"/>
              </w:rPr>
              <w:t>our</w:t>
            </w:r>
            <w:r w:rsidR="002E6309" w:rsidRPr="002E6309">
              <w:rPr>
                <w:rFonts w:eastAsia="DengXian"/>
                <w:sz w:val="18"/>
                <w:szCs w:val="18"/>
                <w:lang w:eastAsia="zh-CN"/>
              </w:rPr>
              <w:t xml:space="preserve"> contribution under 4-1 </w:t>
            </w:r>
            <w:r w:rsidR="002E6309" w:rsidRPr="002E6309">
              <w:rPr>
                <w:rFonts w:eastAsia="DengXian" w:hint="eastAsia"/>
                <w:sz w:val="18"/>
                <w:szCs w:val="18"/>
                <w:lang w:eastAsia="zh-CN"/>
              </w:rPr>
              <w:t>here</w:t>
            </w:r>
            <w:r w:rsidR="002E6309" w:rsidRPr="002E6309">
              <w:rPr>
                <w:rFonts w:eastAsia="DengXian"/>
                <w:sz w:val="18"/>
                <w:szCs w:val="18"/>
                <w:lang w:eastAsia="zh-CN"/>
              </w:rPr>
              <w:t>?</w:t>
            </w:r>
            <w:r w:rsidR="002E6309">
              <w:rPr>
                <w:rFonts w:eastAsia="DengXian"/>
                <w:sz w:val="18"/>
                <w:szCs w:val="18"/>
                <w:lang w:eastAsia="zh-CN"/>
              </w:rPr>
              <w:t xml:space="preserve"> </w:t>
            </w:r>
            <w:r>
              <w:rPr>
                <w:rFonts w:eastAsia="DengXian"/>
                <w:sz w:val="18"/>
                <w:szCs w:val="18"/>
                <w:lang w:eastAsia="zh-CN"/>
              </w:rPr>
              <w:t xml:space="preserve">Or </w:t>
            </w:r>
            <w:r w:rsidR="002E6309">
              <w:rPr>
                <w:rFonts w:eastAsia="DengXian"/>
                <w:sz w:val="18"/>
                <w:szCs w:val="18"/>
                <w:lang w:eastAsia="zh-CN"/>
              </w:rPr>
              <w:t>should separate items for Issue 2 and Issue 3 be added</w:t>
            </w:r>
            <w:r w:rsidR="00A906C1">
              <w:rPr>
                <w:rFonts w:eastAsia="DengXian"/>
                <w:sz w:val="18"/>
                <w:szCs w:val="18"/>
                <w:lang w:eastAsia="zh-CN"/>
              </w:rPr>
              <w:t>?</w:t>
            </w:r>
            <w:r>
              <w:rPr>
                <w:rFonts w:eastAsia="DengXian"/>
                <w:sz w:val="18"/>
                <w:szCs w:val="18"/>
                <w:lang w:eastAsia="zh-CN"/>
              </w:rPr>
              <w:t xml:space="preserve"> Thanks.</w:t>
            </w:r>
          </w:p>
          <w:p w14:paraId="796A2299" w14:textId="77777777" w:rsidR="002205C4" w:rsidRDefault="002205C4">
            <w:pPr>
              <w:snapToGrid w:val="0"/>
              <w:jc w:val="both"/>
              <w:rPr>
                <w:rFonts w:eastAsia="DengXian"/>
                <w:sz w:val="18"/>
                <w:szCs w:val="18"/>
                <w:lang w:eastAsia="zh-CN"/>
              </w:rPr>
            </w:pPr>
          </w:p>
          <w:p w14:paraId="40614B76" w14:textId="01862172" w:rsidR="002205C4" w:rsidRPr="002205C4" w:rsidRDefault="002205C4">
            <w:pPr>
              <w:snapToGrid w:val="0"/>
              <w:jc w:val="both"/>
              <w:rPr>
                <w:rFonts w:eastAsia="SimSun"/>
                <w:sz w:val="18"/>
                <w:szCs w:val="18"/>
                <w:lang w:eastAsia="zh-CN"/>
              </w:rPr>
            </w:pPr>
            <w:r>
              <w:rPr>
                <w:rFonts w:eastAsia="SimSun"/>
                <w:sz w:val="18"/>
                <w:szCs w:val="18"/>
                <w:lang w:eastAsia="zh-CN"/>
              </w:rPr>
              <w:t>Intel: Agree with FL. We think should be no confusion on the limitation of ‘same DCI’, but fine for discussion</w:t>
            </w: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lastRenderedPageBreak/>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375AD924" w:rsidR="00D72A02" w:rsidRDefault="002205C4">
            <w:pPr>
              <w:snapToGrid w:val="0"/>
              <w:jc w:val="both"/>
              <w:rPr>
                <w:rFonts w:eastAsia="SimSun"/>
                <w:sz w:val="18"/>
                <w:szCs w:val="18"/>
                <w:lang w:eastAsia="zh-CN"/>
              </w:rPr>
            </w:pPr>
            <w:r>
              <w:rPr>
                <w:rFonts w:eastAsia="SimSun"/>
                <w:sz w:val="18"/>
                <w:szCs w:val="18"/>
                <w:lang w:eastAsia="zh-CN"/>
              </w:rPr>
              <w:t>Intel: This was discussed in many meetings, but was not concluded. Suggest to conclude in this meeting.</w:t>
            </w: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w:t>
            </w:r>
            <w:proofErr w:type="spellStart"/>
            <w:r>
              <w:rPr>
                <w:i/>
                <w:sz w:val="18"/>
                <w:szCs w:val="18"/>
              </w:rPr>
              <w:t>AggregationFactor</w:t>
            </w:r>
            <w:proofErr w:type="spellEnd"/>
            <w:r>
              <w:rPr>
                <w:sz w:val="18"/>
                <w:szCs w:val="18"/>
              </w:rPr>
              <w:t xml:space="preserve"> /</w:t>
            </w:r>
            <w:r>
              <w:rPr>
                <w:i/>
                <w:sz w:val="18"/>
                <w:szCs w:val="18"/>
              </w:rPr>
              <w:t>PUSCH-</w:t>
            </w:r>
            <w:proofErr w:type="spellStart"/>
            <w:r>
              <w:rPr>
                <w:i/>
                <w:sz w:val="18"/>
                <w:szCs w:val="18"/>
              </w:rPr>
              <w:t>AggregationFactor</w:t>
            </w:r>
            <w:proofErr w:type="spellEnd"/>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w:t>
            </w:r>
            <w:proofErr w:type="spellStart"/>
            <w:r>
              <w:rPr>
                <w:i/>
                <w:sz w:val="18"/>
                <w:szCs w:val="18"/>
              </w:rPr>
              <w:t>AggregationFactor</w:t>
            </w:r>
            <w:proofErr w:type="spellEnd"/>
            <w:r>
              <w:rPr>
                <w:sz w:val="18"/>
                <w:szCs w:val="18"/>
              </w:rPr>
              <w:t>/</w:t>
            </w:r>
            <w:r>
              <w:rPr>
                <w:i/>
                <w:sz w:val="18"/>
                <w:szCs w:val="18"/>
              </w:rPr>
              <w:t>PUSCH-</w:t>
            </w:r>
            <w:proofErr w:type="spellStart"/>
            <w:r>
              <w:rPr>
                <w:i/>
                <w:sz w:val="18"/>
                <w:szCs w:val="18"/>
              </w:rPr>
              <w:t>AggregationFactor</w:t>
            </w:r>
            <w:proofErr w:type="spellEnd"/>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0D6458DB" w:rsidR="00D72A02" w:rsidRDefault="002205C4">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 xml:space="preserve">TDRA information for a DCI indicating </w:t>
            </w:r>
            <w:proofErr w:type="spellStart"/>
            <w:r>
              <w:rPr>
                <w:sz w:val="18"/>
                <w:szCs w:val="18"/>
              </w:rPr>
              <w:t>SCell</w:t>
            </w:r>
            <w:proofErr w:type="spellEnd"/>
            <w:r>
              <w:rPr>
                <w:sz w:val="18"/>
                <w:szCs w:val="18"/>
              </w:rPr>
              <w:t xml:space="preserve">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4707E4"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4707E4" w:rsidRDefault="004707E4" w:rsidP="004707E4">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4707E4" w:rsidRDefault="004707E4" w:rsidP="004707E4">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4707E4" w:rsidRDefault="004707E4" w:rsidP="004707E4">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4707E4" w:rsidRDefault="004707E4" w:rsidP="004707E4">
            <w:pPr>
              <w:snapToGrid w:val="0"/>
              <w:jc w:val="both"/>
              <w:rPr>
                <w:rFonts w:eastAsia="SimSun"/>
                <w:sz w:val="18"/>
                <w:szCs w:val="18"/>
                <w:lang w:eastAsia="zh-CN"/>
              </w:rPr>
            </w:pPr>
          </w:p>
        </w:tc>
      </w:tr>
      <w:tr w:rsidR="004707E4"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4707E4" w:rsidRDefault="004707E4" w:rsidP="004707E4">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4707E4" w:rsidRDefault="004707E4" w:rsidP="004707E4">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4707E4" w:rsidRDefault="004707E4" w:rsidP="004707E4">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4707E4" w:rsidRDefault="004707E4" w:rsidP="004707E4">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DengXian"/>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SimSun"/>
                <w:b/>
                <w:bCs/>
                <w:sz w:val="18"/>
                <w:szCs w:val="18"/>
                <w:lang w:eastAsia="zh-CN"/>
              </w:rPr>
            </w:pPr>
            <w:r w:rsidRPr="00914471">
              <w:rPr>
                <w:rFonts w:eastAsia="SimSun" w:hint="eastAsia"/>
                <w:b/>
                <w:bCs/>
                <w:sz w:val="18"/>
                <w:szCs w:val="18"/>
                <w:lang w:eastAsia="zh-CN"/>
              </w:rPr>
              <w:t>F</w:t>
            </w:r>
            <w:r w:rsidRPr="00914471">
              <w:rPr>
                <w:rFonts w:eastAsia="SimSun"/>
                <w:b/>
                <w:bCs/>
                <w:sz w:val="18"/>
                <w:szCs w:val="18"/>
                <w:lang w:eastAsia="zh-CN"/>
              </w:rPr>
              <w:t xml:space="preserve">ujitsu: </w:t>
            </w:r>
          </w:p>
          <w:p w14:paraId="36BC11FC" w14:textId="06815893" w:rsidR="00160313" w:rsidRPr="00914471" w:rsidRDefault="00160313">
            <w:pPr>
              <w:snapToGrid w:val="0"/>
              <w:jc w:val="both"/>
              <w:rPr>
                <w:rFonts w:eastAsia="SimSun"/>
                <w:sz w:val="18"/>
                <w:szCs w:val="18"/>
                <w:lang w:eastAsia="zh-CN"/>
              </w:rPr>
            </w:pPr>
            <w:r w:rsidRPr="00914471">
              <w:rPr>
                <w:rFonts w:eastAsia="SimSun"/>
                <w:sz w:val="18"/>
                <w:szCs w:val="18"/>
                <w:lang w:eastAsia="zh-CN"/>
              </w:rPr>
              <w:t xml:space="preserve">According to the specification as </w:t>
            </w:r>
            <w:r w:rsidR="005E1D45" w:rsidRPr="00914471">
              <w:rPr>
                <w:rFonts w:eastAsia="SimSun"/>
                <w:sz w:val="18"/>
                <w:szCs w:val="18"/>
                <w:lang w:eastAsia="zh-CN"/>
              </w:rPr>
              <w:t>below, we</w:t>
            </w:r>
            <w:r w:rsidRPr="00914471">
              <w:rPr>
                <w:rFonts w:eastAsia="SimSun"/>
                <w:sz w:val="18"/>
                <w:szCs w:val="18"/>
                <w:lang w:eastAsia="zh-CN"/>
              </w:rPr>
              <w:t xml:space="preserve"> see two possible interpretations for the case of multi-PDSCH scheduling with </w:t>
            </w:r>
            <w:r w:rsidRPr="00914471">
              <w:rPr>
                <w:sz w:val="18"/>
                <w:szCs w:val="18"/>
              </w:rPr>
              <w:t>‘</w:t>
            </w:r>
            <w:proofErr w:type="spellStart"/>
            <w:r w:rsidRPr="00914471">
              <w:rPr>
                <w:sz w:val="18"/>
                <w:szCs w:val="18"/>
              </w:rPr>
              <w:t>tdmSchemeA</w:t>
            </w:r>
            <w:proofErr w:type="spellEnd"/>
            <w:r w:rsidRPr="00914471">
              <w:rPr>
                <w:sz w:val="18"/>
                <w:szCs w:val="18"/>
              </w:rPr>
              <w:t>’</w:t>
            </w:r>
          </w:p>
          <w:p w14:paraId="4906D874" w14:textId="46F4D1E8" w:rsidR="00160313" w:rsidRPr="00914471" w:rsidRDefault="00FE27C0" w:rsidP="00160313">
            <w:pPr>
              <w:pStyle w:val="ListParagraph"/>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both repetitions) is not allocated with HARQ process ID.</w:t>
            </w:r>
          </w:p>
          <w:p w14:paraId="74984DE7" w14:textId="25B39640" w:rsidR="00160313" w:rsidRPr="00914471" w:rsidRDefault="00FE27C0" w:rsidP="00160313">
            <w:pPr>
              <w:pStyle w:val="ListParagraph"/>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TableGrid"/>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ConfigurationCommon</w:t>
                  </w:r>
                  <w:proofErr w:type="spellEnd"/>
                  <w:r w:rsidRPr="00914471">
                    <w:rPr>
                      <w:sz w:val="18"/>
                      <w:szCs w:val="18"/>
                      <w:highlight w:val="yellow"/>
                    </w:rPr>
                    <w:t xml:space="preserve"> or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ConfigurationDedicated</w:t>
                  </w:r>
                  <w:proofErr w:type="spellEnd"/>
                  <w:r w:rsidRPr="00914471">
                    <w:rPr>
                      <w:i/>
                      <w:iCs/>
                      <w:sz w:val="18"/>
                      <w:szCs w:val="18"/>
                      <w:highlight w:val="yellow"/>
                    </w:rPr>
                    <w:t xml:space="preserve"> </w:t>
                  </w:r>
                  <w:r w:rsidRPr="00914471">
                    <w:rPr>
                      <w:sz w:val="18"/>
                      <w:szCs w:val="18"/>
                      <w:highlight w:val="yellow"/>
                    </w:rPr>
                    <w:t>if provided.</w:t>
                  </w:r>
                </w:p>
              </w:tc>
            </w:tr>
          </w:tbl>
          <w:p w14:paraId="77D27436" w14:textId="4A1244AE" w:rsidR="00247D80" w:rsidRPr="00914471" w:rsidRDefault="00247D80" w:rsidP="005E1D45">
            <w:pPr>
              <w:snapToGrid w:val="0"/>
              <w:jc w:val="both"/>
              <w:rPr>
                <w:rFonts w:eastAsia="SimSun"/>
                <w:sz w:val="18"/>
                <w:szCs w:val="18"/>
                <w:lang w:eastAsia="zh-CN"/>
              </w:rPr>
            </w:pPr>
            <w:r w:rsidRPr="00914471">
              <w:rPr>
                <w:rFonts w:eastAsia="SimSun"/>
                <w:sz w:val="18"/>
                <w:szCs w:val="18"/>
                <w:lang w:eastAsia="zh-CN"/>
              </w:rPr>
              <w:t>A</w:t>
            </w:r>
            <w:r w:rsidRPr="00914471">
              <w:rPr>
                <w:rFonts w:eastAsia="SimSun" w:hint="eastAsia"/>
                <w:sz w:val="18"/>
                <w:szCs w:val="18"/>
                <w:lang w:eastAsia="zh-CN"/>
              </w:rPr>
              <w:t>s</w:t>
            </w:r>
            <w:r w:rsidRPr="00914471">
              <w:rPr>
                <w:rFonts w:eastAsia="SimSun"/>
                <w:sz w:val="18"/>
                <w:szCs w:val="18"/>
                <w:lang w:eastAsia="zh-CN"/>
              </w:rPr>
              <w:t xml:space="preserve"> </w:t>
            </w:r>
            <w:r w:rsidRPr="00914471">
              <w:rPr>
                <w:rFonts w:eastAsia="SimSun" w:hint="eastAsia"/>
                <w:sz w:val="18"/>
                <w:szCs w:val="18"/>
                <w:lang w:eastAsia="zh-CN"/>
              </w:rPr>
              <w:t>the</w:t>
            </w:r>
            <w:r w:rsidRPr="00914471">
              <w:rPr>
                <w:rFonts w:eastAsia="SimSun"/>
                <w:sz w:val="18"/>
                <w:szCs w:val="18"/>
                <w:lang w:eastAsia="zh-CN"/>
              </w:rPr>
              <w:t xml:space="preserve"> proponent, </w:t>
            </w:r>
            <w:r w:rsidR="005E1D45" w:rsidRPr="00914471">
              <w:rPr>
                <w:rFonts w:eastAsia="SimSun"/>
                <w:sz w:val="18"/>
                <w:szCs w:val="18"/>
                <w:lang w:eastAsia="zh-CN"/>
              </w:rPr>
              <w:t xml:space="preserve">if there is a common understanding among companies, </w:t>
            </w:r>
            <w:r w:rsidRPr="00914471">
              <w:rPr>
                <w:rFonts w:eastAsia="SimSun"/>
                <w:sz w:val="18"/>
                <w:szCs w:val="18"/>
                <w:lang w:eastAsia="zh-CN"/>
              </w:rPr>
              <w:t xml:space="preserve">we are okey to not discuss </w:t>
            </w:r>
            <w:r w:rsidR="00160313" w:rsidRPr="00914471">
              <w:rPr>
                <w:rFonts w:eastAsia="SimSun"/>
                <w:sz w:val="18"/>
                <w:szCs w:val="18"/>
                <w:lang w:eastAsia="zh-CN"/>
              </w:rPr>
              <w:t>it</w:t>
            </w:r>
            <w:r w:rsidR="005E1D45" w:rsidRPr="00914471">
              <w:rPr>
                <w:rFonts w:eastAsia="SimSun"/>
                <w:sz w:val="18"/>
                <w:szCs w:val="18"/>
                <w:lang w:eastAsia="zh-CN"/>
              </w:rPr>
              <w:t xml:space="preserve"> in the next phase. </w:t>
            </w:r>
            <w:r w:rsidR="00160313" w:rsidRPr="00914471">
              <w:rPr>
                <w:rFonts w:eastAsia="SimSun" w:hint="eastAsia"/>
                <w:sz w:val="18"/>
                <w:szCs w:val="18"/>
                <w:lang w:eastAsia="zh-CN"/>
              </w:rPr>
              <w:t>B</w:t>
            </w:r>
            <w:r w:rsidR="00160313" w:rsidRPr="00914471">
              <w:rPr>
                <w:rFonts w:eastAsia="SimSun"/>
                <w:sz w:val="18"/>
                <w:szCs w:val="18"/>
                <w:lang w:eastAsia="zh-CN"/>
              </w:rPr>
              <w:t xml:space="preserve">ut hopefully, </w:t>
            </w:r>
            <w:r w:rsidR="00065F7F" w:rsidRPr="00914471">
              <w:rPr>
                <w:rFonts w:eastAsia="SimSun"/>
                <w:sz w:val="18"/>
                <w:szCs w:val="18"/>
                <w:lang w:eastAsia="zh-CN"/>
              </w:rPr>
              <w:t>FL</w:t>
            </w:r>
            <w:r w:rsidR="005E1D45" w:rsidRPr="00914471">
              <w:rPr>
                <w:rFonts w:eastAsia="SimSun"/>
                <w:sz w:val="18"/>
                <w:szCs w:val="18"/>
                <w:lang w:eastAsia="zh-CN"/>
              </w:rPr>
              <w:t xml:space="preserve"> or other companies can help to clarify the correct interpretation. Thanks.</w:t>
            </w: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2205C4"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2205C4" w:rsidRDefault="002205C4" w:rsidP="002205C4">
            <w:pPr>
              <w:snapToGrid w:val="0"/>
              <w:jc w:val="both"/>
              <w:rPr>
                <w:sz w:val="18"/>
                <w:szCs w:val="18"/>
              </w:rPr>
            </w:pPr>
            <w:r>
              <w:rPr>
                <w:sz w:val="18"/>
                <w:szCs w:val="18"/>
              </w:rPr>
              <w:lastRenderedPageBreak/>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2205C4" w:rsidRDefault="002205C4" w:rsidP="002205C4">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2205C4" w:rsidRDefault="002205C4" w:rsidP="002205C4">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1CE84D" w:rsidR="002205C4" w:rsidRDefault="002205C4" w:rsidP="002205C4">
            <w:pPr>
              <w:snapToGrid w:val="0"/>
              <w:jc w:val="both"/>
              <w:rPr>
                <w:rFonts w:eastAsia="SimSun"/>
                <w:sz w:val="18"/>
                <w:szCs w:val="18"/>
                <w:lang w:eastAsia="zh-CN"/>
              </w:rPr>
            </w:pPr>
            <w:r>
              <w:rPr>
                <w:rFonts w:eastAsia="SimSun"/>
                <w:sz w:val="18"/>
                <w:szCs w:val="18"/>
                <w:lang w:eastAsia="zh-CN"/>
              </w:rPr>
              <w:t>Intel: Fine to make a conclusion on the proposal</w:t>
            </w:r>
          </w:p>
        </w:tc>
      </w:tr>
      <w:tr w:rsidR="002205C4"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2205C4" w:rsidRDefault="002205C4" w:rsidP="002205C4">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2205C4" w:rsidRDefault="002205C4" w:rsidP="002205C4">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2205C4" w:rsidRDefault="002205C4" w:rsidP="002205C4">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2205C4" w:rsidRDefault="002205C4" w:rsidP="002205C4">
            <w:pPr>
              <w:snapToGrid w:val="0"/>
              <w:jc w:val="both"/>
              <w:rPr>
                <w:rFonts w:eastAsia="SimSun"/>
                <w:sz w:val="18"/>
                <w:szCs w:val="18"/>
                <w:lang w:eastAsia="zh-CN"/>
              </w:rPr>
            </w:pPr>
          </w:p>
        </w:tc>
      </w:tr>
      <w:tr w:rsidR="002205C4"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2205C4" w:rsidRDefault="002205C4" w:rsidP="002205C4">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2205C4" w:rsidRDefault="002205C4" w:rsidP="002205C4">
            <w:pPr>
              <w:snapToGrid w:val="0"/>
              <w:jc w:val="both"/>
              <w:rPr>
                <w:rFonts w:eastAsia="DengXian"/>
                <w:sz w:val="18"/>
                <w:szCs w:val="18"/>
                <w:lang w:eastAsia="zh-CN"/>
              </w:rPr>
            </w:pPr>
            <w:r>
              <w:rPr>
                <w:sz w:val="18"/>
                <w:szCs w:val="18"/>
              </w:rPr>
              <w:t xml:space="preserve">Reflect the agreement that UE does not apply </w:t>
            </w:r>
            <w:proofErr w:type="spellStart"/>
            <w:r>
              <w:rPr>
                <w:i/>
                <w:sz w:val="18"/>
                <w:szCs w:val="18"/>
              </w:rPr>
              <w:t>pusch-AggregationFactor</w:t>
            </w:r>
            <w:proofErr w:type="spellEnd"/>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2205C4" w:rsidRDefault="002205C4" w:rsidP="002205C4">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2205C4" w:rsidRDefault="002205C4" w:rsidP="002205C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2205C4" w:rsidRDefault="002205C4" w:rsidP="002205C4">
            <w:pPr>
              <w:snapToGrid w:val="0"/>
              <w:jc w:val="both"/>
              <w:rPr>
                <w:rFonts w:eastAsia="SimSun"/>
                <w:sz w:val="18"/>
                <w:szCs w:val="18"/>
                <w:lang w:eastAsia="zh-CN"/>
              </w:rPr>
            </w:pPr>
          </w:p>
        </w:tc>
      </w:tr>
      <w:tr w:rsidR="002205C4"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2205C4" w:rsidRDefault="002205C4" w:rsidP="002205C4">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2205C4" w:rsidRDefault="002205C4" w:rsidP="002205C4">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2205C4" w:rsidRDefault="002205C4" w:rsidP="002205C4">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2205C4" w:rsidRDefault="002205C4" w:rsidP="002205C4">
            <w:pPr>
              <w:snapToGrid w:val="0"/>
              <w:jc w:val="both"/>
              <w:rPr>
                <w:rFonts w:eastAsia="SimSun"/>
                <w:sz w:val="18"/>
                <w:szCs w:val="18"/>
                <w:lang w:eastAsia="zh-CN"/>
              </w:rPr>
            </w:pPr>
          </w:p>
        </w:tc>
      </w:tr>
      <w:tr w:rsidR="002205C4"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2205C4" w:rsidRDefault="002205C4" w:rsidP="002205C4">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2205C4" w:rsidRDefault="002205C4" w:rsidP="002205C4">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77777777" w:rsidR="002205C4" w:rsidRDefault="002205C4" w:rsidP="002205C4">
            <w:pPr>
              <w:snapToGrid w:val="0"/>
              <w:jc w:val="both"/>
              <w:rPr>
                <w:rFonts w:eastAsia="SimSun"/>
                <w:sz w:val="18"/>
                <w:szCs w:val="18"/>
                <w:lang w:eastAsia="zh-CN"/>
              </w:rPr>
            </w:pPr>
          </w:p>
        </w:tc>
      </w:tr>
      <w:tr w:rsidR="002205C4"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2205C4" w:rsidRDefault="002205C4" w:rsidP="002205C4">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2205C4" w:rsidRDefault="002205C4" w:rsidP="002205C4">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711054F8" w:rsidR="002205C4" w:rsidRDefault="002205C4" w:rsidP="002205C4">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2205C4"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2205C4" w:rsidRDefault="002205C4" w:rsidP="002205C4">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2205C4" w:rsidRDefault="002205C4" w:rsidP="002205C4">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1A98ACCD" w:rsidR="002205C4" w:rsidRDefault="002205C4" w:rsidP="002205C4">
            <w:pPr>
              <w:snapToGrid w:val="0"/>
              <w:jc w:val="both"/>
              <w:rPr>
                <w:rFonts w:eastAsia="SimSun"/>
                <w:sz w:val="18"/>
                <w:szCs w:val="18"/>
                <w:lang w:eastAsia="zh-CN"/>
              </w:rPr>
            </w:pPr>
            <w:r>
              <w:rPr>
                <w:rFonts w:eastAsia="SimSun"/>
                <w:sz w:val="18"/>
                <w:szCs w:val="18"/>
                <w:lang w:eastAsia="zh-CN"/>
              </w:rPr>
              <w:t xml:space="preserve">Intel: As we analyze in our </w:t>
            </w:r>
            <w:proofErr w:type="spellStart"/>
            <w:r>
              <w:rPr>
                <w:rFonts w:eastAsia="SimSun"/>
                <w:sz w:val="18"/>
                <w:szCs w:val="18"/>
                <w:lang w:eastAsia="zh-CN"/>
              </w:rPr>
              <w:t>tdoc</w:t>
            </w:r>
            <w:proofErr w:type="spellEnd"/>
            <w:r>
              <w:rPr>
                <w:rFonts w:eastAsia="SimSun"/>
                <w:sz w:val="18"/>
                <w:szCs w:val="18"/>
                <w:lang w:eastAsia="zh-CN"/>
              </w:rPr>
              <w:t>, the current spec is confusing on the utilization of K1 or extended K1. Suggest to discuss it</w:t>
            </w:r>
          </w:p>
        </w:tc>
      </w:tr>
      <w:tr w:rsidR="002205C4"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2205C4" w:rsidRDefault="002205C4" w:rsidP="002205C4">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2205C4" w:rsidRDefault="002205C4" w:rsidP="002205C4">
            <w:pPr>
              <w:snapToGrid w:val="0"/>
              <w:jc w:val="both"/>
              <w:rPr>
                <w:rFonts w:eastAsia="DengXian"/>
                <w:sz w:val="18"/>
                <w:szCs w:val="18"/>
                <w:lang w:eastAsia="zh-CN"/>
              </w:rPr>
            </w:pPr>
            <w:r>
              <w:rPr>
                <w:sz w:val="18"/>
                <w:szCs w:val="18"/>
              </w:rPr>
              <w:t>Clarification of PDSCH mapping type of PDSCHs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2205C4" w:rsidRDefault="002205C4" w:rsidP="002205C4">
            <w:pPr>
              <w:snapToGrid w:val="0"/>
              <w:jc w:val="both"/>
              <w:rPr>
                <w:rFonts w:eastAsia="SimSun"/>
                <w:sz w:val="18"/>
                <w:szCs w:val="18"/>
                <w:lang w:eastAsia="zh-CN"/>
              </w:rPr>
            </w:pPr>
          </w:p>
        </w:tc>
      </w:tr>
      <w:tr w:rsidR="002205C4"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2205C4" w:rsidRDefault="002205C4" w:rsidP="002205C4">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2205C4" w:rsidRDefault="002205C4" w:rsidP="002205C4">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2205C4" w:rsidRDefault="002205C4" w:rsidP="002205C4">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2D4855E" w:rsidR="002205C4" w:rsidRDefault="00AF45E7" w:rsidP="002205C4">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tc>
      </w:tr>
      <w:tr w:rsidR="002205C4"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2205C4" w:rsidRDefault="002205C4" w:rsidP="002205C4">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2205C4" w:rsidRDefault="002205C4" w:rsidP="002205C4">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2205C4" w:rsidRDefault="002205C4" w:rsidP="002205C4">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2C3D594A" w:rsidR="002205C4" w:rsidRDefault="00AF45E7" w:rsidP="002205C4">
            <w:pPr>
              <w:snapToGrid w:val="0"/>
              <w:jc w:val="both"/>
              <w:rPr>
                <w:rFonts w:eastAsia="SimSun"/>
                <w:sz w:val="18"/>
                <w:szCs w:val="18"/>
                <w:lang w:eastAsia="zh-CN"/>
              </w:rPr>
            </w:pPr>
            <w:r>
              <w:rPr>
                <w:rFonts w:eastAsia="SimSun"/>
                <w:sz w:val="18"/>
                <w:szCs w:val="18"/>
                <w:lang w:eastAsia="zh-CN"/>
              </w:rPr>
              <w:t>Intel: Agree with FL.</w:t>
            </w:r>
          </w:p>
        </w:tc>
      </w:tr>
      <w:tr w:rsidR="002205C4"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2205C4" w:rsidRDefault="002205C4" w:rsidP="002205C4">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Heading2"/>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TableGrid"/>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2205C4">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19"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2205C4">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2205C4">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2205C4">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w:t>
            </w:r>
            <w:proofErr w:type="spellStart"/>
            <w:r w:rsidR="00DF24EB">
              <w:rPr>
                <w:rFonts w:eastAsia="DengXian"/>
                <w:sz w:val="18"/>
                <w:szCs w:val="18"/>
                <w:lang w:eastAsia="zh-CN"/>
              </w:rPr>
              <w:t>msgA</w:t>
            </w:r>
            <w:proofErr w:type="spellEnd"/>
            <w:r w:rsidR="00DF24EB">
              <w:rPr>
                <w:rFonts w:eastAsia="DengXian"/>
                <w:sz w:val="18"/>
                <w:szCs w:val="18"/>
                <w:lang w:eastAsia="zh-CN"/>
              </w:rPr>
              <w:t xml:space="preserve">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2205C4">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sensing </w:t>
            </w:r>
            <w:r w:rsidR="000052F8">
              <w:rPr>
                <w:rFonts w:eastAsia="DengXian"/>
                <w:sz w:val="18"/>
                <w:szCs w:val="18"/>
                <w:lang w:eastAsia="zh-CN"/>
              </w:rPr>
              <w:t xml:space="preserve"> and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2205C4">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sensing  and </w:t>
            </w:r>
            <w:r>
              <w:rPr>
                <w:rFonts w:eastAsia="DengXian"/>
                <w:sz w:val="18"/>
                <w:szCs w:val="18"/>
                <w:lang w:eastAsia="zh-CN"/>
              </w:rPr>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2205C4">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2205C4">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for </w:t>
            </w:r>
            <w:r>
              <w:rPr>
                <w:rFonts w:eastAsia="DengXian"/>
                <w:sz w:val="18"/>
                <w:szCs w:val="18"/>
                <w:lang w:eastAsia="zh-CN"/>
              </w:rPr>
              <w:t xml:space="preserve"> Channel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2205C4">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lastRenderedPageBreak/>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r w:rsidR="00C375CE">
              <w:rPr>
                <w:rFonts w:eastAsia="DengXian"/>
                <w:sz w:val="18"/>
                <w:szCs w:val="18"/>
                <w:lang w:eastAsia="zh-CN"/>
              </w:rPr>
              <w:t xml:space="preserve">of </w:t>
            </w:r>
            <w:r w:rsidR="00815E6F">
              <w:rPr>
                <w:rFonts w:eastAsia="DengXian"/>
                <w:sz w:val="18"/>
                <w:szCs w:val="18"/>
                <w:lang w:eastAsia="zh-CN"/>
              </w:rPr>
              <w:t xml:space="preserve"> Channel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2205C4">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FD56D43" w14:textId="1E5E67F7" w:rsidR="00AE6454" w:rsidRPr="00C570E5" w:rsidRDefault="00C570E5" w:rsidP="7047CB60">
            <w:pPr>
              <w:snapToGrid w:val="0"/>
              <w:jc w:val="both"/>
              <w:rPr>
                <w:rFonts w:eastAsia="Yu Mincho"/>
                <w:sz w:val="18"/>
                <w:szCs w:val="18"/>
                <w:lang w:eastAsia="ja-JP"/>
              </w:rPr>
            </w:pPr>
            <w:r>
              <w:rPr>
                <w:rFonts w:eastAsia="Yu Mincho"/>
                <w:sz w:val="18"/>
                <w:szCs w:val="18"/>
                <w:lang w:eastAsia="ja-JP"/>
              </w:rPr>
              <w:t xml:space="preserve">DCM: We believe </w:t>
            </w:r>
            <w:r w:rsidR="001E1FFB">
              <w:rPr>
                <w:rFonts w:eastAsia="Yu Mincho"/>
                <w:sz w:val="18"/>
                <w:szCs w:val="18"/>
                <w:lang w:eastAsia="ja-JP"/>
              </w:rPr>
              <w:t>this</w:t>
            </w:r>
            <w:r>
              <w:rPr>
                <w:rFonts w:eastAsia="Yu Mincho"/>
                <w:sz w:val="18"/>
                <w:szCs w:val="18"/>
                <w:lang w:eastAsia="ja-JP"/>
              </w:rPr>
              <w:t xml:space="preserve"> is one of the highest priority </w:t>
            </w:r>
            <w:r w:rsidR="001E1FFB">
              <w:rPr>
                <w:rFonts w:eastAsia="Yu Mincho"/>
                <w:sz w:val="18"/>
                <w:szCs w:val="18"/>
                <w:lang w:eastAsia="ja-JP"/>
              </w:rPr>
              <w:t>issue</w:t>
            </w:r>
            <w:r>
              <w:rPr>
                <w:rFonts w:eastAsia="Yu Mincho"/>
                <w:sz w:val="18"/>
                <w:szCs w:val="18"/>
                <w:lang w:eastAsia="ja-JP"/>
              </w:rPr>
              <w:t xml:space="preserve">. </w:t>
            </w:r>
          </w:p>
        </w:tc>
      </w:tr>
      <w:tr w:rsidR="002205C4" w:rsidRPr="00DA4707" w14:paraId="13BE3BDF" w14:textId="77777777" w:rsidTr="002205C4">
        <w:trPr>
          <w:trHeight w:val="66"/>
        </w:trPr>
        <w:tc>
          <w:tcPr>
            <w:tcW w:w="351" w:type="pct"/>
          </w:tcPr>
          <w:p w14:paraId="0627AF9E" w14:textId="64F9F05F" w:rsidR="002205C4" w:rsidRPr="004F20A8" w:rsidRDefault="002205C4" w:rsidP="002205C4">
            <w:pPr>
              <w:snapToGrid w:val="0"/>
              <w:jc w:val="both"/>
              <w:rPr>
                <w:sz w:val="18"/>
                <w:szCs w:val="18"/>
              </w:rPr>
            </w:pPr>
            <w:r>
              <w:rPr>
                <w:sz w:val="18"/>
                <w:szCs w:val="18"/>
              </w:rPr>
              <w:t>5-10</w:t>
            </w:r>
          </w:p>
        </w:tc>
        <w:tc>
          <w:tcPr>
            <w:tcW w:w="1522" w:type="pct"/>
          </w:tcPr>
          <w:p w14:paraId="3B88FC0B" w14:textId="6644FDB7" w:rsidR="002205C4" w:rsidRPr="11B91A18" w:rsidRDefault="002205C4" w:rsidP="002205C4">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2205C4" w:rsidRPr="00021C5B" w:rsidRDefault="002205C4" w:rsidP="002205C4">
            <w:pPr>
              <w:snapToGrid w:val="0"/>
              <w:rPr>
                <w:sz w:val="16"/>
                <w:szCs w:val="16"/>
              </w:rPr>
            </w:pPr>
            <w:r w:rsidRPr="00021C5B">
              <w:rPr>
                <w:sz w:val="16"/>
                <w:szCs w:val="16"/>
              </w:rPr>
              <w:t>[73]</w:t>
            </w:r>
            <w:r>
              <w:rPr>
                <w:sz w:val="16"/>
                <w:szCs w:val="16"/>
              </w:rPr>
              <w:t>,</w:t>
            </w:r>
            <w:r w:rsidRPr="00021C5B">
              <w:rPr>
                <w:sz w:val="16"/>
                <w:szCs w:val="16"/>
              </w:rPr>
              <w:t xml:space="preserve"> [63</w:t>
            </w:r>
            <w:r>
              <w:rPr>
                <w:sz w:val="16"/>
                <w:szCs w:val="16"/>
              </w:rPr>
              <w:t>], [</w:t>
            </w:r>
            <w:r w:rsidRPr="00021C5B">
              <w:rPr>
                <w:sz w:val="16"/>
                <w:szCs w:val="16"/>
              </w:rPr>
              <w:t>70]</w:t>
            </w:r>
          </w:p>
          <w:p w14:paraId="1139FBF4" w14:textId="594598D2" w:rsidR="002205C4" w:rsidRPr="00021C5B" w:rsidRDefault="002205C4" w:rsidP="002205C4">
            <w:pPr>
              <w:snapToGrid w:val="0"/>
              <w:rPr>
                <w:sz w:val="16"/>
                <w:szCs w:val="16"/>
              </w:rPr>
            </w:pPr>
          </w:p>
        </w:tc>
        <w:tc>
          <w:tcPr>
            <w:tcW w:w="545" w:type="pct"/>
          </w:tcPr>
          <w:p w14:paraId="78837DD4" w14:textId="2B972248"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7F2513" w14:textId="050AD6AF" w:rsidR="002205C4" w:rsidRPr="00DA4707" w:rsidRDefault="002205C4" w:rsidP="002205C4">
            <w:pPr>
              <w:snapToGrid w:val="0"/>
              <w:jc w:val="both"/>
              <w:rPr>
                <w:sz w:val="18"/>
                <w:szCs w:val="18"/>
              </w:rPr>
            </w:pPr>
            <w:r>
              <w:rPr>
                <w:sz w:val="18"/>
                <w:szCs w:val="18"/>
              </w:rPr>
              <w:t>Intel: agree with the feature lead, and we are OK to conclude it.</w:t>
            </w:r>
          </w:p>
        </w:tc>
      </w:tr>
      <w:tr w:rsidR="002205C4" w:rsidRPr="00DA4707" w14:paraId="603E9789" w14:textId="77777777" w:rsidTr="002205C4">
        <w:trPr>
          <w:trHeight w:val="66"/>
        </w:trPr>
        <w:tc>
          <w:tcPr>
            <w:tcW w:w="351" w:type="pct"/>
          </w:tcPr>
          <w:p w14:paraId="040B980E" w14:textId="2C8021C2" w:rsidR="002205C4" w:rsidRPr="004F20A8" w:rsidRDefault="002205C4" w:rsidP="002205C4">
            <w:pPr>
              <w:snapToGrid w:val="0"/>
              <w:jc w:val="both"/>
              <w:rPr>
                <w:sz w:val="18"/>
                <w:szCs w:val="18"/>
              </w:rPr>
            </w:pPr>
            <w:r>
              <w:rPr>
                <w:sz w:val="18"/>
                <w:szCs w:val="18"/>
              </w:rPr>
              <w:t>5-11</w:t>
            </w:r>
          </w:p>
        </w:tc>
        <w:tc>
          <w:tcPr>
            <w:tcW w:w="1522" w:type="pct"/>
          </w:tcPr>
          <w:p w14:paraId="4BD513D9" w14:textId="079ED2BF" w:rsidR="002205C4" w:rsidRPr="11B91A18" w:rsidRDefault="002205C4" w:rsidP="002205C4">
            <w:pPr>
              <w:snapToGrid w:val="0"/>
              <w:jc w:val="both"/>
              <w:rPr>
                <w:rFonts w:eastAsia="DengXian"/>
                <w:sz w:val="18"/>
                <w:szCs w:val="18"/>
                <w:lang w:eastAsia="zh-CN"/>
              </w:rPr>
            </w:pPr>
            <w:r>
              <w:rPr>
                <w:rFonts w:eastAsia="DengXian"/>
                <w:sz w:val="18"/>
                <w:szCs w:val="18"/>
                <w:lang w:eastAsia="zh-CN"/>
              </w:rPr>
              <w:t xml:space="preserve">UL To DL COT Sharing, clarification of gNB side LBT </w:t>
            </w:r>
          </w:p>
        </w:tc>
        <w:tc>
          <w:tcPr>
            <w:tcW w:w="663" w:type="pct"/>
          </w:tcPr>
          <w:p w14:paraId="48673F9A" w14:textId="50B95E5F" w:rsidR="002205C4" w:rsidRPr="00021C5B" w:rsidRDefault="002205C4" w:rsidP="002205C4">
            <w:pPr>
              <w:snapToGrid w:val="0"/>
              <w:rPr>
                <w:sz w:val="16"/>
                <w:szCs w:val="16"/>
              </w:rPr>
            </w:pPr>
            <w:r w:rsidRPr="00021C5B">
              <w:rPr>
                <w:sz w:val="16"/>
                <w:szCs w:val="16"/>
              </w:rPr>
              <w:t>[73</w:t>
            </w:r>
            <w:r w:rsidRPr="004858D0">
              <w:rPr>
                <w:i/>
                <w:iCs/>
                <w:sz w:val="16"/>
                <w:szCs w:val="16"/>
              </w:rPr>
              <w:t>],</w:t>
            </w:r>
            <w:r>
              <w:rPr>
                <w:sz w:val="16"/>
                <w:szCs w:val="16"/>
              </w:rPr>
              <w:t xml:space="preserve"> [</w:t>
            </w:r>
            <w:r w:rsidRPr="00021C5B">
              <w:rPr>
                <w:sz w:val="16"/>
                <w:szCs w:val="16"/>
              </w:rPr>
              <w:t>64]</w:t>
            </w:r>
          </w:p>
        </w:tc>
        <w:tc>
          <w:tcPr>
            <w:tcW w:w="545" w:type="pct"/>
          </w:tcPr>
          <w:p w14:paraId="3BFFD3A2" w14:textId="0D4F0A3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066BBC6" w14:textId="5D0C5879" w:rsidR="002205C4" w:rsidRPr="00DA4707" w:rsidRDefault="002205C4" w:rsidP="002205C4">
            <w:pPr>
              <w:snapToGrid w:val="0"/>
              <w:jc w:val="both"/>
              <w:rPr>
                <w:sz w:val="18"/>
                <w:szCs w:val="18"/>
              </w:rPr>
            </w:pPr>
            <w:r>
              <w:rPr>
                <w:sz w:val="18"/>
                <w:szCs w:val="18"/>
              </w:rPr>
              <w:t xml:space="preserve">Intel: from our point of view the spec is still unclear on how the UL-to-DL COT sharing would be perform for CG UE, and it is not only a matter of clarifying the </w:t>
            </w:r>
            <w:proofErr w:type="spellStart"/>
            <w:r>
              <w:rPr>
                <w:sz w:val="18"/>
                <w:szCs w:val="18"/>
              </w:rPr>
              <w:t>gNB’s</w:t>
            </w:r>
            <w:proofErr w:type="spellEnd"/>
            <w:r>
              <w:rPr>
                <w:sz w:val="18"/>
                <w:szCs w:val="18"/>
              </w:rPr>
              <w:t xml:space="preserve"> side LBT but rather the UE’s behavior and the CG-UCI content.</w:t>
            </w:r>
          </w:p>
        </w:tc>
      </w:tr>
      <w:tr w:rsidR="00AE6454" w:rsidRPr="00DA4707" w14:paraId="0CC4A707" w14:textId="77777777" w:rsidTr="002205C4">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2205C4">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at the gNB for the gNB-UE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2205C4">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2205C4">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DCI :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w:t>
            </w:r>
            <w:proofErr w:type="spellStart"/>
            <w:r>
              <w:rPr>
                <w:rFonts w:eastAsia="DengXian"/>
                <w:sz w:val="18"/>
                <w:szCs w:val="18"/>
                <w:lang w:eastAsia="zh-CN"/>
              </w:rPr>
              <w:t>ChannelAccess-CPext</w:t>
            </w:r>
            <w:proofErr w:type="spellEnd"/>
            <w:r>
              <w:rPr>
                <w:rFonts w:eastAsia="DengXian"/>
                <w:sz w:val="18"/>
                <w:szCs w:val="18"/>
                <w:lang w:eastAsia="zh-CN"/>
              </w:rPr>
              <w: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0630E2B" w14:textId="75948407" w:rsidR="00AE6454" w:rsidRDefault="002205C4" w:rsidP="7047CB60">
            <w:pPr>
              <w:snapToGrid w:val="0"/>
              <w:jc w:val="both"/>
              <w:rPr>
                <w:sz w:val="18"/>
                <w:szCs w:val="18"/>
              </w:rPr>
            </w:pPr>
            <w:r>
              <w:rPr>
                <w:sz w:val="18"/>
                <w:szCs w:val="18"/>
              </w:rPr>
              <w:t>Intel: agree with the feature lead, as this is not essential at this point.</w:t>
            </w:r>
          </w:p>
          <w:p w14:paraId="59525ADF" w14:textId="6534A9CD" w:rsidR="002205C4" w:rsidRPr="002205C4" w:rsidRDefault="002205C4" w:rsidP="002205C4">
            <w:pPr>
              <w:ind w:firstLine="720"/>
              <w:rPr>
                <w:sz w:val="18"/>
                <w:szCs w:val="18"/>
              </w:rPr>
            </w:pPr>
          </w:p>
        </w:tc>
      </w:tr>
      <w:tr w:rsidR="00332A1D" w:rsidRPr="00DA4707" w14:paraId="45FD18FD" w14:textId="77777777" w:rsidTr="002205C4">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2A1E70B9" w:rsidR="00332A1D" w:rsidRPr="00021C5B" w:rsidRDefault="00863211" w:rsidP="000C261F">
            <w:pPr>
              <w:snapToGrid w:val="0"/>
              <w:rPr>
                <w:sz w:val="16"/>
                <w:szCs w:val="16"/>
              </w:rPr>
            </w:pPr>
            <w:r w:rsidRPr="00021C5B">
              <w:rPr>
                <w:sz w:val="16"/>
                <w:szCs w:val="16"/>
              </w:rPr>
              <w:t>[63]</w:t>
            </w:r>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83FE33A" w14:textId="77777777" w:rsidR="00332A1D" w:rsidRPr="00DA4707" w:rsidRDefault="00332A1D" w:rsidP="7047CB60">
            <w:pPr>
              <w:snapToGrid w:val="0"/>
              <w:jc w:val="both"/>
              <w:rPr>
                <w:sz w:val="18"/>
                <w:szCs w:val="18"/>
              </w:rPr>
            </w:pPr>
          </w:p>
        </w:tc>
      </w:tr>
      <w:tr w:rsidR="00AE6454" w:rsidRPr="00DA4707" w14:paraId="02C53117" w14:textId="77777777" w:rsidTr="002205C4">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644A6F1" w14:textId="68DDF55E" w:rsidR="00AE6454" w:rsidRPr="00DA4707" w:rsidRDefault="002205C4" w:rsidP="7047CB60">
            <w:pPr>
              <w:snapToGrid w:val="0"/>
              <w:jc w:val="both"/>
              <w:rPr>
                <w:sz w:val="18"/>
                <w:szCs w:val="18"/>
              </w:rPr>
            </w:pPr>
            <w:r>
              <w:rPr>
                <w:sz w:val="18"/>
                <w:szCs w:val="18"/>
              </w:rPr>
              <w:t>Intel: agree with the feature lead, as this is not essential at this point.</w:t>
            </w:r>
          </w:p>
        </w:tc>
      </w:tr>
      <w:tr w:rsidR="00073713" w:rsidRPr="00DA4707" w14:paraId="3B15B2FB" w14:textId="77777777" w:rsidTr="002205C4">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2205C4">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2205C4">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2205C4">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E50107B" w14:textId="77777777" w:rsidR="00697E56" w:rsidRPr="00DA4707" w:rsidRDefault="00697E56" w:rsidP="7047CB60">
            <w:pPr>
              <w:snapToGrid w:val="0"/>
              <w:jc w:val="both"/>
              <w:rPr>
                <w:sz w:val="18"/>
                <w:szCs w:val="18"/>
              </w:rPr>
            </w:pPr>
          </w:p>
        </w:tc>
      </w:tr>
      <w:tr w:rsidR="002205C4" w:rsidRPr="00DA4707" w14:paraId="2982B0FC" w14:textId="77777777" w:rsidTr="002205C4">
        <w:trPr>
          <w:trHeight w:val="66"/>
        </w:trPr>
        <w:tc>
          <w:tcPr>
            <w:tcW w:w="351" w:type="pct"/>
          </w:tcPr>
          <w:p w14:paraId="453C0302" w14:textId="4B2CCD22" w:rsidR="002205C4" w:rsidRPr="004F20A8" w:rsidRDefault="002205C4" w:rsidP="002205C4">
            <w:pPr>
              <w:snapToGrid w:val="0"/>
              <w:jc w:val="both"/>
              <w:rPr>
                <w:sz w:val="18"/>
                <w:szCs w:val="18"/>
              </w:rPr>
            </w:pPr>
            <w:r>
              <w:rPr>
                <w:sz w:val="18"/>
                <w:szCs w:val="18"/>
              </w:rPr>
              <w:t>5-22</w:t>
            </w:r>
          </w:p>
        </w:tc>
        <w:tc>
          <w:tcPr>
            <w:tcW w:w="1522" w:type="pct"/>
          </w:tcPr>
          <w:p w14:paraId="2A4C4CC7" w14:textId="73BAC506" w:rsidR="002205C4" w:rsidRDefault="002205C4" w:rsidP="002205C4">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4C2A3B18" w14:textId="72132461" w:rsidR="002205C4" w:rsidRPr="00021C5B" w:rsidRDefault="002205C4" w:rsidP="002205C4">
            <w:pPr>
              <w:snapToGrid w:val="0"/>
              <w:rPr>
                <w:sz w:val="16"/>
                <w:szCs w:val="16"/>
              </w:rPr>
            </w:pPr>
            <w:r w:rsidRPr="00021C5B">
              <w:rPr>
                <w:sz w:val="16"/>
                <w:szCs w:val="16"/>
              </w:rPr>
              <w:t>[56]</w:t>
            </w:r>
          </w:p>
        </w:tc>
        <w:tc>
          <w:tcPr>
            <w:tcW w:w="545" w:type="pct"/>
          </w:tcPr>
          <w:p w14:paraId="0B29E888" w14:textId="04A757D2"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1CA5098" w14:textId="1EED92E1" w:rsidR="002205C4" w:rsidRPr="00DA4707" w:rsidRDefault="002205C4" w:rsidP="002205C4">
            <w:pPr>
              <w:snapToGrid w:val="0"/>
              <w:jc w:val="both"/>
              <w:rPr>
                <w:sz w:val="18"/>
                <w:szCs w:val="18"/>
              </w:rPr>
            </w:pPr>
          </w:p>
        </w:tc>
      </w:tr>
      <w:tr w:rsidR="002205C4" w:rsidRPr="00DA4707" w14:paraId="5F28C28E" w14:textId="77777777" w:rsidTr="002205C4">
        <w:trPr>
          <w:trHeight w:val="66"/>
        </w:trPr>
        <w:tc>
          <w:tcPr>
            <w:tcW w:w="351" w:type="pct"/>
          </w:tcPr>
          <w:p w14:paraId="15CC7E41" w14:textId="5A3C3B35" w:rsidR="002205C4" w:rsidRPr="004F20A8" w:rsidRDefault="002205C4" w:rsidP="002205C4">
            <w:pPr>
              <w:snapToGrid w:val="0"/>
              <w:jc w:val="both"/>
              <w:rPr>
                <w:sz w:val="18"/>
                <w:szCs w:val="18"/>
              </w:rPr>
            </w:pPr>
            <w:r>
              <w:rPr>
                <w:sz w:val="18"/>
                <w:szCs w:val="18"/>
              </w:rPr>
              <w:t>5-23</w:t>
            </w:r>
          </w:p>
        </w:tc>
        <w:tc>
          <w:tcPr>
            <w:tcW w:w="1522" w:type="pct"/>
          </w:tcPr>
          <w:p w14:paraId="61143AC2" w14:textId="6280F0C4" w:rsidR="002205C4" w:rsidRDefault="002205C4" w:rsidP="002205C4">
            <w:pPr>
              <w:snapToGrid w:val="0"/>
              <w:jc w:val="both"/>
              <w:rPr>
                <w:rFonts w:eastAsia="DengXian"/>
                <w:sz w:val="18"/>
                <w:szCs w:val="18"/>
                <w:lang w:eastAsia="zh-CN"/>
              </w:rPr>
            </w:pPr>
            <w:r>
              <w:rPr>
                <w:rFonts w:eastAsia="DengXian"/>
                <w:sz w:val="18"/>
                <w:szCs w:val="18"/>
                <w:lang w:eastAsia="zh-CN"/>
              </w:rPr>
              <w:t>Beam Specific COT-SI,  CO and SSGS for DCI 2_0</w:t>
            </w:r>
          </w:p>
        </w:tc>
        <w:tc>
          <w:tcPr>
            <w:tcW w:w="663" w:type="pct"/>
          </w:tcPr>
          <w:p w14:paraId="601F18B0" w14:textId="60A304F2" w:rsidR="002205C4" w:rsidRPr="00021C5B" w:rsidRDefault="002205C4" w:rsidP="002205C4">
            <w:pPr>
              <w:snapToGrid w:val="0"/>
              <w:rPr>
                <w:sz w:val="16"/>
                <w:szCs w:val="16"/>
              </w:rPr>
            </w:pPr>
            <w:r w:rsidRPr="00021C5B">
              <w:rPr>
                <w:sz w:val="16"/>
                <w:szCs w:val="16"/>
              </w:rPr>
              <w:t>[56]</w:t>
            </w:r>
            <w:r>
              <w:rPr>
                <w:sz w:val="16"/>
                <w:szCs w:val="16"/>
              </w:rPr>
              <w:t>,</w:t>
            </w:r>
            <w:r w:rsidRPr="00021C5B">
              <w:rPr>
                <w:sz w:val="16"/>
                <w:szCs w:val="16"/>
              </w:rPr>
              <w:t xml:space="preserve"> [57]</w:t>
            </w:r>
            <w:r>
              <w:rPr>
                <w:sz w:val="16"/>
                <w:szCs w:val="16"/>
              </w:rPr>
              <w:t>,</w:t>
            </w:r>
            <w:r w:rsidRPr="00021C5B">
              <w:rPr>
                <w:sz w:val="16"/>
                <w:szCs w:val="16"/>
              </w:rPr>
              <w:t xml:space="preserve"> [59]</w:t>
            </w:r>
            <w:r>
              <w:rPr>
                <w:sz w:val="16"/>
                <w:szCs w:val="16"/>
              </w:rPr>
              <w:t>,</w:t>
            </w:r>
            <w:r w:rsidRPr="00021C5B">
              <w:rPr>
                <w:sz w:val="16"/>
                <w:szCs w:val="16"/>
              </w:rPr>
              <w:t xml:space="preserve"> [62]</w:t>
            </w:r>
            <w:r>
              <w:rPr>
                <w:sz w:val="16"/>
                <w:szCs w:val="16"/>
              </w:rPr>
              <w:t>,</w:t>
            </w:r>
            <w:r w:rsidRPr="00021C5B">
              <w:rPr>
                <w:sz w:val="16"/>
                <w:szCs w:val="16"/>
              </w:rPr>
              <w:t xml:space="preserve"> [64]</w:t>
            </w:r>
            <w:r>
              <w:rPr>
                <w:sz w:val="16"/>
                <w:szCs w:val="16"/>
              </w:rPr>
              <w:t>,</w:t>
            </w:r>
            <w:r w:rsidRPr="00021C5B">
              <w:rPr>
                <w:sz w:val="16"/>
                <w:szCs w:val="16"/>
              </w:rPr>
              <w:t xml:space="preserve"> [66]</w:t>
            </w:r>
            <w:r>
              <w:rPr>
                <w:sz w:val="16"/>
                <w:szCs w:val="16"/>
              </w:rPr>
              <w:t>,</w:t>
            </w:r>
            <w:r w:rsidRPr="00021C5B">
              <w:rPr>
                <w:sz w:val="16"/>
                <w:szCs w:val="16"/>
              </w:rPr>
              <w:t xml:space="preserve"> [68]</w:t>
            </w:r>
          </w:p>
        </w:tc>
        <w:tc>
          <w:tcPr>
            <w:tcW w:w="545" w:type="pct"/>
          </w:tcPr>
          <w:p w14:paraId="24030D94" w14:textId="5CAA1F9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42CA0FD" w14:textId="1B288720" w:rsidR="002205C4" w:rsidRPr="00DA4707" w:rsidRDefault="002205C4" w:rsidP="002205C4">
            <w:pPr>
              <w:snapToGrid w:val="0"/>
              <w:jc w:val="both"/>
              <w:rPr>
                <w:sz w:val="18"/>
                <w:szCs w:val="18"/>
              </w:rPr>
            </w:pPr>
            <w:r>
              <w:rPr>
                <w:sz w:val="18"/>
                <w:szCs w:val="18"/>
              </w:rPr>
              <w:t>Intel: we are OK to conclude it.</w:t>
            </w:r>
          </w:p>
        </w:tc>
      </w:tr>
      <w:tr w:rsidR="002205C4" w:rsidRPr="00DA4707" w14:paraId="05B4C193" w14:textId="77777777" w:rsidTr="002205C4">
        <w:trPr>
          <w:trHeight w:val="66"/>
        </w:trPr>
        <w:tc>
          <w:tcPr>
            <w:tcW w:w="351" w:type="pct"/>
          </w:tcPr>
          <w:p w14:paraId="39BCA7B7" w14:textId="4E2ED45B" w:rsidR="002205C4" w:rsidRPr="004F20A8" w:rsidRDefault="002205C4" w:rsidP="002205C4">
            <w:pPr>
              <w:snapToGrid w:val="0"/>
              <w:jc w:val="both"/>
              <w:rPr>
                <w:sz w:val="18"/>
                <w:szCs w:val="18"/>
              </w:rPr>
            </w:pPr>
            <w:r>
              <w:rPr>
                <w:sz w:val="18"/>
                <w:szCs w:val="18"/>
              </w:rPr>
              <w:t>5-24</w:t>
            </w:r>
          </w:p>
        </w:tc>
        <w:tc>
          <w:tcPr>
            <w:tcW w:w="1522" w:type="pct"/>
          </w:tcPr>
          <w:p w14:paraId="157AE110" w14:textId="75AFC372" w:rsidR="002205C4" w:rsidRDefault="002205C4" w:rsidP="002205C4">
            <w:pPr>
              <w:snapToGrid w:val="0"/>
              <w:jc w:val="both"/>
              <w:rPr>
                <w:rFonts w:eastAsia="DengXian"/>
                <w:sz w:val="18"/>
                <w:szCs w:val="18"/>
                <w:lang w:eastAsia="zh-CN"/>
              </w:rPr>
            </w:pPr>
            <w:r>
              <w:rPr>
                <w:rFonts w:eastAsia="DengXian"/>
                <w:sz w:val="18"/>
                <w:szCs w:val="18"/>
                <w:lang w:eastAsia="zh-CN"/>
              </w:rPr>
              <w:t>RAN2 : Per Beam LBT failure indication under directional LBT</w:t>
            </w:r>
          </w:p>
        </w:tc>
        <w:tc>
          <w:tcPr>
            <w:tcW w:w="663" w:type="pct"/>
          </w:tcPr>
          <w:p w14:paraId="2618E487" w14:textId="60718FE8" w:rsidR="002205C4" w:rsidRPr="00021C5B" w:rsidRDefault="002205C4" w:rsidP="002205C4">
            <w:pPr>
              <w:snapToGrid w:val="0"/>
              <w:rPr>
                <w:sz w:val="16"/>
                <w:szCs w:val="16"/>
              </w:rPr>
            </w:pPr>
            <w:r w:rsidRPr="00021C5B">
              <w:rPr>
                <w:sz w:val="16"/>
                <w:szCs w:val="16"/>
              </w:rPr>
              <w:t>[56]</w:t>
            </w:r>
          </w:p>
        </w:tc>
        <w:tc>
          <w:tcPr>
            <w:tcW w:w="545" w:type="pct"/>
          </w:tcPr>
          <w:p w14:paraId="2403CDFC" w14:textId="44CC5DFE"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1020634" w14:textId="0EBA5F7A" w:rsidR="002205C4" w:rsidRPr="00DA4707" w:rsidRDefault="002205C4" w:rsidP="002205C4">
            <w:pPr>
              <w:snapToGrid w:val="0"/>
              <w:jc w:val="both"/>
              <w:rPr>
                <w:sz w:val="18"/>
                <w:szCs w:val="18"/>
              </w:rPr>
            </w:pPr>
          </w:p>
        </w:tc>
      </w:tr>
      <w:tr w:rsidR="00073713" w:rsidRPr="00DA4707" w14:paraId="71ED2DA7" w14:textId="77777777" w:rsidTr="002205C4">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2205C4">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2205C4">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2205C4">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2205C4">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 xml:space="preserve">Channel access Type determination when UE receives </w:t>
            </w:r>
            <w:r w:rsidR="00320CF9">
              <w:rPr>
                <w:rFonts w:eastAsia="DengXian"/>
                <w:sz w:val="18"/>
                <w:szCs w:val="18"/>
                <w:lang w:eastAsia="zh-CN"/>
              </w:rPr>
              <w:lastRenderedPageBreak/>
              <w:t>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lastRenderedPageBreak/>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BE28EB4" w14:textId="77777777" w:rsidR="00073713" w:rsidRPr="00DA4707" w:rsidRDefault="00073713" w:rsidP="7047CB60">
            <w:pPr>
              <w:snapToGrid w:val="0"/>
              <w:jc w:val="both"/>
              <w:rPr>
                <w:sz w:val="18"/>
                <w:szCs w:val="18"/>
              </w:rPr>
            </w:pPr>
          </w:p>
        </w:tc>
      </w:tr>
      <w:tr w:rsidR="002205C4" w:rsidRPr="00DA4707" w14:paraId="418A2BAA" w14:textId="77777777" w:rsidTr="002205C4">
        <w:trPr>
          <w:trHeight w:val="66"/>
        </w:trPr>
        <w:tc>
          <w:tcPr>
            <w:tcW w:w="351" w:type="pct"/>
          </w:tcPr>
          <w:p w14:paraId="5E684DCB" w14:textId="1E08FC3C" w:rsidR="002205C4" w:rsidRPr="004F20A8" w:rsidRDefault="002205C4" w:rsidP="002205C4">
            <w:pPr>
              <w:snapToGrid w:val="0"/>
              <w:jc w:val="both"/>
              <w:rPr>
                <w:sz w:val="18"/>
                <w:szCs w:val="18"/>
              </w:rPr>
            </w:pPr>
            <w:r>
              <w:rPr>
                <w:sz w:val="18"/>
                <w:szCs w:val="18"/>
              </w:rPr>
              <w:t>5-30</w:t>
            </w:r>
          </w:p>
        </w:tc>
        <w:tc>
          <w:tcPr>
            <w:tcW w:w="1522" w:type="pct"/>
          </w:tcPr>
          <w:p w14:paraId="627D4D7E" w14:textId="13555427" w:rsidR="002205C4" w:rsidRDefault="002205C4" w:rsidP="002205C4">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7C12D86D" w14:textId="31EBD7AE" w:rsidR="002205C4" w:rsidRPr="00021C5B" w:rsidRDefault="002205C4" w:rsidP="002205C4">
            <w:pPr>
              <w:snapToGrid w:val="0"/>
              <w:rPr>
                <w:sz w:val="16"/>
                <w:szCs w:val="16"/>
              </w:rPr>
            </w:pPr>
            <w:r w:rsidRPr="00021C5B">
              <w:rPr>
                <w:sz w:val="16"/>
                <w:szCs w:val="16"/>
              </w:rPr>
              <w:t>[63]</w:t>
            </w:r>
          </w:p>
        </w:tc>
        <w:tc>
          <w:tcPr>
            <w:tcW w:w="545" w:type="pct"/>
          </w:tcPr>
          <w:p w14:paraId="7A05BEE3" w14:textId="6ABE0696"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78FCE1" w14:textId="7D3FAC1A" w:rsidR="002205C4" w:rsidRPr="00DA4707" w:rsidRDefault="002205C4" w:rsidP="002205C4">
            <w:pPr>
              <w:snapToGrid w:val="0"/>
              <w:jc w:val="both"/>
              <w:rPr>
                <w:sz w:val="18"/>
                <w:szCs w:val="18"/>
              </w:rPr>
            </w:pPr>
          </w:p>
        </w:tc>
      </w:tr>
      <w:tr w:rsidR="002205C4" w:rsidRPr="00DA4707" w14:paraId="6900188C" w14:textId="77777777" w:rsidTr="002205C4">
        <w:trPr>
          <w:trHeight w:val="66"/>
        </w:trPr>
        <w:tc>
          <w:tcPr>
            <w:tcW w:w="351" w:type="pct"/>
          </w:tcPr>
          <w:p w14:paraId="68E58515" w14:textId="7B51F7C1" w:rsidR="002205C4" w:rsidRPr="004F20A8" w:rsidRDefault="002205C4" w:rsidP="002205C4">
            <w:pPr>
              <w:snapToGrid w:val="0"/>
              <w:jc w:val="both"/>
              <w:rPr>
                <w:sz w:val="18"/>
                <w:szCs w:val="18"/>
              </w:rPr>
            </w:pPr>
            <w:r>
              <w:rPr>
                <w:sz w:val="18"/>
                <w:szCs w:val="18"/>
              </w:rPr>
              <w:t>5-31</w:t>
            </w:r>
          </w:p>
        </w:tc>
        <w:tc>
          <w:tcPr>
            <w:tcW w:w="1522" w:type="pct"/>
          </w:tcPr>
          <w:p w14:paraId="482F5CD5" w14:textId="55EF52D2" w:rsidR="002205C4" w:rsidRDefault="002205C4" w:rsidP="002205C4">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5C0927ED" w14:textId="07C1D3ED" w:rsidR="002205C4" w:rsidRPr="00021C5B" w:rsidRDefault="002205C4" w:rsidP="002205C4">
            <w:pPr>
              <w:snapToGrid w:val="0"/>
              <w:rPr>
                <w:sz w:val="16"/>
                <w:szCs w:val="16"/>
              </w:rPr>
            </w:pPr>
            <w:r w:rsidRPr="00021C5B">
              <w:rPr>
                <w:sz w:val="16"/>
                <w:szCs w:val="16"/>
              </w:rPr>
              <w:t>[63]</w:t>
            </w:r>
          </w:p>
        </w:tc>
        <w:tc>
          <w:tcPr>
            <w:tcW w:w="545" w:type="pct"/>
          </w:tcPr>
          <w:p w14:paraId="664D930D" w14:textId="6430D24B"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0F3F66" w14:textId="6C69C714" w:rsidR="002205C4" w:rsidRPr="00DA4707" w:rsidRDefault="002205C4" w:rsidP="002205C4">
            <w:pPr>
              <w:snapToGrid w:val="0"/>
              <w:jc w:val="both"/>
              <w:rPr>
                <w:sz w:val="18"/>
                <w:szCs w:val="18"/>
              </w:rPr>
            </w:pPr>
            <w:r>
              <w:rPr>
                <w:sz w:val="18"/>
                <w:szCs w:val="18"/>
              </w:rPr>
              <w:t>Intel See comments on 5-11, so generally our view is that this issue should be still discussed.</w:t>
            </w:r>
          </w:p>
        </w:tc>
      </w:tr>
      <w:tr w:rsidR="002205C4" w:rsidRPr="00DA4707" w14:paraId="230BFBF6" w14:textId="77777777" w:rsidTr="002205C4">
        <w:trPr>
          <w:trHeight w:val="66"/>
        </w:trPr>
        <w:tc>
          <w:tcPr>
            <w:tcW w:w="351" w:type="pct"/>
          </w:tcPr>
          <w:p w14:paraId="43BAB3A9" w14:textId="58F6E5DE" w:rsidR="002205C4" w:rsidRPr="004F20A8" w:rsidRDefault="002205C4" w:rsidP="002205C4">
            <w:pPr>
              <w:snapToGrid w:val="0"/>
              <w:jc w:val="both"/>
              <w:rPr>
                <w:sz w:val="18"/>
                <w:szCs w:val="18"/>
              </w:rPr>
            </w:pPr>
            <w:r>
              <w:rPr>
                <w:sz w:val="18"/>
                <w:szCs w:val="18"/>
              </w:rPr>
              <w:t>5-32</w:t>
            </w:r>
          </w:p>
        </w:tc>
        <w:tc>
          <w:tcPr>
            <w:tcW w:w="1522" w:type="pct"/>
          </w:tcPr>
          <w:p w14:paraId="6C8B3D73" w14:textId="53F3E19C" w:rsidR="002205C4" w:rsidRDefault="002205C4" w:rsidP="002205C4">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34C14390" w14:textId="365576F8" w:rsidR="002205C4" w:rsidRPr="00021C5B" w:rsidRDefault="002205C4" w:rsidP="002205C4">
            <w:pPr>
              <w:snapToGrid w:val="0"/>
              <w:rPr>
                <w:sz w:val="16"/>
                <w:szCs w:val="16"/>
              </w:rPr>
            </w:pPr>
            <w:r w:rsidRPr="00021C5B">
              <w:rPr>
                <w:sz w:val="16"/>
                <w:szCs w:val="16"/>
              </w:rPr>
              <w:t>[63]</w:t>
            </w:r>
          </w:p>
        </w:tc>
        <w:tc>
          <w:tcPr>
            <w:tcW w:w="545" w:type="pct"/>
          </w:tcPr>
          <w:p w14:paraId="7549BC9B" w14:textId="07EB1399"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D58996" w14:textId="310739C3" w:rsidR="002205C4" w:rsidRPr="00DA4707" w:rsidRDefault="002205C4" w:rsidP="002205C4">
            <w:pPr>
              <w:snapToGrid w:val="0"/>
              <w:jc w:val="both"/>
              <w:rPr>
                <w:sz w:val="18"/>
                <w:szCs w:val="18"/>
              </w:rPr>
            </w:pPr>
          </w:p>
        </w:tc>
      </w:tr>
      <w:tr w:rsidR="00731ACB" w:rsidRPr="00DA4707" w14:paraId="59F954FF" w14:textId="77777777" w:rsidTr="002205C4">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w:t>
            </w:r>
            <w:proofErr w:type="spellStart"/>
            <w:r w:rsidR="00AC4F00">
              <w:rPr>
                <w:rFonts w:eastAsia="DengXian"/>
                <w:sz w:val="18"/>
                <w:szCs w:val="18"/>
                <w:lang w:eastAsia="zh-CN"/>
              </w:rPr>
              <w:t>beamCorrespondenceWithoutUL-BeamSweeping</w:t>
            </w:r>
            <w:proofErr w:type="spellEnd"/>
            <w:r w:rsidR="00AC4F00">
              <w:rPr>
                <w:rFonts w:eastAsia="DengXian"/>
                <w:sz w:val="18"/>
                <w:szCs w:val="18"/>
                <w:lang w:eastAsia="zh-CN"/>
              </w:rPr>
              <w:t xml:space="preserve">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2205C4">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4160330" w14:textId="77777777" w:rsidR="00C60971" w:rsidRPr="00DA4707" w:rsidRDefault="00C60971" w:rsidP="00953E2B">
            <w:pPr>
              <w:snapToGrid w:val="0"/>
              <w:jc w:val="both"/>
              <w:rPr>
                <w:sz w:val="18"/>
                <w:szCs w:val="18"/>
              </w:rPr>
            </w:pPr>
          </w:p>
        </w:tc>
      </w:tr>
      <w:tr w:rsidR="002205C4" w:rsidRPr="00DA4707" w14:paraId="537FEF76" w14:textId="77777777" w:rsidTr="002205C4">
        <w:trPr>
          <w:trHeight w:val="66"/>
        </w:trPr>
        <w:tc>
          <w:tcPr>
            <w:tcW w:w="351" w:type="pct"/>
          </w:tcPr>
          <w:p w14:paraId="0D811D77" w14:textId="015300DF" w:rsidR="002205C4" w:rsidRPr="002205C4" w:rsidRDefault="002205C4" w:rsidP="002205C4">
            <w:pPr>
              <w:snapToGrid w:val="0"/>
              <w:jc w:val="both"/>
              <w:rPr>
                <w:color w:val="0070C0"/>
                <w:sz w:val="18"/>
                <w:szCs w:val="18"/>
                <w:u w:val="single"/>
              </w:rPr>
            </w:pPr>
            <w:r w:rsidRPr="002205C4">
              <w:rPr>
                <w:color w:val="0070C0"/>
                <w:sz w:val="18"/>
                <w:szCs w:val="18"/>
                <w:u w:val="single"/>
              </w:rPr>
              <w:t>5-35</w:t>
            </w:r>
          </w:p>
        </w:tc>
        <w:tc>
          <w:tcPr>
            <w:tcW w:w="1522" w:type="pct"/>
          </w:tcPr>
          <w:p w14:paraId="2D5409FD" w14:textId="68552DD8" w:rsidR="002205C4" w:rsidRPr="002205C4" w:rsidRDefault="002205C4" w:rsidP="002205C4">
            <w:pPr>
              <w:snapToGrid w:val="0"/>
              <w:jc w:val="both"/>
              <w:rPr>
                <w:rFonts w:eastAsia="DengXian"/>
                <w:color w:val="0070C0"/>
                <w:sz w:val="18"/>
                <w:szCs w:val="18"/>
                <w:u w:val="single"/>
                <w:lang w:eastAsia="zh-CN"/>
              </w:rPr>
            </w:pPr>
            <w:r w:rsidRPr="002205C4">
              <w:rPr>
                <w:rFonts w:eastAsia="DengXian"/>
                <w:color w:val="0070C0"/>
                <w:sz w:val="18"/>
                <w:szCs w:val="18"/>
                <w:u w:val="single"/>
                <w:lang w:eastAsia="zh-CN"/>
              </w:rPr>
              <w:t>Misc. editorials of 37.213 from [73]</w:t>
            </w:r>
          </w:p>
        </w:tc>
        <w:tc>
          <w:tcPr>
            <w:tcW w:w="663" w:type="pct"/>
          </w:tcPr>
          <w:p w14:paraId="0C100BC0" w14:textId="26CCB893" w:rsidR="002205C4" w:rsidRPr="002205C4" w:rsidRDefault="002205C4" w:rsidP="002205C4">
            <w:pPr>
              <w:snapToGrid w:val="0"/>
              <w:rPr>
                <w:color w:val="0070C0"/>
                <w:sz w:val="16"/>
                <w:szCs w:val="16"/>
                <w:u w:val="single"/>
              </w:rPr>
            </w:pPr>
            <w:r w:rsidRPr="002205C4">
              <w:rPr>
                <w:color w:val="0070C0"/>
                <w:sz w:val="16"/>
                <w:szCs w:val="16"/>
                <w:u w:val="single"/>
              </w:rPr>
              <w:t>[73]</w:t>
            </w:r>
          </w:p>
        </w:tc>
        <w:tc>
          <w:tcPr>
            <w:tcW w:w="545" w:type="pct"/>
          </w:tcPr>
          <w:p w14:paraId="5E9F7A3F" w14:textId="6C02633D" w:rsidR="002205C4" w:rsidRPr="002205C4" w:rsidRDefault="00462ED5" w:rsidP="002205C4">
            <w:pPr>
              <w:snapToGrid w:val="0"/>
              <w:jc w:val="both"/>
              <w:rPr>
                <w:rFonts w:eastAsia="DengXian"/>
                <w:color w:val="0070C0"/>
                <w:sz w:val="20"/>
                <w:szCs w:val="20"/>
                <w:u w:val="single"/>
                <w:lang w:eastAsia="zh-CN"/>
              </w:rPr>
            </w:pPr>
            <w:r>
              <w:rPr>
                <w:rFonts w:eastAsia="DengXian"/>
                <w:color w:val="0070C0"/>
                <w:sz w:val="20"/>
                <w:szCs w:val="20"/>
                <w:u w:val="single"/>
                <w:lang w:eastAsia="zh-CN"/>
              </w:rPr>
              <w:t>E</w:t>
            </w:r>
          </w:p>
        </w:tc>
        <w:tc>
          <w:tcPr>
            <w:tcW w:w="1919" w:type="pct"/>
          </w:tcPr>
          <w:p w14:paraId="2721B741" w14:textId="5F027D92" w:rsidR="002205C4" w:rsidRPr="002205C4" w:rsidRDefault="002205C4" w:rsidP="002205C4">
            <w:pPr>
              <w:snapToGrid w:val="0"/>
              <w:jc w:val="both"/>
              <w:rPr>
                <w:color w:val="0070C0"/>
                <w:sz w:val="18"/>
                <w:szCs w:val="18"/>
                <w:u w:val="single"/>
              </w:rPr>
            </w:pPr>
            <w:r w:rsidRPr="002205C4">
              <w:rPr>
                <w:color w:val="0070C0"/>
                <w:sz w:val="18"/>
                <w:szCs w:val="18"/>
                <w:u w:val="single"/>
              </w:rPr>
              <w:t>Intel: Since our proposal 12 was missing, we added it here, and would be good to capture it as editorial.</w:t>
            </w: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Heading2"/>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5.55pt" o:ole="">
                  <v:imagedata r:id="rId12" o:title=""/>
                </v:shape>
                <o:OLEObject Type="Embed" ProgID="Equation.3" ShapeID="_x0000_i1025" DrawAspect="Content" ObjectID="_1712574170" r:id="rId13"/>
              </w:object>
            </w:r>
            <w:r>
              <w:rPr>
                <w:lang w:eastAsia="zh-CN"/>
              </w:rPr>
              <w:t xml:space="preserve">, </w:t>
            </w:r>
            <w:r>
              <w:rPr>
                <w:position w:val="-10"/>
              </w:rPr>
              <w:object w:dxaOrig="765" w:dyaOrig="315" w14:anchorId="3C1C7DB9">
                <v:shape id="_x0000_i1026" type="#_x0000_t75" style="width:38pt;height:15.55pt" o:ole="">
                  <v:imagedata r:id="rId14" o:title=""/>
                </v:shape>
                <o:OLEObject Type="Embed" ProgID="Equation.3" ShapeID="_x0000_i1026" DrawAspect="Content" ObjectID="_1712574171"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proofErr w:type="spellStart"/>
            <w:r>
              <w:rPr>
                <w:rFonts w:eastAsia="SimSun"/>
                <w:i/>
                <w:sz w:val="20"/>
                <w:szCs w:val="20"/>
                <w:lang w:val="en-GB" w:eastAsia="en-US"/>
              </w:rPr>
              <w:lastRenderedPageBreak/>
              <w:t>nrofSymbols</w:t>
            </w:r>
            <w:proofErr w:type="spellEnd"/>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proofErr w:type="spellStart"/>
            <w:r>
              <w:rPr>
                <w:rFonts w:eastAsia="SimSun"/>
                <w:i/>
                <w:sz w:val="20"/>
                <w:szCs w:val="20"/>
                <w:lang w:val="en-GB" w:eastAsia="en-US"/>
              </w:rPr>
              <w:t>occ</w:t>
            </w:r>
            <w:proofErr w:type="spellEnd"/>
            <w:r>
              <w:rPr>
                <w:rFonts w:eastAsia="SimSun"/>
                <w:i/>
                <w:sz w:val="20"/>
                <w:szCs w:val="20"/>
                <w:lang w:val="en-GB" w:eastAsia="en-US"/>
              </w:rPr>
              <w:t>-Length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proofErr w:type="spellStart"/>
            <w:r>
              <w:rPr>
                <w:rFonts w:eastAsia="SimSun"/>
                <w:i/>
                <w:sz w:val="20"/>
                <w:szCs w:val="20"/>
                <w:lang w:val="en-GB" w:eastAsia="en-US"/>
              </w:rPr>
              <w:t>occ</w:t>
            </w:r>
            <w:proofErr w:type="spellEnd"/>
            <w:r>
              <w:rPr>
                <w:rFonts w:eastAsia="SimSun"/>
                <w:i/>
                <w:sz w:val="20"/>
                <w:szCs w:val="20"/>
                <w:lang w:val="en-GB" w:eastAsia="en-US"/>
              </w:rPr>
              <w:t>-Index</w:t>
            </w:r>
            <w:r>
              <w:rPr>
                <w:rFonts w:eastAsia="SimSun"/>
                <w:sz w:val="20"/>
                <w:szCs w:val="20"/>
                <w:lang w:eastAsia="en-US"/>
              </w:rPr>
              <w:t xml:space="preserve">, and a first symbol for the PUCCH transmission provided by </w:t>
            </w:r>
            <w:proofErr w:type="spellStart"/>
            <w:r>
              <w:rPr>
                <w:rFonts w:eastAsia="SimSun"/>
                <w:i/>
                <w:sz w:val="20"/>
                <w:szCs w:val="20"/>
                <w:lang w:val="en-GB" w:eastAsia="en-US"/>
              </w:rPr>
              <w:t>startingSymbolIndex</w:t>
            </w:r>
            <w:proofErr w:type="spellEnd"/>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proofErr w:type="spellStart"/>
            <w:r>
              <w:rPr>
                <w:rFonts w:eastAsia="SimSun"/>
                <w:i/>
                <w:sz w:val="20"/>
                <w:szCs w:val="20"/>
                <w:highlight w:val="yellow"/>
                <w:lang w:val="en-GB" w:eastAsia="en-US"/>
              </w:rPr>
              <w:t>nrofPRBs</w:t>
            </w:r>
            <w:proofErr w:type="spellEnd"/>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lastRenderedPageBreak/>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TableGrid"/>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C2F3C13" w:rsidR="00031729" w:rsidRPr="00DA4707" w:rsidRDefault="00FC4EA9" w:rsidP="00031729">
            <w:pPr>
              <w:snapToGrid w:val="0"/>
              <w:jc w:val="both"/>
              <w:rPr>
                <w:sz w:val="18"/>
                <w:szCs w:val="18"/>
              </w:rPr>
            </w:pPr>
            <w:r>
              <w:rPr>
                <w:sz w:val="18"/>
                <w:szCs w:val="18"/>
              </w:rPr>
              <w:t>Qualcomm: We believe this is not essential. The current spec is clear already</w:t>
            </w: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437E6D54" w:rsidR="00031729" w:rsidRPr="00DA4707" w:rsidRDefault="00FC4EA9" w:rsidP="00031729">
            <w:pPr>
              <w:snapToGrid w:val="0"/>
              <w:jc w:val="both"/>
              <w:rPr>
                <w:sz w:val="18"/>
                <w:szCs w:val="18"/>
              </w:rPr>
            </w:pPr>
            <w:r>
              <w:rPr>
                <w:sz w:val="18"/>
                <w:szCs w:val="18"/>
              </w:rPr>
              <w:t>Qualcomm: Prefer to wait for RAN4 response</w:t>
            </w: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Heading2"/>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56FC1F78" w14:textId="236A83B2" w:rsidR="00A9527A" w:rsidRPr="00A9527A" w:rsidRDefault="00A9527A" w:rsidP="00A9527A">
      <w:pPr>
        <w:rPr>
          <w:sz w:val="20"/>
          <w:szCs w:val="20"/>
        </w:rPr>
      </w:pPr>
      <w:r>
        <w:rPr>
          <w:sz w:val="20"/>
          <w:szCs w:val="20"/>
        </w:rPr>
        <w:lastRenderedPageBreak/>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proofErr w:type="spellStart"/>
      <w:r w:rsidRPr="00A9527A">
        <w:rPr>
          <w:sz w:val="20"/>
          <w:szCs w:val="20"/>
        </w:rPr>
        <w:t>InterDigital</w:t>
      </w:r>
      <w:proofErr w:type="spellEnd"/>
      <w:r w:rsidRPr="00A9527A">
        <w:rPr>
          <w:sz w:val="20"/>
          <w:szCs w:val="20"/>
        </w:rPr>
        <w:t>,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proofErr w:type="spellStart"/>
      <w:r w:rsidRPr="00A9527A">
        <w:rPr>
          <w:sz w:val="20"/>
          <w:szCs w:val="20"/>
        </w:rPr>
        <w:t>InterDigital</w:t>
      </w:r>
      <w:proofErr w:type="spellEnd"/>
      <w:r w:rsidRPr="00A9527A">
        <w:rPr>
          <w:sz w:val="20"/>
          <w:szCs w:val="20"/>
        </w:rPr>
        <w:t>,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proofErr w:type="spellStart"/>
      <w:r w:rsidRPr="00A9527A">
        <w:rPr>
          <w:sz w:val="20"/>
          <w:szCs w:val="20"/>
        </w:rPr>
        <w:t>Transsion</w:t>
      </w:r>
      <w:proofErr w:type="spellEnd"/>
      <w:r w:rsidRPr="00A9527A">
        <w:rPr>
          <w:sz w:val="20"/>
          <w:szCs w:val="20"/>
        </w:rPr>
        <w:t xml:space="preserve">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proofErr w:type="spellStart"/>
      <w:r w:rsidRPr="00A9527A">
        <w:rPr>
          <w:sz w:val="20"/>
          <w:szCs w:val="20"/>
        </w:rPr>
        <w:t>InterDigital</w:t>
      </w:r>
      <w:proofErr w:type="spellEnd"/>
      <w:r w:rsidRPr="00A9527A">
        <w:rPr>
          <w:sz w:val="20"/>
          <w:szCs w:val="20"/>
        </w:rPr>
        <w:t>,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proofErr w:type="spellStart"/>
      <w:r w:rsidRPr="00A9527A">
        <w:rPr>
          <w:sz w:val="20"/>
          <w:szCs w:val="20"/>
        </w:rPr>
        <w:t>xiaomi</w:t>
      </w:r>
      <w:proofErr w:type="spellEnd"/>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proofErr w:type="spellStart"/>
      <w:r w:rsidRPr="00A9527A">
        <w:rPr>
          <w:sz w:val="20"/>
          <w:szCs w:val="20"/>
        </w:rPr>
        <w:t>ASUSTeK</w:t>
      </w:r>
      <w:proofErr w:type="spellEnd"/>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proofErr w:type="spellStart"/>
      <w:r w:rsidRPr="00A9527A">
        <w:rPr>
          <w:sz w:val="20"/>
          <w:szCs w:val="20"/>
        </w:rPr>
        <w:t>InterDigital</w:t>
      </w:r>
      <w:proofErr w:type="spellEnd"/>
      <w:r w:rsidRPr="00A9527A">
        <w:rPr>
          <w:sz w:val="20"/>
          <w:szCs w:val="20"/>
        </w:rPr>
        <w:t>,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proofErr w:type="spellStart"/>
      <w:r w:rsidRPr="00A9527A">
        <w:rPr>
          <w:sz w:val="20"/>
          <w:szCs w:val="20"/>
        </w:rPr>
        <w:t>xiaomi</w:t>
      </w:r>
      <w:proofErr w:type="spellEnd"/>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proofErr w:type="spellStart"/>
      <w:r w:rsidRPr="00A9527A">
        <w:rPr>
          <w:sz w:val="20"/>
          <w:szCs w:val="20"/>
        </w:rPr>
        <w:t>Transsion</w:t>
      </w:r>
      <w:proofErr w:type="spellEnd"/>
      <w:r w:rsidRPr="00A9527A">
        <w:rPr>
          <w:sz w:val="20"/>
          <w:szCs w:val="20"/>
        </w:rPr>
        <w:t xml:space="preserve">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proofErr w:type="spellStart"/>
      <w:r w:rsidRPr="00A9527A">
        <w:rPr>
          <w:sz w:val="20"/>
          <w:szCs w:val="20"/>
        </w:rPr>
        <w:t>ASUSTeK</w:t>
      </w:r>
      <w:proofErr w:type="spellEnd"/>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proofErr w:type="spellStart"/>
      <w:r w:rsidRPr="00A9527A">
        <w:rPr>
          <w:sz w:val="20"/>
          <w:szCs w:val="20"/>
        </w:rPr>
        <w:t>InterDigital</w:t>
      </w:r>
      <w:proofErr w:type="spellEnd"/>
      <w:r w:rsidRPr="00A9527A">
        <w:rPr>
          <w:sz w:val="20"/>
          <w:szCs w:val="20"/>
        </w:rPr>
        <w:t>,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BC24" w14:textId="77777777" w:rsidR="009C30FD" w:rsidRDefault="009C30FD" w:rsidP="00FE429F">
      <w:r>
        <w:separator/>
      </w:r>
    </w:p>
  </w:endnote>
  <w:endnote w:type="continuationSeparator" w:id="0">
    <w:p w14:paraId="250C05BE" w14:textId="77777777" w:rsidR="009C30FD" w:rsidRDefault="009C30FD" w:rsidP="00FE429F">
      <w:r>
        <w:continuationSeparator/>
      </w:r>
    </w:p>
  </w:endnote>
  <w:endnote w:type="continuationNotice" w:id="1">
    <w:p w14:paraId="4A196281" w14:textId="77777777" w:rsidR="009C30FD" w:rsidRDefault="009C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0A56" w14:textId="77777777" w:rsidR="009C30FD" w:rsidRDefault="009C30FD" w:rsidP="00FE429F">
      <w:r>
        <w:separator/>
      </w:r>
    </w:p>
  </w:footnote>
  <w:footnote w:type="continuationSeparator" w:id="0">
    <w:p w14:paraId="48692A77" w14:textId="77777777" w:rsidR="009C30FD" w:rsidRDefault="009C30FD" w:rsidP="00FE429F">
      <w:r>
        <w:continuationSeparator/>
      </w:r>
    </w:p>
  </w:footnote>
  <w:footnote w:type="continuationNotice" w:id="1">
    <w:p w14:paraId="5A2755AA" w14:textId="77777777" w:rsidR="009C30FD" w:rsidRDefault="009C3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8"/>
  </w:num>
  <w:num w:numId="8">
    <w:abstractNumId w:val="24"/>
  </w:num>
  <w:num w:numId="9">
    <w:abstractNumId w:val="10"/>
  </w:num>
  <w:num w:numId="10">
    <w:abstractNumId w:val="7"/>
  </w:num>
  <w:num w:numId="11">
    <w:abstractNumId w:val="28"/>
  </w:num>
  <w:num w:numId="12">
    <w:abstractNumId w:val="26"/>
  </w:num>
  <w:num w:numId="13">
    <w:abstractNumId w:val="8"/>
  </w:num>
  <w:num w:numId="14">
    <w:abstractNumId w:val="44"/>
  </w:num>
  <w:num w:numId="15">
    <w:abstractNumId w:val="31"/>
  </w:num>
  <w:num w:numId="16">
    <w:abstractNumId w:val="6"/>
  </w:num>
  <w:num w:numId="17">
    <w:abstractNumId w:val="4"/>
  </w:num>
  <w:num w:numId="18">
    <w:abstractNumId w:val="36"/>
  </w:num>
  <w:num w:numId="19">
    <w:abstractNumId w:val="33"/>
  </w:num>
  <w:num w:numId="20">
    <w:abstractNumId w:val="42"/>
  </w:num>
  <w:num w:numId="21">
    <w:abstractNumId w:val="15"/>
  </w:num>
  <w:num w:numId="22">
    <w:abstractNumId w:val="0"/>
  </w:num>
  <w:num w:numId="23">
    <w:abstractNumId w:val="32"/>
  </w:num>
  <w:num w:numId="24">
    <w:abstractNumId w:val="45"/>
  </w:num>
  <w:num w:numId="25">
    <w:abstractNumId w:val="20"/>
  </w:num>
  <w:num w:numId="26">
    <w:abstractNumId w:val="25"/>
  </w:num>
  <w:num w:numId="27">
    <w:abstractNumId w:val="22"/>
  </w:num>
  <w:num w:numId="28">
    <w:abstractNumId w:val="21"/>
  </w:num>
  <w:num w:numId="29">
    <w:abstractNumId w:val="14"/>
  </w:num>
  <w:num w:numId="30">
    <w:abstractNumId w:val="5"/>
  </w:num>
  <w:num w:numId="31">
    <w:abstractNumId w:val="46"/>
  </w:num>
  <w:num w:numId="32">
    <w:abstractNumId w:val="40"/>
  </w:num>
  <w:num w:numId="33">
    <w:abstractNumId w:val="9"/>
  </w:num>
  <w:num w:numId="34">
    <w:abstractNumId w:val="48"/>
  </w:num>
  <w:num w:numId="35">
    <w:abstractNumId w:val="18"/>
  </w:num>
  <w:num w:numId="36">
    <w:abstractNumId w:val="41"/>
  </w:num>
  <w:num w:numId="37">
    <w:abstractNumId w:val="12"/>
  </w:num>
  <w:num w:numId="38">
    <w:abstractNumId w:val="37"/>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3"/>
  </w:num>
  <w:num w:numId="45">
    <w:abstractNumId w:val="19"/>
  </w:num>
  <w:num w:numId="46">
    <w:abstractNumId w:val="29"/>
  </w:num>
  <w:num w:numId="47">
    <w:abstractNumId w:val="39"/>
  </w:num>
  <w:num w:numId="48">
    <w:abstractNumId w:val="27"/>
  </w:num>
  <w:num w:numId="49">
    <w:abstractNumId w:val="30"/>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8089961-1010-4C1C-9361-0C0D43F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4"/>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5"/>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7"/>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8"/>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0"/>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
    <w:name w:val="Grid Table 4 - Accent 510"/>
    <w:basedOn w:val="TableNormal"/>
    <w:next w:val="GridTable4-Accent511"/>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TableNormal"/>
    <w:next w:val="GridTable4-Accent51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TableNormal"/>
    <w:next w:val="GridTable4-Accent51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TableNormal"/>
    <w:next w:val="GridTable4-Accent51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A5992-CFED-4DD4-B427-41E6AFD4EC79}">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5.xml><?xml version="1.0" encoding="utf-8"?>
<ds:datastoreItem xmlns:ds="http://schemas.openxmlformats.org/officeDocument/2006/customXml" ds:itemID="{82A086BD-EFDF-4542-8D55-C8453701E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3761</Words>
  <Characters>21438</Characters>
  <Application>Microsoft Office Word</Application>
  <DocSecurity>0</DocSecurity>
  <Lines>178</Lines>
  <Paragraphs>50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Samsung Research America Inc</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Jing Sun</cp:lastModifiedBy>
  <cp:revision>11</cp:revision>
  <dcterms:created xsi:type="dcterms:W3CDTF">2022-04-27T17:29:00Z</dcterms:created>
  <dcterms:modified xsi:type="dcterms:W3CDTF">2022-04-27T21:13:00Z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