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896994" w14:textId="77777777" w:rsidR="006303A1" w:rsidRDefault="00A53935">
      <w:pPr>
        <w:tabs>
          <w:tab w:val="center" w:pos="4536"/>
          <w:tab w:val="right" w:pos="8280"/>
          <w:tab w:val="right" w:pos="9639"/>
        </w:tabs>
        <w:snapToGrid w:val="0"/>
        <w:spacing w:after="0" w:line="288" w:lineRule="auto"/>
        <w:ind w:right="2"/>
        <w:rPr>
          <w:rFonts w:ascii="Arial" w:hAnsi="Arial" w:cs="Arial"/>
          <w:b/>
          <w:bCs/>
          <w:sz w:val="22"/>
          <w:szCs w:val="22"/>
          <w:lang w:eastAsia="zh-CN"/>
        </w:rPr>
      </w:pPr>
      <w:r>
        <w:rPr>
          <w:rFonts w:ascii="Arial" w:hAnsi="Arial" w:cs="Arial"/>
          <w:b/>
          <w:bCs/>
          <w:sz w:val="22"/>
          <w:szCs w:val="22"/>
          <w:lang w:val="de-DE"/>
        </w:rPr>
        <w:t>3GPP TSG RAN WG1 #109-e</w:t>
      </w:r>
      <w:r>
        <w:rPr>
          <w:rFonts w:ascii="Arial" w:hAnsi="Arial" w:cs="Arial"/>
          <w:b/>
          <w:bCs/>
          <w:sz w:val="22"/>
          <w:szCs w:val="22"/>
          <w:lang w:val="de-DE"/>
        </w:rPr>
        <w:tab/>
      </w:r>
      <w:r>
        <w:rPr>
          <w:rFonts w:ascii="Arial" w:hAnsi="Arial" w:cs="Arial"/>
          <w:b/>
          <w:bCs/>
          <w:sz w:val="22"/>
          <w:szCs w:val="22"/>
          <w:lang w:val="de-DE"/>
        </w:rPr>
        <w:tab/>
      </w:r>
      <w:r>
        <w:rPr>
          <w:rFonts w:ascii="Arial" w:hAnsi="Arial" w:cs="Arial"/>
          <w:b/>
          <w:bCs/>
          <w:sz w:val="22"/>
          <w:szCs w:val="22"/>
          <w:lang w:val="de-DE"/>
        </w:rPr>
        <w:tab/>
        <w:t>R1-</w:t>
      </w:r>
      <w:r>
        <w:rPr>
          <w:rFonts w:ascii="Arial" w:hAnsi="Arial" w:cs="Arial" w:hint="eastAsia"/>
          <w:b/>
          <w:bCs/>
          <w:sz w:val="22"/>
          <w:szCs w:val="22"/>
          <w:lang w:val="de-DE"/>
        </w:rPr>
        <w:t>2205316</w:t>
      </w:r>
    </w:p>
    <w:p w14:paraId="11A441D0" w14:textId="77777777" w:rsidR="006303A1" w:rsidRDefault="00A53935">
      <w:pPr>
        <w:tabs>
          <w:tab w:val="center" w:pos="4536"/>
          <w:tab w:val="right" w:pos="9072"/>
        </w:tabs>
        <w:snapToGrid w:val="0"/>
        <w:spacing w:after="0" w:line="288" w:lineRule="auto"/>
        <w:rPr>
          <w:sz w:val="22"/>
          <w:szCs w:val="22"/>
        </w:rPr>
      </w:pPr>
      <w:r>
        <w:rPr>
          <w:rFonts w:ascii="Arial" w:eastAsia="MS Mincho" w:hAnsi="Arial" w:cs="Arial"/>
          <w:b/>
          <w:bCs/>
          <w:sz w:val="22"/>
          <w:szCs w:val="22"/>
          <w:lang w:eastAsia="ja-JP"/>
        </w:rPr>
        <w:t>e-Meeting, May 9</w:t>
      </w:r>
      <w:r>
        <w:rPr>
          <w:rFonts w:ascii="Arial" w:eastAsia="MS Mincho" w:hAnsi="Arial" w:cs="Arial"/>
          <w:b/>
          <w:bCs/>
          <w:sz w:val="22"/>
          <w:szCs w:val="22"/>
          <w:vertAlign w:val="superscript"/>
          <w:lang w:eastAsia="ja-JP"/>
        </w:rPr>
        <w:t>th</w:t>
      </w:r>
      <w:r>
        <w:rPr>
          <w:rFonts w:ascii="Arial" w:eastAsia="MS Mincho" w:hAnsi="Arial" w:cs="Arial"/>
          <w:b/>
          <w:bCs/>
          <w:sz w:val="22"/>
          <w:szCs w:val="22"/>
          <w:lang w:eastAsia="ja-JP"/>
        </w:rPr>
        <w:t xml:space="preserve"> –  20</w:t>
      </w:r>
      <w:r>
        <w:rPr>
          <w:rFonts w:ascii="Arial" w:eastAsia="MS Mincho" w:hAnsi="Arial" w:cs="Arial"/>
          <w:b/>
          <w:bCs/>
          <w:sz w:val="22"/>
          <w:szCs w:val="22"/>
          <w:vertAlign w:val="superscript"/>
          <w:lang w:eastAsia="ja-JP"/>
        </w:rPr>
        <w:t>th</w:t>
      </w:r>
      <w:r>
        <w:rPr>
          <w:rFonts w:ascii="Arial" w:eastAsia="MS Mincho" w:hAnsi="Arial" w:cs="Arial"/>
          <w:b/>
          <w:bCs/>
          <w:sz w:val="22"/>
          <w:szCs w:val="22"/>
          <w:lang w:eastAsia="ja-JP"/>
        </w:rPr>
        <w:t xml:space="preserve">, 2022 </w:t>
      </w:r>
    </w:p>
    <w:p w14:paraId="657D8387" w14:textId="77777777" w:rsidR="006303A1" w:rsidRDefault="006303A1">
      <w:pPr>
        <w:tabs>
          <w:tab w:val="center" w:pos="4536"/>
          <w:tab w:val="right" w:pos="9072"/>
        </w:tabs>
        <w:snapToGrid w:val="0"/>
        <w:spacing w:after="0" w:line="288" w:lineRule="auto"/>
        <w:rPr>
          <w:rFonts w:ascii="Arial" w:hAnsi="Arial" w:cs="Arial"/>
          <w:b/>
          <w:bCs/>
          <w:sz w:val="22"/>
          <w:szCs w:val="22"/>
        </w:rPr>
      </w:pPr>
    </w:p>
    <w:p w14:paraId="1B2BD060" w14:textId="77777777" w:rsidR="006303A1" w:rsidRDefault="00A53935">
      <w:pPr>
        <w:tabs>
          <w:tab w:val="left" w:pos="1985"/>
        </w:tabs>
        <w:snapToGrid w:val="0"/>
        <w:spacing w:after="0" w:line="288" w:lineRule="auto"/>
        <w:ind w:left="1872" w:hanging="1872"/>
        <w:rPr>
          <w:b/>
          <w:sz w:val="22"/>
          <w:szCs w:val="22"/>
          <w:lang w:eastAsia="zh-CN"/>
        </w:rPr>
      </w:pPr>
      <w:r>
        <w:rPr>
          <w:rFonts w:ascii="Arial" w:hAnsi="Arial" w:cs="Arial"/>
          <w:b/>
          <w:sz w:val="22"/>
          <w:szCs w:val="22"/>
        </w:rPr>
        <w:t>Agenda item:</w:t>
      </w:r>
      <w:r>
        <w:rPr>
          <w:rFonts w:ascii="Arial" w:hAnsi="Arial" w:cs="Arial"/>
          <w:b/>
          <w:sz w:val="22"/>
          <w:szCs w:val="22"/>
        </w:rPr>
        <w:tab/>
      </w:r>
      <w:bookmarkStart w:id="0" w:name="Source"/>
      <w:bookmarkEnd w:id="0"/>
      <w:r>
        <w:rPr>
          <w:rFonts w:ascii="Arial" w:hAnsi="Arial" w:cs="Arial"/>
          <w:b/>
          <w:sz w:val="22"/>
          <w:szCs w:val="22"/>
        </w:rPr>
        <w:t>8.1.</w:t>
      </w:r>
      <w:r>
        <w:rPr>
          <w:rFonts w:ascii="Arial" w:hAnsi="Arial" w:cs="Arial" w:hint="eastAsia"/>
          <w:b/>
          <w:sz w:val="22"/>
          <w:szCs w:val="22"/>
          <w:lang w:eastAsia="zh-CN"/>
        </w:rPr>
        <w:t>1</w:t>
      </w:r>
    </w:p>
    <w:p w14:paraId="7AE5AFCA" w14:textId="77777777" w:rsidR="006303A1" w:rsidRDefault="00A53935">
      <w:pPr>
        <w:tabs>
          <w:tab w:val="left" w:pos="1985"/>
        </w:tabs>
        <w:snapToGrid w:val="0"/>
        <w:spacing w:after="0" w:line="288" w:lineRule="auto"/>
        <w:ind w:left="1872" w:hanging="1872"/>
        <w:rPr>
          <w:b/>
          <w:sz w:val="22"/>
          <w:szCs w:val="22"/>
        </w:rPr>
      </w:pPr>
      <w:r>
        <w:rPr>
          <w:rFonts w:ascii="Arial" w:hAnsi="Arial" w:cs="Arial"/>
          <w:b/>
          <w:sz w:val="22"/>
          <w:szCs w:val="22"/>
        </w:rPr>
        <w:t xml:space="preserve">Source: </w:t>
      </w:r>
      <w:r>
        <w:rPr>
          <w:rFonts w:ascii="Arial" w:hAnsi="Arial" w:cs="Arial"/>
          <w:b/>
          <w:sz w:val="22"/>
          <w:szCs w:val="22"/>
        </w:rPr>
        <w:tab/>
        <w:t>Moderator (</w:t>
      </w:r>
      <w:r>
        <w:rPr>
          <w:rFonts w:ascii="Arial" w:hAnsi="Arial" w:cs="Arial" w:hint="eastAsia"/>
          <w:b/>
          <w:sz w:val="22"/>
          <w:szCs w:val="22"/>
          <w:lang w:eastAsia="zh-CN"/>
        </w:rPr>
        <w:t>ZTE</w:t>
      </w:r>
      <w:r>
        <w:rPr>
          <w:rFonts w:ascii="Arial" w:hAnsi="Arial" w:cs="Arial"/>
          <w:b/>
          <w:sz w:val="22"/>
          <w:szCs w:val="22"/>
        </w:rPr>
        <w:t>)</w:t>
      </w:r>
    </w:p>
    <w:p w14:paraId="5895CC12" w14:textId="77777777" w:rsidR="006303A1" w:rsidRDefault="00A53935">
      <w:pPr>
        <w:tabs>
          <w:tab w:val="left" w:pos="1985"/>
        </w:tabs>
        <w:snapToGrid w:val="0"/>
        <w:spacing w:after="0" w:line="288" w:lineRule="auto"/>
        <w:ind w:left="1872" w:hanging="1872"/>
        <w:rPr>
          <w:b/>
          <w:sz w:val="22"/>
          <w:szCs w:val="22"/>
        </w:rPr>
      </w:pPr>
      <w:r>
        <w:rPr>
          <w:rFonts w:ascii="Arial" w:hAnsi="Arial" w:cs="Arial"/>
          <w:b/>
          <w:sz w:val="22"/>
          <w:szCs w:val="22"/>
        </w:rPr>
        <w:t xml:space="preserve">Title: </w:t>
      </w:r>
      <w:r>
        <w:rPr>
          <w:rFonts w:ascii="Arial" w:hAnsi="Arial" w:cs="Arial"/>
          <w:b/>
          <w:sz w:val="22"/>
          <w:szCs w:val="22"/>
        </w:rPr>
        <w:tab/>
      </w:r>
      <w:r>
        <w:rPr>
          <w:rFonts w:ascii="Arial" w:hAnsi="Arial" w:cs="Arial" w:hint="eastAsia"/>
          <w:b/>
          <w:sz w:val="22"/>
          <w:szCs w:val="22"/>
        </w:rPr>
        <w:t>Endorsed TPs for Maintenance on Rel-17 Multi-Beam</w:t>
      </w:r>
      <w:r>
        <w:rPr>
          <w:rFonts w:ascii="Arial" w:hAnsi="Arial" w:cs="Arial"/>
          <w:b/>
          <w:sz w:val="22"/>
          <w:szCs w:val="22"/>
        </w:rPr>
        <w:t xml:space="preserve"> </w:t>
      </w:r>
    </w:p>
    <w:p w14:paraId="05C2B9C4" w14:textId="77777777" w:rsidR="006303A1" w:rsidRDefault="00A53935">
      <w:pPr>
        <w:pBdr>
          <w:bottom w:val="single" w:sz="6" w:space="1" w:color="000000"/>
        </w:pBdr>
        <w:tabs>
          <w:tab w:val="left" w:pos="1985"/>
        </w:tabs>
        <w:snapToGrid w:val="0"/>
        <w:spacing w:after="0" w:line="288" w:lineRule="auto"/>
        <w:ind w:left="1872" w:hanging="1872"/>
        <w:rPr>
          <w:b/>
          <w:sz w:val="22"/>
          <w:szCs w:val="22"/>
        </w:rPr>
      </w:pPr>
      <w:r>
        <w:rPr>
          <w:rFonts w:ascii="Arial" w:hAnsi="Arial" w:cs="Arial"/>
          <w:b/>
          <w:sz w:val="22"/>
          <w:szCs w:val="22"/>
        </w:rPr>
        <w:t>Document for:</w:t>
      </w:r>
      <w:r>
        <w:rPr>
          <w:rFonts w:ascii="Arial" w:hAnsi="Arial" w:cs="Arial"/>
          <w:b/>
          <w:sz w:val="22"/>
          <w:szCs w:val="22"/>
        </w:rPr>
        <w:tab/>
      </w:r>
      <w:bookmarkStart w:id="1" w:name="DocumentFor"/>
      <w:bookmarkEnd w:id="1"/>
      <w:r>
        <w:rPr>
          <w:rFonts w:ascii="Arial" w:hAnsi="Arial" w:cs="Arial"/>
          <w:b/>
          <w:sz w:val="22"/>
          <w:szCs w:val="22"/>
        </w:rPr>
        <w:t>Discussion and Decision</w:t>
      </w:r>
    </w:p>
    <w:p w14:paraId="1A5D44E9" w14:textId="77777777" w:rsidR="006303A1" w:rsidRDefault="006303A1">
      <w:pPr>
        <w:snapToGrid w:val="0"/>
        <w:rPr>
          <w:b/>
          <w:sz w:val="16"/>
          <w:szCs w:val="16"/>
        </w:rPr>
      </w:pPr>
    </w:p>
    <w:p w14:paraId="072954AC" w14:textId="77777777" w:rsidR="006303A1" w:rsidRDefault="00A53935">
      <w:pPr>
        <w:numPr>
          <w:ilvl w:val="0"/>
          <w:numId w:val="8"/>
        </w:numPr>
        <w:tabs>
          <w:tab w:val="clear" w:pos="432"/>
        </w:tabs>
        <w:snapToGrid w:val="0"/>
        <w:spacing w:beforeLines="50" w:before="182" w:afterLines="50" w:after="182" w:line="288" w:lineRule="auto"/>
        <w:ind w:left="425" w:hanging="425"/>
        <w:outlineLvl w:val="0"/>
        <w:rPr>
          <w:rFonts w:eastAsia="宋体"/>
          <w:b/>
          <w:sz w:val="28"/>
          <w:szCs w:val="28"/>
        </w:rPr>
      </w:pPr>
      <w:r>
        <w:rPr>
          <w:rFonts w:eastAsia="宋体"/>
          <w:b/>
          <w:sz w:val="28"/>
          <w:szCs w:val="28"/>
        </w:rPr>
        <w:t>Introduction</w:t>
      </w:r>
    </w:p>
    <w:p w14:paraId="57A1FC89" w14:textId="4E16A232" w:rsidR="006303A1" w:rsidRDefault="00921709">
      <w:pPr>
        <w:snapToGrid w:val="0"/>
        <w:spacing w:after="60" w:line="288" w:lineRule="auto"/>
        <w:rPr>
          <w:sz w:val="20"/>
          <w:szCs w:val="20"/>
          <w:lang w:eastAsia="zh-CN"/>
        </w:rPr>
      </w:pPr>
      <w:r>
        <w:rPr>
          <w:rFonts w:hint="eastAsia"/>
          <w:sz w:val="20"/>
          <w:szCs w:val="20"/>
          <w:lang w:eastAsia="zh-CN"/>
        </w:rPr>
        <w:t>In</w:t>
      </w:r>
      <w:r>
        <w:rPr>
          <w:sz w:val="20"/>
          <w:szCs w:val="20"/>
          <w:lang w:eastAsia="zh-CN"/>
        </w:rPr>
        <w:t xml:space="preserve"> this contribution, we summarize the </w:t>
      </w:r>
      <w:r w:rsidR="00A53935">
        <w:rPr>
          <w:rFonts w:hint="eastAsia"/>
          <w:sz w:val="20"/>
          <w:szCs w:val="20"/>
          <w:lang w:eastAsia="zh-CN"/>
        </w:rPr>
        <w:t>endorse</w:t>
      </w:r>
      <w:r>
        <w:rPr>
          <w:sz w:val="20"/>
          <w:szCs w:val="20"/>
          <w:lang w:eastAsia="zh-CN"/>
        </w:rPr>
        <w:t>d</w:t>
      </w:r>
      <w:r w:rsidR="00A53935">
        <w:rPr>
          <w:rFonts w:hint="eastAsia"/>
          <w:sz w:val="20"/>
          <w:szCs w:val="20"/>
          <w:lang w:eastAsia="zh-CN"/>
        </w:rPr>
        <w:t xml:space="preserve"> TPs (i.e., TP#1-5, TP#1-13, TP#1-19, TP#2-4, TP#2-5, TP#2-8, TP#4-1</w:t>
      </w:r>
      <w:r w:rsidR="00CA256A">
        <w:rPr>
          <w:sz w:val="20"/>
          <w:szCs w:val="20"/>
          <w:lang w:eastAsia="zh-CN"/>
        </w:rPr>
        <w:t xml:space="preserve">, </w:t>
      </w:r>
      <w:r w:rsidR="0059517C">
        <w:rPr>
          <w:sz w:val="20"/>
          <w:szCs w:val="20"/>
          <w:lang w:eastAsia="zh-CN"/>
        </w:rPr>
        <w:t xml:space="preserve">and </w:t>
      </w:r>
      <w:r w:rsidR="00CA256A">
        <w:rPr>
          <w:sz w:val="20"/>
          <w:szCs w:val="20"/>
          <w:lang w:eastAsia="zh-CN"/>
        </w:rPr>
        <w:t>TP#1-11</w:t>
      </w:r>
      <w:bookmarkStart w:id="2" w:name="_GoBack"/>
      <w:bookmarkEnd w:id="2"/>
      <w:r w:rsidR="00066B54">
        <w:rPr>
          <w:rFonts w:hint="eastAsia"/>
          <w:sz w:val="20"/>
          <w:szCs w:val="20"/>
          <w:lang w:eastAsia="zh-CN"/>
        </w:rPr>
        <w:t>)</w:t>
      </w:r>
      <w:r w:rsidR="00A53935">
        <w:rPr>
          <w:rFonts w:hint="eastAsia"/>
          <w:sz w:val="20"/>
          <w:szCs w:val="20"/>
          <w:lang w:eastAsia="zh-CN"/>
        </w:rPr>
        <w:t xml:space="preserve"> in [1].</w:t>
      </w:r>
    </w:p>
    <w:p w14:paraId="7C61FA7E" w14:textId="77777777" w:rsidR="006303A1" w:rsidRDefault="00A53935">
      <w:pPr>
        <w:numPr>
          <w:ilvl w:val="0"/>
          <w:numId w:val="8"/>
        </w:numPr>
        <w:tabs>
          <w:tab w:val="clear" w:pos="432"/>
        </w:tabs>
        <w:snapToGrid w:val="0"/>
        <w:spacing w:beforeLines="50" w:before="182" w:afterLines="50" w:after="182" w:line="288" w:lineRule="auto"/>
        <w:ind w:left="425" w:hanging="425"/>
        <w:outlineLvl w:val="0"/>
        <w:rPr>
          <w:rFonts w:eastAsia="宋体"/>
          <w:b/>
          <w:sz w:val="28"/>
          <w:szCs w:val="28"/>
        </w:rPr>
      </w:pPr>
      <w:r>
        <w:rPr>
          <w:rFonts w:eastAsia="宋体"/>
          <w:b/>
          <w:sz w:val="28"/>
          <w:szCs w:val="28"/>
        </w:rPr>
        <w:t xml:space="preserve">Summary of </w:t>
      </w:r>
      <w:r>
        <w:rPr>
          <w:rFonts w:eastAsia="宋体" w:hint="eastAsia"/>
          <w:b/>
          <w:sz w:val="28"/>
          <w:szCs w:val="28"/>
          <w:lang w:eastAsia="zh-CN"/>
        </w:rPr>
        <w:t>endorsed TPs</w:t>
      </w:r>
    </w:p>
    <w:p w14:paraId="55D3B519" w14:textId="77777777" w:rsidR="006303A1" w:rsidRDefault="00A53935">
      <w:pPr>
        <w:pStyle w:val="Heading3"/>
        <w:rPr>
          <w:lang w:eastAsia="zh-CN"/>
        </w:rPr>
      </w:pPr>
      <w:r>
        <w:rPr>
          <w:rFonts w:hint="eastAsia"/>
          <w:b/>
          <w:bCs/>
          <w:lang w:eastAsia="zh-CN"/>
        </w:rPr>
        <w:t>TP#1-5 in TS38.213</w:t>
      </w:r>
    </w:p>
    <w:p w14:paraId="35D76DB4" w14:textId="77777777" w:rsidR="006303A1" w:rsidRDefault="00A53935">
      <w:pPr>
        <w:spacing w:before="120" w:after="60" w:line="260" w:lineRule="auto"/>
        <w:rPr>
          <w:b/>
          <w:bCs/>
          <w:sz w:val="20"/>
          <w:szCs w:val="20"/>
          <w:u w:val="single"/>
          <w:lang w:eastAsia="zh-CN"/>
        </w:rPr>
      </w:pPr>
      <w:r>
        <w:rPr>
          <w:b/>
          <w:bCs/>
          <w:sz w:val="20"/>
          <w:szCs w:val="20"/>
          <w:u w:val="single"/>
          <w:lang w:eastAsia="zh-CN"/>
        </w:rPr>
        <w:t>Reason of change:</w:t>
      </w:r>
    </w:p>
    <w:p w14:paraId="24986244" w14:textId="77777777" w:rsidR="006303A1" w:rsidRDefault="00A53935">
      <w:pPr>
        <w:rPr>
          <w:sz w:val="20"/>
          <w:szCs w:val="20"/>
          <w:lang w:eastAsia="zh-CN"/>
        </w:rPr>
      </w:pPr>
      <w:r>
        <w:rPr>
          <w:rFonts w:hint="eastAsia"/>
          <w:sz w:val="20"/>
          <w:szCs w:val="20"/>
          <w:lang w:eastAsia="zh-CN"/>
        </w:rPr>
        <w:t xml:space="preserve">The current spec does not well capture the following agreement in RAN1-108 e-meeting. It should be any one SRS resource from the SRS resource set, instead of the first one as in current spec. </w:t>
      </w:r>
    </w:p>
    <w:tbl>
      <w:tblPr>
        <w:tblStyle w:val="TableGrid"/>
        <w:tblW w:w="0" w:type="auto"/>
        <w:tblLook w:val="04A0" w:firstRow="1" w:lastRow="0" w:firstColumn="1" w:lastColumn="0" w:noHBand="0" w:noVBand="1"/>
      </w:tblPr>
      <w:tblGrid>
        <w:gridCol w:w="9926"/>
      </w:tblGrid>
      <w:tr w:rsidR="006303A1" w14:paraId="6165FA67" w14:textId="77777777">
        <w:tc>
          <w:tcPr>
            <w:tcW w:w="10152" w:type="dxa"/>
          </w:tcPr>
          <w:p w14:paraId="04FE964F" w14:textId="77777777" w:rsidR="006303A1" w:rsidRPr="00EF0E09" w:rsidRDefault="00A53935">
            <w:pPr>
              <w:widowControl w:val="0"/>
              <w:spacing w:after="0" w:line="288" w:lineRule="auto"/>
              <w:rPr>
                <w:rFonts w:ascii="Times New Roman" w:eastAsia="宋体" w:hAnsi="Times New Roman" w:cs="Times New Roman"/>
                <w:b/>
                <w:kern w:val="2"/>
                <w:sz w:val="20"/>
                <w:szCs w:val="20"/>
                <w:u w:val="single"/>
                <w:lang w:val="en-GB" w:eastAsia="zh-CN"/>
              </w:rPr>
            </w:pPr>
            <w:r w:rsidRPr="00EF0E09">
              <w:rPr>
                <w:rFonts w:ascii="Times New Roman" w:eastAsia="宋体" w:hAnsi="Times New Roman" w:cs="Times New Roman"/>
                <w:b/>
                <w:kern w:val="2"/>
                <w:sz w:val="20"/>
                <w:szCs w:val="20"/>
                <w:u w:val="single"/>
                <w:lang w:val="en-GB" w:eastAsia="zh-CN"/>
              </w:rPr>
              <w:t>RAN1-108 e-meeting Agreements</w:t>
            </w:r>
          </w:p>
          <w:p w14:paraId="35D912BE" w14:textId="77777777" w:rsidR="006303A1" w:rsidRPr="00EF0E09" w:rsidRDefault="00A53935">
            <w:pPr>
              <w:spacing w:after="0" w:line="288" w:lineRule="auto"/>
              <w:rPr>
                <w:rFonts w:ascii="Times New Roman" w:hAnsi="Times New Roman" w:cs="Times New Roman"/>
                <w:sz w:val="20"/>
                <w:szCs w:val="20"/>
              </w:rPr>
            </w:pPr>
            <w:r w:rsidRPr="00EF0E09">
              <w:rPr>
                <w:rFonts w:ascii="Times New Roman" w:hAnsi="Times New Roman" w:cs="Times New Roman"/>
                <w:sz w:val="20"/>
                <w:szCs w:val="20"/>
              </w:rPr>
              <w:t>On Rel-17 unified TCI framework, for any SRS resource or resource set that does not share the same indicated Rel-17 TCI state(s) as dynamic-grant/configured-grant based PUSCH and all of dedicated PUCCH resources, but can be configured as a target signal of a Rel-17 UL or, if applicable, joint TCI (hence the Rel-17 UL or, if applicable, joint TCI state pool), Rel-17 mechanism(s) which reuse mechanisms similar to the Rel-15/16 spatial relation info update signaling/configuration design(s) are used to update/configure such SRS (s) with Rel-17 UL or, if applicable, joint TCI state(s).</w:t>
            </w:r>
          </w:p>
          <w:p w14:paraId="63B0C5C8" w14:textId="77777777" w:rsidR="006303A1" w:rsidRPr="00EF0E09" w:rsidRDefault="00A53935">
            <w:pPr>
              <w:numPr>
                <w:ilvl w:val="0"/>
                <w:numId w:val="9"/>
              </w:numPr>
              <w:spacing w:after="0" w:line="288" w:lineRule="auto"/>
              <w:rPr>
                <w:rFonts w:ascii="Times New Roman" w:hAnsi="Times New Roman" w:cs="Times New Roman"/>
                <w:sz w:val="20"/>
                <w:szCs w:val="20"/>
              </w:rPr>
            </w:pPr>
            <w:r w:rsidRPr="00EF0E09">
              <w:rPr>
                <w:rFonts w:ascii="Times New Roman" w:hAnsi="Times New Roman" w:cs="Times New Roman"/>
                <w:sz w:val="20"/>
                <w:szCs w:val="20"/>
              </w:rPr>
              <w:t>Including inter-cell case, where SSB with PCI different from the serving cell can be used as a source RS in Rel-17 UL, or if applicable joint, TCI state for these SRS resources</w:t>
            </w:r>
          </w:p>
          <w:p w14:paraId="0FA083CB" w14:textId="77777777" w:rsidR="006303A1" w:rsidRPr="00EF0E09" w:rsidRDefault="00A53935">
            <w:pPr>
              <w:pStyle w:val="ListParagraph"/>
              <w:numPr>
                <w:ilvl w:val="0"/>
                <w:numId w:val="9"/>
              </w:numPr>
              <w:spacing w:after="0" w:line="288" w:lineRule="auto"/>
              <w:rPr>
                <w:rFonts w:ascii="Times New Roman" w:eastAsia="等线" w:hAnsi="Times New Roman" w:cs="Times New Roman"/>
                <w:sz w:val="20"/>
                <w:szCs w:val="20"/>
                <w:lang w:eastAsia="ko-KR"/>
              </w:rPr>
            </w:pPr>
            <w:r w:rsidRPr="00EF0E09">
              <w:rPr>
                <w:rFonts w:ascii="Times New Roman" w:eastAsia="等线" w:hAnsi="Times New Roman" w:cs="Times New Roman"/>
                <w:sz w:val="20"/>
                <w:szCs w:val="20"/>
                <w:lang w:eastAsia="ko-KR"/>
              </w:rPr>
              <w:t>The UL PC parameter setting (including PL-RS) for the SRS resource set should be derived based on the setting associated with TCI indicated for the SRS resource with the lowest SRS-ResourceId in that SRS resource set</w:t>
            </w:r>
          </w:p>
          <w:p w14:paraId="1BECB912" w14:textId="77777777" w:rsidR="006303A1" w:rsidRPr="00EF0E09" w:rsidRDefault="00A53935">
            <w:pPr>
              <w:numPr>
                <w:ilvl w:val="0"/>
                <w:numId w:val="9"/>
              </w:numPr>
              <w:spacing w:after="0" w:line="288" w:lineRule="auto"/>
              <w:rPr>
                <w:rFonts w:ascii="Times New Roman" w:hAnsi="Times New Roman" w:cs="Times New Roman"/>
                <w:sz w:val="20"/>
                <w:szCs w:val="20"/>
              </w:rPr>
            </w:pPr>
            <w:r w:rsidRPr="00EF0E09">
              <w:rPr>
                <w:rFonts w:ascii="Times New Roman" w:hAnsi="Times New Roman" w:cs="Times New Roman"/>
                <w:sz w:val="20"/>
                <w:szCs w:val="20"/>
              </w:rPr>
              <w:t xml:space="preserve">The MAC-CE signaling for the Rel-17 mechanism(s) to update the spatial relation of the AP/SP-SRS not sharing the indicated Rel-17 TCI state shall provide an ID of Rel-17 UL or, if applicable, joint TCI state instead of an RS resource ID for each AP/SP-SRS resource </w:t>
            </w:r>
          </w:p>
          <w:p w14:paraId="6384B576" w14:textId="77777777" w:rsidR="006303A1" w:rsidRPr="00EF0E09" w:rsidRDefault="00A53935">
            <w:pPr>
              <w:numPr>
                <w:ilvl w:val="1"/>
                <w:numId w:val="9"/>
              </w:numPr>
              <w:spacing w:after="0" w:line="288" w:lineRule="auto"/>
              <w:rPr>
                <w:rFonts w:ascii="Times New Roman" w:hAnsi="Times New Roman" w:cs="Times New Roman"/>
                <w:sz w:val="20"/>
                <w:szCs w:val="20"/>
              </w:rPr>
            </w:pPr>
            <w:r w:rsidRPr="00EF0E09">
              <w:rPr>
                <w:rFonts w:ascii="Times New Roman" w:hAnsi="Times New Roman" w:cs="Times New Roman"/>
                <w:sz w:val="20"/>
                <w:szCs w:val="20"/>
              </w:rPr>
              <w:t>Reuse other aspects of the MAC-CE for the Rel-15/16 spatial relation info update (including 'SP SRS Activation/Deactivation MAC CE', 'Enhanced SP/AP SRS Spatial Relation Indication MAC CE', and 'Serving Cell Set based SRS Spatial Relation Indication MAC CE')</w:t>
            </w:r>
          </w:p>
          <w:p w14:paraId="75326C78" w14:textId="77777777" w:rsidR="006303A1" w:rsidRPr="00EF0E09" w:rsidRDefault="00A53935">
            <w:pPr>
              <w:numPr>
                <w:ilvl w:val="2"/>
                <w:numId w:val="9"/>
              </w:numPr>
              <w:spacing w:after="0" w:line="288" w:lineRule="auto"/>
              <w:rPr>
                <w:rFonts w:ascii="Times New Roman" w:hAnsi="Times New Roman" w:cs="Times New Roman"/>
                <w:sz w:val="20"/>
                <w:szCs w:val="20"/>
              </w:rPr>
            </w:pPr>
            <w:r w:rsidRPr="00EF0E09">
              <w:rPr>
                <w:rFonts w:ascii="Times New Roman" w:hAnsi="Times New Roman" w:cs="Times New Roman"/>
                <w:sz w:val="20"/>
                <w:szCs w:val="20"/>
              </w:rPr>
              <w:t>Note:  The exact details are up to RAN2. </w:t>
            </w:r>
          </w:p>
          <w:p w14:paraId="2A783A6C" w14:textId="77777777" w:rsidR="006303A1" w:rsidRDefault="00A53935">
            <w:pPr>
              <w:numPr>
                <w:ilvl w:val="0"/>
                <w:numId w:val="10"/>
              </w:numPr>
              <w:spacing w:after="0" w:line="288" w:lineRule="auto"/>
              <w:rPr>
                <w:sz w:val="20"/>
                <w:szCs w:val="20"/>
                <w:lang w:eastAsia="zh-CN"/>
              </w:rPr>
            </w:pPr>
            <w:r w:rsidRPr="00EF0E09">
              <w:rPr>
                <w:rFonts w:ascii="Times New Roman" w:hAnsi="Times New Roman" w:cs="Times New Roman"/>
                <w:sz w:val="20"/>
                <w:szCs w:val="20"/>
              </w:rPr>
              <w:t>Note: A Rel-17 UE is not required to support both this feature and optional Rel-16 features of SRS spatial relation info within the same band.</w:t>
            </w:r>
          </w:p>
        </w:tc>
      </w:tr>
    </w:tbl>
    <w:p w14:paraId="733D7D76" w14:textId="77777777" w:rsidR="006303A1" w:rsidRDefault="00A53935">
      <w:pPr>
        <w:spacing w:before="120" w:after="60" w:line="260" w:lineRule="auto"/>
        <w:rPr>
          <w:b/>
          <w:bCs/>
          <w:sz w:val="20"/>
          <w:szCs w:val="20"/>
          <w:u w:val="single"/>
          <w:lang w:val="en-GB" w:eastAsia="zh-CN"/>
        </w:rPr>
      </w:pPr>
      <w:r>
        <w:rPr>
          <w:rFonts w:hint="eastAsia"/>
          <w:b/>
          <w:bCs/>
          <w:sz w:val="20"/>
          <w:szCs w:val="20"/>
          <w:u w:val="single"/>
          <w:lang w:eastAsia="zh-CN"/>
        </w:rPr>
        <w:t>Summary of change</w:t>
      </w:r>
      <w:r>
        <w:rPr>
          <w:b/>
          <w:bCs/>
          <w:sz w:val="20"/>
          <w:szCs w:val="20"/>
          <w:u w:val="single"/>
          <w:lang w:val="en-GB" w:eastAsia="zh-CN"/>
        </w:rPr>
        <w:t>:</w:t>
      </w:r>
    </w:p>
    <w:p w14:paraId="19030291" w14:textId="77777777" w:rsidR="006303A1" w:rsidRDefault="00A53935">
      <w:pPr>
        <w:numPr>
          <w:ilvl w:val="0"/>
          <w:numId w:val="11"/>
        </w:numPr>
        <w:rPr>
          <w:sz w:val="20"/>
          <w:szCs w:val="20"/>
          <w:lang w:eastAsia="zh-CN"/>
        </w:rPr>
      </w:pPr>
      <w:r>
        <w:rPr>
          <w:rFonts w:hint="eastAsia"/>
          <w:sz w:val="20"/>
          <w:szCs w:val="20"/>
          <w:lang w:eastAsia="zh-CN"/>
        </w:rPr>
        <w:t xml:space="preserve">Generalize the SRS resource without restriction of </w:t>
      </w:r>
      <w:r>
        <w:rPr>
          <w:sz w:val="20"/>
          <w:szCs w:val="20"/>
          <w:lang w:eastAsia="zh-CN"/>
        </w:rPr>
        <w:t>“</w:t>
      </w:r>
      <w:r>
        <w:rPr>
          <w:rFonts w:hint="eastAsia"/>
          <w:sz w:val="20"/>
          <w:szCs w:val="20"/>
          <w:lang w:eastAsia="zh-CN"/>
        </w:rPr>
        <w:t>first</w:t>
      </w:r>
      <w:r>
        <w:rPr>
          <w:sz w:val="20"/>
          <w:szCs w:val="20"/>
          <w:lang w:eastAsia="zh-CN"/>
        </w:rPr>
        <w:t>”</w:t>
      </w:r>
      <w:r>
        <w:rPr>
          <w:rFonts w:hint="eastAsia"/>
          <w:sz w:val="20"/>
          <w:szCs w:val="20"/>
          <w:lang w:eastAsia="zh-CN"/>
        </w:rPr>
        <w:t>.</w:t>
      </w:r>
    </w:p>
    <w:p w14:paraId="23864154" w14:textId="77777777" w:rsidR="006303A1" w:rsidRDefault="00A53935">
      <w:pPr>
        <w:numPr>
          <w:ilvl w:val="0"/>
          <w:numId w:val="11"/>
        </w:numPr>
        <w:rPr>
          <w:sz w:val="20"/>
          <w:szCs w:val="20"/>
          <w:lang w:eastAsia="zh-CN"/>
        </w:rPr>
      </w:pPr>
      <w:r>
        <w:rPr>
          <w:sz w:val="20"/>
          <w:szCs w:val="20"/>
          <w:lang w:eastAsia="zh-CN"/>
        </w:rPr>
        <w:lastRenderedPageBreak/>
        <w:t>PL-RS</w:t>
      </w:r>
      <w:r>
        <w:rPr>
          <w:rFonts w:hint="eastAsia"/>
          <w:sz w:val="20"/>
          <w:szCs w:val="20"/>
          <w:lang w:eastAsia="zh-CN"/>
        </w:rPr>
        <w:t xml:space="preserve"> refers to the one</w:t>
      </w:r>
      <w:r>
        <w:rPr>
          <w:sz w:val="20"/>
          <w:szCs w:val="20"/>
          <w:lang w:eastAsia="zh-CN"/>
        </w:rPr>
        <w:t xml:space="preserve"> associated with or included in the DLorJoint-TCIState or UL-TCIState of an SRS resource with lowest SRS-ResourceId in the SRS resource set</w:t>
      </w:r>
      <w:r>
        <w:rPr>
          <w:rFonts w:hint="eastAsia"/>
          <w:sz w:val="20"/>
          <w:szCs w:val="20"/>
          <w:lang w:eastAsia="zh-CN"/>
        </w:rPr>
        <w:t>, instead of the indicated</w:t>
      </w:r>
      <w:r>
        <w:rPr>
          <w:sz w:val="20"/>
          <w:szCs w:val="20"/>
          <w:lang w:eastAsia="zh-CN"/>
        </w:rPr>
        <w:t xml:space="preserve"> DLorJoint-TCIState or UL-TCIState</w:t>
      </w:r>
      <w:r>
        <w:rPr>
          <w:rFonts w:hint="eastAsia"/>
          <w:sz w:val="20"/>
          <w:szCs w:val="20"/>
          <w:lang w:eastAsia="zh-CN"/>
        </w:rPr>
        <w:t>.</w:t>
      </w:r>
    </w:p>
    <w:p w14:paraId="70850662" w14:textId="77777777" w:rsidR="006303A1" w:rsidRDefault="00A53935">
      <w:pPr>
        <w:spacing w:before="120" w:after="60" w:line="260" w:lineRule="auto"/>
        <w:rPr>
          <w:b/>
          <w:bCs/>
          <w:sz w:val="20"/>
          <w:szCs w:val="20"/>
          <w:u w:val="single"/>
          <w:lang w:val="en-GB" w:eastAsia="zh-CN"/>
        </w:rPr>
      </w:pPr>
      <w:r>
        <w:rPr>
          <w:rFonts w:hint="eastAsia"/>
          <w:b/>
          <w:bCs/>
          <w:sz w:val="20"/>
          <w:szCs w:val="20"/>
          <w:u w:val="single"/>
          <w:lang w:val="en-GB" w:eastAsia="zh-CN"/>
        </w:rPr>
        <w:t xml:space="preserve">Consequence </w:t>
      </w:r>
      <w:r>
        <w:rPr>
          <w:rFonts w:hint="eastAsia"/>
          <w:b/>
          <w:bCs/>
          <w:sz w:val="20"/>
          <w:szCs w:val="20"/>
          <w:u w:val="single"/>
          <w:lang w:eastAsia="zh-CN"/>
        </w:rPr>
        <w:t>if not approved</w:t>
      </w:r>
      <w:r>
        <w:rPr>
          <w:rFonts w:hint="eastAsia"/>
          <w:b/>
          <w:bCs/>
          <w:sz w:val="20"/>
          <w:szCs w:val="20"/>
          <w:u w:val="single"/>
          <w:lang w:val="en-GB" w:eastAsia="zh-CN"/>
        </w:rPr>
        <w:t>:</w:t>
      </w:r>
    </w:p>
    <w:p w14:paraId="3A52D9C2" w14:textId="77777777" w:rsidR="006303A1" w:rsidRDefault="00A53935">
      <w:pPr>
        <w:rPr>
          <w:sz w:val="20"/>
          <w:szCs w:val="20"/>
          <w:lang w:eastAsia="zh-CN"/>
        </w:rPr>
      </w:pPr>
      <w:r>
        <w:rPr>
          <w:rFonts w:hint="eastAsia"/>
          <w:sz w:val="20"/>
          <w:szCs w:val="20"/>
          <w:lang w:eastAsia="zh-CN"/>
        </w:rPr>
        <w:t xml:space="preserve">The spec is not aligned with the agreement. </w:t>
      </w:r>
    </w:p>
    <w:p w14:paraId="0E805365" w14:textId="77777777" w:rsidR="006303A1" w:rsidRDefault="00A53935">
      <w:pPr>
        <w:rPr>
          <w:sz w:val="20"/>
          <w:szCs w:val="20"/>
          <w:lang w:eastAsia="zh-CN"/>
        </w:rPr>
      </w:pPr>
      <w:r>
        <w:rPr>
          <w:rFonts w:eastAsia="Malgun Gothic"/>
          <w:b/>
          <w:sz w:val="20"/>
          <w:szCs w:val="20"/>
          <w:u w:val="single"/>
        </w:rPr>
        <w:t>TP 1-5</w:t>
      </w:r>
      <w:r>
        <w:rPr>
          <w:sz w:val="20"/>
          <w:szCs w:val="20"/>
          <w:lang w:val="en-GB"/>
        </w:rPr>
        <w:t>: To endorse the following text proposal for TS 38.213:</w:t>
      </w:r>
    </w:p>
    <w:tbl>
      <w:tblPr>
        <w:tblW w:w="10054" w:type="dxa"/>
        <w:tblCellMar>
          <w:left w:w="10" w:type="dxa"/>
          <w:right w:w="10" w:type="dxa"/>
        </w:tblCellMar>
        <w:tblLook w:val="04A0" w:firstRow="1" w:lastRow="0" w:firstColumn="1" w:lastColumn="0" w:noHBand="0" w:noVBand="1"/>
      </w:tblPr>
      <w:tblGrid>
        <w:gridCol w:w="10054"/>
      </w:tblGrid>
      <w:tr w:rsidR="006303A1" w14:paraId="782C3778" w14:textId="77777777">
        <w:trPr>
          <w:trHeight w:val="48"/>
        </w:trPr>
        <w:tc>
          <w:tcPr>
            <w:tcW w:w="100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0BFF90" w14:textId="77777777" w:rsidR="006303A1" w:rsidRDefault="00A53935">
            <w:pPr>
              <w:pStyle w:val="B1"/>
              <w:tabs>
                <w:tab w:val="left" w:pos="240"/>
              </w:tabs>
              <w:ind w:left="0" w:firstLine="0"/>
              <w:rPr>
                <w:rFonts w:cs="Times"/>
                <w:b/>
                <w:bCs/>
              </w:rPr>
            </w:pPr>
            <w:r>
              <w:rPr>
                <w:rFonts w:cs="Times"/>
                <w:b/>
                <w:bCs/>
              </w:rPr>
              <w:t>7</w:t>
            </w:r>
            <w:r>
              <w:rPr>
                <w:rFonts w:cs="Times"/>
                <w:b/>
                <w:bCs/>
              </w:rPr>
              <w:tab/>
              <w:t>Uplink Power control</w:t>
            </w:r>
          </w:p>
          <w:p w14:paraId="23582828" w14:textId="77777777" w:rsidR="006303A1" w:rsidRDefault="00A53935">
            <w:pPr>
              <w:autoSpaceDE w:val="0"/>
              <w:autoSpaceDN w:val="0"/>
              <w:adjustRightInd w:val="0"/>
              <w:snapToGrid w:val="0"/>
              <w:spacing w:before="120" w:afterLines="50" w:after="182"/>
              <w:jc w:val="center"/>
              <w:rPr>
                <w:rFonts w:eastAsia="宋体"/>
                <w:color w:val="FF0000"/>
                <w:sz w:val="20"/>
                <w:szCs w:val="20"/>
                <w:lang w:eastAsia="zh-CN"/>
              </w:rPr>
            </w:pPr>
            <w:r>
              <w:rPr>
                <w:rFonts w:eastAsia="宋体"/>
                <w:color w:val="FF0000"/>
                <w:sz w:val="20"/>
                <w:szCs w:val="20"/>
                <w:lang w:eastAsia="zh-CN"/>
              </w:rPr>
              <w:t xml:space="preserve">&lt; </w:t>
            </w:r>
            <w:r>
              <w:rPr>
                <w:rFonts w:eastAsia="宋体"/>
                <w:color w:val="FF0000"/>
                <w:sz w:val="20"/>
                <w:szCs w:val="20"/>
              </w:rPr>
              <w:t>Unchanged parts are omitted</w:t>
            </w:r>
            <w:r>
              <w:rPr>
                <w:rFonts w:eastAsia="宋体"/>
                <w:color w:val="FF0000"/>
                <w:sz w:val="20"/>
                <w:szCs w:val="20"/>
                <w:lang w:eastAsia="zh-CN"/>
              </w:rPr>
              <w:t xml:space="preserve"> &gt;</w:t>
            </w:r>
          </w:p>
          <w:p w14:paraId="08094F4A" w14:textId="77777777" w:rsidR="006303A1" w:rsidRDefault="00A53935">
            <w:pPr>
              <w:spacing w:beforeLines="50" w:before="182"/>
              <w:ind w:left="568" w:hanging="284"/>
              <w:rPr>
                <w:rFonts w:eastAsia="宋体"/>
                <w:sz w:val="20"/>
                <w:szCs w:val="20"/>
              </w:rPr>
            </w:pPr>
            <w:r>
              <w:rPr>
                <w:rFonts w:eastAsia="宋体"/>
                <w:sz w:val="20"/>
                <w:szCs w:val="20"/>
              </w:rPr>
              <w:t>-</w:t>
            </w:r>
            <w:r>
              <w:rPr>
                <w:rFonts w:eastAsia="宋体"/>
                <w:sz w:val="20"/>
                <w:szCs w:val="20"/>
              </w:rPr>
              <w:tab/>
              <w:t xml:space="preserve">in clause 7.3.1, if </w:t>
            </w:r>
            <w:r>
              <w:rPr>
                <w:rFonts w:eastAsia="宋体"/>
                <w:i/>
                <w:iCs/>
                <w:sz w:val="20"/>
                <w:szCs w:val="20"/>
              </w:rPr>
              <w:t>p0-Alpha-CLID-SRS-Set</w:t>
            </w:r>
            <w:r>
              <w:rPr>
                <w:rFonts w:eastAsia="宋体"/>
                <w:sz w:val="20"/>
                <w:szCs w:val="20"/>
              </w:rPr>
              <w:t xml:space="preserve"> is provided</w:t>
            </w:r>
          </w:p>
          <w:p w14:paraId="68338BAB" w14:textId="77777777" w:rsidR="006303A1" w:rsidRDefault="00A53935">
            <w:pPr>
              <w:spacing w:beforeLines="50" w:before="182"/>
              <w:ind w:left="852" w:hanging="284"/>
              <w:rPr>
                <w:rFonts w:eastAsia="宋体"/>
                <w:sz w:val="20"/>
                <w:szCs w:val="20"/>
              </w:rPr>
            </w:pPr>
            <w:r>
              <w:rPr>
                <w:rFonts w:eastAsia="宋体"/>
                <w:sz w:val="20"/>
                <w:szCs w:val="20"/>
              </w:rPr>
              <w:t>-</w:t>
            </w:r>
            <w:r>
              <w:rPr>
                <w:rFonts w:eastAsia="宋体"/>
                <w:sz w:val="20"/>
                <w:szCs w:val="20"/>
              </w:rPr>
              <w:tab/>
              <w:t xml:space="preserve">if </w:t>
            </w:r>
            <w:r>
              <w:rPr>
                <w:rFonts w:eastAsia="宋体"/>
                <w:i/>
                <w:iCs/>
                <w:sz w:val="20"/>
                <w:szCs w:val="20"/>
              </w:rPr>
              <w:t>useIndicatedTCIState</w:t>
            </w:r>
            <w:r>
              <w:rPr>
                <w:rFonts w:eastAsia="宋体"/>
                <w:sz w:val="20"/>
                <w:szCs w:val="20"/>
              </w:rPr>
              <w:t xml:space="preserve"> is provided for a SRS resource set, the values of </w:t>
            </w:r>
            <m:oMath>
              <m:sSub>
                <m:sSubPr>
                  <m:ctrlPr>
                    <w:rPr>
                      <w:rFonts w:ascii="Cambria Math" w:eastAsia="宋体" w:hAnsi="Cambria Math"/>
                      <w:iCs/>
                      <w:sz w:val="20"/>
                      <w:szCs w:val="20"/>
                      <w:lang w:val="zh-CN"/>
                    </w:rPr>
                  </m:ctrlPr>
                </m:sSubPr>
                <m:e>
                  <m:r>
                    <w:rPr>
                      <w:rFonts w:ascii="Cambria Math" w:eastAsia="宋体" w:hAnsi="Cambria Math"/>
                      <w:sz w:val="20"/>
                      <w:szCs w:val="20"/>
                      <w:lang w:val="zh-CN"/>
                    </w:rPr>
                    <m:t>P</m:t>
                  </m:r>
                </m:e>
                <m:sub>
                  <m:r>
                    <m:rPr>
                      <m:nor/>
                    </m:rPr>
                    <w:rPr>
                      <w:rFonts w:eastAsia="宋体"/>
                      <w:iCs/>
                      <w:sz w:val="20"/>
                      <w:szCs w:val="20"/>
                    </w:rPr>
                    <m:t>O_SRS</m:t>
                  </m:r>
                  <m:r>
                    <m:rPr>
                      <m:sty m:val="p"/>
                    </m:rPr>
                    <w:rPr>
                      <w:rFonts w:ascii="Cambria Math" w:eastAsia="宋体" w:hAnsi="Cambria Math"/>
                      <w:sz w:val="20"/>
                      <w:szCs w:val="20"/>
                    </w:rPr>
                    <m:t>,</m:t>
                  </m:r>
                  <m:r>
                    <w:rPr>
                      <w:rFonts w:ascii="Cambria Math" w:eastAsia="宋体" w:hAnsi="Cambria Math"/>
                      <w:sz w:val="20"/>
                      <w:szCs w:val="20"/>
                      <w:lang w:val="zh-CN"/>
                    </w:rPr>
                    <m:t>b</m:t>
                  </m:r>
                  <m:r>
                    <m:rPr>
                      <m:sty m:val="p"/>
                    </m:rPr>
                    <w:rPr>
                      <w:rFonts w:ascii="Cambria Math" w:eastAsia="宋体" w:hAnsi="Cambria Math"/>
                      <w:sz w:val="20"/>
                      <w:szCs w:val="20"/>
                    </w:rPr>
                    <m:t>,</m:t>
                  </m:r>
                  <m:r>
                    <w:rPr>
                      <w:rFonts w:ascii="Cambria Math" w:eastAsia="宋体" w:hAnsi="Cambria Math"/>
                      <w:sz w:val="20"/>
                      <w:szCs w:val="20"/>
                      <w:lang w:val="zh-CN"/>
                    </w:rPr>
                    <m:t>f</m:t>
                  </m:r>
                  <m:r>
                    <m:rPr>
                      <m:sty m:val="p"/>
                    </m:rPr>
                    <w:rPr>
                      <w:rFonts w:ascii="Cambria Math" w:eastAsia="宋体" w:hAnsi="Cambria Math"/>
                      <w:sz w:val="20"/>
                      <w:szCs w:val="20"/>
                    </w:rPr>
                    <m:t>,</m:t>
                  </m:r>
                  <m:r>
                    <w:rPr>
                      <w:rFonts w:ascii="Cambria Math" w:eastAsia="宋体" w:hAnsi="Cambria Math"/>
                      <w:sz w:val="20"/>
                      <w:szCs w:val="20"/>
                      <w:lang w:val="zh-CN"/>
                    </w:rPr>
                    <m:t>c</m:t>
                  </m:r>
                </m:sub>
              </m:sSub>
              <m:d>
                <m:dPr>
                  <m:ctrlPr>
                    <w:rPr>
                      <w:rFonts w:ascii="Cambria Math" w:eastAsia="宋体" w:hAnsi="Cambria Math"/>
                      <w:sz w:val="20"/>
                      <w:szCs w:val="20"/>
                      <w:lang w:val="zh-CN"/>
                    </w:rPr>
                  </m:ctrlPr>
                </m:dPr>
                <m:e>
                  <m:sSub>
                    <m:sSubPr>
                      <m:ctrlPr>
                        <w:rPr>
                          <w:rFonts w:ascii="Cambria Math" w:eastAsia="宋体" w:hAnsi="Cambria Math"/>
                          <w:iCs/>
                          <w:sz w:val="20"/>
                          <w:szCs w:val="20"/>
                          <w:lang w:val="zh-CN"/>
                        </w:rPr>
                      </m:ctrlPr>
                    </m:sSubPr>
                    <m:e>
                      <m:r>
                        <w:rPr>
                          <w:rFonts w:ascii="Cambria Math" w:eastAsia="宋体" w:hAnsi="Cambria Math"/>
                          <w:sz w:val="20"/>
                          <w:szCs w:val="20"/>
                          <w:lang w:val="zh-CN"/>
                        </w:rPr>
                        <m:t>q</m:t>
                      </m:r>
                    </m:e>
                    <m:sub>
                      <m:r>
                        <w:rPr>
                          <w:rFonts w:ascii="Cambria Math" w:eastAsia="宋体" w:hAnsi="Cambria Math"/>
                          <w:sz w:val="20"/>
                          <w:szCs w:val="20"/>
                          <w:lang w:val="zh-CN"/>
                        </w:rPr>
                        <m:t>s</m:t>
                      </m:r>
                    </m:sub>
                  </m:sSub>
                </m:e>
              </m:d>
            </m:oMath>
            <w:r>
              <w:rPr>
                <w:rFonts w:eastAsia="宋体"/>
                <w:sz w:val="20"/>
                <w:szCs w:val="20"/>
              </w:rPr>
              <w:t xml:space="preserve">, </w:t>
            </w:r>
            <m:oMath>
              <m:sSub>
                <m:sSubPr>
                  <m:ctrlPr>
                    <w:rPr>
                      <w:rFonts w:ascii="Cambria Math" w:eastAsia="宋体" w:hAnsi="Cambria Math"/>
                      <w:iCs/>
                      <w:sz w:val="20"/>
                      <w:szCs w:val="20"/>
                      <w:lang w:val="zh-CN"/>
                    </w:rPr>
                  </m:ctrlPr>
                </m:sSubPr>
                <m:e>
                  <m:r>
                    <w:rPr>
                      <w:rFonts w:ascii="Cambria Math" w:eastAsia="宋体" w:hAnsi="Cambria Math"/>
                      <w:sz w:val="20"/>
                      <w:szCs w:val="20"/>
                      <w:lang w:val="zh-CN"/>
                    </w:rPr>
                    <m:t>α</m:t>
                  </m:r>
                </m:e>
                <m:sub>
                  <m:r>
                    <m:rPr>
                      <m:sty m:val="p"/>
                    </m:rPr>
                    <w:rPr>
                      <w:rFonts w:ascii="Cambria Math" w:eastAsia="宋体" w:hAnsi="Cambria Math"/>
                      <w:sz w:val="20"/>
                      <w:szCs w:val="20"/>
                    </w:rPr>
                    <m:t>SRS</m:t>
                  </m:r>
                  <m:r>
                    <w:rPr>
                      <w:rFonts w:ascii="Cambria Math" w:eastAsia="宋体" w:hAnsi="Cambria Math"/>
                      <w:sz w:val="20"/>
                      <w:szCs w:val="20"/>
                    </w:rPr>
                    <m:t>,</m:t>
                  </m:r>
                  <m:r>
                    <w:rPr>
                      <w:rFonts w:ascii="Cambria Math" w:eastAsia="宋体" w:hAnsi="Cambria Math"/>
                      <w:sz w:val="20"/>
                      <w:szCs w:val="20"/>
                      <w:lang w:val="zh-CN"/>
                    </w:rPr>
                    <m:t>b</m:t>
                  </m:r>
                  <m:r>
                    <m:rPr>
                      <m:sty m:val="p"/>
                    </m:rPr>
                    <w:rPr>
                      <w:rFonts w:ascii="Cambria Math" w:eastAsia="宋体" w:hAnsi="Cambria Math"/>
                      <w:sz w:val="20"/>
                      <w:szCs w:val="20"/>
                    </w:rPr>
                    <m:t>,</m:t>
                  </m:r>
                  <m:r>
                    <w:rPr>
                      <w:rFonts w:ascii="Cambria Math" w:eastAsia="宋体" w:hAnsi="Cambria Math"/>
                      <w:sz w:val="20"/>
                      <w:szCs w:val="20"/>
                      <w:lang w:val="zh-CN"/>
                    </w:rPr>
                    <m:t>f</m:t>
                  </m:r>
                  <m:r>
                    <m:rPr>
                      <m:sty m:val="p"/>
                    </m:rPr>
                    <w:rPr>
                      <w:rFonts w:ascii="Cambria Math" w:eastAsia="宋体" w:hAnsi="Cambria Math"/>
                      <w:sz w:val="20"/>
                      <w:szCs w:val="20"/>
                    </w:rPr>
                    <m:t>,</m:t>
                  </m:r>
                  <m:r>
                    <w:rPr>
                      <w:rFonts w:ascii="Cambria Math" w:eastAsia="宋体" w:hAnsi="Cambria Math"/>
                      <w:sz w:val="20"/>
                      <w:szCs w:val="20"/>
                      <w:lang w:val="zh-CN"/>
                    </w:rPr>
                    <m:t>c</m:t>
                  </m:r>
                </m:sub>
              </m:sSub>
              <m:d>
                <m:dPr>
                  <m:ctrlPr>
                    <w:rPr>
                      <w:rFonts w:ascii="Cambria Math" w:eastAsia="宋体" w:hAnsi="Cambria Math"/>
                      <w:sz w:val="20"/>
                      <w:szCs w:val="20"/>
                      <w:lang w:val="zh-CN"/>
                    </w:rPr>
                  </m:ctrlPr>
                </m:dPr>
                <m:e>
                  <m:sSub>
                    <m:sSubPr>
                      <m:ctrlPr>
                        <w:rPr>
                          <w:rFonts w:ascii="Cambria Math" w:eastAsia="宋体" w:hAnsi="Cambria Math"/>
                          <w:iCs/>
                          <w:sz w:val="20"/>
                          <w:szCs w:val="20"/>
                          <w:lang w:val="zh-CN"/>
                        </w:rPr>
                      </m:ctrlPr>
                    </m:sSubPr>
                    <m:e>
                      <m:r>
                        <w:rPr>
                          <w:rFonts w:ascii="Cambria Math" w:eastAsia="宋体" w:hAnsi="Cambria Math"/>
                          <w:sz w:val="20"/>
                          <w:szCs w:val="20"/>
                          <w:lang w:val="zh-CN"/>
                        </w:rPr>
                        <m:t>q</m:t>
                      </m:r>
                    </m:e>
                    <m:sub>
                      <m:r>
                        <w:rPr>
                          <w:rFonts w:ascii="Cambria Math" w:eastAsia="宋体" w:hAnsi="Cambria Math"/>
                          <w:sz w:val="20"/>
                          <w:szCs w:val="20"/>
                          <w:lang w:val="zh-CN"/>
                        </w:rPr>
                        <m:t>s</m:t>
                      </m:r>
                    </m:sub>
                  </m:sSub>
                </m:e>
              </m:d>
            </m:oMath>
            <w:r>
              <w:rPr>
                <w:rFonts w:eastAsia="宋体"/>
                <w:sz w:val="20"/>
                <w:szCs w:val="20"/>
              </w:rPr>
              <w:t xml:space="preserve">, and SRS power control adjustment state </w:t>
            </w:r>
            <m:oMath>
              <m:r>
                <w:rPr>
                  <w:rFonts w:ascii="Cambria Math" w:eastAsia="宋体" w:hAnsi="Cambria Math"/>
                  <w:sz w:val="20"/>
                  <w:szCs w:val="20"/>
                </w:rPr>
                <m:t>l</m:t>
              </m:r>
            </m:oMath>
            <w:r>
              <w:rPr>
                <w:rFonts w:eastAsia="宋体"/>
                <w:sz w:val="20"/>
                <w:szCs w:val="20"/>
              </w:rPr>
              <w:t xml:space="preserve"> are provided by </w:t>
            </w:r>
            <w:r>
              <w:rPr>
                <w:rFonts w:eastAsia="宋体"/>
                <w:i/>
                <w:iCs/>
                <w:sz w:val="20"/>
                <w:szCs w:val="20"/>
              </w:rPr>
              <w:t>p0-Alpha-CLID-SRS-Set</w:t>
            </w:r>
            <w:r>
              <w:rPr>
                <w:rFonts w:eastAsia="宋体"/>
                <w:sz w:val="20"/>
                <w:szCs w:val="20"/>
              </w:rPr>
              <w:t xml:space="preserve"> associated with the indicated </w:t>
            </w:r>
            <w:r>
              <w:rPr>
                <w:rFonts w:eastAsia="宋体"/>
                <w:i/>
                <w:iCs/>
                <w:sz w:val="20"/>
                <w:szCs w:val="20"/>
              </w:rPr>
              <w:t>DLorJoint-TCIState</w:t>
            </w:r>
            <w:r>
              <w:rPr>
                <w:rFonts w:eastAsia="宋体"/>
                <w:sz w:val="20"/>
                <w:szCs w:val="20"/>
              </w:rPr>
              <w:t xml:space="preserve"> or </w:t>
            </w:r>
            <w:r>
              <w:rPr>
                <w:rFonts w:eastAsia="宋体"/>
                <w:i/>
                <w:iCs/>
                <w:sz w:val="20"/>
                <w:szCs w:val="20"/>
              </w:rPr>
              <w:t>UL-TCIState</w:t>
            </w:r>
          </w:p>
          <w:p w14:paraId="76BB4F88" w14:textId="77777777" w:rsidR="006303A1" w:rsidRDefault="00A53935">
            <w:pPr>
              <w:spacing w:beforeLines="50" w:before="182"/>
              <w:ind w:left="852" w:hanging="284"/>
              <w:rPr>
                <w:sz w:val="20"/>
                <w:szCs w:val="20"/>
                <w:lang w:eastAsia="ja-JP"/>
              </w:rPr>
            </w:pPr>
            <w:r>
              <w:rPr>
                <w:rFonts w:eastAsia="宋体"/>
                <w:sz w:val="20"/>
                <w:szCs w:val="20"/>
              </w:rPr>
              <w:t>-</w:t>
            </w:r>
            <w:r>
              <w:rPr>
                <w:rFonts w:eastAsia="宋体"/>
                <w:sz w:val="20"/>
                <w:szCs w:val="20"/>
              </w:rPr>
              <w:tab/>
              <w:t xml:space="preserve">else, if </w:t>
            </w:r>
            <w:r>
              <w:rPr>
                <w:rFonts w:eastAsia="宋体"/>
                <w:i/>
                <w:iCs/>
                <w:sz w:val="20"/>
                <w:szCs w:val="20"/>
              </w:rPr>
              <w:t>useIndicatedTCIState</w:t>
            </w:r>
            <w:r>
              <w:rPr>
                <w:rFonts w:eastAsia="宋体"/>
                <w:sz w:val="20"/>
                <w:szCs w:val="20"/>
              </w:rPr>
              <w:t xml:space="preserve"> is not provided for a SRS resource set and for a </w:t>
            </w:r>
            <w:r>
              <w:rPr>
                <w:rFonts w:eastAsia="宋体"/>
                <w:strike/>
                <w:color w:val="FF0000"/>
                <w:sz w:val="20"/>
                <w:szCs w:val="20"/>
              </w:rPr>
              <w:t>first</w:t>
            </w:r>
            <w:r>
              <w:rPr>
                <w:rFonts w:eastAsia="宋体"/>
                <w:color w:val="FF0000"/>
                <w:sz w:val="20"/>
                <w:szCs w:val="20"/>
              </w:rPr>
              <w:t xml:space="preserve"> </w:t>
            </w:r>
            <w:r>
              <w:rPr>
                <w:rFonts w:eastAsia="宋体"/>
                <w:sz w:val="20"/>
                <w:szCs w:val="20"/>
              </w:rPr>
              <w:t xml:space="preserve">SRS resource from the SRS resource set, the values of </w:t>
            </w:r>
            <m:oMath>
              <m:sSub>
                <m:sSubPr>
                  <m:ctrlPr>
                    <w:rPr>
                      <w:rFonts w:ascii="Cambria Math" w:eastAsia="宋体" w:hAnsi="Cambria Math"/>
                      <w:iCs/>
                      <w:sz w:val="20"/>
                      <w:szCs w:val="20"/>
                      <w:lang w:val="zh-CN"/>
                    </w:rPr>
                  </m:ctrlPr>
                </m:sSubPr>
                <m:e>
                  <m:r>
                    <w:rPr>
                      <w:rFonts w:ascii="Cambria Math" w:eastAsia="宋体" w:hAnsi="Cambria Math"/>
                      <w:sz w:val="20"/>
                      <w:szCs w:val="20"/>
                      <w:lang w:val="zh-CN"/>
                    </w:rPr>
                    <m:t>P</m:t>
                  </m:r>
                </m:e>
                <m:sub>
                  <m:r>
                    <m:rPr>
                      <m:nor/>
                    </m:rPr>
                    <w:rPr>
                      <w:rFonts w:eastAsia="宋体"/>
                      <w:iCs/>
                      <w:sz w:val="20"/>
                      <w:szCs w:val="20"/>
                    </w:rPr>
                    <m:t>O_SRS</m:t>
                  </m:r>
                  <m:r>
                    <m:rPr>
                      <m:sty m:val="p"/>
                    </m:rPr>
                    <w:rPr>
                      <w:rFonts w:ascii="Cambria Math" w:eastAsia="宋体" w:hAnsi="Cambria Math"/>
                      <w:sz w:val="20"/>
                      <w:szCs w:val="20"/>
                    </w:rPr>
                    <m:t>,</m:t>
                  </m:r>
                  <m:r>
                    <w:rPr>
                      <w:rFonts w:ascii="Cambria Math" w:eastAsia="宋体" w:hAnsi="Cambria Math"/>
                      <w:sz w:val="20"/>
                      <w:szCs w:val="20"/>
                      <w:lang w:val="zh-CN"/>
                    </w:rPr>
                    <m:t>b</m:t>
                  </m:r>
                  <m:r>
                    <m:rPr>
                      <m:sty m:val="p"/>
                    </m:rPr>
                    <w:rPr>
                      <w:rFonts w:ascii="Cambria Math" w:eastAsia="宋体" w:hAnsi="Cambria Math"/>
                      <w:sz w:val="20"/>
                      <w:szCs w:val="20"/>
                    </w:rPr>
                    <m:t>,</m:t>
                  </m:r>
                  <m:r>
                    <w:rPr>
                      <w:rFonts w:ascii="Cambria Math" w:eastAsia="宋体" w:hAnsi="Cambria Math"/>
                      <w:sz w:val="20"/>
                      <w:szCs w:val="20"/>
                      <w:lang w:val="zh-CN"/>
                    </w:rPr>
                    <m:t>f</m:t>
                  </m:r>
                  <m:r>
                    <m:rPr>
                      <m:sty m:val="p"/>
                    </m:rPr>
                    <w:rPr>
                      <w:rFonts w:ascii="Cambria Math" w:eastAsia="宋体" w:hAnsi="Cambria Math"/>
                      <w:sz w:val="20"/>
                      <w:szCs w:val="20"/>
                    </w:rPr>
                    <m:t>,</m:t>
                  </m:r>
                  <m:r>
                    <w:rPr>
                      <w:rFonts w:ascii="Cambria Math" w:eastAsia="宋体" w:hAnsi="Cambria Math"/>
                      <w:sz w:val="20"/>
                      <w:szCs w:val="20"/>
                      <w:lang w:val="zh-CN"/>
                    </w:rPr>
                    <m:t>c</m:t>
                  </m:r>
                </m:sub>
              </m:sSub>
              <m:d>
                <m:dPr>
                  <m:ctrlPr>
                    <w:rPr>
                      <w:rFonts w:ascii="Cambria Math" w:eastAsia="宋体" w:hAnsi="Cambria Math"/>
                      <w:sz w:val="20"/>
                      <w:szCs w:val="20"/>
                      <w:lang w:val="zh-CN"/>
                    </w:rPr>
                  </m:ctrlPr>
                </m:dPr>
                <m:e>
                  <m:sSub>
                    <m:sSubPr>
                      <m:ctrlPr>
                        <w:rPr>
                          <w:rFonts w:ascii="Cambria Math" w:eastAsia="宋体" w:hAnsi="Cambria Math"/>
                          <w:iCs/>
                          <w:sz w:val="20"/>
                          <w:szCs w:val="20"/>
                          <w:lang w:val="zh-CN"/>
                        </w:rPr>
                      </m:ctrlPr>
                    </m:sSubPr>
                    <m:e>
                      <m:r>
                        <w:rPr>
                          <w:rFonts w:ascii="Cambria Math" w:eastAsia="宋体" w:hAnsi="Cambria Math"/>
                          <w:sz w:val="20"/>
                          <w:szCs w:val="20"/>
                          <w:lang w:val="zh-CN"/>
                        </w:rPr>
                        <m:t>q</m:t>
                      </m:r>
                    </m:e>
                    <m:sub>
                      <m:r>
                        <w:rPr>
                          <w:rFonts w:ascii="Cambria Math" w:eastAsia="宋体" w:hAnsi="Cambria Math"/>
                          <w:sz w:val="20"/>
                          <w:szCs w:val="20"/>
                          <w:lang w:val="zh-CN"/>
                        </w:rPr>
                        <m:t>s</m:t>
                      </m:r>
                    </m:sub>
                  </m:sSub>
                </m:e>
              </m:d>
            </m:oMath>
            <w:r>
              <w:rPr>
                <w:rFonts w:eastAsia="宋体"/>
                <w:sz w:val="20"/>
                <w:szCs w:val="20"/>
              </w:rPr>
              <w:t xml:space="preserve">, </w:t>
            </w:r>
            <m:oMath>
              <m:sSub>
                <m:sSubPr>
                  <m:ctrlPr>
                    <w:rPr>
                      <w:rFonts w:ascii="Cambria Math" w:eastAsia="宋体" w:hAnsi="Cambria Math"/>
                      <w:iCs/>
                      <w:sz w:val="20"/>
                      <w:szCs w:val="20"/>
                      <w:lang w:val="zh-CN"/>
                    </w:rPr>
                  </m:ctrlPr>
                </m:sSubPr>
                <m:e>
                  <m:r>
                    <w:rPr>
                      <w:rFonts w:ascii="Cambria Math" w:eastAsia="宋体" w:hAnsi="Cambria Math"/>
                      <w:sz w:val="20"/>
                      <w:szCs w:val="20"/>
                      <w:lang w:val="zh-CN"/>
                    </w:rPr>
                    <m:t>α</m:t>
                  </m:r>
                </m:e>
                <m:sub>
                  <m:r>
                    <m:rPr>
                      <m:sty m:val="p"/>
                    </m:rPr>
                    <w:rPr>
                      <w:rFonts w:ascii="Cambria Math" w:eastAsia="宋体" w:hAnsi="Cambria Math"/>
                      <w:sz w:val="20"/>
                      <w:szCs w:val="20"/>
                    </w:rPr>
                    <m:t>SRS</m:t>
                  </m:r>
                  <m:r>
                    <w:rPr>
                      <w:rFonts w:ascii="Cambria Math" w:eastAsia="宋体" w:hAnsi="Cambria Math"/>
                      <w:sz w:val="20"/>
                      <w:szCs w:val="20"/>
                    </w:rPr>
                    <m:t>,</m:t>
                  </m:r>
                  <m:r>
                    <w:rPr>
                      <w:rFonts w:ascii="Cambria Math" w:eastAsia="宋体" w:hAnsi="Cambria Math"/>
                      <w:sz w:val="20"/>
                      <w:szCs w:val="20"/>
                      <w:lang w:val="zh-CN"/>
                    </w:rPr>
                    <m:t>b</m:t>
                  </m:r>
                  <m:r>
                    <m:rPr>
                      <m:sty m:val="p"/>
                    </m:rPr>
                    <w:rPr>
                      <w:rFonts w:ascii="Cambria Math" w:eastAsia="宋体" w:hAnsi="Cambria Math"/>
                      <w:sz w:val="20"/>
                      <w:szCs w:val="20"/>
                    </w:rPr>
                    <m:t>,</m:t>
                  </m:r>
                  <m:r>
                    <w:rPr>
                      <w:rFonts w:ascii="Cambria Math" w:eastAsia="宋体" w:hAnsi="Cambria Math"/>
                      <w:sz w:val="20"/>
                      <w:szCs w:val="20"/>
                      <w:lang w:val="zh-CN"/>
                    </w:rPr>
                    <m:t>f</m:t>
                  </m:r>
                  <m:r>
                    <m:rPr>
                      <m:sty m:val="p"/>
                    </m:rPr>
                    <w:rPr>
                      <w:rFonts w:ascii="Cambria Math" w:eastAsia="宋体" w:hAnsi="Cambria Math"/>
                      <w:sz w:val="20"/>
                      <w:szCs w:val="20"/>
                    </w:rPr>
                    <m:t>,</m:t>
                  </m:r>
                  <m:r>
                    <w:rPr>
                      <w:rFonts w:ascii="Cambria Math" w:eastAsia="宋体" w:hAnsi="Cambria Math"/>
                      <w:sz w:val="20"/>
                      <w:szCs w:val="20"/>
                      <w:lang w:val="zh-CN"/>
                    </w:rPr>
                    <m:t>c</m:t>
                  </m:r>
                </m:sub>
              </m:sSub>
              <m:d>
                <m:dPr>
                  <m:ctrlPr>
                    <w:rPr>
                      <w:rFonts w:ascii="Cambria Math" w:eastAsia="宋体" w:hAnsi="Cambria Math"/>
                      <w:sz w:val="20"/>
                      <w:szCs w:val="20"/>
                      <w:lang w:val="zh-CN"/>
                    </w:rPr>
                  </m:ctrlPr>
                </m:dPr>
                <m:e>
                  <m:sSub>
                    <m:sSubPr>
                      <m:ctrlPr>
                        <w:rPr>
                          <w:rFonts w:ascii="Cambria Math" w:eastAsia="宋体" w:hAnsi="Cambria Math"/>
                          <w:iCs/>
                          <w:sz w:val="20"/>
                          <w:szCs w:val="20"/>
                          <w:lang w:val="zh-CN"/>
                        </w:rPr>
                      </m:ctrlPr>
                    </m:sSubPr>
                    <m:e>
                      <m:r>
                        <w:rPr>
                          <w:rFonts w:ascii="Cambria Math" w:eastAsia="宋体" w:hAnsi="Cambria Math"/>
                          <w:sz w:val="20"/>
                          <w:szCs w:val="20"/>
                          <w:lang w:val="zh-CN"/>
                        </w:rPr>
                        <m:t>q</m:t>
                      </m:r>
                    </m:e>
                    <m:sub>
                      <m:r>
                        <w:rPr>
                          <w:rFonts w:ascii="Cambria Math" w:eastAsia="宋体" w:hAnsi="Cambria Math"/>
                          <w:sz w:val="20"/>
                          <w:szCs w:val="20"/>
                          <w:lang w:val="zh-CN"/>
                        </w:rPr>
                        <m:t>s</m:t>
                      </m:r>
                    </m:sub>
                  </m:sSub>
                </m:e>
              </m:d>
            </m:oMath>
            <w:r>
              <w:rPr>
                <w:rFonts w:eastAsia="宋体"/>
                <w:sz w:val="20"/>
                <w:szCs w:val="20"/>
              </w:rPr>
              <w:t xml:space="preserve">, and SRS power control adjustment state </w:t>
            </w:r>
            <m:oMath>
              <m:r>
                <w:rPr>
                  <w:rFonts w:ascii="Cambria Math" w:eastAsia="宋体" w:hAnsi="Cambria Math"/>
                  <w:sz w:val="20"/>
                  <w:szCs w:val="20"/>
                </w:rPr>
                <m:t>l</m:t>
              </m:r>
            </m:oMath>
            <w:r>
              <w:rPr>
                <w:rFonts w:eastAsia="宋体"/>
                <w:sz w:val="20"/>
                <w:szCs w:val="20"/>
              </w:rPr>
              <w:t xml:space="preserve"> are provided by </w:t>
            </w:r>
            <w:r>
              <w:rPr>
                <w:rFonts w:eastAsia="宋体"/>
                <w:i/>
                <w:iCs/>
                <w:sz w:val="20"/>
                <w:szCs w:val="20"/>
              </w:rPr>
              <w:t>p0-Alpha-CLID-SRS-Set</w:t>
            </w:r>
            <w:r>
              <w:rPr>
                <w:rFonts w:eastAsia="宋体"/>
                <w:sz w:val="20"/>
                <w:szCs w:val="20"/>
              </w:rPr>
              <w:t xml:space="preserve"> associated with </w:t>
            </w:r>
            <w:r>
              <w:rPr>
                <w:rFonts w:eastAsia="宋体"/>
                <w:i/>
                <w:iCs/>
                <w:sz w:val="20"/>
                <w:szCs w:val="20"/>
              </w:rPr>
              <w:t>DLorJoint-TCIState</w:t>
            </w:r>
            <w:r>
              <w:rPr>
                <w:rFonts w:eastAsia="宋体"/>
                <w:sz w:val="20"/>
                <w:szCs w:val="20"/>
              </w:rPr>
              <w:t xml:space="preserve"> or </w:t>
            </w:r>
            <w:r>
              <w:rPr>
                <w:rFonts w:eastAsia="宋体"/>
                <w:i/>
                <w:iCs/>
                <w:sz w:val="20"/>
                <w:szCs w:val="20"/>
              </w:rPr>
              <w:t>UL-TCIState</w:t>
            </w:r>
            <w:r>
              <w:rPr>
                <w:rFonts w:eastAsia="宋体"/>
                <w:sz w:val="20"/>
                <w:szCs w:val="20"/>
              </w:rPr>
              <w:t xml:space="preserve"> of an SRS resource with lowest </w:t>
            </w:r>
            <w:r>
              <w:rPr>
                <w:rFonts w:eastAsia="宋体"/>
                <w:i/>
                <w:iCs/>
                <w:sz w:val="20"/>
                <w:szCs w:val="20"/>
              </w:rPr>
              <w:t>SRS-ResourceId</w:t>
            </w:r>
            <w:r>
              <w:rPr>
                <w:rFonts w:eastAsia="宋体"/>
                <w:sz w:val="20"/>
                <w:szCs w:val="20"/>
              </w:rPr>
              <w:t xml:space="preserve"> in the SRS resource set and a RS index </w:t>
            </w:r>
            <m:oMath>
              <m:sSub>
                <m:sSubPr>
                  <m:ctrlPr>
                    <w:rPr>
                      <w:rFonts w:ascii="Cambria Math" w:eastAsia="宋体" w:hAnsi="Cambria Math"/>
                      <w:iCs/>
                      <w:sz w:val="20"/>
                      <w:szCs w:val="20"/>
                      <w:lang w:val="zh-CN"/>
                    </w:rPr>
                  </m:ctrlPr>
                </m:sSubPr>
                <m:e>
                  <m:r>
                    <w:rPr>
                      <w:rFonts w:ascii="Cambria Math" w:eastAsia="宋体" w:hAnsi="Cambria Math"/>
                      <w:sz w:val="20"/>
                      <w:szCs w:val="20"/>
                      <w:lang w:val="zh-CN"/>
                    </w:rPr>
                    <m:t>q</m:t>
                  </m:r>
                </m:e>
                <m:sub>
                  <m:r>
                    <w:rPr>
                      <w:rFonts w:ascii="Cambria Math" w:eastAsia="宋体" w:hAnsi="Cambria Math"/>
                      <w:sz w:val="20"/>
                      <w:szCs w:val="20"/>
                      <w:lang w:val="zh-CN"/>
                    </w:rPr>
                    <m:t>d</m:t>
                  </m:r>
                </m:sub>
              </m:sSub>
            </m:oMath>
            <w:r>
              <w:rPr>
                <w:rFonts w:eastAsia="宋体"/>
                <w:iCs/>
                <w:sz w:val="20"/>
                <w:szCs w:val="20"/>
              </w:rPr>
              <w:t xml:space="preserve"> </w:t>
            </w:r>
            <w:r>
              <w:rPr>
                <w:rFonts w:eastAsia="宋体"/>
                <w:sz w:val="20"/>
                <w:szCs w:val="20"/>
              </w:rPr>
              <w:t xml:space="preserve">for obtaining a pathloss estimate for the SRS transmission is provided by PL-RS associated with or included in the </w:t>
            </w:r>
            <w:r>
              <w:rPr>
                <w:rFonts w:eastAsia="宋体"/>
                <w:strike/>
                <w:color w:val="FF0000"/>
                <w:sz w:val="20"/>
                <w:szCs w:val="20"/>
              </w:rPr>
              <w:t>indicated</w:t>
            </w:r>
            <w:r>
              <w:rPr>
                <w:rFonts w:eastAsia="宋体"/>
                <w:color w:val="FF0000"/>
                <w:sz w:val="20"/>
                <w:szCs w:val="20"/>
              </w:rPr>
              <w:t xml:space="preserve"> </w:t>
            </w:r>
            <w:r>
              <w:rPr>
                <w:rFonts w:eastAsia="宋体"/>
                <w:i/>
                <w:iCs/>
                <w:sz w:val="20"/>
                <w:szCs w:val="20"/>
              </w:rPr>
              <w:t>DLorJoint-TCIState</w:t>
            </w:r>
            <w:r>
              <w:rPr>
                <w:rFonts w:eastAsia="宋体"/>
                <w:sz w:val="20"/>
                <w:szCs w:val="20"/>
              </w:rPr>
              <w:t xml:space="preserve"> or </w:t>
            </w:r>
            <w:r>
              <w:rPr>
                <w:rFonts w:eastAsia="宋体"/>
                <w:i/>
                <w:iCs/>
                <w:sz w:val="20"/>
                <w:szCs w:val="20"/>
              </w:rPr>
              <w:t>UL-TCIState</w:t>
            </w:r>
            <w:r>
              <w:rPr>
                <w:rFonts w:eastAsia="宋体"/>
                <w:sz w:val="20"/>
                <w:szCs w:val="20"/>
              </w:rPr>
              <w:t xml:space="preserve"> of an SRS resource with lowest </w:t>
            </w:r>
            <w:r>
              <w:rPr>
                <w:rFonts w:eastAsia="宋体"/>
                <w:i/>
                <w:iCs/>
                <w:sz w:val="20"/>
                <w:szCs w:val="20"/>
              </w:rPr>
              <w:t>SRS-ResourceId</w:t>
            </w:r>
            <w:r>
              <w:rPr>
                <w:rFonts w:eastAsia="宋体"/>
                <w:sz w:val="20"/>
                <w:szCs w:val="20"/>
              </w:rPr>
              <w:t xml:space="preserve"> in the SRS resource set</w:t>
            </w:r>
          </w:p>
          <w:p w14:paraId="5CBA7520" w14:textId="77777777" w:rsidR="006303A1" w:rsidRDefault="00A53935">
            <w:pPr>
              <w:autoSpaceDE w:val="0"/>
              <w:autoSpaceDN w:val="0"/>
              <w:adjustRightInd w:val="0"/>
              <w:snapToGrid w:val="0"/>
              <w:spacing w:afterLines="50" w:after="182"/>
              <w:jc w:val="center"/>
              <w:rPr>
                <w:rFonts w:eastAsia="宋体"/>
                <w:color w:val="FF0000"/>
                <w:sz w:val="20"/>
                <w:szCs w:val="20"/>
                <w:lang w:eastAsia="zh-CN"/>
              </w:rPr>
            </w:pPr>
            <w:r>
              <w:rPr>
                <w:rFonts w:eastAsia="宋体"/>
                <w:color w:val="FF0000"/>
                <w:sz w:val="20"/>
                <w:szCs w:val="20"/>
                <w:lang w:eastAsia="zh-CN"/>
              </w:rPr>
              <w:t xml:space="preserve">&lt; </w:t>
            </w:r>
            <w:r>
              <w:rPr>
                <w:rFonts w:eastAsia="宋体"/>
                <w:color w:val="FF0000"/>
                <w:sz w:val="20"/>
                <w:szCs w:val="20"/>
              </w:rPr>
              <w:t>Unchanged parts are omitted</w:t>
            </w:r>
            <w:r>
              <w:rPr>
                <w:rFonts w:eastAsia="宋体"/>
                <w:color w:val="FF0000"/>
                <w:sz w:val="20"/>
                <w:szCs w:val="20"/>
                <w:lang w:eastAsia="zh-CN"/>
              </w:rPr>
              <w:t xml:space="preserve"> &gt;</w:t>
            </w:r>
          </w:p>
        </w:tc>
      </w:tr>
    </w:tbl>
    <w:p w14:paraId="5358F78B" w14:textId="77777777" w:rsidR="006303A1" w:rsidRDefault="006303A1"/>
    <w:p w14:paraId="171D8091" w14:textId="77777777" w:rsidR="006303A1" w:rsidRDefault="00A53935">
      <w:pPr>
        <w:pStyle w:val="Heading3"/>
        <w:rPr>
          <w:lang w:eastAsia="zh-CN"/>
        </w:rPr>
      </w:pPr>
      <w:r>
        <w:rPr>
          <w:b/>
          <w:bCs/>
          <w:lang w:eastAsia="zh-CN"/>
        </w:rPr>
        <w:t>TP#</w:t>
      </w:r>
      <w:r>
        <w:rPr>
          <w:rFonts w:hint="eastAsia"/>
          <w:b/>
          <w:bCs/>
          <w:lang w:eastAsia="zh-CN"/>
        </w:rPr>
        <w:t>1-13 in TS38.213</w:t>
      </w:r>
    </w:p>
    <w:p w14:paraId="61D9F1D2" w14:textId="77777777" w:rsidR="006303A1" w:rsidRDefault="00A53935">
      <w:pPr>
        <w:spacing w:before="120" w:after="60" w:line="260" w:lineRule="auto"/>
        <w:rPr>
          <w:b/>
          <w:bCs/>
          <w:sz w:val="18"/>
          <w:szCs w:val="18"/>
          <w:u w:val="single"/>
          <w:lang w:val="en-GB" w:eastAsia="zh-CN"/>
        </w:rPr>
      </w:pPr>
      <w:r>
        <w:rPr>
          <w:rFonts w:hint="eastAsia"/>
          <w:b/>
          <w:bCs/>
          <w:sz w:val="18"/>
          <w:szCs w:val="18"/>
          <w:u w:val="single"/>
          <w:lang w:val="en-GB" w:eastAsia="zh-CN"/>
        </w:rPr>
        <w:t>Reason of change:</w:t>
      </w:r>
    </w:p>
    <w:p w14:paraId="011EF982" w14:textId="77777777" w:rsidR="006303A1" w:rsidRDefault="00A53935">
      <w:pPr>
        <w:rPr>
          <w:sz w:val="20"/>
          <w:szCs w:val="20"/>
          <w:lang w:eastAsia="zh-CN"/>
        </w:rPr>
      </w:pPr>
      <w:r>
        <w:rPr>
          <w:rFonts w:hint="eastAsia"/>
          <w:sz w:val="20"/>
          <w:szCs w:val="20"/>
          <w:lang w:eastAsia="zh-CN"/>
        </w:rPr>
        <w:t xml:space="preserve">The current spec does not well capture the following agreements. </w:t>
      </w:r>
    </w:p>
    <w:tbl>
      <w:tblPr>
        <w:tblStyle w:val="TableGrid"/>
        <w:tblW w:w="0" w:type="auto"/>
        <w:tblLook w:val="04A0" w:firstRow="1" w:lastRow="0" w:firstColumn="1" w:lastColumn="0" w:noHBand="0" w:noVBand="1"/>
      </w:tblPr>
      <w:tblGrid>
        <w:gridCol w:w="9926"/>
      </w:tblGrid>
      <w:tr w:rsidR="006303A1" w14:paraId="2E73D9F8" w14:textId="77777777">
        <w:tc>
          <w:tcPr>
            <w:tcW w:w="10152" w:type="dxa"/>
          </w:tcPr>
          <w:p w14:paraId="1C569924" w14:textId="77777777" w:rsidR="006303A1" w:rsidRPr="00EF0E09" w:rsidRDefault="00A53935">
            <w:pPr>
              <w:rPr>
                <w:rFonts w:ascii="Times New Roman" w:hAnsi="Times New Roman" w:cs="Times New Roman"/>
                <w:sz w:val="20"/>
                <w:szCs w:val="20"/>
              </w:rPr>
            </w:pPr>
            <w:r w:rsidRPr="00EF0E09">
              <w:rPr>
                <w:rFonts w:ascii="Times New Roman" w:hAnsi="Times New Roman" w:cs="Times New Roman"/>
                <w:sz w:val="20"/>
                <w:szCs w:val="20"/>
              </w:rPr>
              <w:t xml:space="preserve">In RAN1#107-e and </w:t>
            </w:r>
            <w:r w:rsidRPr="00EF0E09">
              <w:rPr>
                <w:rFonts w:ascii="Times New Roman" w:hAnsi="Times New Roman" w:cs="Times New Roman"/>
                <w:sz w:val="20"/>
                <w:szCs w:val="20"/>
                <w:lang w:eastAsia="zh-CN"/>
              </w:rPr>
              <w:t xml:space="preserve">RAN1#108-e </w:t>
            </w:r>
            <w:r w:rsidRPr="00EF0E09">
              <w:rPr>
                <w:rFonts w:ascii="Times New Roman" w:hAnsi="Times New Roman" w:cs="Times New Roman"/>
                <w:sz w:val="20"/>
                <w:szCs w:val="20"/>
              </w:rPr>
              <w:t>meetings, following agreements were achieved for Rel-17 unified TCI.</w:t>
            </w:r>
          </w:p>
          <w:p w14:paraId="413DB44D" w14:textId="77777777" w:rsidR="006303A1" w:rsidRPr="00EF0E09" w:rsidRDefault="00A53935">
            <w:pPr>
              <w:snapToGrid w:val="0"/>
              <w:rPr>
                <w:rFonts w:ascii="Times New Roman" w:hAnsi="Times New Roman" w:cs="Times New Roman"/>
                <w:sz w:val="20"/>
                <w:szCs w:val="20"/>
              </w:rPr>
            </w:pPr>
            <w:r w:rsidRPr="00EF0E09">
              <w:rPr>
                <w:rStyle w:val="Strong"/>
                <w:rFonts w:ascii="Times New Roman" w:hAnsi="Times New Roman" w:cs="Times New Roman"/>
                <w:sz w:val="20"/>
                <w:szCs w:val="20"/>
                <w:highlight w:val="green"/>
              </w:rPr>
              <w:t>Agreement</w:t>
            </w:r>
          </w:p>
          <w:p w14:paraId="773AB21E" w14:textId="77777777" w:rsidR="006303A1" w:rsidRPr="00EF0E09" w:rsidRDefault="00A53935">
            <w:pPr>
              <w:snapToGrid w:val="0"/>
              <w:rPr>
                <w:rFonts w:ascii="Times New Roman" w:hAnsi="Times New Roman" w:cs="Times New Roman"/>
                <w:sz w:val="20"/>
                <w:szCs w:val="20"/>
              </w:rPr>
            </w:pPr>
            <w:r w:rsidRPr="00EF0E09">
              <w:rPr>
                <w:rFonts w:ascii="Times New Roman" w:hAnsi="Times New Roman" w:cs="Times New Roman"/>
                <w:sz w:val="20"/>
                <w:szCs w:val="20"/>
              </w:rPr>
              <w:t xml:space="preserve">On Rel-17 unified TCI framework, for intra-cell beam management, after X symbols from the UE receives the BFRR from NW, the UE assumes the same QCL parameter as the ones associated with the index q </w:t>
            </w:r>
            <w:r w:rsidRPr="00EF0E09">
              <w:rPr>
                <w:rFonts w:ascii="Times New Roman" w:hAnsi="Times New Roman" w:cs="Times New Roman"/>
                <w:sz w:val="20"/>
                <w:szCs w:val="20"/>
                <w:vertAlign w:val="subscript"/>
              </w:rPr>
              <w:t xml:space="preserve">new </w:t>
            </w:r>
            <w:r w:rsidRPr="00EF0E09">
              <w:rPr>
                <w:rFonts w:ascii="Times New Roman" w:hAnsi="Times New Roman" w:cs="Times New Roman"/>
                <w:sz w:val="20"/>
                <w:szCs w:val="20"/>
              </w:rPr>
              <w:t>for all PDSCH /PDCCH receptions in a CC, as well as other signals/channels configured to sharing the same indicated Rel-17 TCI state as PDSCH /PDCCH reception.</w:t>
            </w:r>
          </w:p>
          <w:p w14:paraId="21D01DA4" w14:textId="77777777" w:rsidR="006303A1" w:rsidRPr="00EF0E09" w:rsidRDefault="00A53935">
            <w:pPr>
              <w:pStyle w:val="NormalWeb"/>
              <w:numPr>
                <w:ilvl w:val="0"/>
                <w:numId w:val="12"/>
              </w:numPr>
              <w:spacing w:before="0" w:after="0"/>
              <w:rPr>
                <w:rFonts w:ascii="Times New Roman" w:hAnsi="Times New Roman" w:cs="Times New Roman"/>
                <w:sz w:val="20"/>
                <w:szCs w:val="20"/>
              </w:rPr>
            </w:pPr>
            <w:r w:rsidRPr="00EF0E09">
              <w:rPr>
                <w:rFonts w:ascii="Times New Roman" w:hAnsi="Times New Roman" w:cs="Times New Roman"/>
                <w:sz w:val="20"/>
                <w:szCs w:val="20"/>
              </w:rPr>
              <w:t xml:space="preserve">The above applies to Rel-15 SpCell BFR , Rel-16 CBRA based SpCell BFR , and Rel-16 SCell BFR </w:t>
            </w:r>
          </w:p>
          <w:p w14:paraId="480DD00E" w14:textId="77777777" w:rsidR="006303A1" w:rsidRPr="00EF0E09" w:rsidRDefault="00A53935">
            <w:pPr>
              <w:pStyle w:val="NormalWeb"/>
              <w:numPr>
                <w:ilvl w:val="0"/>
                <w:numId w:val="12"/>
              </w:numPr>
              <w:spacing w:before="0" w:after="0"/>
              <w:rPr>
                <w:rFonts w:ascii="Times New Roman" w:hAnsi="Times New Roman" w:cs="Times New Roman"/>
                <w:sz w:val="20"/>
                <w:szCs w:val="20"/>
              </w:rPr>
            </w:pPr>
            <w:r w:rsidRPr="00EF0E09">
              <w:rPr>
                <w:rFonts w:ascii="Times New Roman" w:hAnsi="Times New Roman" w:cs="Times New Roman"/>
                <w:sz w:val="20"/>
                <w:szCs w:val="20"/>
              </w:rPr>
              <w:t xml:space="preserve">Note: q </w:t>
            </w:r>
            <w:r w:rsidRPr="00EF0E09">
              <w:rPr>
                <w:rFonts w:ascii="Times New Roman" w:hAnsi="Times New Roman" w:cs="Times New Roman"/>
                <w:sz w:val="20"/>
                <w:szCs w:val="20"/>
                <w:vertAlign w:val="subscript"/>
              </w:rPr>
              <w:t xml:space="preserve">new </w:t>
            </w:r>
            <w:r w:rsidRPr="00EF0E09">
              <w:rPr>
                <w:rFonts w:ascii="Times New Roman" w:hAnsi="Times New Roman" w:cs="Times New Roman"/>
                <w:sz w:val="20"/>
                <w:szCs w:val="20"/>
              </w:rPr>
              <w:t>is a candidate beam identified by the UE in set q</w:t>
            </w:r>
            <w:r w:rsidRPr="00EF0E09">
              <w:rPr>
                <w:rFonts w:ascii="Times New Roman" w:hAnsi="Times New Roman" w:cs="Times New Roman"/>
                <w:sz w:val="20"/>
                <w:szCs w:val="20"/>
                <w:vertAlign w:val="subscript"/>
              </w:rPr>
              <w:t>1</w:t>
            </w:r>
            <w:r w:rsidRPr="00EF0E09">
              <w:rPr>
                <w:rFonts w:ascii="Times New Roman" w:hAnsi="Times New Roman" w:cs="Times New Roman"/>
                <w:sz w:val="20"/>
                <w:szCs w:val="20"/>
              </w:rPr>
              <w:t>. q</w:t>
            </w:r>
            <w:r w:rsidRPr="00EF0E09">
              <w:rPr>
                <w:rFonts w:ascii="Times New Roman" w:hAnsi="Times New Roman" w:cs="Times New Roman"/>
                <w:sz w:val="20"/>
                <w:szCs w:val="20"/>
                <w:vertAlign w:val="subscript"/>
              </w:rPr>
              <w:t xml:space="preserve">1 </w:t>
            </w:r>
            <w:r w:rsidRPr="00EF0E09">
              <w:rPr>
                <w:rFonts w:ascii="Times New Roman" w:hAnsi="Times New Roman" w:cs="Times New Roman"/>
                <w:sz w:val="20"/>
                <w:szCs w:val="20"/>
              </w:rPr>
              <w:t>is the set of candidate beams</w:t>
            </w:r>
          </w:p>
          <w:p w14:paraId="54F37AC2" w14:textId="77777777" w:rsidR="006303A1" w:rsidRPr="00EF0E09" w:rsidRDefault="006303A1">
            <w:pPr>
              <w:rPr>
                <w:rFonts w:ascii="Times New Roman" w:hAnsi="Times New Roman" w:cs="Times New Roman"/>
                <w:sz w:val="20"/>
                <w:szCs w:val="20"/>
                <w:lang w:eastAsia="zh-CN"/>
              </w:rPr>
            </w:pPr>
          </w:p>
          <w:p w14:paraId="1BB93DDE" w14:textId="77777777" w:rsidR="006303A1" w:rsidRPr="00EF0E09" w:rsidRDefault="00A53935">
            <w:pPr>
              <w:rPr>
                <w:rFonts w:ascii="Times New Roman" w:hAnsi="Times New Roman" w:cs="Times New Roman"/>
                <w:sz w:val="20"/>
                <w:szCs w:val="20"/>
                <w:lang w:eastAsia="zh-CN"/>
              </w:rPr>
            </w:pPr>
            <w:r w:rsidRPr="00EF0E09">
              <w:rPr>
                <w:rFonts w:ascii="Times New Roman" w:hAnsi="Times New Roman" w:cs="Times New Roman"/>
                <w:sz w:val="20"/>
                <w:szCs w:val="20"/>
                <w:highlight w:val="green"/>
                <w:lang w:eastAsia="zh-CN"/>
              </w:rPr>
              <w:t>Agreement</w:t>
            </w:r>
          </w:p>
          <w:p w14:paraId="2C873BE0" w14:textId="77777777" w:rsidR="006303A1" w:rsidRPr="00EF0E09" w:rsidRDefault="00A53935">
            <w:pPr>
              <w:rPr>
                <w:rFonts w:ascii="Times New Roman" w:hAnsi="Times New Roman" w:cs="Times New Roman"/>
                <w:sz w:val="20"/>
                <w:szCs w:val="20"/>
                <w:lang w:eastAsia="zh-CN"/>
              </w:rPr>
            </w:pPr>
            <w:r w:rsidRPr="00EF0E09">
              <w:rPr>
                <w:rFonts w:ascii="Times New Roman" w:hAnsi="Times New Roman" w:cs="Times New Roman"/>
                <w:sz w:val="20"/>
                <w:szCs w:val="20"/>
                <w:lang w:eastAsia="zh-CN"/>
              </w:rPr>
              <w:t>The reply LS to RAN2 on feMIMO RRC parameters is endorsed in R1-2202720.</w:t>
            </w:r>
          </w:p>
          <w:p w14:paraId="5B10CC20" w14:textId="77777777" w:rsidR="006303A1" w:rsidRDefault="00A53935">
            <w:pPr>
              <w:rPr>
                <w:sz w:val="20"/>
                <w:szCs w:val="20"/>
                <w:lang w:eastAsia="zh-CN"/>
              </w:rPr>
            </w:pPr>
            <w:r w:rsidRPr="00EF0E09">
              <w:rPr>
                <w:rFonts w:ascii="Times New Roman" w:hAnsi="Times New Roman" w:cs="Times New Roman"/>
                <w:sz w:val="20"/>
                <w:szCs w:val="20"/>
                <w:lang w:eastAsia="zh-CN"/>
              </w:rPr>
              <w:lastRenderedPageBreak/>
              <w:t>In R1-2202720, RAN1 confirmed that“QCL per an aperiodic resource set is currently configured i.e. all resource within NZP-CSI-RS resource set follow unified TCI state in DCI”.</w:t>
            </w:r>
            <w:r>
              <w:rPr>
                <w:sz w:val="20"/>
                <w:szCs w:val="20"/>
                <w:lang w:eastAsia="zh-CN"/>
              </w:rPr>
              <w:t xml:space="preserve"> </w:t>
            </w:r>
          </w:p>
        </w:tc>
      </w:tr>
    </w:tbl>
    <w:p w14:paraId="2D7DB99D" w14:textId="77777777" w:rsidR="006303A1" w:rsidRDefault="00A53935">
      <w:pPr>
        <w:rPr>
          <w:sz w:val="20"/>
          <w:szCs w:val="20"/>
          <w:lang w:eastAsia="zh-CN"/>
        </w:rPr>
      </w:pPr>
      <w:r>
        <w:rPr>
          <w:rFonts w:hint="eastAsia"/>
          <w:sz w:val="20"/>
          <w:szCs w:val="20"/>
          <w:lang w:eastAsia="zh-CN"/>
        </w:rPr>
        <w:lastRenderedPageBreak/>
        <w:t>The agreements above mean that all resources in an aperiodic CSI-RS resource set should share same indicated TCI state as for the PDCCH and PDSCH for Rel-17 unified TCI.</w:t>
      </w:r>
    </w:p>
    <w:p w14:paraId="4B46908E" w14:textId="77777777" w:rsidR="006303A1" w:rsidRDefault="00A53935">
      <w:pPr>
        <w:rPr>
          <w:sz w:val="20"/>
          <w:szCs w:val="20"/>
          <w:lang w:eastAsia="zh-CN"/>
        </w:rPr>
      </w:pPr>
      <w:r>
        <w:rPr>
          <w:rFonts w:hint="eastAsia"/>
          <w:sz w:val="20"/>
          <w:szCs w:val="20"/>
          <w:lang w:eastAsia="zh-CN"/>
        </w:rPr>
        <w:t xml:space="preserve">However, the above agreements are not accurately captured in Clause 6 of 3GPP TS38.213 v17.1.0, e.g., the resources that can share a same indicated TCI state as for the PDCCH and PDSCH are defined as </w:t>
      </w:r>
      <w:r>
        <w:rPr>
          <w:rFonts w:hint="eastAsia"/>
          <w:sz w:val="20"/>
          <w:szCs w:val="20"/>
          <w:lang w:eastAsia="zh-CN"/>
        </w:rPr>
        <w:t>“</w:t>
      </w:r>
      <w:r>
        <w:rPr>
          <w:rFonts w:hint="eastAsia"/>
          <w:sz w:val="20"/>
          <w:szCs w:val="20"/>
          <w:lang w:eastAsia="zh-CN"/>
        </w:rPr>
        <w:t>aperiodic CSI-RS in a resource from a CSI-RS resource set</w:t>
      </w:r>
      <w:r>
        <w:rPr>
          <w:rFonts w:hint="eastAsia"/>
          <w:sz w:val="20"/>
          <w:szCs w:val="20"/>
          <w:lang w:eastAsia="zh-CN"/>
        </w:rPr>
        <w:t>”</w:t>
      </w:r>
      <w:r>
        <w:rPr>
          <w:rFonts w:hint="eastAsia"/>
          <w:sz w:val="20"/>
          <w:szCs w:val="20"/>
          <w:lang w:eastAsia="zh-CN"/>
        </w:rPr>
        <w:t xml:space="preserve">, or </w:t>
      </w:r>
      <w:r>
        <w:rPr>
          <w:rFonts w:hint="eastAsia"/>
          <w:sz w:val="20"/>
          <w:szCs w:val="20"/>
          <w:lang w:eastAsia="zh-CN"/>
        </w:rPr>
        <w:t>“</w:t>
      </w:r>
      <w:r>
        <w:rPr>
          <w:rFonts w:hint="eastAsia"/>
          <w:sz w:val="20"/>
          <w:szCs w:val="20"/>
          <w:lang w:eastAsia="zh-CN"/>
        </w:rPr>
        <w:t>aperiodic CSI-RS resource in a CSI-RS resource set</w:t>
      </w:r>
      <w:r>
        <w:rPr>
          <w:rFonts w:hint="eastAsia"/>
          <w:sz w:val="20"/>
          <w:szCs w:val="20"/>
          <w:lang w:eastAsia="zh-CN"/>
        </w:rPr>
        <w:t>”</w:t>
      </w:r>
      <w:r>
        <w:rPr>
          <w:rFonts w:hint="eastAsia"/>
          <w:sz w:val="20"/>
          <w:szCs w:val="20"/>
          <w:lang w:eastAsia="zh-CN"/>
        </w:rPr>
        <w:t xml:space="preserve">. This kind of descriptions may lead to different understandings. </w:t>
      </w:r>
    </w:p>
    <w:p w14:paraId="6D246D3A" w14:textId="77777777" w:rsidR="006303A1" w:rsidRDefault="00A53935">
      <w:pPr>
        <w:spacing w:before="120" w:after="60" w:line="260" w:lineRule="auto"/>
        <w:rPr>
          <w:b/>
          <w:bCs/>
          <w:sz w:val="18"/>
          <w:szCs w:val="18"/>
          <w:u w:val="single"/>
          <w:lang w:val="en-GB" w:eastAsia="zh-CN"/>
        </w:rPr>
      </w:pPr>
      <w:r>
        <w:rPr>
          <w:rFonts w:hint="eastAsia"/>
          <w:b/>
          <w:bCs/>
          <w:sz w:val="18"/>
          <w:szCs w:val="18"/>
          <w:u w:val="single"/>
          <w:lang w:eastAsia="zh-CN"/>
        </w:rPr>
        <w:t>Summary of change</w:t>
      </w:r>
      <w:r>
        <w:rPr>
          <w:rFonts w:hint="eastAsia"/>
          <w:b/>
          <w:bCs/>
          <w:sz w:val="18"/>
          <w:szCs w:val="18"/>
          <w:u w:val="single"/>
          <w:lang w:val="en-GB" w:eastAsia="zh-CN"/>
        </w:rPr>
        <w:t>:</w:t>
      </w:r>
    </w:p>
    <w:p w14:paraId="297F3B83" w14:textId="77777777" w:rsidR="006303A1" w:rsidRDefault="00A53935">
      <w:pPr>
        <w:spacing w:before="120" w:after="60" w:line="260" w:lineRule="auto"/>
        <w:rPr>
          <w:b/>
          <w:bCs/>
          <w:sz w:val="18"/>
          <w:szCs w:val="18"/>
          <w:u w:val="single"/>
          <w:lang w:eastAsia="zh-CN"/>
        </w:rPr>
      </w:pPr>
      <w:r>
        <w:rPr>
          <w:rFonts w:hint="eastAsia"/>
          <w:sz w:val="20"/>
          <w:szCs w:val="20"/>
          <w:lang w:eastAsia="zh-CN"/>
        </w:rPr>
        <w:t xml:space="preserve">Clarify that the CSI-RS should be aperiodic CSI-RS resource in a CSI-RS resource set. </w:t>
      </w:r>
    </w:p>
    <w:p w14:paraId="111AEABB" w14:textId="77777777" w:rsidR="006303A1" w:rsidRDefault="00A53935">
      <w:pPr>
        <w:spacing w:before="120" w:after="60" w:line="260" w:lineRule="auto"/>
        <w:rPr>
          <w:b/>
          <w:bCs/>
          <w:sz w:val="18"/>
          <w:szCs w:val="18"/>
          <w:u w:val="single"/>
          <w:lang w:val="en-GB" w:eastAsia="zh-CN"/>
        </w:rPr>
      </w:pPr>
      <w:r>
        <w:rPr>
          <w:rFonts w:hint="eastAsia"/>
          <w:b/>
          <w:bCs/>
          <w:sz w:val="18"/>
          <w:szCs w:val="18"/>
          <w:u w:val="single"/>
          <w:lang w:val="en-GB" w:eastAsia="zh-CN"/>
        </w:rPr>
        <w:t xml:space="preserve">Consequence </w:t>
      </w:r>
      <w:r>
        <w:rPr>
          <w:rFonts w:hint="eastAsia"/>
          <w:b/>
          <w:bCs/>
          <w:sz w:val="18"/>
          <w:szCs w:val="18"/>
          <w:u w:val="single"/>
          <w:lang w:eastAsia="zh-CN"/>
        </w:rPr>
        <w:t>if not approved</w:t>
      </w:r>
      <w:r>
        <w:rPr>
          <w:rFonts w:hint="eastAsia"/>
          <w:b/>
          <w:bCs/>
          <w:sz w:val="18"/>
          <w:szCs w:val="18"/>
          <w:u w:val="single"/>
          <w:lang w:val="en-GB" w:eastAsia="zh-CN"/>
        </w:rPr>
        <w:t>:</w:t>
      </w:r>
    </w:p>
    <w:p w14:paraId="50ABCF1D" w14:textId="7A9DDE6E" w:rsidR="006303A1" w:rsidRDefault="00AD0A7C">
      <w:pPr>
        <w:rPr>
          <w:rFonts w:eastAsia="宋体"/>
          <w:b/>
          <w:sz w:val="18"/>
          <w:szCs w:val="18"/>
          <w:u w:val="single"/>
          <w:lang w:eastAsia="zh-CN"/>
        </w:rPr>
      </w:pPr>
      <w:r>
        <w:rPr>
          <w:sz w:val="20"/>
          <w:szCs w:val="20"/>
          <w:lang w:eastAsia="zh-CN"/>
        </w:rPr>
        <w:t>The spec</w:t>
      </w:r>
      <w:r>
        <w:rPr>
          <w:rFonts w:hint="eastAsia"/>
          <w:sz w:val="20"/>
          <w:szCs w:val="20"/>
          <w:lang w:eastAsia="zh-CN"/>
        </w:rPr>
        <w:t xml:space="preserve"> may lead to different understandings</w:t>
      </w:r>
      <w:r w:rsidR="00A53935">
        <w:rPr>
          <w:rFonts w:hint="eastAsia"/>
          <w:sz w:val="20"/>
          <w:szCs w:val="20"/>
          <w:lang w:eastAsia="zh-CN"/>
        </w:rPr>
        <w:t>.</w:t>
      </w:r>
    </w:p>
    <w:p w14:paraId="6A357ACD" w14:textId="77777777" w:rsidR="006303A1" w:rsidRDefault="006303A1">
      <w:pPr>
        <w:snapToGrid w:val="0"/>
        <w:rPr>
          <w:rFonts w:eastAsia="Malgun Gothic"/>
          <w:b/>
          <w:sz w:val="18"/>
          <w:szCs w:val="18"/>
          <w:u w:val="single"/>
        </w:rPr>
      </w:pPr>
    </w:p>
    <w:p w14:paraId="20B50090" w14:textId="77777777" w:rsidR="006303A1" w:rsidRDefault="00A53935">
      <w:pPr>
        <w:snapToGrid w:val="0"/>
        <w:rPr>
          <w:rFonts w:eastAsia="Malgun Gothic"/>
          <w:b/>
          <w:sz w:val="20"/>
          <w:szCs w:val="20"/>
          <w:u w:val="single"/>
        </w:rPr>
      </w:pPr>
      <w:r>
        <w:rPr>
          <w:rFonts w:eastAsia="Malgun Gothic"/>
          <w:b/>
          <w:sz w:val="20"/>
          <w:szCs w:val="20"/>
          <w:u w:val="single"/>
        </w:rPr>
        <w:t>TP 1-13</w:t>
      </w:r>
      <w:r>
        <w:rPr>
          <w:sz w:val="20"/>
          <w:szCs w:val="20"/>
          <w:lang w:val="en-GB"/>
        </w:rPr>
        <w:t>: To endorse the following text proposal for TS 38.213:</w:t>
      </w:r>
    </w:p>
    <w:tbl>
      <w:tblPr>
        <w:tblW w:w="10054" w:type="dxa"/>
        <w:tblCellMar>
          <w:left w:w="10" w:type="dxa"/>
          <w:right w:w="10" w:type="dxa"/>
        </w:tblCellMar>
        <w:tblLook w:val="04A0" w:firstRow="1" w:lastRow="0" w:firstColumn="1" w:lastColumn="0" w:noHBand="0" w:noVBand="1"/>
      </w:tblPr>
      <w:tblGrid>
        <w:gridCol w:w="10054"/>
      </w:tblGrid>
      <w:tr w:rsidR="006303A1" w14:paraId="2D13AB0A" w14:textId="77777777">
        <w:trPr>
          <w:trHeight w:val="48"/>
        </w:trPr>
        <w:tc>
          <w:tcPr>
            <w:tcW w:w="100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E351FA" w14:textId="77777777" w:rsidR="006303A1" w:rsidRDefault="00A53935">
            <w:pPr>
              <w:numPr>
                <w:ilvl w:val="255"/>
                <w:numId w:val="0"/>
              </w:numPr>
              <w:rPr>
                <w:rFonts w:cs="Times"/>
                <w:b/>
                <w:bCs/>
                <w:sz w:val="20"/>
                <w:szCs w:val="20"/>
                <w:u w:val="single"/>
              </w:rPr>
            </w:pPr>
            <w:bookmarkStart w:id="3" w:name="_Toc29899157"/>
            <w:bookmarkStart w:id="4" w:name="_Toc29894858"/>
            <w:bookmarkStart w:id="5" w:name="_Ref491451763"/>
            <w:bookmarkStart w:id="6" w:name="_Toc20311598"/>
            <w:bookmarkStart w:id="7" w:name="_Toc29899575"/>
            <w:bookmarkStart w:id="8" w:name="_Toc99993834"/>
            <w:bookmarkStart w:id="9" w:name="_Toc36498186"/>
            <w:bookmarkStart w:id="10" w:name="_Toc29917312"/>
            <w:bookmarkStart w:id="11" w:name="_Toc12021486"/>
            <w:bookmarkStart w:id="12" w:name="_Toc45699213"/>
            <w:bookmarkStart w:id="13" w:name="_Toc26719423"/>
            <w:bookmarkStart w:id="14" w:name="_Ref491466492"/>
            <w:r>
              <w:rPr>
                <w:rFonts w:cs="Times"/>
                <w:b/>
                <w:bCs/>
                <w:sz w:val="20"/>
                <w:szCs w:val="20"/>
                <w:u w:val="single"/>
              </w:rPr>
              <w:t>6</w:t>
            </w:r>
            <w:r>
              <w:rPr>
                <w:rFonts w:cs="Times" w:hint="eastAsia"/>
                <w:b/>
                <w:bCs/>
                <w:sz w:val="20"/>
                <w:szCs w:val="20"/>
                <w:u w:val="single"/>
              </w:rPr>
              <w:tab/>
            </w:r>
            <w:bookmarkEnd w:id="3"/>
            <w:bookmarkEnd w:id="4"/>
            <w:bookmarkEnd w:id="5"/>
            <w:bookmarkEnd w:id="6"/>
            <w:bookmarkEnd w:id="7"/>
            <w:bookmarkEnd w:id="8"/>
            <w:bookmarkEnd w:id="9"/>
            <w:bookmarkEnd w:id="10"/>
            <w:bookmarkEnd w:id="11"/>
            <w:bookmarkEnd w:id="12"/>
            <w:bookmarkEnd w:id="13"/>
            <w:bookmarkEnd w:id="14"/>
            <w:r>
              <w:rPr>
                <w:rFonts w:cs="Times"/>
                <w:b/>
                <w:bCs/>
                <w:sz w:val="20"/>
                <w:szCs w:val="20"/>
                <w:u w:val="single"/>
              </w:rPr>
              <w:t>Link recovery procedures</w:t>
            </w:r>
          </w:p>
          <w:p w14:paraId="5DCCD077" w14:textId="77777777" w:rsidR="006303A1" w:rsidRDefault="00A53935">
            <w:pPr>
              <w:jc w:val="center"/>
              <w:rPr>
                <w:color w:val="FF0000"/>
                <w:sz w:val="20"/>
                <w:szCs w:val="20"/>
                <w:lang w:eastAsia="zh-CN"/>
              </w:rPr>
            </w:pPr>
            <w:r>
              <w:rPr>
                <w:color w:val="FF0000"/>
                <w:sz w:val="20"/>
                <w:szCs w:val="20"/>
                <w:lang w:eastAsia="zh-CN"/>
              </w:rPr>
              <w:t xml:space="preserve">&lt; </w:t>
            </w:r>
            <w:r>
              <w:rPr>
                <w:color w:val="FF0000"/>
                <w:sz w:val="20"/>
                <w:szCs w:val="20"/>
              </w:rPr>
              <w:t>Unchanged parts are omitted</w:t>
            </w:r>
            <w:r>
              <w:rPr>
                <w:color w:val="FF0000"/>
                <w:sz w:val="20"/>
                <w:szCs w:val="20"/>
                <w:lang w:eastAsia="zh-CN"/>
              </w:rPr>
              <w:t xml:space="preserve"> &gt;</w:t>
            </w:r>
          </w:p>
          <w:p w14:paraId="15664D9C" w14:textId="77777777" w:rsidR="006303A1" w:rsidRDefault="00A53935">
            <w:pPr>
              <w:tabs>
                <w:tab w:val="left" w:pos="2116"/>
              </w:tabs>
              <w:rPr>
                <w:sz w:val="20"/>
                <w:szCs w:val="20"/>
              </w:rPr>
            </w:pPr>
            <w:r>
              <w:rPr>
                <w:iCs/>
                <w:sz w:val="20"/>
                <w:szCs w:val="20"/>
              </w:rPr>
              <w:t xml:space="preserve">If a UE is provided </w:t>
            </w:r>
            <w:r>
              <w:rPr>
                <w:i/>
                <w:sz w:val="20"/>
                <w:szCs w:val="20"/>
              </w:rPr>
              <w:t>TCI-State_r17</w:t>
            </w:r>
            <w:r>
              <w:rPr>
                <w:iCs/>
                <w:sz w:val="20"/>
                <w:szCs w:val="20"/>
              </w:rPr>
              <w:t xml:space="preserve"> indicating a unified TCI state for the PCell or the PSCell [6, TS 38.214], after X symbols from a last symbol of </w:t>
            </w:r>
            <w:r>
              <w:rPr>
                <w:sz w:val="20"/>
                <w:szCs w:val="20"/>
              </w:rPr>
              <w:t xml:space="preserve">a first PDCCH reception in a search space set provided by </w:t>
            </w:r>
            <w:r>
              <w:rPr>
                <w:i/>
                <w:iCs/>
                <w:sz w:val="20"/>
                <w:szCs w:val="20"/>
              </w:rPr>
              <w:t>recoverySearchSpaceId</w:t>
            </w:r>
            <w:r>
              <w:rPr>
                <w:iCs/>
                <w:sz w:val="20"/>
                <w:szCs w:val="20"/>
              </w:rPr>
              <w:t xml:space="preserve"> </w:t>
            </w:r>
            <w:r>
              <w:rPr>
                <w:sz w:val="20"/>
                <w:szCs w:val="20"/>
              </w:rPr>
              <w:t>where the UE detects a DCI format with CRC scrambled by C-RNTI or MCS-C-RNTI, the UE</w:t>
            </w:r>
          </w:p>
          <w:p w14:paraId="10BC0E20" w14:textId="77777777" w:rsidR="006303A1" w:rsidRDefault="00A53935">
            <w:pPr>
              <w:pStyle w:val="B1"/>
              <w:rPr>
                <w:iCs/>
              </w:rPr>
            </w:pPr>
            <w:r>
              <w:t>-</w:t>
            </w:r>
            <w:r>
              <w:tab/>
              <w:t xml:space="preserve">if </w:t>
            </w:r>
            <w:r>
              <w:rPr>
                <w:i/>
                <w:iCs/>
              </w:rPr>
              <w:t>AdditionalPCIInfo</w:t>
            </w:r>
            <w:r>
              <w:t xml:space="preserve"> is not provided, monitors PDCCH in all CORESETs, and receives PDSCH and aperiodic CSI-RS </w:t>
            </w:r>
            <w:r>
              <w:rPr>
                <w:strike/>
                <w:color w:val="FF0000"/>
              </w:rPr>
              <w:t>in a</w:t>
            </w:r>
            <w:r>
              <w:rPr>
                <w:color w:val="FF0000"/>
              </w:rPr>
              <w:t xml:space="preserve"> </w:t>
            </w:r>
            <w:r>
              <w:t xml:space="preserve">resource </w:t>
            </w:r>
            <w:r>
              <w:rPr>
                <w:strike/>
                <w:color w:val="FF0000"/>
              </w:rPr>
              <w:t>from</w:t>
            </w:r>
            <w:r>
              <w:rPr>
                <w:color w:val="FF0000"/>
              </w:rPr>
              <w:t xml:space="preserve"> in </w:t>
            </w:r>
            <w:r>
              <w:t xml:space="preserve">a CSI-RS resource set with same indicated TCI state as for the PDCCH and PDSCH, using the </w:t>
            </w:r>
            <w:r>
              <w:rPr>
                <w:iCs/>
                <w:lang w:eastAsia="ja-JP"/>
              </w:rPr>
              <w:t xml:space="preserve">same antenna port quasi co-location parameters as the ones associated with the corresponding index </w:t>
            </w:r>
            <m:oMath>
              <m:sSub>
                <m:sSubPr>
                  <m:ctrlPr>
                    <w:rPr>
                      <w:rFonts w:ascii="Cambria Math" w:hAnsi="Cambria Math"/>
                      <w:i/>
                      <w:iCs/>
                    </w:rPr>
                  </m:ctrlPr>
                </m:sSubPr>
                <m:e>
                  <m:r>
                    <w:rPr>
                      <w:rFonts w:ascii="Cambria Math"/>
                    </w:rPr>
                    <m:t>q</m:t>
                  </m:r>
                </m:e>
                <m:sub>
                  <m:r>
                    <m:rPr>
                      <m:nor/>
                    </m:rPr>
                    <w:rPr>
                      <w:rFonts w:ascii="Cambria Math"/>
                      <w:iCs/>
                    </w:rPr>
                    <m:t>new</m:t>
                  </m:r>
                  <m:ctrlPr>
                    <w:rPr>
                      <w:rFonts w:ascii="Cambria Math" w:hAnsi="Cambria Math"/>
                      <w:iCs/>
                    </w:rPr>
                  </m:ctrlPr>
                </m:sub>
              </m:sSub>
            </m:oMath>
            <w:r>
              <w:rPr>
                <w:iCs/>
              </w:rPr>
              <w:t>, if any</w:t>
            </w:r>
          </w:p>
          <w:p w14:paraId="38244ED7" w14:textId="77777777" w:rsidR="006303A1" w:rsidRDefault="00A53935">
            <w:pPr>
              <w:pStyle w:val="B1"/>
            </w:pPr>
            <w:r>
              <w:t>-</w:t>
            </w:r>
            <w:r>
              <w:tab/>
              <w:t xml:space="preserve">transmits PUCCH, PUSCH and SRS that uses a same spatial domain filter with same indicated TCI state as for the PUCCH and the PUSCH, using a same spatial domain filter as </w:t>
            </w:r>
            <w:r>
              <w:rPr>
                <w:iCs/>
              </w:rPr>
              <w:t>for the last PRACH transmission</w:t>
            </w:r>
          </w:p>
          <w:p w14:paraId="63F15CDA" w14:textId="77777777" w:rsidR="006303A1" w:rsidRDefault="00A53935">
            <w:pPr>
              <w:jc w:val="center"/>
              <w:rPr>
                <w:color w:val="FF0000"/>
                <w:sz w:val="20"/>
                <w:szCs w:val="20"/>
                <w:lang w:eastAsia="zh-CN"/>
              </w:rPr>
            </w:pPr>
            <w:r>
              <w:rPr>
                <w:color w:val="FF0000"/>
                <w:sz w:val="20"/>
                <w:szCs w:val="20"/>
                <w:lang w:eastAsia="zh-CN"/>
              </w:rPr>
              <w:t xml:space="preserve">&lt; </w:t>
            </w:r>
            <w:r>
              <w:rPr>
                <w:color w:val="FF0000"/>
                <w:sz w:val="20"/>
                <w:szCs w:val="20"/>
              </w:rPr>
              <w:t>Unchanged parts are omitted</w:t>
            </w:r>
            <w:r>
              <w:rPr>
                <w:color w:val="FF0000"/>
                <w:sz w:val="20"/>
                <w:szCs w:val="20"/>
                <w:lang w:eastAsia="zh-CN"/>
              </w:rPr>
              <w:t xml:space="preserve"> &gt;</w:t>
            </w:r>
          </w:p>
          <w:p w14:paraId="3D8413BA" w14:textId="77777777" w:rsidR="006303A1" w:rsidRDefault="00A53935">
            <w:pPr>
              <w:tabs>
                <w:tab w:val="left" w:pos="2116"/>
              </w:tabs>
              <w:rPr>
                <w:sz w:val="20"/>
                <w:szCs w:val="20"/>
              </w:rPr>
            </w:pPr>
            <w:r>
              <w:rPr>
                <w:iCs/>
                <w:sz w:val="20"/>
                <w:szCs w:val="20"/>
              </w:rPr>
              <w:t xml:space="preserve">If a UE is provided </w:t>
            </w:r>
            <w:r>
              <w:rPr>
                <w:i/>
                <w:sz w:val="20"/>
                <w:szCs w:val="20"/>
              </w:rPr>
              <w:t>TCI-State_r17</w:t>
            </w:r>
            <w:r>
              <w:rPr>
                <w:iCs/>
                <w:sz w:val="20"/>
                <w:szCs w:val="20"/>
              </w:rPr>
              <w:t xml:space="preserve"> indicating a unified TCI state for the PCell or the PSCell and </w:t>
            </w:r>
            <w:r>
              <w:rPr>
                <w:iCs/>
                <w:sz w:val="20"/>
                <w:szCs w:val="20"/>
                <w:lang w:eastAsia="ja-JP"/>
              </w:rPr>
              <w:t>the UE provides BFR MAC CE in Msg3 or MsgA of contention based random access procedure</w:t>
            </w:r>
            <w:r>
              <w:rPr>
                <w:rFonts w:hint="eastAsia"/>
                <w:iCs/>
                <w:sz w:val="20"/>
                <w:szCs w:val="20"/>
              </w:rPr>
              <w:t>,</w:t>
            </w:r>
            <w:r>
              <w:rPr>
                <w:iCs/>
                <w:sz w:val="20"/>
                <w:szCs w:val="20"/>
              </w:rPr>
              <w:t xml:space="preserve"> after X symbols </w:t>
            </w:r>
            <w:r>
              <w:rPr>
                <w:iCs/>
                <w:sz w:val="20"/>
                <w:szCs w:val="20"/>
                <w:lang w:eastAsia="ja-JP"/>
              </w:rPr>
              <w:t>from the last symbol of the PDCCH reception that determines the completion of the contention based random access procedure as described in [11, TS 38.321]</w:t>
            </w:r>
            <w:r>
              <w:rPr>
                <w:sz w:val="20"/>
                <w:szCs w:val="20"/>
              </w:rPr>
              <w:t>, the UE</w:t>
            </w:r>
          </w:p>
          <w:p w14:paraId="0EF59C11" w14:textId="77777777" w:rsidR="006303A1" w:rsidRDefault="00A53935">
            <w:pPr>
              <w:pStyle w:val="B1"/>
              <w:rPr>
                <w:iCs/>
              </w:rPr>
            </w:pPr>
            <w:r>
              <w:t>-</w:t>
            </w:r>
            <w:r>
              <w:tab/>
              <w:t xml:space="preserve">if </w:t>
            </w:r>
            <w:r>
              <w:rPr>
                <w:i/>
                <w:iCs/>
              </w:rPr>
              <w:t>AdditionalPCIInfo</w:t>
            </w:r>
            <w:r>
              <w:t xml:space="preserve"> is not provided, monitors PDCCH in all CORESETs, and receives PDSCH and aperiodic CSI-RS resource in a CSI-RS resource set with same indicated TCI state as for the PDCCH and PDSCH using the </w:t>
            </w:r>
            <w:r>
              <w:rPr>
                <w:iCs/>
                <w:lang w:eastAsia="ja-JP"/>
              </w:rPr>
              <w:t xml:space="preserve">same antenna port quasi co-location parameters as the ones associated with the corresponding index </w:t>
            </w:r>
            <m:oMath>
              <m:sSub>
                <m:sSubPr>
                  <m:ctrlPr>
                    <w:rPr>
                      <w:rFonts w:ascii="Cambria Math" w:hAnsi="Cambria Math"/>
                      <w:i/>
                      <w:iCs/>
                    </w:rPr>
                  </m:ctrlPr>
                </m:sSubPr>
                <m:e>
                  <m:r>
                    <w:rPr>
                      <w:rFonts w:ascii="Cambria Math"/>
                    </w:rPr>
                    <m:t>q</m:t>
                  </m:r>
                </m:e>
                <m:sub>
                  <m:r>
                    <m:rPr>
                      <m:nor/>
                    </m:rPr>
                    <w:rPr>
                      <w:rFonts w:ascii="Cambria Math"/>
                      <w:iCs/>
                    </w:rPr>
                    <m:t>new</m:t>
                  </m:r>
                  <m:ctrlPr>
                    <w:rPr>
                      <w:rFonts w:ascii="Cambria Math" w:hAnsi="Cambria Math"/>
                      <w:iCs/>
                    </w:rPr>
                  </m:ctrlPr>
                </m:sub>
              </m:sSub>
            </m:oMath>
            <w:r>
              <w:rPr>
                <w:iCs/>
              </w:rPr>
              <w:t>, if any</w:t>
            </w:r>
          </w:p>
          <w:p w14:paraId="5007D387" w14:textId="77777777" w:rsidR="006303A1" w:rsidRDefault="00A53935">
            <w:pPr>
              <w:pStyle w:val="B1"/>
            </w:pPr>
            <w:r>
              <w:t>-</w:t>
            </w:r>
            <w:r>
              <w:tab/>
              <w:t>transmits PUCCH, PUSCH and SRS that uses a same spatial domain filter with same indicated TCI state as for the PUCCH and PUSCH</w:t>
            </w:r>
            <w:r>
              <w:rPr>
                <w:iCs/>
              </w:rPr>
              <w:t xml:space="preserve">, </w:t>
            </w:r>
            <w:r>
              <w:t>using a same spatial domain filter</w:t>
            </w:r>
            <w:r>
              <w:rPr>
                <w:iCs/>
              </w:rPr>
              <w:t xml:space="preserve"> as for the last PRACH transmission</w:t>
            </w:r>
          </w:p>
          <w:p w14:paraId="574AC9BE" w14:textId="77777777" w:rsidR="006303A1" w:rsidRDefault="00A53935">
            <w:pPr>
              <w:jc w:val="center"/>
              <w:rPr>
                <w:color w:val="FF0000"/>
                <w:sz w:val="20"/>
                <w:szCs w:val="20"/>
                <w:lang w:eastAsia="zh-CN"/>
              </w:rPr>
            </w:pPr>
            <w:r>
              <w:rPr>
                <w:color w:val="FF0000"/>
                <w:sz w:val="20"/>
                <w:szCs w:val="20"/>
                <w:lang w:eastAsia="zh-CN"/>
              </w:rPr>
              <w:t xml:space="preserve">&lt; </w:t>
            </w:r>
            <w:r>
              <w:rPr>
                <w:color w:val="FF0000"/>
                <w:sz w:val="20"/>
                <w:szCs w:val="20"/>
              </w:rPr>
              <w:t>Unchanged parts are omitted</w:t>
            </w:r>
            <w:r>
              <w:rPr>
                <w:color w:val="FF0000"/>
                <w:sz w:val="20"/>
                <w:szCs w:val="20"/>
                <w:lang w:eastAsia="zh-CN"/>
              </w:rPr>
              <w:t xml:space="preserve"> &gt;</w:t>
            </w:r>
          </w:p>
          <w:p w14:paraId="6B2A66D9" w14:textId="77777777" w:rsidR="006303A1" w:rsidRDefault="00A53935">
            <w:pPr>
              <w:tabs>
                <w:tab w:val="left" w:pos="2116"/>
              </w:tabs>
              <w:rPr>
                <w:sz w:val="20"/>
                <w:szCs w:val="20"/>
              </w:rPr>
            </w:pPr>
            <w:r>
              <w:rPr>
                <w:iCs/>
                <w:sz w:val="20"/>
                <w:szCs w:val="20"/>
              </w:rPr>
              <w:lastRenderedPageBreak/>
              <w:t xml:space="preserve">If a UE is provided </w:t>
            </w:r>
            <w:r>
              <w:rPr>
                <w:i/>
                <w:sz w:val="20"/>
                <w:szCs w:val="20"/>
              </w:rPr>
              <w:t>TCI-State_r17</w:t>
            </w:r>
            <w:r>
              <w:rPr>
                <w:iCs/>
                <w:sz w:val="20"/>
                <w:szCs w:val="20"/>
              </w:rPr>
              <w:t xml:space="preserve"> indicating a unified TCI state, after X symbols from a last symbol of a PDCCH reception with a DCI format scheduling a PUSCH transmission with a same HARQ process number as for the transmission of the first PUSCH and having a toggled NDI field value</w:t>
            </w:r>
            <w:r>
              <w:rPr>
                <w:sz w:val="20"/>
                <w:szCs w:val="20"/>
              </w:rPr>
              <w:t>, the UE</w:t>
            </w:r>
          </w:p>
          <w:p w14:paraId="54B87117" w14:textId="77777777" w:rsidR="006303A1" w:rsidRDefault="00A53935">
            <w:pPr>
              <w:pStyle w:val="B1"/>
              <w:rPr>
                <w:iCs/>
              </w:rPr>
            </w:pPr>
            <w:r>
              <w:t>-</w:t>
            </w:r>
            <w:r>
              <w:tab/>
              <w:t xml:space="preserve">monitors PDCCH in all CORESETs, and receives PDSCH and aperiodic CSI-RS </w:t>
            </w:r>
            <w:r>
              <w:rPr>
                <w:strike/>
                <w:color w:val="FF0000"/>
              </w:rPr>
              <w:t>in a</w:t>
            </w:r>
            <w:r>
              <w:rPr>
                <w:color w:val="FF0000"/>
              </w:rPr>
              <w:t xml:space="preserve"> </w:t>
            </w:r>
            <w:r>
              <w:t xml:space="preserve">resource </w:t>
            </w:r>
            <w:r>
              <w:rPr>
                <w:strike/>
                <w:color w:val="FF0000"/>
              </w:rPr>
              <w:t>from</w:t>
            </w:r>
            <w:r>
              <w:rPr>
                <w:color w:val="FF0000"/>
              </w:rPr>
              <w:t xml:space="preserve"> in </w:t>
            </w:r>
            <w:r>
              <w:t xml:space="preserve">a CSI-RS resource set using the </w:t>
            </w:r>
            <w:r>
              <w:rPr>
                <w:iCs/>
                <w:lang w:eastAsia="ja-JP"/>
              </w:rPr>
              <w:t xml:space="preserve">same antenna port quasi co-location parameters as the ones associated with the corresponding index </w:t>
            </w:r>
            <m:oMath>
              <m:sSub>
                <m:sSubPr>
                  <m:ctrlPr>
                    <w:rPr>
                      <w:rFonts w:ascii="Cambria Math" w:hAnsi="Cambria Math"/>
                      <w:i/>
                      <w:iCs/>
                    </w:rPr>
                  </m:ctrlPr>
                </m:sSubPr>
                <m:e>
                  <m:r>
                    <w:rPr>
                      <w:rFonts w:ascii="Cambria Math" w:hAnsi="Cambria Math"/>
                    </w:rPr>
                    <m:t>q</m:t>
                  </m:r>
                </m:e>
                <m:sub>
                  <m:r>
                    <m:rPr>
                      <m:nor/>
                    </m:rPr>
                    <w:rPr>
                      <w:iCs/>
                    </w:rPr>
                    <m:t>new</m:t>
                  </m:r>
                  <m:ctrlPr>
                    <w:rPr>
                      <w:rFonts w:ascii="Cambria Math" w:hAnsi="Cambria Math"/>
                      <w:iCs/>
                    </w:rPr>
                  </m:ctrlPr>
                </m:sub>
              </m:sSub>
            </m:oMath>
            <w:r>
              <w:rPr>
                <w:iCs/>
              </w:rPr>
              <w:t>, if any</w:t>
            </w:r>
          </w:p>
          <w:p w14:paraId="01A1FA76" w14:textId="77777777" w:rsidR="006303A1" w:rsidRDefault="00A53935">
            <w:pPr>
              <w:pStyle w:val="B1"/>
              <w:rPr>
                <w:iCs/>
              </w:rPr>
            </w:pPr>
            <w:r>
              <w:t>-</w:t>
            </w:r>
            <w:r>
              <w:tab/>
              <w:t>transmits PUCCH, PUSCH and SRS that uses a same spatial domain filter with same indicated TCI state as for the PUCCH and PUSCH, using a same spatial domain filter as the one corresponding to</w:t>
            </w:r>
            <w:r>
              <w:rPr>
                <w:iCs/>
                <w:lang w:eastAsia="ja-JP"/>
              </w:rPr>
              <w:t xml:space="preserve"> </w:t>
            </w:r>
            <m:oMath>
              <m:sSub>
                <m:sSubPr>
                  <m:ctrlPr>
                    <w:rPr>
                      <w:rFonts w:ascii="Cambria Math" w:hAnsi="Cambria Math"/>
                      <w:i/>
                      <w:iCs/>
                    </w:rPr>
                  </m:ctrlPr>
                </m:sSubPr>
                <m:e>
                  <m:r>
                    <w:rPr>
                      <w:rFonts w:ascii="Cambria Math" w:hAnsi="Cambria Math"/>
                    </w:rPr>
                    <m:t>q</m:t>
                  </m:r>
                </m:e>
                <m:sub>
                  <m:r>
                    <m:rPr>
                      <m:nor/>
                    </m:rPr>
                    <w:rPr>
                      <w:iCs/>
                    </w:rPr>
                    <m:t>new</m:t>
                  </m:r>
                  <m:ctrlPr>
                    <w:rPr>
                      <w:rFonts w:ascii="Cambria Math" w:hAnsi="Cambria Math"/>
                      <w:iCs/>
                    </w:rPr>
                  </m:ctrlPr>
                </m:sub>
              </m:sSub>
            </m:oMath>
            <w:r>
              <w:rPr>
                <w:iCs/>
              </w:rPr>
              <w:t>, if any</w:t>
            </w:r>
          </w:p>
          <w:p w14:paraId="5E3186F7" w14:textId="77777777" w:rsidR="006303A1" w:rsidRDefault="00A53935">
            <w:pPr>
              <w:jc w:val="center"/>
              <w:rPr>
                <w:rFonts w:eastAsia="Malgun Gothic"/>
                <w:b/>
                <w:sz w:val="20"/>
                <w:szCs w:val="20"/>
                <w:u w:val="single"/>
              </w:rPr>
            </w:pPr>
            <w:r>
              <w:rPr>
                <w:color w:val="FF0000"/>
                <w:sz w:val="20"/>
                <w:szCs w:val="20"/>
                <w:lang w:eastAsia="zh-CN"/>
              </w:rPr>
              <w:t xml:space="preserve">&lt; </w:t>
            </w:r>
            <w:r>
              <w:rPr>
                <w:color w:val="FF0000"/>
                <w:sz w:val="20"/>
                <w:szCs w:val="20"/>
              </w:rPr>
              <w:t>Unchanged parts are omitted</w:t>
            </w:r>
            <w:r>
              <w:rPr>
                <w:color w:val="FF0000"/>
                <w:sz w:val="20"/>
                <w:szCs w:val="20"/>
                <w:lang w:eastAsia="zh-CN"/>
              </w:rPr>
              <w:t xml:space="preserve"> &gt;</w:t>
            </w:r>
          </w:p>
        </w:tc>
      </w:tr>
    </w:tbl>
    <w:p w14:paraId="66957B64" w14:textId="77777777" w:rsidR="006303A1" w:rsidRDefault="006303A1">
      <w:pPr>
        <w:rPr>
          <w:sz w:val="18"/>
          <w:szCs w:val="18"/>
          <w:lang w:eastAsia="zh-CN"/>
        </w:rPr>
      </w:pPr>
    </w:p>
    <w:p w14:paraId="0FABA697" w14:textId="77777777" w:rsidR="006303A1" w:rsidRDefault="00A53935">
      <w:pPr>
        <w:pStyle w:val="Heading3"/>
        <w:rPr>
          <w:lang w:eastAsia="zh-CN"/>
        </w:rPr>
      </w:pPr>
      <w:r>
        <w:rPr>
          <w:b/>
          <w:bCs/>
          <w:lang w:eastAsia="zh-CN"/>
        </w:rPr>
        <w:t>TP#</w:t>
      </w:r>
      <w:r>
        <w:rPr>
          <w:rFonts w:hint="eastAsia"/>
          <w:b/>
          <w:bCs/>
          <w:lang w:eastAsia="zh-CN"/>
        </w:rPr>
        <w:t>1-19 in TS38.213</w:t>
      </w:r>
    </w:p>
    <w:p w14:paraId="47229A9D" w14:textId="77777777" w:rsidR="006303A1" w:rsidRDefault="00A53935">
      <w:pPr>
        <w:spacing w:before="120" w:after="60" w:line="260" w:lineRule="auto"/>
        <w:rPr>
          <w:b/>
          <w:bCs/>
          <w:sz w:val="20"/>
          <w:szCs w:val="20"/>
          <w:u w:val="single"/>
          <w:lang w:val="en-GB" w:eastAsia="zh-CN"/>
        </w:rPr>
      </w:pPr>
      <w:r>
        <w:rPr>
          <w:b/>
          <w:bCs/>
          <w:sz w:val="20"/>
          <w:szCs w:val="20"/>
          <w:u w:val="single"/>
          <w:lang w:val="en-GB" w:eastAsia="zh-CN"/>
        </w:rPr>
        <w:t>Reason of change:</w:t>
      </w:r>
    </w:p>
    <w:p w14:paraId="159255E0" w14:textId="77777777" w:rsidR="006303A1" w:rsidRDefault="00A53935">
      <w:pPr>
        <w:rPr>
          <w:sz w:val="20"/>
          <w:szCs w:val="20"/>
          <w:lang w:val="en-GB" w:eastAsia="ja-JP"/>
        </w:rPr>
      </w:pPr>
      <w:r>
        <w:rPr>
          <w:sz w:val="20"/>
          <w:szCs w:val="20"/>
          <w:lang w:val="en-GB" w:eastAsia="ja-JP"/>
        </w:rPr>
        <w:t>As part of the link recovery procedure, the UE may be configured with a set of periodic CSI-RS resource configuration indexes. If the UE is not configured with periodic CSI-RS resources, the UE monitors the RSs in the TCI state for the respective CORESETs:</w:t>
      </w:r>
    </w:p>
    <w:p w14:paraId="29F527E0" w14:textId="77777777" w:rsidR="006303A1" w:rsidRDefault="00A53935">
      <w:pPr>
        <w:pBdr>
          <w:top w:val="single" w:sz="4" w:space="1" w:color="auto"/>
          <w:left w:val="single" w:sz="4" w:space="4" w:color="auto"/>
          <w:bottom w:val="single" w:sz="4" w:space="1" w:color="auto"/>
          <w:right w:val="single" w:sz="4" w:space="4" w:color="auto"/>
        </w:pBdr>
        <w:rPr>
          <w:rFonts w:eastAsia="宋体"/>
          <w:sz w:val="20"/>
          <w:szCs w:val="20"/>
          <w:lang w:val="en-GB"/>
        </w:rPr>
      </w:pPr>
      <w:r>
        <w:rPr>
          <w:rFonts w:eastAsia="宋体"/>
          <w:sz w:val="20"/>
          <w:szCs w:val="20"/>
          <w:lang w:val="en-GB"/>
        </w:rPr>
        <w:t>Excerpt from 38.213, clause 6:</w:t>
      </w:r>
    </w:p>
    <w:p w14:paraId="3D078A60" w14:textId="77777777" w:rsidR="006303A1" w:rsidRDefault="00A53935">
      <w:pPr>
        <w:pBdr>
          <w:top w:val="single" w:sz="4" w:space="1" w:color="auto"/>
          <w:left w:val="single" w:sz="4" w:space="4" w:color="auto"/>
          <w:bottom w:val="single" w:sz="4" w:space="1" w:color="auto"/>
          <w:right w:val="single" w:sz="4" w:space="4" w:color="auto"/>
        </w:pBdr>
        <w:rPr>
          <w:rFonts w:eastAsia="宋体"/>
          <w:sz w:val="20"/>
          <w:szCs w:val="20"/>
          <w:lang w:val="en-GB"/>
        </w:rPr>
      </w:pPr>
      <w:r>
        <w:rPr>
          <w:rFonts w:eastAsia="宋体"/>
          <w:sz w:val="20"/>
          <w:szCs w:val="20"/>
          <w:lang w:val="en-GB"/>
        </w:rPr>
        <w:t xml:space="preserve">If the UE is not provided </w:t>
      </w:r>
      <m:oMath>
        <m:sSub>
          <m:sSubPr>
            <m:ctrlPr>
              <w:rPr>
                <w:rFonts w:ascii="Cambria Math" w:eastAsia="宋体" w:hAnsi="Cambria Math"/>
                <w:i/>
                <w:sz w:val="20"/>
                <w:szCs w:val="20"/>
                <w:lang w:val="en-GB"/>
              </w:rPr>
            </m:ctrlPr>
          </m:sSubPr>
          <m:e>
            <m:acc>
              <m:accPr>
                <m:chr m:val="̅"/>
                <m:ctrlPr>
                  <w:rPr>
                    <w:rFonts w:ascii="Cambria Math" w:eastAsia="宋体" w:hAnsi="Cambria Math"/>
                    <w:i/>
                    <w:sz w:val="20"/>
                    <w:szCs w:val="20"/>
                    <w:lang w:val="en-GB"/>
                  </w:rPr>
                </m:ctrlPr>
              </m:accPr>
              <m:e>
                <m:r>
                  <w:rPr>
                    <w:rFonts w:ascii="Cambria Math" w:eastAsia="宋体" w:hAnsi="Cambria Math"/>
                    <w:sz w:val="20"/>
                    <w:szCs w:val="20"/>
                    <w:lang w:val="en-GB"/>
                  </w:rPr>
                  <m:t>q</m:t>
                </m:r>
              </m:e>
            </m:acc>
          </m:e>
          <m:sub>
            <m:r>
              <w:rPr>
                <w:rFonts w:ascii="Cambria Math" w:eastAsia="宋体" w:hAnsi="Cambria Math"/>
                <w:sz w:val="20"/>
                <w:szCs w:val="20"/>
                <w:lang w:val="en-GB"/>
              </w:rPr>
              <m:t>0</m:t>
            </m:r>
          </m:sub>
        </m:sSub>
      </m:oMath>
      <w:r>
        <w:rPr>
          <w:rFonts w:eastAsia="宋体"/>
          <w:iCs/>
          <w:sz w:val="20"/>
          <w:szCs w:val="20"/>
          <w:lang w:val="en-GB"/>
        </w:rPr>
        <w:t xml:space="preserve"> by</w:t>
      </w:r>
      <w:r>
        <w:rPr>
          <w:rFonts w:eastAsia="宋体"/>
          <w:sz w:val="20"/>
          <w:szCs w:val="20"/>
          <w:lang w:val="en-GB"/>
        </w:rPr>
        <w:t xml:space="preserve"> </w:t>
      </w:r>
      <w:r>
        <w:rPr>
          <w:rFonts w:eastAsia="宋体"/>
          <w:i/>
          <w:sz w:val="20"/>
          <w:szCs w:val="20"/>
          <w:lang w:val="en-GB"/>
        </w:rPr>
        <w:t>failureDetectionResources</w:t>
      </w:r>
      <w:r>
        <w:rPr>
          <w:rFonts w:eastAsia="宋体" w:hint="eastAsia"/>
          <w:i/>
          <w:sz w:val="20"/>
          <w:szCs w:val="20"/>
          <w:lang w:val="en-GB"/>
        </w:rPr>
        <w:t>ToAddModList</w:t>
      </w:r>
      <w:r>
        <w:rPr>
          <w:rFonts w:eastAsia="宋体"/>
          <w:sz w:val="20"/>
          <w:szCs w:val="20"/>
          <w:lang w:val="en-GB"/>
        </w:rPr>
        <w:t xml:space="preserve"> for a BWP of the serving cell</w:t>
      </w:r>
      <w:r>
        <w:rPr>
          <w:rFonts w:eastAsia="宋体"/>
          <w:iCs/>
          <w:sz w:val="20"/>
          <w:szCs w:val="20"/>
          <w:lang w:val="en-GB"/>
        </w:rPr>
        <w:t xml:space="preserve">, the UE determines the set </w:t>
      </w:r>
      <m:oMath>
        <m:sSub>
          <m:sSubPr>
            <m:ctrlPr>
              <w:rPr>
                <w:rFonts w:ascii="Cambria Math" w:eastAsia="宋体" w:hAnsi="Cambria Math"/>
                <w:i/>
                <w:sz w:val="20"/>
                <w:szCs w:val="20"/>
                <w:lang w:val="en-GB"/>
              </w:rPr>
            </m:ctrlPr>
          </m:sSubPr>
          <m:e>
            <m:acc>
              <m:accPr>
                <m:chr m:val="̅"/>
                <m:ctrlPr>
                  <w:rPr>
                    <w:rFonts w:ascii="Cambria Math" w:eastAsia="宋体" w:hAnsi="Cambria Math"/>
                    <w:i/>
                    <w:sz w:val="20"/>
                    <w:szCs w:val="20"/>
                    <w:lang w:val="en-GB"/>
                  </w:rPr>
                </m:ctrlPr>
              </m:accPr>
              <m:e>
                <m:r>
                  <w:rPr>
                    <w:rFonts w:ascii="Cambria Math" w:eastAsia="宋体" w:hAnsi="Cambria Math"/>
                    <w:sz w:val="20"/>
                    <w:szCs w:val="20"/>
                    <w:lang w:val="en-GB"/>
                  </w:rPr>
                  <m:t>q</m:t>
                </m:r>
              </m:e>
            </m:acc>
          </m:e>
          <m:sub>
            <m:r>
              <w:rPr>
                <w:rFonts w:ascii="Cambria Math" w:eastAsia="宋体" w:hAnsi="Cambria Math"/>
                <w:sz w:val="20"/>
                <w:szCs w:val="20"/>
                <w:lang w:val="en-GB"/>
              </w:rPr>
              <m:t>0</m:t>
            </m:r>
          </m:sub>
        </m:sSub>
      </m:oMath>
      <w:r>
        <w:rPr>
          <w:rFonts w:eastAsia="宋体"/>
          <w:iCs/>
          <w:sz w:val="20"/>
          <w:szCs w:val="20"/>
          <w:lang w:val="en-GB"/>
        </w:rPr>
        <w:t xml:space="preserve"> to include periodic CSI-RS resource configuration indexes with same values as the RS indexes in the RS sets indicated by</w:t>
      </w:r>
      <w:r>
        <w:rPr>
          <w:rFonts w:eastAsia="宋体"/>
          <w:sz w:val="20"/>
          <w:szCs w:val="20"/>
          <w:lang w:val="en-GB"/>
        </w:rPr>
        <w:t xml:space="preserve"> </w:t>
      </w:r>
      <w:r>
        <w:rPr>
          <w:rFonts w:eastAsia="宋体"/>
          <w:i/>
          <w:sz w:val="20"/>
          <w:szCs w:val="20"/>
          <w:lang w:val="en-GB"/>
        </w:rPr>
        <w:t>TCI-State</w:t>
      </w:r>
      <w:r>
        <w:rPr>
          <w:rFonts w:eastAsia="宋体"/>
          <w:sz w:val="20"/>
          <w:szCs w:val="20"/>
          <w:lang w:val="en-GB"/>
        </w:rPr>
        <w:t xml:space="preserve"> for respective CORESETs that the UE uses for monitoring PDCCH.</w:t>
      </w:r>
    </w:p>
    <w:p w14:paraId="75B4DC92" w14:textId="77777777" w:rsidR="006303A1" w:rsidRDefault="00A53935">
      <w:pPr>
        <w:pBdr>
          <w:top w:val="single" w:sz="4" w:space="1" w:color="auto"/>
          <w:left w:val="single" w:sz="4" w:space="4" w:color="auto"/>
          <w:bottom w:val="single" w:sz="4" w:space="1" w:color="auto"/>
          <w:right w:val="single" w:sz="4" w:space="4" w:color="auto"/>
        </w:pBdr>
        <w:rPr>
          <w:sz w:val="20"/>
          <w:szCs w:val="20"/>
          <w:lang w:val="en-GB" w:eastAsia="ja-JP"/>
        </w:rPr>
      </w:pPr>
      <w:r>
        <w:rPr>
          <w:rFonts w:eastAsia="宋体"/>
          <w:sz w:val="20"/>
          <w:szCs w:val="20"/>
          <w:lang w:val="en-GB"/>
        </w:rPr>
        <w:t>&lt;omitted&gt;</w:t>
      </w:r>
    </w:p>
    <w:p w14:paraId="367EC90C" w14:textId="77777777" w:rsidR="006303A1" w:rsidRDefault="00A53935">
      <w:pPr>
        <w:rPr>
          <w:b/>
          <w:bCs/>
          <w:sz w:val="20"/>
          <w:szCs w:val="20"/>
          <w:u w:val="single"/>
          <w:lang w:eastAsia="zh-CN"/>
        </w:rPr>
      </w:pPr>
      <w:r>
        <w:rPr>
          <w:sz w:val="20"/>
          <w:szCs w:val="20"/>
          <w:lang w:val="en-GB" w:eastAsia="ja-JP"/>
        </w:rPr>
        <w:t xml:space="preserve">Here we note that since </w:t>
      </w:r>
      <w:r>
        <w:rPr>
          <w:i/>
          <w:iCs/>
          <w:sz w:val="20"/>
          <w:szCs w:val="20"/>
          <w:lang w:val="en-GB" w:eastAsia="ja-JP"/>
        </w:rPr>
        <w:t>TCI-State</w:t>
      </w:r>
      <w:r>
        <w:rPr>
          <w:sz w:val="20"/>
          <w:szCs w:val="20"/>
          <w:lang w:val="en-GB" w:eastAsia="ja-JP"/>
        </w:rPr>
        <w:t xml:space="preserve"> is written in italics, it refers to the RRC field with the same name. However, when the UE is configured with the Rel-17 TCI framework, the UE does not derive any QCL source from a Rel-15 TCI state: those are provided in a </w:t>
      </w:r>
      <w:r>
        <w:rPr>
          <w:i/>
          <w:iCs/>
          <w:sz w:val="20"/>
          <w:szCs w:val="20"/>
          <w:lang w:val="en-GB" w:eastAsia="ja-JP"/>
        </w:rPr>
        <w:t xml:space="preserve">DLorJointTCIState. </w:t>
      </w:r>
      <w:r>
        <w:rPr>
          <w:sz w:val="20"/>
          <w:szCs w:val="20"/>
          <w:lang w:val="en-GB" w:eastAsia="ja-JP"/>
        </w:rPr>
        <w:t xml:space="preserve">We propose to clarify this, simply by adding ‘or </w:t>
      </w:r>
      <w:r>
        <w:rPr>
          <w:i/>
          <w:iCs/>
          <w:sz w:val="20"/>
          <w:szCs w:val="20"/>
          <w:lang w:val="en-GB" w:eastAsia="ja-JP"/>
        </w:rPr>
        <w:t xml:space="preserve">DLorJointTCIState’ </w:t>
      </w:r>
      <w:r>
        <w:rPr>
          <w:sz w:val="20"/>
          <w:szCs w:val="20"/>
          <w:lang w:val="en-GB" w:eastAsia="ja-JP"/>
        </w:rPr>
        <w:t>to the excerpt above</w:t>
      </w:r>
      <w:r>
        <w:rPr>
          <w:rFonts w:hint="eastAsia"/>
          <w:sz w:val="20"/>
          <w:szCs w:val="20"/>
          <w:lang w:eastAsia="zh-CN"/>
        </w:rPr>
        <w:t>.</w:t>
      </w:r>
    </w:p>
    <w:p w14:paraId="38F39C83" w14:textId="77777777" w:rsidR="006303A1" w:rsidRDefault="00A53935">
      <w:pPr>
        <w:spacing w:before="120" w:after="60" w:line="260" w:lineRule="auto"/>
        <w:rPr>
          <w:b/>
          <w:bCs/>
          <w:sz w:val="20"/>
          <w:szCs w:val="20"/>
          <w:u w:val="single"/>
          <w:lang w:val="en-GB" w:eastAsia="zh-CN"/>
        </w:rPr>
      </w:pPr>
      <w:r>
        <w:rPr>
          <w:b/>
          <w:bCs/>
          <w:sz w:val="20"/>
          <w:szCs w:val="20"/>
          <w:u w:val="single"/>
          <w:lang w:eastAsia="zh-CN"/>
        </w:rPr>
        <w:t>Summary of change</w:t>
      </w:r>
      <w:r>
        <w:rPr>
          <w:b/>
          <w:bCs/>
          <w:sz w:val="20"/>
          <w:szCs w:val="20"/>
          <w:u w:val="single"/>
          <w:lang w:val="en-GB" w:eastAsia="zh-CN"/>
        </w:rPr>
        <w:t>:</w:t>
      </w:r>
    </w:p>
    <w:p w14:paraId="74C82E8B" w14:textId="77777777" w:rsidR="006303A1" w:rsidRDefault="00A53935">
      <w:pPr>
        <w:spacing w:before="120" w:after="60" w:line="260" w:lineRule="auto"/>
        <w:rPr>
          <w:b/>
          <w:bCs/>
          <w:sz w:val="20"/>
          <w:szCs w:val="20"/>
          <w:u w:val="single"/>
          <w:lang w:val="en-GB" w:eastAsia="zh-CN"/>
        </w:rPr>
      </w:pPr>
      <w:bookmarkStart w:id="15" w:name="_Toc101783067"/>
      <w:r>
        <w:rPr>
          <w:sz w:val="20"/>
          <w:szCs w:val="20"/>
          <w:lang w:val="en-GB" w:eastAsia="ja-JP"/>
        </w:rPr>
        <w:t xml:space="preserve">Clarify that the UE may determine the set </w:t>
      </w:r>
      <m:oMath>
        <m:sSub>
          <m:sSubPr>
            <m:ctrlPr>
              <w:rPr>
                <w:rFonts w:ascii="Cambria Math" w:hAnsi="Cambria Math"/>
                <w:i/>
                <w:sz w:val="20"/>
                <w:szCs w:val="20"/>
              </w:rPr>
            </m:ctrlPr>
          </m:sSubPr>
          <m:e>
            <m:acc>
              <m:accPr>
                <m:chr m:val="̅"/>
                <m:ctrlPr>
                  <w:rPr>
                    <w:rFonts w:ascii="Cambria Math" w:hAnsi="Cambria Math"/>
                    <w:i/>
                    <w:sz w:val="20"/>
                    <w:szCs w:val="20"/>
                  </w:rPr>
                </m:ctrlPr>
              </m:accPr>
              <m:e>
                <m:r>
                  <m:rPr>
                    <m:sty m:val="bi"/>
                  </m:rPr>
                  <w:rPr>
                    <w:rFonts w:ascii="Cambria Math" w:hAnsi="Cambria Math"/>
                    <w:sz w:val="20"/>
                    <w:szCs w:val="20"/>
                  </w:rPr>
                  <m:t>q</m:t>
                </m:r>
              </m:e>
            </m:acc>
          </m:e>
          <m:sub>
            <m:r>
              <m:rPr>
                <m:sty m:val="bi"/>
              </m:rPr>
              <w:rPr>
                <w:rFonts w:ascii="Cambria Math" w:hAnsi="Cambria Math"/>
                <w:sz w:val="20"/>
                <w:szCs w:val="20"/>
              </w:rPr>
              <m:t>0</m:t>
            </m:r>
          </m:sub>
        </m:sSub>
        <m:r>
          <m:rPr>
            <m:sty m:val="bi"/>
          </m:rPr>
          <w:rPr>
            <w:rFonts w:ascii="Cambria Math" w:hAnsi="Cambria Math"/>
            <w:sz w:val="20"/>
            <w:szCs w:val="20"/>
          </w:rPr>
          <m:t xml:space="preserve"> </m:t>
        </m:r>
      </m:oMath>
      <w:r>
        <w:rPr>
          <w:sz w:val="20"/>
          <w:szCs w:val="20"/>
        </w:rPr>
        <w:t xml:space="preserve">from a </w:t>
      </w:r>
      <w:r>
        <w:rPr>
          <w:i/>
          <w:iCs/>
          <w:sz w:val="20"/>
          <w:szCs w:val="20"/>
          <w:lang w:val="en-GB" w:eastAsia="ja-JP"/>
        </w:rPr>
        <w:t xml:space="preserve">DLorJointTCIState </w:t>
      </w:r>
      <w:r>
        <w:rPr>
          <w:sz w:val="20"/>
          <w:szCs w:val="20"/>
          <w:lang w:val="en-GB" w:eastAsia="ja-JP"/>
        </w:rPr>
        <w:t>in addition to a TCI-State</w:t>
      </w:r>
      <w:r>
        <w:rPr>
          <w:i/>
          <w:iCs/>
          <w:sz w:val="20"/>
          <w:szCs w:val="20"/>
          <w:lang w:val="en-GB" w:eastAsia="ja-JP"/>
        </w:rPr>
        <w:t>.</w:t>
      </w:r>
      <w:bookmarkEnd w:id="15"/>
    </w:p>
    <w:p w14:paraId="4DFC678D" w14:textId="77777777" w:rsidR="006303A1" w:rsidRDefault="00A53935">
      <w:pPr>
        <w:spacing w:before="120" w:after="60" w:line="260" w:lineRule="auto"/>
        <w:rPr>
          <w:b/>
          <w:bCs/>
          <w:sz w:val="20"/>
          <w:szCs w:val="20"/>
          <w:u w:val="single"/>
          <w:lang w:val="en-GB" w:eastAsia="zh-CN"/>
        </w:rPr>
      </w:pPr>
      <w:r>
        <w:rPr>
          <w:b/>
          <w:bCs/>
          <w:sz w:val="20"/>
          <w:szCs w:val="20"/>
          <w:u w:val="single"/>
          <w:lang w:val="en-GB" w:eastAsia="zh-CN"/>
        </w:rPr>
        <w:t xml:space="preserve">Consequence </w:t>
      </w:r>
      <w:r>
        <w:rPr>
          <w:b/>
          <w:bCs/>
          <w:sz w:val="20"/>
          <w:szCs w:val="20"/>
          <w:u w:val="single"/>
          <w:lang w:eastAsia="zh-CN"/>
        </w:rPr>
        <w:t>if not approved</w:t>
      </w:r>
      <w:r>
        <w:rPr>
          <w:b/>
          <w:bCs/>
          <w:sz w:val="20"/>
          <w:szCs w:val="20"/>
          <w:u w:val="single"/>
          <w:lang w:val="en-GB" w:eastAsia="zh-CN"/>
        </w:rPr>
        <w:t>:</w:t>
      </w:r>
    </w:p>
    <w:p w14:paraId="671D7379" w14:textId="77777777" w:rsidR="006303A1" w:rsidRDefault="00A53935">
      <w:pPr>
        <w:pStyle w:val="Normal9pointspacing"/>
        <w:spacing w:before="0" w:after="160" w:line="260" w:lineRule="auto"/>
        <w:rPr>
          <w:szCs w:val="20"/>
          <w:lang w:val="en-US" w:eastAsia="zh-CN"/>
        </w:rPr>
      </w:pPr>
      <w:r>
        <w:rPr>
          <w:rFonts w:hint="eastAsia"/>
          <w:szCs w:val="20"/>
          <w:lang w:val="en-US" w:eastAsia="zh-CN"/>
        </w:rPr>
        <w:t>BFD may not work well when the UE is configured with the Rel-17 TCI framework.</w:t>
      </w:r>
    </w:p>
    <w:p w14:paraId="6FE3CE55" w14:textId="77777777" w:rsidR="006303A1" w:rsidRDefault="006303A1">
      <w:pPr>
        <w:pStyle w:val="Normal9pointspacing"/>
        <w:spacing w:before="0" w:after="160" w:line="260" w:lineRule="auto"/>
        <w:rPr>
          <w:szCs w:val="20"/>
          <w:lang w:val="en-US" w:eastAsia="zh-CN"/>
        </w:rPr>
      </w:pPr>
    </w:p>
    <w:p w14:paraId="116F89DE" w14:textId="77777777" w:rsidR="006303A1" w:rsidRDefault="00A53935">
      <w:pPr>
        <w:snapToGrid w:val="0"/>
        <w:rPr>
          <w:rFonts w:eastAsia="Malgun Gothic"/>
          <w:b/>
          <w:sz w:val="20"/>
          <w:szCs w:val="20"/>
          <w:u w:val="single"/>
        </w:rPr>
      </w:pPr>
      <w:r>
        <w:rPr>
          <w:rFonts w:eastAsia="Malgun Gothic"/>
          <w:b/>
          <w:sz w:val="20"/>
          <w:szCs w:val="20"/>
          <w:u w:val="single"/>
        </w:rPr>
        <w:t>TP 1-19</w:t>
      </w:r>
      <w:r>
        <w:rPr>
          <w:sz w:val="20"/>
          <w:szCs w:val="20"/>
          <w:lang w:val="en-GB"/>
        </w:rPr>
        <w:t>: To endorse the following text proposal for TS 38.213:</w:t>
      </w:r>
    </w:p>
    <w:tbl>
      <w:tblPr>
        <w:tblW w:w="9998" w:type="dxa"/>
        <w:tblCellMar>
          <w:left w:w="10" w:type="dxa"/>
          <w:right w:w="10" w:type="dxa"/>
        </w:tblCellMar>
        <w:tblLook w:val="04A0" w:firstRow="1" w:lastRow="0" w:firstColumn="1" w:lastColumn="0" w:noHBand="0" w:noVBand="1"/>
      </w:tblPr>
      <w:tblGrid>
        <w:gridCol w:w="9998"/>
      </w:tblGrid>
      <w:tr w:rsidR="006303A1" w14:paraId="20B7DE96" w14:textId="77777777">
        <w:trPr>
          <w:trHeight w:val="48"/>
        </w:trPr>
        <w:tc>
          <w:tcPr>
            <w:tcW w:w="99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08CE34" w14:textId="77777777" w:rsidR="006303A1" w:rsidRDefault="00A53935">
            <w:pPr>
              <w:numPr>
                <w:ilvl w:val="255"/>
                <w:numId w:val="0"/>
              </w:numPr>
              <w:rPr>
                <w:rFonts w:cs="Times"/>
                <w:b/>
                <w:bCs/>
                <w:sz w:val="20"/>
                <w:szCs w:val="20"/>
                <w:u w:val="single"/>
              </w:rPr>
            </w:pPr>
            <w:r>
              <w:rPr>
                <w:rFonts w:cs="Times"/>
                <w:b/>
                <w:bCs/>
                <w:sz w:val="20"/>
                <w:szCs w:val="20"/>
                <w:u w:val="single"/>
              </w:rPr>
              <w:t>6</w:t>
            </w:r>
            <w:r>
              <w:rPr>
                <w:rFonts w:cs="Times" w:hint="eastAsia"/>
                <w:b/>
                <w:bCs/>
                <w:sz w:val="20"/>
                <w:szCs w:val="20"/>
                <w:u w:val="single"/>
              </w:rPr>
              <w:tab/>
            </w:r>
            <w:r>
              <w:rPr>
                <w:rFonts w:cs="Times"/>
                <w:b/>
                <w:bCs/>
                <w:sz w:val="20"/>
                <w:szCs w:val="20"/>
                <w:u w:val="single"/>
              </w:rPr>
              <w:t>Link recovery procedures</w:t>
            </w:r>
          </w:p>
          <w:p w14:paraId="0FDBA8D0" w14:textId="77777777" w:rsidR="006303A1" w:rsidRDefault="00A53935">
            <w:pPr>
              <w:jc w:val="center"/>
              <w:rPr>
                <w:color w:val="FF0000"/>
                <w:sz w:val="20"/>
                <w:szCs w:val="20"/>
                <w:lang w:eastAsia="zh-CN"/>
              </w:rPr>
            </w:pPr>
            <w:r>
              <w:rPr>
                <w:color w:val="FF0000"/>
                <w:sz w:val="20"/>
                <w:szCs w:val="20"/>
                <w:lang w:eastAsia="zh-CN"/>
              </w:rPr>
              <w:lastRenderedPageBreak/>
              <w:t xml:space="preserve">&lt; </w:t>
            </w:r>
            <w:r>
              <w:rPr>
                <w:color w:val="FF0000"/>
                <w:sz w:val="20"/>
                <w:szCs w:val="20"/>
              </w:rPr>
              <w:t>Unchanged parts are omitted</w:t>
            </w:r>
            <w:r>
              <w:rPr>
                <w:color w:val="FF0000"/>
                <w:sz w:val="20"/>
                <w:szCs w:val="20"/>
                <w:lang w:eastAsia="zh-CN"/>
              </w:rPr>
              <w:t xml:space="preserve"> &gt;</w:t>
            </w:r>
          </w:p>
          <w:p w14:paraId="78E7FA37" w14:textId="77777777" w:rsidR="006303A1" w:rsidRDefault="00A53935">
            <w:pPr>
              <w:rPr>
                <w:rFonts w:eastAsia="Malgun Gothic"/>
                <w:b/>
                <w:sz w:val="20"/>
                <w:szCs w:val="20"/>
                <w:u w:val="single"/>
              </w:rPr>
            </w:pPr>
            <w:r>
              <w:rPr>
                <w:sz w:val="20"/>
                <w:szCs w:val="20"/>
              </w:rPr>
              <w:t xml:space="preserve">If the UE is not provided </w:t>
            </w:r>
            <m:oMath>
              <m:sSub>
                <m:sSubPr>
                  <m:ctrlPr>
                    <w:rPr>
                      <w:rFonts w:ascii="Cambria Math" w:hAnsi="Cambria Math"/>
                      <w:i/>
                      <w:sz w:val="20"/>
                      <w:szCs w:val="20"/>
                    </w:rPr>
                  </m:ctrlPr>
                </m:sSubPr>
                <m:e>
                  <m:acc>
                    <m:accPr>
                      <m:chr m:val="̅"/>
                      <m:ctrlPr>
                        <w:rPr>
                          <w:rFonts w:ascii="Cambria Math" w:hAnsi="Cambria Math"/>
                          <w:i/>
                          <w:sz w:val="20"/>
                          <w:szCs w:val="20"/>
                        </w:rPr>
                      </m:ctrlPr>
                    </m:accPr>
                    <m:e>
                      <m:r>
                        <w:rPr>
                          <w:rFonts w:ascii="Cambria Math" w:hAnsi="Cambria Math"/>
                          <w:sz w:val="20"/>
                          <w:szCs w:val="20"/>
                        </w:rPr>
                        <m:t>q</m:t>
                      </m:r>
                    </m:e>
                  </m:acc>
                </m:e>
                <m:sub>
                  <m:r>
                    <w:rPr>
                      <w:rFonts w:ascii="Cambria Math" w:hAnsi="Cambria Math"/>
                      <w:sz w:val="20"/>
                      <w:szCs w:val="20"/>
                    </w:rPr>
                    <m:t>0</m:t>
                  </m:r>
                </m:sub>
              </m:sSub>
            </m:oMath>
            <w:r>
              <w:rPr>
                <w:iCs/>
                <w:sz w:val="20"/>
                <w:szCs w:val="20"/>
              </w:rPr>
              <w:t xml:space="preserve"> by</w:t>
            </w:r>
            <w:r>
              <w:rPr>
                <w:sz w:val="20"/>
                <w:szCs w:val="20"/>
              </w:rPr>
              <w:t xml:space="preserve"> </w:t>
            </w:r>
            <w:r>
              <w:rPr>
                <w:i/>
                <w:sz w:val="20"/>
                <w:szCs w:val="20"/>
              </w:rPr>
              <w:t>failureDetectionResources</w:t>
            </w:r>
            <w:r>
              <w:rPr>
                <w:rFonts w:hint="eastAsia"/>
                <w:i/>
                <w:sz w:val="20"/>
                <w:szCs w:val="20"/>
              </w:rPr>
              <w:t>ToAddModList</w:t>
            </w:r>
            <w:r>
              <w:rPr>
                <w:sz w:val="20"/>
                <w:szCs w:val="20"/>
              </w:rPr>
              <w:t xml:space="preserve"> for a BWP of the serving cell</w:t>
            </w:r>
            <w:r>
              <w:rPr>
                <w:iCs/>
                <w:sz w:val="20"/>
                <w:szCs w:val="20"/>
              </w:rPr>
              <w:t xml:space="preserve">, the UE determines the set </w:t>
            </w:r>
            <m:oMath>
              <m:sSub>
                <m:sSubPr>
                  <m:ctrlPr>
                    <w:rPr>
                      <w:rFonts w:ascii="Cambria Math" w:hAnsi="Cambria Math"/>
                      <w:i/>
                      <w:sz w:val="20"/>
                      <w:szCs w:val="20"/>
                    </w:rPr>
                  </m:ctrlPr>
                </m:sSubPr>
                <m:e>
                  <m:acc>
                    <m:accPr>
                      <m:chr m:val="̅"/>
                      <m:ctrlPr>
                        <w:rPr>
                          <w:rFonts w:ascii="Cambria Math" w:hAnsi="Cambria Math"/>
                          <w:i/>
                          <w:sz w:val="20"/>
                          <w:szCs w:val="20"/>
                        </w:rPr>
                      </m:ctrlPr>
                    </m:accPr>
                    <m:e>
                      <m:r>
                        <w:rPr>
                          <w:rFonts w:ascii="Cambria Math" w:hAnsi="Cambria Math"/>
                          <w:sz w:val="20"/>
                          <w:szCs w:val="20"/>
                        </w:rPr>
                        <m:t>q</m:t>
                      </m:r>
                    </m:e>
                  </m:acc>
                </m:e>
                <m:sub>
                  <m:r>
                    <w:rPr>
                      <w:rFonts w:ascii="Cambria Math" w:hAnsi="Cambria Math"/>
                      <w:sz w:val="20"/>
                      <w:szCs w:val="20"/>
                    </w:rPr>
                    <m:t>0</m:t>
                  </m:r>
                </m:sub>
              </m:sSub>
            </m:oMath>
            <w:r>
              <w:rPr>
                <w:iCs/>
                <w:sz w:val="20"/>
                <w:szCs w:val="20"/>
              </w:rPr>
              <w:t xml:space="preserve"> to include periodic CSI-RS resource configuration indexes with same values as the RS indexes in the RS sets indicated by</w:t>
            </w:r>
            <w:r>
              <w:rPr>
                <w:sz w:val="20"/>
                <w:szCs w:val="20"/>
              </w:rPr>
              <w:t xml:space="preserve"> </w:t>
            </w:r>
            <w:r>
              <w:rPr>
                <w:i/>
                <w:sz w:val="20"/>
                <w:szCs w:val="20"/>
              </w:rPr>
              <w:t>TCI-State</w:t>
            </w:r>
            <w:r>
              <w:rPr>
                <w:sz w:val="20"/>
                <w:szCs w:val="20"/>
              </w:rPr>
              <w:t xml:space="preserve"> </w:t>
            </w:r>
            <w:r>
              <w:rPr>
                <w:color w:val="FF0000"/>
                <w:sz w:val="20"/>
                <w:szCs w:val="20"/>
              </w:rPr>
              <w:t xml:space="preserve">or </w:t>
            </w:r>
            <w:r>
              <w:rPr>
                <w:i/>
                <w:color w:val="FF0000"/>
                <w:sz w:val="20"/>
                <w:szCs w:val="20"/>
              </w:rPr>
              <w:t>DLorJointTCIState</w:t>
            </w:r>
            <w:r>
              <w:rPr>
                <w:sz w:val="20"/>
                <w:szCs w:val="20"/>
              </w:rPr>
              <w:t xml:space="preserve"> for respective CORESETs that the UE uses for monitoring PDCCH. If the UE is not provided </w:t>
            </w:r>
            <m:oMath>
              <m:sSub>
                <m:sSubPr>
                  <m:ctrlPr>
                    <w:rPr>
                      <w:rFonts w:ascii="Cambria Math" w:hAnsi="Cambria Math"/>
                      <w:i/>
                      <w:sz w:val="20"/>
                      <w:szCs w:val="20"/>
                    </w:rPr>
                  </m:ctrlPr>
                </m:sSubPr>
                <m:e>
                  <m:acc>
                    <m:accPr>
                      <m:chr m:val="̅"/>
                      <m:ctrlPr>
                        <w:rPr>
                          <w:rFonts w:ascii="Cambria Math" w:hAnsi="Cambria Math"/>
                          <w:i/>
                          <w:sz w:val="20"/>
                          <w:szCs w:val="20"/>
                        </w:rPr>
                      </m:ctrlPr>
                    </m:accPr>
                    <m:e>
                      <m:r>
                        <w:rPr>
                          <w:rFonts w:ascii="Cambria Math" w:hAnsi="Cambria Math"/>
                          <w:sz w:val="20"/>
                          <w:szCs w:val="20"/>
                        </w:rPr>
                        <m:t>q</m:t>
                      </m:r>
                    </m:e>
                  </m:acc>
                </m:e>
                <m:sub>
                  <m:r>
                    <w:rPr>
                      <w:rFonts w:ascii="Cambria Math" w:hAnsi="Cambria Math"/>
                      <w:sz w:val="20"/>
                      <w:szCs w:val="20"/>
                    </w:rPr>
                    <m:t>0,0</m:t>
                  </m:r>
                </m:sub>
              </m:sSub>
            </m:oMath>
            <w:r>
              <w:rPr>
                <w:sz w:val="20"/>
                <w:szCs w:val="20"/>
              </w:rPr>
              <w:t xml:space="preserve"> or </w:t>
            </w:r>
            <m:oMath>
              <m:r>
                <m:rPr>
                  <m:sty m:val="p"/>
                </m:rPr>
                <w:rPr>
                  <w:rFonts w:ascii="Cambria Math" w:hAnsi="Cambria Math"/>
                  <w:sz w:val="20"/>
                  <w:szCs w:val="20"/>
                </w:rPr>
                <m:t xml:space="preserve"> </m:t>
              </m:r>
              <m:sSub>
                <m:sSubPr>
                  <m:ctrlPr>
                    <w:rPr>
                      <w:rFonts w:ascii="Cambria Math" w:hAnsi="Cambria Math"/>
                      <w:i/>
                      <w:sz w:val="20"/>
                      <w:szCs w:val="20"/>
                    </w:rPr>
                  </m:ctrlPr>
                </m:sSubPr>
                <m:e>
                  <m:acc>
                    <m:accPr>
                      <m:chr m:val="̅"/>
                      <m:ctrlPr>
                        <w:rPr>
                          <w:rFonts w:ascii="Cambria Math" w:hAnsi="Cambria Math"/>
                          <w:i/>
                          <w:sz w:val="20"/>
                          <w:szCs w:val="20"/>
                        </w:rPr>
                      </m:ctrlPr>
                    </m:accPr>
                    <m:e>
                      <m:r>
                        <w:rPr>
                          <w:rFonts w:ascii="Cambria Math" w:hAnsi="Cambria Math"/>
                          <w:sz w:val="20"/>
                          <w:szCs w:val="20"/>
                        </w:rPr>
                        <m:t>q</m:t>
                      </m:r>
                    </m:e>
                  </m:acc>
                </m:e>
                <m:sub>
                  <m:r>
                    <w:rPr>
                      <w:rFonts w:ascii="Cambria Math" w:hAnsi="Cambria Math"/>
                      <w:sz w:val="20"/>
                      <w:szCs w:val="20"/>
                    </w:rPr>
                    <m:t>0,1</m:t>
                  </m:r>
                </m:sub>
              </m:sSub>
            </m:oMath>
            <w:r>
              <w:rPr>
                <w:sz w:val="20"/>
                <w:szCs w:val="20"/>
              </w:rPr>
              <w:t xml:space="preserve"> for a BWP of the serving cell</w:t>
            </w:r>
            <w:r>
              <w:rPr>
                <w:iCs/>
                <w:sz w:val="20"/>
                <w:szCs w:val="20"/>
              </w:rPr>
              <w:t>, the UE determines the set</w:t>
            </w:r>
            <w:r>
              <w:rPr>
                <w:sz w:val="20"/>
                <w:szCs w:val="20"/>
              </w:rPr>
              <w:t xml:space="preserve"> </w:t>
            </w:r>
            <m:oMath>
              <m:sSub>
                <m:sSubPr>
                  <m:ctrlPr>
                    <w:rPr>
                      <w:rFonts w:ascii="Cambria Math" w:hAnsi="Cambria Math"/>
                      <w:i/>
                      <w:sz w:val="20"/>
                      <w:szCs w:val="20"/>
                    </w:rPr>
                  </m:ctrlPr>
                </m:sSubPr>
                <m:e>
                  <m:acc>
                    <m:accPr>
                      <m:chr m:val="̅"/>
                      <m:ctrlPr>
                        <w:rPr>
                          <w:rFonts w:ascii="Cambria Math" w:hAnsi="Cambria Math"/>
                          <w:i/>
                          <w:sz w:val="20"/>
                          <w:szCs w:val="20"/>
                        </w:rPr>
                      </m:ctrlPr>
                    </m:accPr>
                    <m:e>
                      <m:r>
                        <w:rPr>
                          <w:rFonts w:ascii="Cambria Math" w:hAnsi="Cambria Math"/>
                          <w:sz w:val="20"/>
                          <w:szCs w:val="20"/>
                        </w:rPr>
                        <m:t>q</m:t>
                      </m:r>
                    </m:e>
                  </m:acc>
                </m:e>
                <m:sub>
                  <m:r>
                    <w:rPr>
                      <w:rFonts w:ascii="Cambria Math" w:hAnsi="Cambria Math"/>
                      <w:sz w:val="20"/>
                      <w:szCs w:val="20"/>
                    </w:rPr>
                    <m:t>0,0</m:t>
                  </m:r>
                </m:sub>
              </m:sSub>
            </m:oMath>
            <w:r>
              <w:rPr>
                <w:sz w:val="20"/>
                <w:szCs w:val="20"/>
              </w:rPr>
              <w:t xml:space="preserve"> or </w:t>
            </w:r>
            <m:oMath>
              <m:r>
                <m:rPr>
                  <m:sty m:val="p"/>
                </m:rPr>
                <w:rPr>
                  <w:rFonts w:ascii="Cambria Math" w:hAnsi="Cambria Math"/>
                  <w:sz w:val="20"/>
                  <w:szCs w:val="20"/>
                </w:rPr>
                <m:t xml:space="preserve"> </m:t>
              </m:r>
              <m:sSub>
                <m:sSubPr>
                  <m:ctrlPr>
                    <w:rPr>
                      <w:rFonts w:ascii="Cambria Math" w:hAnsi="Cambria Math"/>
                      <w:i/>
                      <w:sz w:val="20"/>
                      <w:szCs w:val="20"/>
                    </w:rPr>
                  </m:ctrlPr>
                </m:sSubPr>
                <m:e>
                  <m:acc>
                    <m:accPr>
                      <m:chr m:val="̅"/>
                      <m:ctrlPr>
                        <w:rPr>
                          <w:rFonts w:ascii="Cambria Math" w:hAnsi="Cambria Math"/>
                          <w:i/>
                          <w:sz w:val="20"/>
                          <w:szCs w:val="20"/>
                        </w:rPr>
                      </m:ctrlPr>
                    </m:accPr>
                    <m:e>
                      <m:r>
                        <w:rPr>
                          <w:rFonts w:ascii="Cambria Math" w:hAnsi="Cambria Math"/>
                          <w:sz w:val="20"/>
                          <w:szCs w:val="20"/>
                        </w:rPr>
                        <m:t>q</m:t>
                      </m:r>
                    </m:e>
                  </m:acc>
                </m:e>
                <m:sub>
                  <m:r>
                    <w:rPr>
                      <w:rFonts w:ascii="Cambria Math" w:hAnsi="Cambria Math"/>
                      <w:sz w:val="20"/>
                      <w:szCs w:val="20"/>
                    </w:rPr>
                    <m:t>0,1</m:t>
                  </m:r>
                </m:sub>
              </m:sSub>
            </m:oMath>
            <w:r>
              <w:rPr>
                <w:sz w:val="20"/>
                <w:szCs w:val="20"/>
              </w:rPr>
              <w:t xml:space="preserve"> </w:t>
            </w:r>
            <w:r>
              <w:rPr>
                <w:iCs/>
                <w:sz w:val="20"/>
                <w:szCs w:val="20"/>
              </w:rPr>
              <w:t>to include periodic CSI-RS resource configuration indexes with same values as the RS indexes in the RS sets indicated by</w:t>
            </w:r>
            <w:r>
              <w:rPr>
                <w:sz w:val="20"/>
                <w:szCs w:val="20"/>
              </w:rPr>
              <w:t xml:space="preserve"> </w:t>
            </w:r>
            <w:r>
              <w:rPr>
                <w:i/>
                <w:sz w:val="20"/>
                <w:szCs w:val="20"/>
              </w:rPr>
              <w:t>TCI-State</w:t>
            </w:r>
            <w:r>
              <w:rPr>
                <w:sz w:val="20"/>
                <w:szCs w:val="20"/>
              </w:rPr>
              <w:t xml:space="preserve"> for first and second CORESETs that the UE uses for monitoring PDCCH, where the UE is provided two </w:t>
            </w:r>
            <w:r>
              <w:rPr>
                <w:rStyle w:val="Emphasis"/>
                <w:rFonts w:eastAsia="Batang"/>
                <w:sz w:val="20"/>
                <w:szCs w:val="20"/>
              </w:rPr>
              <w:t>coresetPoolIndex values 0 and 1 for the first and second CORESETs, or is not provided coresetPoolIndex value for the first CORESETs and is provided coresetPoolIndex value of 1 for the second CORESETs, respectively</w:t>
            </w:r>
            <w:r>
              <w:rPr>
                <w:sz w:val="20"/>
                <w:szCs w:val="20"/>
              </w:rPr>
              <w:t xml:space="preserve">. If there are two RS indexes in a TCI state, the set </w:t>
            </w:r>
            <m:oMath>
              <m:sSub>
                <m:sSubPr>
                  <m:ctrlPr>
                    <w:rPr>
                      <w:rFonts w:ascii="Cambria Math" w:hAnsi="Cambria Math"/>
                      <w:i/>
                      <w:sz w:val="20"/>
                      <w:szCs w:val="20"/>
                    </w:rPr>
                  </m:ctrlPr>
                </m:sSubPr>
                <m:e>
                  <m:acc>
                    <m:accPr>
                      <m:chr m:val="̅"/>
                      <m:ctrlPr>
                        <w:rPr>
                          <w:rFonts w:ascii="Cambria Math" w:hAnsi="Cambria Math"/>
                          <w:i/>
                          <w:sz w:val="20"/>
                          <w:szCs w:val="20"/>
                        </w:rPr>
                      </m:ctrlPr>
                    </m:accPr>
                    <m:e>
                      <m:r>
                        <w:rPr>
                          <w:rFonts w:ascii="Cambria Math" w:hAnsi="Cambria Math"/>
                          <w:sz w:val="20"/>
                          <w:szCs w:val="20"/>
                        </w:rPr>
                        <m:t>q</m:t>
                      </m:r>
                    </m:e>
                  </m:acc>
                </m:e>
                <m:sub>
                  <m:r>
                    <w:rPr>
                      <w:rFonts w:ascii="Cambria Math" w:hAnsi="Cambria Math"/>
                      <w:sz w:val="20"/>
                      <w:szCs w:val="20"/>
                    </w:rPr>
                    <m:t>0</m:t>
                  </m:r>
                </m:sub>
              </m:sSub>
            </m:oMath>
            <w:r>
              <w:rPr>
                <w:sz w:val="20"/>
                <w:szCs w:val="20"/>
              </w:rPr>
              <w:t xml:space="preserve"> or </w:t>
            </w:r>
            <m:oMath>
              <m:sSub>
                <m:sSubPr>
                  <m:ctrlPr>
                    <w:rPr>
                      <w:rFonts w:ascii="Cambria Math" w:hAnsi="Cambria Math"/>
                      <w:i/>
                      <w:sz w:val="20"/>
                      <w:szCs w:val="20"/>
                    </w:rPr>
                  </m:ctrlPr>
                </m:sSubPr>
                <m:e>
                  <m:acc>
                    <m:accPr>
                      <m:chr m:val="̅"/>
                      <m:ctrlPr>
                        <w:rPr>
                          <w:rFonts w:ascii="Cambria Math" w:hAnsi="Cambria Math"/>
                          <w:i/>
                          <w:sz w:val="20"/>
                          <w:szCs w:val="20"/>
                        </w:rPr>
                      </m:ctrlPr>
                    </m:accPr>
                    <m:e>
                      <m:r>
                        <w:rPr>
                          <w:rFonts w:ascii="Cambria Math" w:hAnsi="Cambria Math"/>
                          <w:sz w:val="20"/>
                          <w:szCs w:val="20"/>
                        </w:rPr>
                        <m:t>q</m:t>
                      </m:r>
                    </m:e>
                  </m:acc>
                </m:e>
                <m:sub>
                  <m:r>
                    <w:rPr>
                      <w:rFonts w:ascii="Cambria Math" w:hAnsi="Cambria Math"/>
                      <w:sz w:val="20"/>
                      <w:szCs w:val="20"/>
                    </w:rPr>
                    <m:t>0,0</m:t>
                  </m:r>
                </m:sub>
              </m:sSub>
            </m:oMath>
            <w:r>
              <w:rPr>
                <w:sz w:val="20"/>
                <w:szCs w:val="20"/>
              </w:rPr>
              <w:t xml:space="preserve">, or </w:t>
            </w:r>
            <m:oMath>
              <m:sSub>
                <m:sSubPr>
                  <m:ctrlPr>
                    <w:rPr>
                      <w:rFonts w:ascii="Cambria Math" w:hAnsi="Cambria Math"/>
                      <w:i/>
                      <w:sz w:val="20"/>
                      <w:szCs w:val="20"/>
                    </w:rPr>
                  </m:ctrlPr>
                </m:sSubPr>
                <m:e>
                  <m:acc>
                    <m:accPr>
                      <m:chr m:val="̅"/>
                      <m:ctrlPr>
                        <w:rPr>
                          <w:rFonts w:ascii="Cambria Math" w:hAnsi="Cambria Math"/>
                          <w:i/>
                          <w:sz w:val="20"/>
                          <w:szCs w:val="20"/>
                        </w:rPr>
                      </m:ctrlPr>
                    </m:accPr>
                    <m:e>
                      <m:r>
                        <w:rPr>
                          <w:rFonts w:ascii="Cambria Math" w:hAnsi="Cambria Math"/>
                          <w:sz w:val="20"/>
                          <w:szCs w:val="20"/>
                        </w:rPr>
                        <m:t>q</m:t>
                      </m:r>
                    </m:e>
                  </m:acc>
                </m:e>
                <m:sub>
                  <m:r>
                    <w:rPr>
                      <w:rFonts w:ascii="Cambria Math" w:hAnsi="Cambria Math"/>
                      <w:sz w:val="20"/>
                      <w:szCs w:val="20"/>
                    </w:rPr>
                    <m:t>0,1</m:t>
                  </m:r>
                </m:sub>
              </m:sSub>
            </m:oMath>
            <w:r>
              <w:rPr>
                <w:sz w:val="20"/>
                <w:szCs w:val="20"/>
              </w:rPr>
              <w:t xml:space="preserve"> includes RS indexes configured with </w:t>
            </w:r>
            <w:r>
              <w:rPr>
                <w:i/>
                <w:sz w:val="20"/>
                <w:szCs w:val="20"/>
                <w:lang w:eastAsia="ja-JP"/>
              </w:rPr>
              <w:t>qcl-Type</w:t>
            </w:r>
            <w:r>
              <w:rPr>
                <w:sz w:val="20"/>
                <w:szCs w:val="20"/>
                <w:lang w:eastAsia="ja-JP"/>
              </w:rPr>
              <w:t xml:space="preserve"> set to</w:t>
            </w:r>
            <w:r>
              <w:rPr>
                <w:sz w:val="20"/>
                <w:szCs w:val="20"/>
              </w:rPr>
              <w:t xml:space="preserve"> 'typeD' for the corresponding TCI states. If a CORESET that the UE uses for monitoring PDCCH includes two TCI states and the UE is provided</w:t>
            </w:r>
            <w:r>
              <w:rPr>
                <w:rFonts w:eastAsia="Times New Roman"/>
                <w:i/>
                <w:iCs/>
                <w:sz w:val="20"/>
                <w:szCs w:val="20"/>
              </w:rPr>
              <w:t xml:space="preserve"> </w:t>
            </w:r>
            <w:r>
              <w:rPr>
                <w:i/>
                <w:iCs/>
                <w:sz w:val="20"/>
                <w:szCs w:val="20"/>
              </w:rPr>
              <w:t>sfnSchemePdcch</w:t>
            </w:r>
            <w:r>
              <w:rPr>
                <w:sz w:val="20"/>
                <w:szCs w:val="20"/>
              </w:rPr>
              <w:t xml:space="preserve"> set to 'sfnSchemeA' or 'sfnSchemeB', the set </w:t>
            </w:r>
            <m:oMath>
              <m:sSub>
                <m:sSubPr>
                  <m:ctrlPr>
                    <w:rPr>
                      <w:rFonts w:ascii="Cambria Math" w:hAnsi="Cambria Math"/>
                      <w:i/>
                      <w:sz w:val="20"/>
                      <w:szCs w:val="20"/>
                    </w:rPr>
                  </m:ctrlPr>
                </m:sSubPr>
                <m:e>
                  <m:acc>
                    <m:accPr>
                      <m:chr m:val="̅"/>
                      <m:ctrlPr>
                        <w:rPr>
                          <w:rFonts w:ascii="Cambria Math" w:hAnsi="Cambria Math"/>
                          <w:i/>
                          <w:sz w:val="20"/>
                          <w:szCs w:val="20"/>
                        </w:rPr>
                      </m:ctrlPr>
                    </m:accPr>
                    <m:e>
                      <m:r>
                        <w:rPr>
                          <w:rFonts w:ascii="Cambria Math" w:hAnsi="Cambria Math"/>
                          <w:sz w:val="20"/>
                          <w:szCs w:val="20"/>
                        </w:rPr>
                        <m:t>q</m:t>
                      </m:r>
                    </m:e>
                  </m:acc>
                </m:e>
                <m:sub>
                  <m:r>
                    <w:rPr>
                      <w:rFonts w:ascii="Cambria Math" w:hAnsi="Cambria Math"/>
                      <w:sz w:val="20"/>
                      <w:szCs w:val="20"/>
                    </w:rPr>
                    <m:t>0</m:t>
                  </m:r>
                </m:sub>
              </m:sSub>
            </m:oMath>
            <w:r>
              <w:rPr>
                <w:sz w:val="20"/>
                <w:szCs w:val="20"/>
              </w:rPr>
              <w:t xml:space="preserve"> includes RS indexes in the RS sets associated with the two TCI states. The UE expects the set </w:t>
            </w:r>
            <m:oMath>
              <m:sSub>
                <m:sSubPr>
                  <m:ctrlPr>
                    <w:rPr>
                      <w:rFonts w:ascii="Cambria Math" w:hAnsi="Cambria Math"/>
                      <w:i/>
                      <w:sz w:val="20"/>
                      <w:szCs w:val="20"/>
                    </w:rPr>
                  </m:ctrlPr>
                </m:sSubPr>
                <m:e>
                  <m:acc>
                    <m:accPr>
                      <m:chr m:val="̅"/>
                      <m:ctrlPr>
                        <w:rPr>
                          <w:rFonts w:ascii="Cambria Math" w:hAnsi="Cambria Math"/>
                          <w:i/>
                          <w:sz w:val="20"/>
                          <w:szCs w:val="20"/>
                        </w:rPr>
                      </m:ctrlPr>
                    </m:accPr>
                    <m:e>
                      <m:r>
                        <w:rPr>
                          <w:rFonts w:ascii="Cambria Math" w:hAnsi="Cambria Math"/>
                          <w:sz w:val="20"/>
                          <w:szCs w:val="20"/>
                        </w:rPr>
                        <m:t>q</m:t>
                      </m:r>
                    </m:e>
                  </m:acc>
                </m:e>
                <m:sub>
                  <m:r>
                    <w:rPr>
                      <w:rFonts w:ascii="Cambria Math" w:hAnsi="Cambria Math"/>
                      <w:sz w:val="20"/>
                      <w:szCs w:val="20"/>
                    </w:rPr>
                    <m:t>0</m:t>
                  </m:r>
                </m:sub>
              </m:sSub>
            </m:oMath>
            <w:r>
              <w:rPr>
                <w:sz w:val="20"/>
                <w:szCs w:val="20"/>
              </w:rPr>
              <w:t xml:space="preserve"> to include up to two RS indexes. If the UE is provided </w:t>
            </w:r>
            <m:oMath>
              <m:sSub>
                <m:sSubPr>
                  <m:ctrlPr>
                    <w:rPr>
                      <w:rFonts w:ascii="Cambria Math" w:hAnsi="Cambria Math"/>
                      <w:i/>
                      <w:sz w:val="20"/>
                      <w:szCs w:val="20"/>
                    </w:rPr>
                  </m:ctrlPr>
                </m:sSubPr>
                <m:e>
                  <m:acc>
                    <m:accPr>
                      <m:chr m:val="̅"/>
                      <m:ctrlPr>
                        <w:rPr>
                          <w:rFonts w:ascii="Cambria Math" w:hAnsi="Cambria Math"/>
                          <w:i/>
                          <w:sz w:val="20"/>
                          <w:szCs w:val="20"/>
                        </w:rPr>
                      </m:ctrlPr>
                    </m:accPr>
                    <m:e>
                      <m:r>
                        <w:rPr>
                          <w:rFonts w:ascii="Cambria Math" w:hAnsi="Cambria Math"/>
                          <w:sz w:val="20"/>
                          <w:szCs w:val="20"/>
                        </w:rPr>
                        <m:t>q</m:t>
                      </m:r>
                    </m:e>
                  </m:acc>
                </m:e>
                <m:sub>
                  <m:r>
                    <w:rPr>
                      <w:rFonts w:ascii="Cambria Math" w:hAnsi="Cambria Math"/>
                      <w:sz w:val="20"/>
                      <w:szCs w:val="20"/>
                    </w:rPr>
                    <m:t>0,0</m:t>
                  </m:r>
                </m:sub>
              </m:sSub>
            </m:oMath>
            <w:r>
              <w:rPr>
                <w:sz w:val="20"/>
                <w:szCs w:val="20"/>
              </w:rPr>
              <w:t xml:space="preserve"> or </w:t>
            </w:r>
            <m:oMath>
              <m:sSub>
                <m:sSubPr>
                  <m:ctrlPr>
                    <w:rPr>
                      <w:rFonts w:ascii="Cambria Math" w:hAnsi="Cambria Math"/>
                      <w:i/>
                      <w:sz w:val="20"/>
                      <w:szCs w:val="20"/>
                    </w:rPr>
                  </m:ctrlPr>
                </m:sSubPr>
                <m:e>
                  <m:acc>
                    <m:accPr>
                      <m:chr m:val="̅"/>
                      <m:ctrlPr>
                        <w:rPr>
                          <w:rFonts w:ascii="Cambria Math" w:hAnsi="Cambria Math"/>
                          <w:i/>
                          <w:sz w:val="20"/>
                          <w:szCs w:val="20"/>
                        </w:rPr>
                      </m:ctrlPr>
                    </m:accPr>
                    <m:e>
                      <m:r>
                        <w:rPr>
                          <w:rFonts w:ascii="Cambria Math" w:hAnsi="Cambria Math"/>
                          <w:sz w:val="20"/>
                          <w:szCs w:val="20"/>
                        </w:rPr>
                        <m:t>q</m:t>
                      </m:r>
                    </m:e>
                  </m:acc>
                </m:e>
                <m:sub>
                  <m:r>
                    <w:rPr>
                      <w:rFonts w:ascii="Cambria Math" w:hAnsi="Cambria Math"/>
                      <w:sz w:val="20"/>
                      <w:szCs w:val="20"/>
                    </w:rPr>
                    <m:t>0,1</m:t>
                  </m:r>
                </m:sub>
              </m:sSub>
            </m:oMath>
            <w:r>
              <w:rPr>
                <w:sz w:val="20"/>
                <w:szCs w:val="20"/>
              </w:rPr>
              <w:t xml:space="preserve">, the UE expects the set </w:t>
            </w:r>
            <m:oMath>
              <m:sSub>
                <m:sSubPr>
                  <m:ctrlPr>
                    <w:rPr>
                      <w:rFonts w:ascii="Cambria Math" w:hAnsi="Cambria Math"/>
                      <w:i/>
                      <w:sz w:val="20"/>
                      <w:szCs w:val="20"/>
                    </w:rPr>
                  </m:ctrlPr>
                </m:sSubPr>
                <m:e>
                  <m:acc>
                    <m:accPr>
                      <m:chr m:val="̅"/>
                      <m:ctrlPr>
                        <w:rPr>
                          <w:rFonts w:ascii="Cambria Math" w:hAnsi="Cambria Math"/>
                          <w:i/>
                          <w:sz w:val="20"/>
                          <w:szCs w:val="20"/>
                        </w:rPr>
                      </m:ctrlPr>
                    </m:accPr>
                    <m:e>
                      <m:r>
                        <w:rPr>
                          <w:rFonts w:ascii="Cambria Math" w:hAnsi="Cambria Math"/>
                          <w:sz w:val="20"/>
                          <w:szCs w:val="20"/>
                        </w:rPr>
                        <m:t>q</m:t>
                      </m:r>
                    </m:e>
                  </m:acc>
                </m:e>
                <m:sub>
                  <m:r>
                    <w:rPr>
                      <w:rFonts w:ascii="Cambria Math" w:hAnsi="Cambria Math"/>
                      <w:sz w:val="20"/>
                      <w:szCs w:val="20"/>
                    </w:rPr>
                    <m:t>0,0</m:t>
                  </m:r>
                </m:sub>
              </m:sSub>
            </m:oMath>
            <w:r>
              <w:rPr>
                <w:sz w:val="20"/>
                <w:szCs w:val="20"/>
              </w:rPr>
              <w:t xml:space="preserve"> or the set </w:t>
            </w:r>
            <m:oMath>
              <m:sSub>
                <m:sSubPr>
                  <m:ctrlPr>
                    <w:rPr>
                      <w:rFonts w:ascii="Cambria Math" w:hAnsi="Cambria Math"/>
                      <w:i/>
                      <w:sz w:val="20"/>
                      <w:szCs w:val="20"/>
                    </w:rPr>
                  </m:ctrlPr>
                </m:sSubPr>
                <m:e>
                  <m:acc>
                    <m:accPr>
                      <m:chr m:val="̅"/>
                      <m:ctrlPr>
                        <w:rPr>
                          <w:rFonts w:ascii="Cambria Math" w:hAnsi="Cambria Math"/>
                          <w:i/>
                          <w:sz w:val="20"/>
                          <w:szCs w:val="20"/>
                        </w:rPr>
                      </m:ctrlPr>
                    </m:accPr>
                    <m:e>
                      <m:r>
                        <w:rPr>
                          <w:rFonts w:ascii="Cambria Math" w:hAnsi="Cambria Math"/>
                          <w:sz w:val="20"/>
                          <w:szCs w:val="20"/>
                        </w:rPr>
                        <m:t>q</m:t>
                      </m:r>
                    </m:e>
                  </m:acc>
                </m:e>
                <m:sub>
                  <m:r>
                    <w:rPr>
                      <w:rFonts w:ascii="Cambria Math" w:hAnsi="Cambria Math"/>
                      <w:sz w:val="20"/>
                      <w:szCs w:val="20"/>
                    </w:rPr>
                    <m:t>0,1</m:t>
                  </m:r>
                </m:sub>
              </m:sSub>
            </m:oMath>
            <w:r>
              <w:rPr>
                <w:sz w:val="20"/>
                <w:szCs w:val="20"/>
              </w:rPr>
              <w:t xml:space="preserve"> to include up to a number of </w:t>
            </w:r>
            <m:oMath>
              <m:sSub>
                <m:sSubPr>
                  <m:ctrlPr>
                    <w:rPr>
                      <w:rFonts w:ascii="Cambria Math" w:hAnsi="Cambria Math"/>
                      <w:i/>
                      <w:sz w:val="20"/>
                      <w:szCs w:val="20"/>
                    </w:rPr>
                  </m:ctrlPr>
                </m:sSubPr>
                <m:e>
                  <m:r>
                    <w:rPr>
                      <w:rFonts w:ascii="Cambria Math" w:hAnsi="Cambria Math"/>
                      <w:sz w:val="20"/>
                      <w:szCs w:val="20"/>
                    </w:rPr>
                    <m:t>N</m:t>
                  </m:r>
                </m:e>
                <m:sub>
                  <m:r>
                    <m:rPr>
                      <m:sty m:val="p"/>
                    </m:rPr>
                    <w:rPr>
                      <w:rFonts w:ascii="Cambria Math" w:hAnsi="Cambria Math"/>
                      <w:sz w:val="20"/>
                      <w:szCs w:val="20"/>
                    </w:rPr>
                    <m:t>BFD</m:t>
                  </m:r>
                </m:sub>
              </m:sSub>
            </m:oMath>
            <w:r>
              <w:rPr>
                <w:sz w:val="20"/>
                <w:szCs w:val="20"/>
              </w:rPr>
              <w:t xml:space="preserve"> RS indexes indicated by </w:t>
            </w:r>
            <w:r>
              <w:rPr>
                <w:i/>
                <w:iCs/>
                <w:sz w:val="20"/>
                <w:szCs w:val="20"/>
              </w:rPr>
              <w:t>capabilityparametername</w:t>
            </w:r>
            <w:r>
              <w:rPr>
                <w:sz w:val="20"/>
                <w:szCs w:val="20"/>
              </w:rPr>
              <w:t xml:space="preserve">. If the UE is not provided </w:t>
            </w:r>
            <m:oMath>
              <m:sSub>
                <m:sSubPr>
                  <m:ctrlPr>
                    <w:rPr>
                      <w:rFonts w:ascii="Cambria Math" w:hAnsi="Cambria Math"/>
                      <w:i/>
                      <w:sz w:val="20"/>
                      <w:szCs w:val="20"/>
                    </w:rPr>
                  </m:ctrlPr>
                </m:sSubPr>
                <m:e>
                  <m:acc>
                    <m:accPr>
                      <m:chr m:val="̅"/>
                      <m:ctrlPr>
                        <w:rPr>
                          <w:rFonts w:ascii="Cambria Math" w:hAnsi="Cambria Math"/>
                          <w:i/>
                          <w:sz w:val="20"/>
                          <w:szCs w:val="20"/>
                        </w:rPr>
                      </m:ctrlPr>
                    </m:accPr>
                    <m:e>
                      <m:r>
                        <w:rPr>
                          <w:rFonts w:ascii="Cambria Math" w:hAnsi="Cambria Math"/>
                          <w:sz w:val="20"/>
                          <w:szCs w:val="20"/>
                        </w:rPr>
                        <m:t>q</m:t>
                      </m:r>
                    </m:e>
                  </m:acc>
                </m:e>
                <m:sub>
                  <m:r>
                    <w:rPr>
                      <w:rFonts w:ascii="Cambria Math" w:hAnsi="Cambria Math"/>
                      <w:sz w:val="20"/>
                      <w:szCs w:val="20"/>
                    </w:rPr>
                    <m:t>0,0</m:t>
                  </m:r>
                </m:sub>
              </m:sSub>
            </m:oMath>
            <w:r>
              <w:rPr>
                <w:sz w:val="20"/>
                <w:szCs w:val="20"/>
              </w:rPr>
              <w:t xml:space="preserve"> or </w:t>
            </w:r>
            <m:oMath>
              <m:sSub>
                <m:sSubPr>
                  <m:ctrlPr>
                    <w:rPr>
                      <w:rFonts w:ascii="Cambria Math" w:hAnsi="Cambria Math"/>
                      <w:i/>
                      <w:sz w:val="20"/>
                      <w:szCs w:val="20"/>
                    </w:rPr>
                  </m:ctrlPr>
                </m:sSubPr>
                <m:e>
                  <m:acc>
                    <m:accPr>
                      <m:chr m:val="̅"/>
                      <m:ctrlPr>
                        <w:rPr>
                          <w:rFonts w:ascii="Cambria Math" w:hAnsi="Cambria Math"/>
                          <w:i/>
                          <w:sz w:val="20"/>
                          <w:szCs w:val="20"/>
                        </w:rPr>
                      </m:ctrlPr>
                    </m:accPr>
                    <m:e>
                      <m:r>
                        <w:rPr>
                          <w:rFonts w:ascii="Cambria Math" w:hAnsi="Cambria Math"/>
                          <w:sz w:val="20"/>
                          <w:szCs w:val="20"/>
                        </w:rPr>
                        <m:t>q</m:t>
                      </m:r>
                    </m:e>
                  </m:acc>
                </m:e>
                <m:sub>
                  <m:r>
                    <w:rPr>
                      <w:rFonts w:ascii="Cambria Math" w:hAnsi="Cambria Math"/>
                      <w:sz w:val="20"/>
                      <w:szCs w:val="20"/>
                    </w:rPr>
                    <m:t>0,1</m:t>
                  </m:r>
                </m:sub>
              </m:sSub>
            </m:oMath>
            <w:r>
              <w:rPr>
                <w:sz w:val="20"/>
                <w:szCs w:val="20"/>
              </w:rPr>
              <w:t xml:space="preserve">, and if a number of active TCI states for PDCCH receptions in the first or second CORESETs is larger than </w:t>
            </w:r>
            <m:oMath>
              <m:sSub>
                <m:sSubPr>
                  <m:ctrlPr>
                    <w:rPr>
                      <w:rFonts w:ascii="Cambria Math" w:hAnsi="Cambria Math"/>
                      <w:i/>
                      <w:sz w:val="20"/>
                      <w:szCs w:val="20"/>
                    </w:rPr>
                  </m:ctrlPr>
                </m:sSubPr>
                <m:e>
                  <m:r>
                    <w:rPr>
                      <w:rFonts w:ascii="Cambria Math" w:hAnsi="Cambria Math"/>
                      <w:sz w:val="20"/>
                      <w:szCs w:val="20"/>
                    </w:rPr>
                    <m:t>N</m:t>
                  </m:r>
                </m:e>
                <m:sub>
                  <m:r>
                    <m:rPr>
                      <m:sty m:val="p"/>
                    </m:rPr>
                    <w:rPr>
                      <w:rFonts w:ascii="Cambria Math" w:hAnsi="Cambria Math"/>
                      <w:sz w:val="20"/>
                      <w:szCs w:val="20"/>
                    </w:rPr>
                    <m:t>BFD</m:t>
                  </m:r>
                </m:sub>
              </m:sSub>
            </m:oMath>
            <w:r>
              <w:rPr>
                <w:sz w:val="20"/>
                <w:szCs w:val="20"/>
              </w:rPr>
              <w:t xml:space="preserve">, the UE determines the set </w:t>
            </w:r>
            <m:oMath>
              <m:sSub>
                <m:sSubPr>
                  <m:ctrlPr>
                    <w:rPr>
                      <w:rFonts w:ascii="Cambria Math" w:hAnsi="Cambria Math"/>
                      <w:i/>
                      <w:sz w:val="20"/>
                      <w:szCs w:val="20"/>
                    </w:rPr>
                  </m:ctrlPr>
                </m:sSubPr>
                <m:e>
                  <m:acc>
                    <m:accPr>
                      <m:chr m:val="̅"/>
                      <m:ctrlPr>
                        <w:rPr>
                          <w:rFonts w:ascii="Cambria Math" w:hAnsi="Cambria Math"/>
                          <w:i/>
                          <w:sz w:val="20"/>
                          <w:szCs w:val="20"/>
                        </w:rPr>
                      </m:ctrlPr>
                    </m:accPr>
                    <m:e>
                      <m:r>
                        <w:rPr>
                          <w:rFonts w:ascii="Cambria Math" w:hAnsi="Cambria Math"/>
                          <w:sz w:val="20"/>
                          <w:szCs w:val="20"/>
                        </w:rPr>
                        <m:t>q</m:t>
                      </m:r>
                    </m:e>
                  </m:acc>
                </m:e>
                <m:sub>
                  <m:r>
                    <w:rPr>
                      <w:rFonts w:ascii="Cambria Math" w:hAnsi="Cambria Math"/>
                      <w:sz w:val="20"/>
                      <w:szCs w:val="20"/>
                    </w:rPr>
                    <m:t>0,0</m:t>
                  </m:r>
                </m:sub>
              </m:sSub>
            </m:oMath>
            <w:r>
              <w:rPr>
                <w:sz w:val="20"/>
                <w:szCs w:val="20"/>
              </w:rPr>
              <w:t xml:space="preserve"> or </w:t>
            </w:r>
            <m:oMath>
              <m:sSub>
                <m:sSubPr>
                  <m:ctrlPr>
                    <w:rPr>
                      <w:rFonts w:ascii="Cambria Math" w:hAnsi="Cambria Math"/>
                      <w:i/>
                      <w:sz w:val="20"/>
                      <w:szCs w:val="20"/>
                    </w:rPr>
                  </m:ctrlPr>
                </m:sSubPr>
                <m:e>
                  <m:acc>
                    <m:accPr>
                      <m:chr m:val="̅"/>
                      <m:ctrlPr>
                        <w:rPr>
                          <w:rFonts w:ascii="Cambria Math" w:hAnsi="Cambria Math"/>
                          <w:i/>
                          <w:sz w:val="20"/>
                          <w:szCs w:val="20"/>
                        </w:rPr>
                      </m:ctrlPr>
                    </m:accPr>
                    <m:e>
                      <m:r>
                        <w:rPr>
                          <w:rFonts w:ascii="Cambria Math" w:hAnsi="Cambria Math"/>
                          <w:sz w:val="20"/>
                          <w:szCs w:val="20"/>
                        </w:rPr>
                        <m:t>q</m:t>
                      </m:r>
                    </m:e>
                  </m:acc>
                </m:e>
                <m:sub>
                  <m:r>
                    <w:rPr>
                      <w:rFonts w:ascii="Cambria Math" w:hAnsi="Cambria Math"/>
                      <w:sz w:val="20"/>
                      <w:szCs w:val="20"/>
                    </w:rPr>
                    <m:t>0,1</m:t>
                  </m:r>
                </m:sub>
              </m:sSub>
            </m:oMath>
            <w:r>
              <w:rPr>
                <w:sz w:val="20"/>
                <w:szCs w:val="20"/>
              </w:rPr>
              <w:t xml:space="preserve"> to include periodic CSI-RS resource configuration indexes with same values as the RS indexes in the RS sets associated with the active TCI states for PDCCH receptions in the first or second CORESETs corresponding to search space sets according to an ascending order for monitoring periodicity. If more than one first or second CORESETs correspond to search space sets with same monitoring periodicity, the UE determines the order of the first or second CORESETs according to a descending order of a CORESET index. </w:t>
            </w:r>
          </w:p>
        </w:tc>
      </w:tr>
    </w:tbl>
    <w:p w14:paraId="48E2E9B2" w14:textId="77777777" w:rsidR="006303A1" w:rsidRDefault="006303A1">
      <w:pPr>
        <w:rPr>
          <w:sz w:val="18"/>
          <w:szCs w:val="18"/>
          <w:lang w:eastAsia="zh-CN"/>
        </w:rPr>
      </w:pPr>
    </w:p>
    <w:p w14:paraId="442C3D43" w14:textId="77777777" w:rsidR="006303A1" w:rsidRDefault="00A53935">
      <w:pPr>
        <w:pStyle w:val="Heading3"/>
        <w:rPr>
          <w:lang w:eastAsia="zh-CN"/>
        </w:rPr>
      </w:pPr>
      <w:r>
        <w:rPr>
          <w:b/>
          <w:bCs/>
          <w:lang w:eastAsia="zh-CN"/>
        </w:rPr>
        <w:t>TP#</w:t>
      </w:r>
      <w:r>
        <w:rPr>
          <w:rFonts w:hint="eastAsia"/>
          <w:b/>
          <w:bCs/>
          <w:lang w:eastAsia="zh-CN"/>
        </w:rPr>
        <w:t>2-4 in TS38.214</w:t>
      </w:r>
    </w:p>
    <w:p w14:paraId="703706E2" w14:textId="77777777" w:rsidR="006303A1" w:rsidRDefault="00A53935">
      <w:pPr>
        <w:spacing w:before="120" w:after="60" w:line="260" w:lineRule="auto"/>
        <w:rPr>
          <w:b/>
          <w:bCs/>
          <w:sz w:val="20"/>
          <w:szCs w:val="20"/>
          <w:u w:val="single"/>
          <w:lang w:val="en-GB" w:eastAsia="zh-CN"/>
        </w:rPr>
      </w:pPr>
      <w:r>
        <w:rPr>
          <w:b/>
          <w:bCs/>
          <w:sz w:val="20"/>
          <w:szCs w:val="20"/>
          <w:u w:val="single"/>
          <w:lang w:val="en-GB" w:eastAsia="zh-CN"/>
        </w:rPr>
        <w:t>Reason of change:</w:t>
      </w:r>
    </w:p>
    <w:p w14:paraId="0A0FFA40" w14:textId="77777777" w:rsidR="006303A1" w:rsidRDefault="00A53935" w:rsidP="00A53935">
      <w:pPr>
        <w:pStyle w:val="06subTitle"/>
        <w:spacing w:after="120"/>
        <w:rPr>
          <w:rFonts w:eastAsiaTheme="minorEastAsia"/>
          <w:b w:val="0"/>
          <w:bCs w:val="0"/>
          <w:iCs w:val="0"/>
          <w:sz w:val="20"/>
          <w:szCs w:val="20"/>
          <w:u w:val="none"/>
          <w:lang w:val="en-US" w:eastAsia="zh-CN"/>
        </w:rPr>
      </w:pPr>
      <w:r>
        <w:rPr>
          <w:rFonts w:eastAsiaTheme="minorEastAsia" w:hint="eastAsia"/>
          <w:b w:val="0"/>
          <w:bCs w:val="0"/>
          <w:iCs w:val="0"/>
          <w:sz w:val="20"/>
          <w:szCs w:val="20"/>
          <w:u w:val="none"/>
          <w:lang w:val="en-US" w:eastAsia="zh-CN"/>
        </w:rPr>
        <w:t xml:space="preserve">In current spec, the higher layer parameter </w:t>
      </w:r>
      <w:r>
        <w:rPr>
          <w:rFonts w:eastAsiaTheme="minorEastAsia"/>
          <w:b w:val="0"/>
          <w:bCs w:val="0"/>
          <w:i/>
          <w:iCs w:val="0"/>
          <w:sz w:val="20"/>
          <w:szCs w:val="20"/>
          <w:u w:val="none"/>
          <w:lang w:val="en-US" w:eastAsia="zh-CN"/>
        </w:rPr>
        <w:t>additionalPCI-r17</w:t>
      </w:r>
      <w:r>
        <w:rPr>
          <w:rFonts w:eastAsiaTheme="minorEastAsia" w:hint="eastAsia"/>
          <w:b w:val="0"/>
          <w:bCs w:val="0"/>
          <w:i/>
          <w:iCs w:val="0"/>
          <w:sz w:val="20"/>
          <w:szCs w:val="20"/>
          <w:u w:val="none"/>
          <w:lang w:val="en-US" w:eastAsia="zh-CN"/>
        </w:rPr>
        <w:t xml:space="preserve"> </w:t>
      </w:r>
      <w:r>
        <w:rPr>
          <w:rFonts w:eastAsiaTheme="minorEastAsia" w:hint="eastAsia"/>
          <w:b w:val="0"/>
          <w:bCs w:val="0"/>
          <w:iCs w:val="0"/>
          <w:sz w:val="20"/>
          <w:szCs w:val="20"/>
          <w:u w:val="none"/>
          <w:lang w:val="en-US" w:eastAsia="zh-CN"/>
        </w:rPr>
        <w:t>doesn</w:t>
      </w:r>
      <w:r>
        <w:rPr>
          <w:rFonts w:eastAsiaTheme="minorEastAsia"/>
          <w:b w:val="0"/>
          <w:bCs w:val="0"/>
          <w:iCs w:val="0"/>
          <w:sz w:val="20"/>
          <w:szCs w:val="20"/>
          <w:u w:val="none"/>
          <w:lang w:val="en-US" w:eastAsia="zh-CN"/>
        </w:rPr>
        <w:t>’</w:t>
      </w:r>
      <w:r>
        <w:rPr>
          <w:rFonts w:eastAsiaTheme="minorEastAsia" w:hint="eastAsia"/>
          <w:b w:val="0"/>
          <w:bCs w:val="0"/>
          <w:iCs w:val="0"/>
          <w:sz w:val="20"/>
          <w:szCs w:val="20"/>
          <w:u w:val="none"/>
          <w:lang w:val="en-US" w:eastAsia="zh-CN"/>
        </w:rPr>
        <w:t xml:space="preserve">t align with those in TS38.214 to specify the different physical cell ID with which the activated TCI states corresponding to two </w:t>
      </w:r>
      <w:r>
        <w:rPr>
          <w:rFonts w:eastAsiaTheme="minorEastAsia"/>
          <w:b w:val="0"/>
          <w:bCs w:val="0"/>
          <w:i/>
          <w:iCs w:val="0"/>
          <w:sz w:val="20"/>
          <w:szCs w:val="20"/>
          <w:u w:val="none"/>
          <w:lang w:val="en-US" w:eastAsia="zh-CN"/>
        </w:rPr>
        <w:t>coresetPoolIndex</w:t>
      </w:r>
      <w:r>
        <w:rPr>
          <w:rFonts w:eastAsiaTheme="minorEastAsia" w:hint="eastAsia"/>
          <w:b w:val="0"/>
          <w:bCs w:val="0"/>
          <w:iCs w:val="0"/>
          <w:sz w:val="20"/>
          <w:szCs w:val="20"/>
          <w:u w:val="none"/>
          <w:lang w:val="en-US" w:eastAsia="zh-CN"/>
        </w:rPr>
        <w:t xml:space="preserve"> can be associated. </w:t>
      </w:r>
    </w:p>
    <w:p w14:paraId="22001D54" w14:textId="77777777" w:rsidR="006303A1" w:rsidRDefault="00A53935">
      <w:pPr>
        <w:pStyle w:val="Normal9pointspacing"/>
        <w:rPr>
          <w:rFonts w:eastAsiaTheme="minorEastAsia"/>
          <w:b/>
          <w:szCs w:val="20"/>
          <w:u w:val="single"/>
          <w:lang w:val="en-US" w:eastAsia="zh-CN"/>
        </w:rPr>
      </w:pPr>
      <w:r>
        <w:rPr>
          <w:rFonts w:eastAsiaTheme="minorEastAsia" w:hint="eastAsia"/>
          <w:b/>
          <w:szCs w:val="20"/>
          <w:u w:val="single"/>
          <w:lang w:val="en-US" w:eastAsia="zh-CN"/>
        </w:rPr>
        <w:t>Summary of change:</w:t>
      </w:r>
    </w:p>
    <w:p w14:paraId="7971DC34" w14:textId="77777777" w:rsidR="006303A1" w:rsidRDefault="00A53935">
      <w:pPr>
        <w:rPr>
          <w:sz w:val="20"/>
          <w:szCs w:val="20"/>
        </w:rPr>
      </w:pPr>
      <w:r>
        <w:rPr>
          <w:rFonts w:hint="eastAsia"/>
          <w:sz w:val="20"/>
          <w:szCs w:val="20"/>
        </w:rPr>
        <w:t xml:space="preserve">In section 5.1.5 of TS 38.214, update the parameter </w:t>
      </w:r>
      <w:r>
        <w:rPr>
          <w:i/>
          <w:sz w:val="20"/>
          <w:szCs w:val="20"/>
        </w:rPr>
        <w:t>NumberOfAdditionalPCI</w:t>
      </w:r>
      <w:r>
        <w:rPr>
          <w:rFonts w:hint="eastAsia"/>
          <w:sz w:val="20"/>
          <w:szCs w:val="20"/>
        </w:rPr>
        <w:t xml:space="preserve">. </w:t>
      </w:r>
    </w:p>
    <w:p w14:paraId="2019BC0A" w14:textId="77777777" w:rsidR="006303A1" w:rsidRDefault="00A53935">
      <w:pPr>
        <w:pStyle w:val="Normal9pointspacing"/>
        <w:rPr>
          <w:rFonts w:eastAsiaTheme="minorEastAsia"/>
          <w:b/>
          <w:szCs w:val="20"/>
          <w:u w:val="single"/>
          <w:lang w:val="en-US" w:eastAsia="zh-CN"/>
        </w:rPr>
      </w:pPr>
      <w:r>
        <w:rPr>
          <w:rFonts w:eastAsiaTheme="minorEastAsia" w:hint="eastAsia"/>
          <w:b/>
          <w:szCs w:val="20"/>
          <w:u w:val="single"/>
          <w:lang w:val="en-US" w:eastAsia="zh-CN"/>
        </w:rPr>
        <w:t>Consequences if not approved:</w:t>
      </w:r>
    </w:p>
    <w:p w14:paraId="164F9CEF" w14:textId="77777777" w:rsidR="006303A1" w:rsidRDefault="00A53935">
      <w:pPr>
        <w:rPr>
          <w:sz w:val="20"/>
          <w:szCs w:val="20"/>
        </w:rPr>
      </w:pPr>
      <w:r>
        <w:rPr>
          <w:sz w:val="20"/>
          <w:szCs w:val="20"/>
        </w:rPr>
        <w:t xml:space="preserve">Higher-layer parameter misalignment between 38.214 and 38.331. </w:t>
      </w:r>
    </w:p>
    <w:p w14:paraId="07443360" w14:textId="77777777" w:rsidR="006303A1" w:rsidRDefault="006303A1">
      <w:pPr>
        <w:rPr>
          <w:sz w:val="20"/>
          <w:szCs w:val="20"/>
          <w:lang w:eastAsia="zh-CN"/>
        </w:rPr>
      </w:pPr>
    </w:p>
    <w:p w14:paraId="5E73A657" w14:textId="77777777" w:rsidR="006303A1" w:rsidRDefault="00A53935">
      <w:pPr>
        <w:snapToGrid w:val="0"/>
        <w:rPr>
          <w:color w:val="FF0000"/>
          <w:sz w:val="20"/>
          <w:szCs w:val="20"/>
          <w:lang w:val="en-GB"/>
        </w:rPr>
      </w:pPr>
      <w:r>
        <w:rPr>
          <w:rFonts w:eastAsia="Malgun Gothic"/>
          <w:b/>
          <w:sz w:val="20"/>
          <w:szCs w:val="20"/>
          <w:u w:val="single"/>
        </w:rPr>
        <w:t>TP 2-4</w:t>
      </w:r>
      <w:r>
        <w:rPr>
          <w:sz w:val="20"/>
          <w:szCs w:val="20"/>
          <w:lang w:val="en-GB"/>
        </w:rPr>
        <w:t>: To endorse the following text proposal for TS 38.214:</w:t>
      </w:r>
    </w:p>
    <w:tbl>
      <w:tblPr>
        <w:tblW w:w="9988" w:type="dxa"/>
        <w:tblCellMar>
          <w:left w:w="10" w:type="dxa"/>
          <w:right w:w="10" w:type="dxa"/>
        </w:tblCellMar>
        <w:tblLook w:val="04A0" w:firstRow="1" w:lastRow="0" w:firstColumn="1" w:lastColumn="0" w:noHBand="0" w:noVBand="1"/>
      </w:tblPr>
      <w:tblGrid>
        <w:gridCol w:w="9988"/>
      </w:tblGrid>
      <w:tr w:rsidR="006303A1" w14:paraId="730E162C" w14:textId="77777777">
        <w:trPr>
          <w:trHeight w:val="48"/>
        </w:trPr>
        <w:tc>
          <w:tcPr>
            <w:tcW w:w="9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C147DA" w14:textId="77777777" w:rsidR="006303A1" w:rsidRDefault="00A53935">
            <w:pPr>
              <w:numPr>
                <w:ilvl w:val="255"/>
                <w:numId w:val="0"/>
              </w:numPr>
              <w:rPr>
                <w:rFonts w:cs="Times"/>
                <w:b/>
                <w:bCs/>
                <w:sz w:val="20"/>
                <w:szCs w:val="20"/>
                <w:u w:val="single"/>
              </w:rPr>
            </w:pPr>
            <w:r>
              <w:rPr>
                <w:rFonts w:cs="Times"/>
                <w:b/>
                <w:bCs/>
                <w:sz w:val="20"/>
                <w:szCs w:val="20"/>
                <w:u w:val="single"/>
              </w:rPr>
              <w:t>5.1.5</w:t>
            </w:r>
            <w:r>
              <w:rPr>
                <w:rFonts w:cs="Times"/>
                <w:b/>
                <w:bCs/>
                <w:sz w:val="20"/>
                <w:szCs w:val="20"/>
                <w:u w:val="single"/>
              </w:rPr>
              <w:tab/>
              <w:t>Antenna ports quasi co-location</w:t>
            </w:r>
          </w:p>
          <w:p w14:paraId="32EE2D6B" w14:textId="77777777" w:rsidR="006303A1" w:rsidRDefault="00A53935">
            <w:pPr>
              <w:jc w:val="center"/>
              <w:rPr>
                <w:color w:val="FF0000"/>
                <w:sz w:val="20"/>
                <w:szCs w:val="20"/>
                <w:lang w:eastAsia="zh-CN"/>
              </w:rPr>
            </w:pPr>
            <w:r>
              <w:rPr>
                <w:color w:val="FF0000"/>
                <w:sz w:val="20"/>
                <w:szCs w:val="20"/>
                <w:lang w:eastAsia="zh-CN"/>
              </w:rPr>
              <w:t xml:space="preserve">&lt; </w:t>
            </w:r>
            <w:r>
              <w:rPr>
                <w:color w:val="FF0000"/>
                <w:sz w:val="20"/>
                <w:szCs w:val="20"/>
              </w:rPr>
              <w:t>Unchanged parts are omitted</w:t>
            </w:r>
            <w:r>
              <w:rPr>
                <w:color w:val="FF0000"/>
                <w:sz w:val="20"/>
                <w:szCs w:val="20"/>
                <w:lang w:eastAsia="zh-CN"/>
              </w:rPr>
              <w:t xml:space="preserve"> &gt;</w:t>
            </w:r>
          </w:p>
          <w:p w14:paraId="765136B0" w14:textId="77777777" w:rsidR="006303A1" w:rsidRDefault="00A53935">
            <w:pPr>
              <w:pStyle w:val="ListParagraph"/>
              <w:widowControl w:val="0"/>
              <w:numPr>
                <w:ilvl w:val="0"/>
                <w:numId w:val="13"/>
              </w:numPr>
              <w:spacing w:after="0" w:line="240" w:lineRule="auto"/>
              <w:ind w:left="318"/>
              <w:rPr>
                <w:sz w:val="20"/>
                <w:szCs w:val="20"/>
                <w:lang w:eastAsia="zh-CN"/>
              </w:rPr>
            </w:pPr>
            <w:r>
              <w:rPr>
                <w:sz w:val="20"/>
                <w:szCs w:val="20"/>
                <w:lang w:eastAsia="zh-CN"/>
              </w:rPr>
              <w:t xml:space="preserve">If the UE is configured with </w:t>
            </w:r>
            <w:r>
              <w:rPr>
                <w:strike/>
                <w:color w:val="FF0000"/>
                <w:sz w:val="20"/>
                <w:szCs w:val="20"/>
                <w:lang w:eastAsia="zh-CN"/>
              </w:rPr>
              <w:t>[</w:t>
            </w:r>
            <w:r>
              <w:rPr>
                <w:i/>
                <w:iCs/>
                <w:strike/>
                <w:color w:val="FF0000"/>
                <w:sz w:val="20"/>
                <w:szCs w:val="20"/>
                <w:lang w:eastAsia="zh-CN"/>
              </w:rPr>
              <w:t>NumberOfAdditionalPCI</w:t>
            </w:r>
            <w:r>
              <w:rPr>
                <w:strike/>
                <w:color w:val="FF0000"/>
                <w:sz w:val="20"/>
                <w:szCs w:val="20"/>
                <w:lang w:eastAsia="zh-CN"/>
              </w:rPr>
              <w:t>]</w:t>
            </w:r>
            <w:r>
              <w:rPr>
                <w:sz w:val="20"/>
                <w:szCs w:val="20"/>
                <w:lang w:eastAsia="zh-CN"/>
              </w:rPr>
              <w:t xml:space="preserve"> </w:t>
            </w:r>
            <w:r>
              <w:rPr>
                <w:i/>
                <w:iCs/>
                <w:color w:val="FF0000"/>
                <w:sz w:val="20"/>
                <w:szCs w:val="20"/>
                <w:lang w:eastAsia="zh-CN"/>
              </w:rPr>
              <w:t>SSB-MTC-AddtionalPCI-r17</w:t>
            </w:r>
            <w:r>
              <w:rPr>
                <w:color w:val="FF0000"/>
                <w:sz w:val="20"/>
                <w:szCs w:val="20"/>
              </w:rPr>
              <w:t xml:space="preserve"> </w:t>
            </w:r>
            <w:r>
              <w:rPr>
                <w:sz w:val="20"/>
                <w:szCs w:val="20"/>
                <w:lang w:eastAsia="zh-CN"/>
              </w:rPr>
              <w:t xml:space="preserve">and with </w:t>
            </w:r>
            <w:r>
              <w:rPr>
                <w:i/>
                <w:sz w:val="20"/>
                <w:szCs w:val="20"/>
              </w:rPr>
              <w:t>PDCCH-Config</w:t>
            </w:r>
            <w:r>
              <w:rPr>
                <w:sz w:val="20"/>
                <w:szCs w:val="20"/>
              </w:rPr>
              <w:t xml:space="preserve"> that contains two different values of </w:t>
            </w:r>
            <w:r>
              <w:rPr>
                <w:i/>
                <w:sz w:val="20"/>
                <w:szCs w:val="20"/>
                <w:lang w:eastAsia="zh-CN"/>
              </w:rPr>
              <w:t>coresetPoolIndex</w:t>
            </w:r>
            <w:r>
              <w:rPr>
                <w:sz w:val="20"/>
                <w:szCs w:val="20"/>
                <w:lang w:eastAsia="zh-CN"/>
              </w:rPr>
              <w:t xml:space="preserve"> in </w:t>
            </w:r>
            <w:r>
              <w:rPr>
                <w:i/>
                <w:sz w:val="20"/>
                <w:szCs w:val="20"/>
              </w:rPr>
              <w:t>ControlResourceSet</w:t>
            </w:r>
            <w:r>
              <w:rPr>
                <w:color w:val="000000"/>
                <w:sz w:val="20"/>
                <w:szCs w:val="20"/>
              </w:rPr>
              <w:t xml:space="preserve">, the UE receives an activation command for CORESET associated with each </w:t>
            </w:r>
            <w:r>
              <w:rPr>
                <w:i/>
                <w:iCs/>
                <w:color w:val="000000"/>
                <w:sz w:val="20"/>
                <w:szCs w:val="20"/>
              </w:rPr>
              <w:t>coresetPoolIndex</w:t>
            </w:r>
            <w:r>
              <w:rPr>
                <w:color w:val="000000"/>
                <w:sz w:val="20"/>
                <w:szCs w:val="20"/>
              </w:rPr>
              <w:t xml:space="preserve">, as described in clause 6.1.3.14 of [10, TS 38.321], used to map up to 8 TCI states to the codepoints of the DCI field </w:t>
            </w:r>
            <w:r>
              <w:rPr>
                <w:i/>
                <w:color w:val="000000"/>
                <w:sz w:val="20"/>
                <w:szCs w:val="20"/>
              </w:rPr>
              <w:t>'Transmission Configuration Indication'</w:t>
            </w:r>
            <w:r>
              <w:rPr>
                <w:color w:val="000000"/>
                <w:sz w:val="20"/>
                <w:szCs w:val="20"/>
              </w:rPr>
              <w:t xml:space="preserve"> in one CC/DL BWP. When a set of TCI state IDs are activated for a </w:t>
            </w:r>
            <w:r>
              <w:rPr>
                <w:i/>
                <w:iCs/>
                <w:color w:val="000000"/>
                <w:sz w:val="20"/>
                <w:szCs w:val="20"/>
              </w:rPr>
              <w:t>coresetPoolIndex</w:t>
            </w:r>
            <w:r>
              <w:rPr>
                <w:color w:val="000000"/>
                <w:sz w:val="20"/>
                <w:szCs w:val="20"/>
              </w:rPr>
              <w:t xml:space="preserve">, the activated TCI states corresponding to one </w:t>
            </w:r>
            <w:r>
              <w:rPr>
                <w:i/>
                <w:iCs/>
                <w:color w:val="000000"/>
                <w:sz w:val="20"/>
                <w:szCs w:val="20"/>
              </w:rPr>
              <w:t>coresetPoolIndex</w:t>
            </w:r>
            <w:r>
              <w:rPr>
                <w:color w:val="000000"/>
                <w:sz w:val="20"/>
                <w:szCs w:val="20"/>
              </w:rPr>
              <w:t xml:space="preserve"> can be associated with one physical cell ID and activated TCI states corresponding to another </w:t>
            </w:r>
            <w:r>
              <w:rPr>
                <w:i/>
                <w:iCs/>
                <w:color w:val="000000"/>
                <w:sz w:val="20"/>
                <w:szCs w:val="20"/>
              </w:rPr>
              <w:t>coresetPoolIndex</w:t>
            </w:r>
            <w:r>
              <w:rPr>
                <w:color w:val="000000"/>
                <w:sz w:val="20"/>
                <w:szCs w:val="20"/>
              </w:rPr>
              <w:t xml:space="preserve"> can be associated with another physical cell ID.</w:t>
            </w:r>
          </w:p>
          <w:p w14:paraId="24ABEF75" w14:textId="77777777" w:rsidR="006303A1" w:rsidRDefault="00A53935">
            <w:pPr>
              <w:jc w:val="center"/>
              <w:rPr>
                <w:rFonts w:eastAsia="Malgun Gothic"/>
                <w:sz w:val="20"/>
                <w:szCs w:val="20"/>
                <w:lang w:val="en-GB"/>
              </w:rPr>
            </w:pPr>
            <w:r>
              <w:rPr>
                <w:color w:val="FF0000"/>
                <w:sz w:val="20"/>
                <w:szCs w:val="20"/>
                <w:lang w:eastAsia="zh-CN"/>
              </w:rPr>
              <w:lastRenderedPageBreak/>
              <w:t xml:space="preserve">&lt; </w:t>
            </w:r>
            <w:r>
              <w:rPr>
                <w:color w:val="FF0000"/>
                <w:sz w:val="20"/>
                <w:szCs w:val="20"/>
              </w:rPr>
              <w:t>Unchanged parts are omitted</w:t>
            </w:r>
            <w:r>
              <w:rPr>
                <w:color w:val="FF0000"/>
                <w:sz w:val="20"/>
                <w:szCs w:val="20"/>
                <w:lang w:eastAsia="zh-CN"/>
              </w:rPr>
              <w:t xml:space="preserve"> &gt;</w:t>
            </w:r>
          </w:p>
        </w:tc>
      </w:tr>
    </w:tbl>
    <w:p w14:paraId="7E757870" w14:textId="77777777" w:rsidR="006303A1" w:rsidRDefault="006303A1">
      <w:pPr>
        <w:rPr>
          <w:sz w:val="18"/>
          <w:szCs w:val="18"/>
          <w:lang w:eastAsia="zh-CN"/>
        </w:rPr>
      </w:pPr>
    </w:p>
    <w:p w14:paraId="7B9A5499" w14:textId="77777777" w:rsidR="006303A1" w:rsidRDefault="00A53935">
      <w:pPr>
        <w:pStyle w:val="Heading3"/>
        <w:rPr>
          <w:lang w:eastAsia="zh-CN"/>
        </w:rPr>
      </w:pPr>
      <w:r>
        <w:rPr>
          <w:b/>
          <w:bCs/>
          <w:lang w:eastAsia="zh-CN"/>
        </w:rPr>
        <w:t>TP#</w:t>
      </w:r>
      <w:r>
        <w:rPr>
          <w:rFonts w:hint="eastAsia"/>
          <w:b/>
          <w:bCs/>
          <w:lang w:eastAsia="zh-CN"/>
        </w:rPr>
        <w:t>2-5 in TS38.214</w:t>
      </w:r>
    </w:p>
    <w:p w14:paraId="6AAC71C8" w14:textId="77777777" w:rsidR="006303A1" w:rsidRDefault="00A53935">
      <w:pPr>
        <w:spacing w:before="120" w:after="60" w:line="260" w:lineRule="auto"/>
        <w:rPr>
          <w:b/>
          <w:bCs/>
          <w:sz w:val="20"/>
          <w:szCs w:val="20"/>
          <w:u w:val="single"/>
          <w:lang w:val="en-GB" w:eastAsia="zh-CN"/>
        </w:rPr>
      </w:pPr>
      <w:r>
        <w:rPr>
          <w:b/>
          <w:bCs/>
          <w:sz w:val="20"/>
          <w:szCs w:val="20"/>
          <w:u w:val="single"/>
          <w:lang w:val="en-GB" w:eastAsia="zh-CN"/>
        </w:rPr>
        <w:t>Reason of change:</w:t>
      </w:r>
    </w:p>
    <w:p w14:paraId="7495FDC3" w14:textId="77777777" w:rsidR="006303A1" w:rsidRDefault="00A53935">
      <w:pPr>
        <w:rPr>
          <w:sz w:val="20"/>
          <w:szCs w:val="20"/>
          <w:lang w:eastAsia="zh-CN"/>
        </w:rPr>
      </w:pPr>
      <w:r>
        <w:rPr>
          <w:rFonts w:hint="eastAsia"/>
          <w:sz w:val="20"/>
          <w:szCs w:val="20"/>
          <w:lang w:eastAsia="zh-CN"/>
        </w:rPr>
        <w:t>The mapping rule captured in the current version is misaligned with the latest version of RRC parameters.</w:t>
      </w:r>
    </w:p>
    <w:p w14:paraId="39352890" w14:textId="77777777" w:rsidR="006303A1" w:rsidRDefault="00A53935">
      <w:pPr>
        <w:pStyle w:val="Normal9pointspacing"/>
        <w:rPr>
          <w:rFonts w:eastAsiaTheme="minorEastAsia"/>
          <w:b/>
          <w:szCs w:val="20"/>
          <w:u w:val="single"/>
          <w:lang w:val="en-US" w:eastAsia="zh-CN"/>
        </w:rPr>
      </w:pPr>
      <w:r>
        <w:rPr>
          <w:rFonts w:eastAsiaTheme="minorEastAsia" w:hint="eastAsia"/>
          <w:b/>
          <w:szCs w:val="20"/>
          <w:u w:val="single"/>
          <w:lang w:val="en-US" w:eastAsia="zh-CN"/>
        </w:rPr>
        <w:t>Summary of change:</w:t>
      </w:r>
    </w:p>
    <w:p w14:paraId="4761E691" w14:textId="77777777" w:rsidR="006303A1" w:rsidRDefault="00A53935">
      <w:pPr>
        <w:rPr>
          <w:sz w:val="20"/>
          <w:szCs w:val="20"/>
          <w:lang w:eastAsia="zh-CN"/>
        </w:rPr>
      </w:pPr>
      <w:r>
        <w:rPr>
          <w:rFonts w:hint="eastAsia"/>
          <w:sz w:val="20"/>
          <w:szCs w:val="20"/>
          <w:lang w:eastAsia="zh-CN"/>
        </w:rPr>
        <w:t>In TS38.214 section 5.2.1.4.3, clarify the mapping rule between SSB index and PCI index for inter-cell L1-RSRP measurement.</w:t>
      </w:r>
    </w:p>
    <w:p w14:paraId="11D722BE" w14:textId="77777777" w:rsidR="006303A1" w:rsidRDefault="00A53935">
      <w:pPr>
        <w:pStyle w:val="Normal9pointspacing"/>
        <w:rPr>
          <w:rFonts w:eastAsiaTheme="minorEastAsia"/>
          <w:b/>
          <w:szCs w:val="20"/>
          <w:u w:val="single"/>
          <w:lang w:val="en-US" w:eastAsia="zh-CN"/>
        </w:rPr>
      </w:pPr>
      <w:r>
        <w:rPr>
          <w:rFonts w:eastAsiaTheme="minorEastAsia" w:hint="eastAsia"/>
          <w:b/>
          <w:szCs w:val="20"/>
          <w:u w:val="single"/>
          <w:lang w:val="en-US" w:eastAsia="zh-CN"/>
        </w:rPr>
        <w:t>Consequences if not approved:</w:t>
      </w:r>
    </w:p>
    <w:p w14:paraId="055C933E" w14:textId="77777777" w:rsidR="006303A1" w:rsidRDefault="00A53935">
      <w:pPr>
        <w:rPr>
          <w:sz w:val="20"/>
          <w:szCs w:val="20"/>
          <w:lang w:eastAsia="zh-CN"/>
        </w:rPr>
      </w:pPr>
      <w:r>
        <w:rPr>
          <w:rFonts w:hint="eastAsia"/>
          <w:sz w:val="20"/>
          <w:szCs w:val="20"/>
          <w:lang w:eastAsia="zh-CN"/>
        </w:rPr>
        <w:t>It is unclear how to determine the mapping rule between the SSB index and PCI index.</w:t>
      </w:r>
    </w:p>
    <w:p w14:paraId="4B895830" w14:textId="77777777" w:rsidR="006303A1" w:rsidRDefault="00A53935">
      <w:pPr>
        <w:rPr>
          <w:sz w:val="20"/>
          <w:szCs w:val="20"/>
          <w:lang w:val="en-GB"/>
        </w:rPr>
      </w:pPr>
      <w:r>
        <w:rPr>
          <w:rFonts w:eastAsia="Malgun Gothic"/>
          <w:b/>
          <w:sz w:val="20"/>
          <w:szCs w:val="20"/>
          <w:u w:val="single"/>
        </w:rPr>
        <w:t>TP 2-5</w:t>
      </w:r>
      <w:r>
        <w:rPr>
          <w:sz w:val="20"/>
          <w:szCs w:val="20"/>
          <w:lang w:val="en-GB"/>
        </w:rPr>
        <w:t>: To endorse the following text proposal for TS 38.214:</w:t>
      </w:r>
    </w:p>
    <w:tbl>
      <w:tblPr>
        <w:tblW w:w="10101" w:type="dxa"/>
        <w:tblCellMar>
          <w:left w:w="10" w:type="dxa"/>
          <w:right w:w="10" w:type="dxa"/>
        </w:tblCellMar>
        <w:tblLook w:val="04A0" w:firstRow="1" w:lastRow="0" w:firstColumn="1" w:lastColumn="0" w:noHBand="0" w:noVBand="1"/>
      </w:tblPr>
      <w:tblGrid>
        <w:gridCol w:w="10101"/>
      </w:tblGrid>
      <w:tr w:rsidR="006303A1" w14:paraId="57F898C9" w14:textId="77777777">
        <w:trPr>
          <w:trHeight w:val="48"/>
        </w:trPr>
        <w:tc>
          <w:tcPr>
            <w:tcW w:w="101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08F8C9" w14:textId="77777777" w:rsidR="006303A1" w:rsidRDefault="00A53935">
            <w:pPr>
              <w:numPr>
                <w:ilvl w:val="255"/>
                <w:numId w:val="0"/>
              </w:numPr>
              <w:rPr>
                <w:rFonts w:cs="Times"/>
                <w:b/>
                <w:bCs/>
                <w:sz w:val="20"/>
                <w:szCs w:val="20"/>
                <w:u w:val="single"/>
              </w:rPr>
            </w:pPr>
            <w:r>
              <w:rPr>
                <w:rFonts w:cs="Times" w:hint="eastAsia"/>
                <w:b/>
                <w:bCs/>
                <w:sz w:val="20"/>
                <w:szCs w:val="20"/>
                <w:u w:val="single"/>
              </w:rPr>
              <w:t>5</w:t>
            </w:r>
            <w:r>
              <w:rPr>
                <w:rFonts w:cs="Times"/>
                <w:b/>
                <w:bCs/>
                <w:sz w:val="20"/>
                <w:szCs w:val="20"/>
                <w:u w:val="single"/>
              </w:rPr>
              <w:t>.2.1.4.3 L1-RSRP Reporting</w:t>
            </w:r>
          </w:p>
          <w:p w14:paraId="463D1E92" w14:textId="77777777" w:rsidR="006303A1" w:rsidRDefault="00A53935">
            <w:pPr>
              <w:widowControl w:val="0"/>
              <w:autoSpaceDE w:val="0"/>
              <w:autoSpaceDN w:val="0"/>
              <w:adjustRightInd w:val="0"/>
              <w:snapToGrid w:val="0"/>
              <w:spacing w:afterLines="50" w:after="182"/>
              <w:jc w:val="center"/>
              <w:rPr>
                <w:rFonts w:eastAsia="宋体"/>
                <w:color w:val="FF0000"/>
                <w:sz w:val="20"/>
                <w:szCs w:val="20"/>
                <w:lang w:eastAsia="zh-CN"/>
              </w:rPr>
            </w:pPr>
            <w:r>
              <w:rPr>
                <w:rFonts w:eastAsia="宋体"/>
                <w:color w:val="FF0000"/>
                <w:sz w:val="20"/>
                <w:szCs w:val="20"/>
                <w:lang w:eastAsia="zh-CN"/>
              </w:rPr>
              <w:t xml:space="preserve">&lt; </w:t>
            </w:r>
            <w:r>
              <w:rPr>
                <w:rFonts w:eastAsia="宋体"/>
                <w:color w:val="FF0000"/>
                <w:sz w:val="20"/>
                <w:szCs w:val="20"/>
              </w:rPr>
              <w:t>Unchanged parts are omitted</w:t>
            </w:r>
            <w:r>
              <w:rPr>
                <w:rFonts w:eastAsia="宋体"/>
                <w:color w:val="FF0000"/>
                <w:sz w:val="20"/>
                <w:szCs w:val="20"/>
                <w:lang w:eastAsia="zh-CN"/>
              </w:rPr>
              <w:t xml:space="preserve"> &gt;</w:t>
            </w:r>
          </w:p>
          <w:p w14:paraId="31CAA214" w14:textId="77777777" w:rsidR="006303A1" w:rsidRDefault="00A53935">
            <w:pPr>
              <w:rPr>
                <w:strike/>
                <w:color w:val="FF0000"/>
                <w:sz w:val="20"/>
                <w:szCs w:val="20"/>
              </w:rPr>
            </w:pPr>
            <w:r>
              <w:rPr>
                <w:sz w:val="20"/>
                <w:szCs w:val="20"/>
                <w:lang w:eastAsia="zh-CN"/>
              </w:rPr>
              <w:t xml:space="preserve">When the UE is configured with </w:t>
            </w:r>
            <w:r>
              <w:rPr>
                <w:i/>
                <w:iCs/>
                <w:color w:val="FF0000"/>
                <w:sz w:val="20"/>
                <w:szCs w:val="20"/>
                <w:lang w:eastAsia="zh-CN"/>
              </w:rPr>
              <w:t>SSB-MTC-AddtionalPCI-r17</w:t>
            </w:r>
            <w:r>
              <w:rPr>
                <w:strike/>
                <w:color w:val="FF0000"/>
                <w:sz w:val="20"/>
                <w:szCs w:val="20"/>
                <w:lang w:eastAsia="zh-CN"/>
              </w:rPr>
              <w:t>[</w:t>
            </w:r>
            <w:r>
              <w:rPr>
                <w:i/>
                <w:iCs/>
                <w:strike/>
                <w:color w:val="FF0000"/>
                <w:sz w:val="20"/>
                <w:szCs w:val="20"/>
                <w:lang w:eastAsia="zh-CN"/>
              </w:rPr>
              <w:t>NumberOfAdditionalPCI</w:t>
            </w:r>
            <w:r>
              <w:rPr>
                <w:strike/>
                <w:color w:val="FF0000"/>
                <w:sz w:val="20"/>
                <w:szCs w:val="20"/>
                <w:lang w:eastAsia="zh-CN"/>
              </w:rPr>
              <w:t>]</w:t>
            </w:r>
            <w:r>
              <w:rPr>
                <w:sz w:val="20"/>
                <w:szCs w:val="20"/>
                <w:lang w:eastAsia="zh-CN"/>
              </w:rPr>
              <w:t xml:space="preserve">, </w:t>
            </w:r>
            <w:r>
              <w:rPr>
                <w:sz w:val="20"/>
                <w:szCs w:val="20"/>
              </w:rPr>
              <w:t xml:space="preserve">a CSI-SSB-ResourceSet configured for L1-RSRP reporting includes one </w:t>
            </w:r>
            <w:r>
              <w:rPr>
                <w:strike/>
                <w:color w:val="FF0000"/>
                <w:sz w:val="20"/>
                <w:szCs w:val="20"/>
              </w:rPr>
              <w:t xml:space="preserve">or more </w:t>
            </w:r>
            <w:r>
              <w:rPr>
                <w:sz w:val="20"/>
                <w:szCs w:val="20"/>
              </w:rPr>
              <w:t>set</w:t>
            </w:r>
            <w:r>
              <w:rPr>
                <w:strike/>
                <w:color w:val="FF0000"/>
                <w:sz w:val="20"/>
                <w:szCs w:val="20"/>
              </w:rPr>
              <w:t>s</w:t>
            </w:r>
            <w:r>
              <w:rPr>
                <w:sz w:val="20"/>
                <w:szCs w:val="20"/>
              </w:rPr>
              <w:t xml:space="preserve"> of SSB indices </w:t>
            </w:r>
            <w:r>
              <w:rPr>
                <w:color w:val="FF0000"/>
                <w:sz w:val="20"/>
                <w:szCs w:val="20"/>
              </w:rPr>
              <w:t xml:space="preserve">and one set of PCI indices, </w:t>
            </w:r>
            <w:r>
              <w:rPr>
                <w:sz w:val="20"/>
                <w:szCs w:val="20"/>
              </w:rPr>
              <w:t xml:space="preserve">where </w:t>
            </w:r>
            <w:r>
              <w:rPr>
                <w:color w:val="FF0000"/>
                <w:sz w:val="20"/>
                <w:szCs w:val="20"/>
              </w:rPr>
              <w:t xml:space="preserve">each SSB index is associated with a PCI index. </w:t>
            </w:r>
            <w:r>
              <w:rPr>
                <w:rFonts w:eastAsia="MS Mincho"/>
                <w:bCs/>
                <w:strike/>
                <w:color w:val="FF0000"/>
                <w:sz w:val="20"/>
                <w:szCs w:val="20"/>
                <w:lang w:eastAsia="ja-JP"/>
              </w:rPr>
              <w:t>PCI indices are</w:t>
            </w:r>
            <w:r>
              <w:rPr>
                <w:strike/>
                <w:color w:val="FF0000"/>
                <w:sz w:val="20"/>
                <w:szCs w:val="20"/>
              </w:rPr>
              <w:t xml:space="preserve"> associated with the sets of SSB indices, respectively. </w:t>
            </w:r>
          </w:p>
          <w:p w14:paraId="45B8A757" w14:textId="77777777" w:rsidR="006303A1" w:rsidRDefault="00A53935">
            <w:pPr>
              <w:widowControl w:val="0"/>
              <w:autoSpaceDE w:val="0"/>
              <w:autoSpaceDN w:val="0"/>
              <w:adjustRightInd w:val="0"/>
              <w:snapToGrid w:val="0"/>
              <w:spacing w:before="120" w:afterLines="50" w:after="182"/>
              <w:jc w:val="center"/>
              <w:rPr>
                <w:rFonts w:eastAsia="Malgun Gothic"/>
                <w:b/>
                <w:sz w:val="20"/>
                <w:szCs w:val="20"/>
                <w:u w:val="single"/>
              </w:rPr>
            </w:pPr>
            <w:r>
              <w:rPr>
                <w:color w:val="FF0000"/>
                <w:sz w:val="20"/>
                <w:szCs w:val="20"/>
                <w:lang w:eastAsia="zh-CN"/>
              </w:rPr>
              <w:t xml:space="preserve">&lt; </w:t>
            </w:r>
            <w:r>
              <w:rPr>
                <w:color w:val="FF0000"/>
                <w:sz w:val="20"/>
                <w:szCs w:val="20"/>
              </w:rPr>
              <w:t>Unchanged parts are omitted</w:t>
            </w:r>
            <w:r>
              <w:rPr>
                <w:color w:val="FF0000"/>
                <w:sz w:val="20"/>
                <w:szCs w:val="20"/>
                <w:lang w:eastAsia="zh-CN"/>
              </w:rPr>
              <w:t xml:space="preserve"> &gt;</w:t>
            </w:r>
          </w:p>
        </w:tc>
      </w:tr>
    </w:tbl>
    <w:p w14:paraId="770A2B3C" w14:textId="77777777" w:rsidR="006303A1" w:rsidRDefault="006303A1">
      <w:pPr>
        <w:rPr>
          <w:sz w:val="18"/>
          <w:szCs w:val="18"/>
          <w:lang w:eastAsia="zh-CN"/>
        </w:rPr>
      </w:pPr>
    </w:p>
    <w:p w14:paraId="5C29A34B" w14:textId="77777777" w:rsidR="006303A1" w:rsidRDefault="00A53935">
      <w:pPr>
        <w:pStyle w:val="Heading3"/>
        <w:rPr>
          <w:lang w:eastAsia="zh-CN"/>
        </w:rPr>
      </w:pPr>
      <w:r>
        <w:rPr>
          <w:b/>
          <w:bCs/>
          <w:lang w:eastAsia="zh-CN"/>
        </w:rPr>
        <w:t>TP#</w:t>
      </w:r>
      <w:r>
        <w:rPr>
          <w:rFonts w:hint="eastAsia"/>
          <w:b/>
          <w:bCs/>
          <w:lang w:eastAsia="zh-CN"/>
        </w:rPr>
        <w:t>2-8 in TS38.214</w:t>
      </w:r>
    </w:p>
    <w:p w14:paraId="32CDDF66" w14:textId="77777777" w:rsidR="00AD0A7C" w:rsidRDefault="00AD0A7C" w:rsidP="00AD0A7C">
      <w:pPr>
        <w:spacing w:before="120" w:after="60" w:line="260" w:lineRule="auto"/>
        <w:rPr>
          <w:b/>
          <w:bCs/>
          <w:sz w:val="20"/>
          <w:szCs w:val="20"/>
          <w:u w:val="single"/>
          <w:lang w:val="en-GB" w:eastAsia="zh-CN"/>
        </w:rPr>
      </w:pPr>
      <w:r>
        <w:rPr>
          <w:b/>
          <w:bCs/>
          <w:sz w:val="20"/>
          <w:szCs w:val="20"/>
          <w:u w:val="single"/>
          <w:lang w:val="en-GB" w:eastAsia="zh-CN"/>
        </w:rPr>
        <w:t>Reason of change:</w:t>
      </w:r>
    </w:p>
    <w:p w14:paraId="1F0028BE" w14:textId="77777777" w:rsidR="00AD0A7C" w:rsidRDefault="00AD0A7C" w:rsidP="00AD0A7C">
      <w:pPr>
        <w:pStyle w:val="06subTitle"/>
        <w:rPr>
          <w:rFonts w:eastAsiaTheme="minorEastAsia"/>
          <w:b w:val="0"/>
          <w:bCs w:val="0"/>
          <w:iCs w:val="0"/>
          <w:sz w:val="20"/>
          <w:szCs w:val="20"/>
          <w:u w:val="none"/>
          <w:lang w:val="en-US" w:eastAsia="zh-CN"/>
        </w:rPr>
      </w:pPr>
      <w:r>
        <w:rPr>
          <w:rFonts w:eastAsiaTheme="minorEastAsia" w:hint="eastAsia"/>
          <w:b w:val="0"/>
          <w:bCs w:val="0"/>
          <w:iCs w:val="0"/>
          <w:sz w:val="20"/>
          <w:szCs w:val="20"/>
          <w:u w:val="none"/>
          <w:lang w:val="en-US" w:eastAsia="zh-CN"/>
        </w:rPr>
        <w:t xml:space="preserve">In current spec, the higher layer parameter </w:t>
      </w:r>
      <w:r>
        <w:rPr>
          <w:rFonts w:eastAsiaTheme="minorEastAsia"/>
          <w:b w:val="0"/>
          <w:bCs w:val="0"/>
          <w:i/>
          <w:iCs w:val="0"/>
          <w:sz w:val="20"/>
          <w:szCs w:val="20"/>
          <w:u w:val="none"/>
          <w:lang w:val="en-US" w:eastAsia="zh-CN"/>
        </w:rPr>
        <w:t>additionalPCI-r17</w:t>
      </w:r>
      <w:r>
        <w:rPr>
          <w:rFonts w:eastAsiaTheme="minorEastAsia" w:hint="eastAsia"/>
          <w:b w:val="0"/>
          <w:bCs w:val="0"/>
          <w:i/>
          <w:iCs w:val="0"/>
          <w:sz w:val="20"/>
          <w:szCs w:val="20"/>
          <w:u w:val="none"/>
          <w:lang w:val="en-US" w:eastAsia="zh-CN"/>
        </w:rPr>
        <w:t xml:space="preserve"> </w:t>
      </w:r>
      <w:r>
        <w:rPr>
          <w:rFonts w:eastAsiaTheme="minorEastAsia" w:hint="eastAsia"/>
          <w:b w:val="0"/>
          <w:bCs w:val="0"/>
          <w:iCs w:val="0"/>
          <w:sz w:val="20"/>
          <w:szCs w:val="20"/>
          <w:u w:val="none"/>
          <w:lang w:val="en-US" w:eastAsia="zh-CN"/>
        </w:rPr>
        <w:t>doesn</w:t>
      </w:r>
      <w:r>
        <w:rPr>
          <w:rFonts w:eastAsiaTheme="minorEastAsia"/>
          <w:b w:val="0"/>
          <w:bCs w:val="0"/>
          <w:iCs w:val="0"/>
          <w:sz w:val="20"/>
          <w:szCs w:val="20"/>
          <w:u w:val="none"/>
          <w:lang w:val="en-US" w:eastAsia="zh-CN"/>
        </w:rPr>
        <w:t>’</w:t>
      </w:r>
      <w:r>
        <w:rPr>
          <w:rFonts w:eastAsiaTheme="minorEastAsia" w:hint="eastAsia"/>
          <w:b w:val="0"/>
          <w:bCs w:val="0"/>
          <w:iCs w:val="0"/>
          <w:sz w:val="20"/>
          <w:szCs w:val="20"/>
          <w:u w:val="none"/>
          <w:lang w:val="en-US" w:eastAsia="zh-CN"/>
        </w:rPr>
        <w:t xml:space="preserve">t align with those in TS38.214 to specify the different physical cell ID with which the activated TCI states corresponding to two </w:t>
      </w:r>
      <w:r>
        <w:rPr>
          <w:rFonts w:eastAsiaTheme="minorEastAsia"/>
          <w:b w:val="0"/>
          <w:bCs w:val="0"/>
          <w:i/>
          <w:iCs w:val="0"/>
          <w:sz w:val="20"/>
          <w:szCs w:val="20"/>
          <w:u w:val="none"/>
          <w:lang w:val="en-US" w:eastAsia="zh-CN"/>
        </w:rPr>
        <w:t>coresetPoolIndex</w:t>
      </w:r>
      <w:r>
        <w:rPr>
          <w:rFonts w:eastAsiaTheme="minorEastAsia" w:hint="eastAsia"/>
          <w:b w:val="0"/>
          <w:bCs w:val="0"/>
          <w:iCs w:val="0"/>
          <w:sz w:val="20"/>
          <w:szCs w:val="20"/>
          <w:u w:val="none"/>
          <w:lang w:val="en-US" w:eastAsia="zh-CN"/>
        </w:rPr>
        <w:t xml:space="preserve"> can be associated. </w:t>
      </w:r>
    </w:p>
    <w:p w14:paraId="6427CEF2" w14:textId="77777777" w:rsidR="00AD0A7C" w:rsidRDefault="00AD0A7C" w:rsidP="00AD0A7C">
      <w:pPr>
        <w:pStyle w:val="Normal9pointspacing"/>
        <w:rPr>
          <w:rFonts w:eastAsiaTheme="minorEastAsia"/>
          <w:b/>
          <w:szCs w:val="20"/>
          <w:u w:val="single"/>
          <w:lang w:val="en-US" w:eastAsia="zh-CN"/>
        </w:rPr>
      </w:pPr>
      <w:r>
        <w:rPr>
          <w:rFonts w:eastAsiaTheme="minorEastAsia" w:hint="eastAsia"/>
          <w:b/>
          <w:szCs w:val="20"/>
          <w:u w:val="single"/>
          <w:lang w:val="en-US" w:eastAsia="zh-CN"/>
        </w:rPr>
        <w:t>Summary of change:</w:t>
      </w:r>
    </w:p>
    <w:p w14:paraId="663B1685" w14:textId="77777777" w:rsidR="00AD0A7C" w:rsidRDefault="00AD0A7C" w:rsidP="00AD0A7C">
      <w:pPr>
        <w:rPr>
          <w:sz w:val="20"/>
          <w:szCs w:val="20"/>
        </w:rPr>
      </w:pPr>
      <w:r>
        <w:rPr>
          <w:rFonts w:hint="eastAsia"/>
          <w:sz w:val="20"/>
          <w:szCs w:val="20"/>
        </w:rPr>
        <w:t xml:space="preserve">In section 5.1.5 of TS 38.214, update the parameter </w:t>
      </w:r>
      <w:r>
        <w:rPr>
          <w:i/>
          <w:sz w:val="20"/>
          <w:szCs w:val="20"/>
        </w:rPr>
        <w:t>NumberOfAdditionalPCI</w:t>
      </w:r>
      <w:r>
        <w:rPr>
          <w:rFonts w:hint="eastAsia"/>
          <w:sz w:val="20"/>
          <w:szCs w:val="20"/>
        </w:rPr>
        <w:t xml:space="preserve">. </w:t>
      </w:r>
    </w:p>
    <w:p w14:paraId="03DBC8C8" w14:textId="77777777" w:rsidR="00AD0A7C" w:rsidRDefault="00AD0A7C" w:rsidP="00AD0A7C">
      <w:pPr>
        <w:pStyle w:val="Normal9pointspacing"/>
        <w:rPr>
          <w:rFonts w:eastAsiaTheme="minorEastAsia"/>
          <w:b/>
          <w:szCs w:val="20"/>
          <w:u w:val="single"/>
          <w:lang w:val="en-US" w:eastAsia="zh-CN"/>
        </w:rPr>
      </w:pPr>
      <w:r>
        <w:rPr>
          <w:rFonts w:eastAsiaTheme="minorEastAsia" w:hint="eastAsia"/>
          <w:b/>
          <w:szCs w:val="20"/>
          <w:u w:val="single"/>
          <w:lang w:val="en-US" w:eastAsia="zh-CN"/>
        </w:rPr>
        <w:t>Consequences if not approved:</w:t>
      </w:r>
    </w:p>
    <w:p w14:paraId="3D877090" w14:textId="52272474" w:rsidR="006303A1" w:rsidRPr="00AD0A7C" w:rsidRDefault="00AD0A7C">
      <w:pPr>
        <w:rPr>
          <w:sz w:val="20"/>
          <w:szCs w:val="20"/>
        </w:rPr>
      </w:pPr>
      <w:r>
        <w:rPr>
          <w:sz w:val="20"/>
          <w:szCs w:val="20"/>
        </w:rPr>
        <w:t xml:space="preserve">Higher-layer parameter misalignment between 38.214 and 38.331. </w:t>
      </w:r>
    </w:p>
    <w:p w14:paraId="593D9FC6" w14:textId="7B2AA7A9" w:rsidR="006303A1" w:rsidRDefault="00AD0A7C" w:rsidP="00EF0E09">
      <w:pPr>
        <w:spacing w:before="120" w:after="60" w:line="260" w:lineRule="auto"/>
        <w:rPr>
          <w:color w:val="000000"/>
          <w:sz w:val="20"/>
          <w:szCs w:val="20"/>
        </w:rPr>
      </w:pPr>
      <w:r>
        <w:rPr>
          <w:b/>
          <w:bCs/>
          <w:sz w:val="18"/>
          <w:szCs w:val="18"/>
          <w:u w:val="single"/>
          <w:lang w:val="en-GB" w:eastAsia="zh-CN"/>
        </w:rPr>
        <w:t xml:space="preserve"> </w:t>
      </w:r>
      <w:r>
        <w:rPr>
          <w:rStyle w:val="Strong"/>
          <w:color w:val="000000"/>
          <w:sz w:val="20"/>
          <w:szCs w:val="20"/>
          <w:u w:val="single"/>
        </w:rPr>
        <w:t>TP 2-8</w:t>
      </w:r>
      <w:r w:rsidR="00A53935">
        <w:rPr>
          <w:color w:val="000000"/>
          <w:sz w:val="20"/>
          <w:szCs w:val="20"/>
        </w:rPr>
        <w:t>: To endorse the following text proposal for TS 38.214:</w:t>
      </w:r>
    </w:p>
    <w:tbl>
      <w:tblPr>
        <w:tblW w:w="9988" w:type="dxa"/>
        <w:tblCellMar>
          <w:left w:w="10" w:type="dxa"/>
          <w:right w:w="10" w:type="dxa"/>
        </w:tblCellMar>
        <w:tblLook w:val="04A0" w:firstRow="1" w:lastRow="0" w:firstColumn="1" w:lastColumn="0" w:noHBand="0" w:noVBand="1"/>
      </w:tblPr>
      <w:tblGrid>
        <w:gridCol w:w="9988"/>
      </w:tblGrid>
      <w:tr w:rsidR="006303A1" w14:paraId="4A2BD62A" w14:textId="77777777">
        <w:trPr>
          <w:trHeight w:val="48"/>
        </w:trPr>
        <w:tc>
          <w:tcPr>
            <w:tcW w:w="9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274579" w14:textId="77777777" w:rsidR="006303A1" w:rsidRDefault="00A53935">
            <w:pPr>
              <w:pStyle w:val="NormalWeb"/>
              <w:spacing w:before="75" w:after="75" w:line="315" w:lineRule="atLeast"/>
              <w:rPr>
                <w:color w:val="000000"/>
                <w:sz w:val="20"/>
                <w:szCs w:val="20"/>
              </w:rPr>
            </w:pPr>
            <w:r>
              <w:rPr>
                <w:rStyle w:val="Strong"/>
                <w:color w:val="000000"/>
                <w:sz w:val="20"/>
                <w:szCs w:val="20"/>
                <w:u w:val="single"/>
              </w:rPr>
              <w:t>5.2.1.4.3 L1-RSRP Reporting</w:t>
            </w:r>
          </w:p>
          <w:p w14:paraId="79A104ED" w14:textId="77777777" w:rsidR="006303A1" w:rsidRDefault="00A53935">
            <w:pPr>
              <w:pStyle w:val="NormalWeb"/>
              <w:spacing w:before="75" w:after="0" w:line="315" w:lineRule="atLeast"/>
              <w:ind w:left="750"/>
              <w:jc w:val="center"/>
              <w:rPr>
                <w:color w:val="000000"/>
                <w:sz w:val="20"/>
                <w:szCs w:val="20"/>
              </w:rPr>
            </w:pPr>
            <w:r>
              <w:rPr>
                <w:color w:val="FF0000"/>
                <w:sz w:val="20"/>
                <w:szCs w:val="20"/>
              </w:rPr>
              <w:lastRenderedPageBreak/>
              <w:t>*** Unchanged text is omitted ***</w:t>
            </w:r>
          </w:p>
          <w:p w14:paraId="3146ED5D" w14:textId="32A7492E" w:rsidR="006303A1" w:rsidRDefault="00A53935">
            <w:pPr>
              <w:pStyle w:val="NormalWeb"/>
              <w:spacing w:before="75" w:after="75" w:line="315" w:lineRule="atLeast"/>
              <w:rPr>
                <w:color w:val="000000"/>
                <w:sz w:val="20"/>
                <w:szCs w:val="20"/>
              </w:rPr>
            </w:pPr>
            <w:r>
              <w:rPr>
                <w:color w:val="000000"/>
                <w:sz w:val="20"/>
                <w:szCs w:val="20"/>
              </w:rPr>
              <w:t>When the UE is configured with </w:t>
            </w:r>
            <w:r>
              <w:rPr>
                <w:rStyle w:val="Emphasis"/>
                <w:color w:val="FF0000"/>
                <w:sz w:val="20"/>
                <w:szCs w:val="20"/>
              </w:rPr>
              <w:t>SSB-MTC-AddtionalPCI-r17</w:t>
            </w:r>
            <w:r>
              <w:rPr>
                <w:strike/>
                <w:color w:val="FF0000"/>
                <w:sz w:val="20"/>
                <w:szCs w:val="20"/>
              </w:rPr>
              <w:t> [</w:t>
            </w:r>
            <w:r>
              <w:rPr>
                <w:rStyle w:val="Emphasis"/>
                <w:strike/>
                <w:color w:val="FF0000"/>
                <w:sz w:val="20"/>
                <w:szCs w:val="20"/>
              </w:rPr>
              <w:t>NumberOfAdditionalPCI </w:t>
            </w:r>
            <w:r>
              <w:rPr>
                <w:strike/>
                <w:color w:val="FF0000"/>
                <w:sz w:val="20"/>
                <w:szCs w:val="20"/>
              </w:rPr>
              <w:t>]</w:t>
            </w:r>
            <w:r>
              <w:rPr>
                <w:color w:val="FF0000"/>
                <w:sz w:val="20"/>
                <w:szCs w:val="20"/>
              </w:rPr>
              <w:t>, </w:t>
            </w:r>
            <w:r w:rsidR="00AD0A7C">
              <w:rPr>
                <w:color w:val="000000"/>
                <w:sz w:val="20"/>
                <w:szCs w:val="20"/>
              </w:rPr>
              <w:t>a CSI-SSB</w:t>
            </w:r>
            <w:r>
              <w:rPr>
                <w:color w:val="000000"/>
                <w:sz w:val="20"/>
                <w:szCs w:val="20"/>
              </w:rPr>
              <w:t>-ResourceSet configured for L1-RSRP reporting includes one or more sets of SSB indices where PCI indices are associated with the sets of SSB indices, respectively.</w:t>
            </w:r>
          </w:p>
          <w:p w14:paraId="090CC69B" w14:textId="77777777" w:rsidR="006303A1" w:rsidRDefault="00A53935">
            <w:pPr>
              <w:pStyle w:val="NormalWeb"/>
              <w:spacing w:before="75" w:after="75" w:line="315" w:lineRule="atLeast"/>
              <w:jc w:val="center"/>
              <w:rPr>
                <w:rFonts w:eastAsia="Malgun Gothic"/>
                <w:b/>
                <w:sz w:val="20"/>
                <w:szCs w:val="20"/>
                <w:u w:val="single"/>
              </w:rPr>
            </w:pPr>
            <w:r>
              <w:rPr>
                <w:color w:val="FF0000"/>
                <w:sz w:val="20"/>
                <w:szCs w:val="20"/>
              </w:rPr>
              <w:t>*** Unchanged text is omitted ***</w:t>
            </w:r>
          </w:p>
        </w:tc>
      </w:tr>
    </w:tbl>
    <w:p w14:paraId="0EC3E965" w14:textId="77777777" w:rsidR="006303A1" w:rsidRDefault="006303A1"/>
    <w:p w14:paraId="0CDD7CE5" w14:textId="77777777" w:rsidR="006303A1" w:rsidRDefault="00A53935">
      <w:pPr>
        <w:pStyle w:val="Heading3"/>
        <w:rPr>
          <w:lang w:eastAsia="zh-CN"/>
        </w:rPr>
      </w:pPr>
      <w:r>
        <w:rPr>
          <w:b/>
          <w:bCs/>
          <w:lang w:eastAsia="zh-CN"/>
        </w:rPr>
        <w:t>TP#</w:t>
      </w:r>
      <w:r>
        <w:rPr>
          <w:rFonts w:hint="eastAsia"/>
          <w:b/>
          <w:bCs/>
          <w:lang w:eastAsia="zh-CN"/>
        </w:rPr>
        <w:t>4-1 in TS38.214</w:t>
      </w:r>
    </w:p>
    <w:p w14:paraId="280D0F52" w14:textId="77777777" w:rsidR="006303A1" w:rsidRDefault="00A53935">
      <w:pPr>
        <w:pStyle w:val="Normal9pointspacing"/>
        <w:rPr>
          <w:rFonts w:eastAsiaTheme="minorEastAsia"/>
          <w:b/>
          <w:szCs w:val="20"/>
          <w:u w:val="single"/>
          <w:lang w:val="en-US" w:eastAsia="zh-CN"/>
        </w:rPr>
      </w:pPr>
      <w:r>
        <w:rPr>
          <w:rFonts w:eastAsiaTheme="minorEastAsia" w:hint="eastAsia"/>
          <w:b/>
          <w:szCs w:val="20"/>
          <w:u w:val="single"/>
          <w:lang w:val="en-US" w:eastAsia="zh-CN"/>
        </w:rPr>
        <w:t>Reason for change:</w:t>
      </w:r>
    </w:p>
    <w:p w14:paraId="18118420" w14:textId="77777777" w:rsidR="006303A1" w:rsidRDefault="00A53935">
      <w:pPr>
        <w:rPr>
          <w:sz w:val="20"/>
          <w:szCs w:val="20"/>
        </w:rPr>
      </w:pPr>
      <w:r>
        <w:rPr>
          <w:rFonts w:hint="eastAsia"/>
          <w:sz w:val="20"/>
          <w:szCs w:val="20"/>
        </w:rPr>
        <w:t xml:space="preserve">In current spec, the higher layer parameter </w:t>
      </w:r>
      <w:r>
        <w:rPr>
          <w:i/>
          <w:sz w:val="20"/>
          <w:szCs w:val="20"/>
        </w:rPr>
        <w:t>cri-RSRP-CapabilityIndex-r17</w:t>
      </w:r>
      <w:r>
        <w:rPr>
          <w:rFonts w:hint="eastAsia"/>
          <w:sz w:val="20"/>
          <w:szCs w:val="20"/>
        </w:rPr>
        <w:t xml:space="preserve"> does not align with those in TS38.214 to specify the panel information for uplink panel selection. </w:t>
      </w:r>
    </w:p>
    <w:p w14:paraId="7306701A" w14:textId="77777777" w:rsidR="006303A1" w:rsidRDefault="00A53935">
      <w:pPr>
        <w:pStyle w:val="Normal9pointspacing"/>
        <w:rPr>
          <w:rFonts w:eastAsiaTheme="minorEastAsia"/>
          <w:b/>
          <w:szCs w:val="20"/>
          <w:u w:val="single"/>
          <w:lang w:val="en-US" w:eastAsia="zh-CN"/>
        </w:rPr>
      </w:pPr>
      <w:r>
        <w:rPr>
          <w:rFonts w:eastAsiaTheme="minorEastAsia" w:hint="eastAsia"/>
          <w:b/>
          <w:szCs w:val="20"/>
          <w:u w:val="single"/>
          <w:lang w:val="en-US" w:eastAsia="zh-CN"/>
        </w:rPr>
        <w:t>Summary of change:</w:t>
      </w:r>
    </w:p>
    <w:p w14:paraId="5907834A" w14:textId="77777777" w:rsidR="006303A1" w:rsidRDefault="00A53935">
      <w:pPr>
        <w:rPr>
          <w:sz w:val="20"/>
          <w:szCs w:val="20"/>
        </w:rPr>
      </w:pPr>
      <w:r>
        <w:rPr>
          <w:rFonts w:hint="eastAsia"/>
          <w:sz w:val="20"/>
          <w:szCs w:val="20"/>
        </w:rPr>
        <w:t>In section 5.2.1.4.3 of TS 38.214, update the parameter</w:t>
      </w:r>
      <w:r>
        <w:rPr>
          <w:rFonts w:hint="eastAsia"/>
          <w:i/>
          <w:sz w:val="20"/>
          <w:szCs w:val="20"/>
        </w:rPr>
        <w:t xml:space="preserve"> </w:t>
      </w:r>
      <w:r>
        <w:rPr>
          <w:i/>
          <w:sz w:val="20"/>
          <w:szCs w:val="20"/>
        </w:rPr>
        <w:t>cri-RSRP-Capability[Set]Index</w:t>
      </w:r>
      <w:r>
        <w:rPr>
          <w:rFonts w:hint="eastAsia"/>
          <w:sz w:val="20"/>
          <w:szCs w:val="20"/>
        </w:rPr>
        <w:t xml:space="preserve">. </w:t>
      </w:r>
    </w:p>
    <w:p w14:paraId="104492D1" w14:textId="77777777" w:rsidR="006303A1" w:rsidRDefault="00A53935">
      <w:pPr>
        <w:pStyle w:val="Normal9pointspacing"/>
        <w:rPr>
          <w:rFonts w:eastAsiaTheme="minorEastAsia"/>
          <w:b/>
          <w:szCs w:val="20"/>
          <w:u w:val="single"/>
          <w:lang w:val="en-US" w:eastAsia="zh-CN"/>
        </w:rPr>
      </w:pPr>
      <w:r>
        <w:rPr>
          <w:rFonts w:eastAsiaTheme="minorEastAsia" w:hint="eastAsia"/>
          <w:b/>
          <w:szCs w:val="20"/>
          <w:u w:val="single"/>
          <w:lang w:val="en-US" w:eastAsia="zh-CN"/>
        </w:rPr>
        <w:t>Consequences if not approved:</w:t>
      </w:r>
    </w:p>
    <w:p w14:paraId="31C102BD" w14:textId="77777777" w:rsidR="006303A1" w:rsidRDefault="00A53935">
      <w:pPr>
        <w:rPr>
          <w:rFonts w:cs="Batang"/>
          <w:sz w:val="20"/>
          <w:szCs w:val="20"/>
          <w:lang w:val="en-GB"/>
        </w:rPr>
      </w:pPr>
      <w:r>
        <w:rPr>
          <w:rFonts w:cs="Batang"/>
          <w:sz w:val="20"/>
          <w:szCs w:val="20"/>
          <w:lang w:val="en-GB"/>
        </w:rPr>
        <w:t xml:space="preserve">Higher-layer parameter misalignment between 38.214 and 38.331. </w:t>
      </w:r>
    </w:p>
    <w:p w14:paraId="2325C83A" w14:textId="77777777" w:rsidR="006303A1" w:rsidRDefault="00A53935">
      <w:pPr>
        <w:rPr>
          <w:sz w:val="20"/>
          <w:szCs w:val="20"/>
          <w:lang w:val="en-GB"/>
        </w:rPr>
      </w:pPr>
      <w:r>
        <w:rPr>
          <w:rFonts w:eastAsia="Malgun Gothic"/>
          <w:b/>
          <w:sz w:val="20"/>
          <w:szCs w:val="20"/>
          <w:u w:val="single"/>
        </w:rPr>
        <w:t xml:space="preserve">TP </w:t>
      </w:r>
      <w:r>
        <w:rPr>
          <w:rFonts w:eastAsia="宋体" w:hint="eastAsia"/>
          <w:b/>
          <w:sz w:val="20"/>
          <w:szCs w:val="20"/>
          <w:u w:val="single"/>
          <w:lang w:eastAsia="zh-CN"/>
        </w:rPr>
        <w:t>4</w:t>
      </w:r>
      <w:r>
        <w:rPr>
          <w:rFonts w:eastAsia="Malgun Gothic"/>
          <w:b/>
          <w:sz w:val="20"/>
          <w:szCs w:val="20"/>
          <w:u w:val="single"/>
        </w:rPr>
        <w:t>-</w:t>
      </w:r>
      <w:r>
        <w:rPr>
          <w:rFonts w:eastAsia="宋体" w:hint="eastAsia"/>
          <w:b/>
          <w:sz w:val="20"/>
          <w:szCs w:val="20"/>
          <w:u w:val="single"/>
          <w:lang w:eastAsia="zh-CN"/>
        </w:rPr>
        <w:t>1</w:t>
      </w:r>
      <w:r>
        <w:rPr>
          <w:sz w:val="20"/>
          <w:szCs w:val="20"/>
          <w:lang w:val="en-GB"/>
        </w:rPr>
        <w:t>: To endorse the following text proposal for TS 38.214:</w:t>
      </w:r>
    </w:p>
    <w:tbl>
      <w:tblPr>
        <w:tblW w:w="10101" w:type="dxa"/>
        <w:tblCellMar>
          <w:left w:w="10" w:type="dxa"/>
          <w:right w:w="10" w:type="dxa"/>
        </w:tblCellMar>
        <w:tblLook w:val="04A0" w:firstRow="1" w:lastRow="0" w:firstColumn="1" w:lastColumn="0" w:noHBand="0" w:noVBand="1"/>
      </w:tblPr>
      <w:tblGrid>
        <w:gridCol w:w="10101"/>
      </w:tblGrid>
      <w:tr w:rsidR="006303A1" w14:paraId="7C591A5D" w14:textId="77777777">
        <w:trPr>
          <w:trHeight w:val="48"/>
        </w:trPr>
        <w:tc>
          <w:tcPr>
            <w:tcW w:w="101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7F0E57" w14:textId="77777777" w:rsidR="006303A1" w:rsidRDefault="00A53935">
            <w:pPr>
              <w:pStyle w:val="NormalWeb"/>
              <w:spacing w:before="75" w:after="75" w:line="315" w:lineRule="atLeast"/>
              <w:rPr>
                <w:rStyle w:val="Strong"/>
                <w:color w:val="000000"/>
                <w:sz w:val="20"/>
                <w:szCs w:val="20"/>
              </w:rPr>
            </w:pPr>
            <w:r>
              <w:rPr>
                <w:rStyle w:val="Strong"/>
                <w:color w:val="000000"/>
                <w:sz w:val="20"/>
                <w:szCs w:val="20"/>
              </w:rPr>
              <w:t>5.2.1.4 Reporting configurations</w:t>
            </w:r>
          </w:p>
          <w:p w14:paraId="5456256D" w14:textId="77777777" w:rsidR="006303A1" w:rsidRDefault="00A53935">
            <w:pPr>
              <w:pStyle w:val="NormalWeb"/>
              <w:spacing w:before="75" w:after="75" w:line="315" w:lineRule="atLeast"/>
              <w:jc w:val="center"/>
              <w:rPr>
                <w:rStyle w:val="Strong"/>
                <w:b w:val="0"/>
                <w:bCs w:val="0"/>
                <w:color w:val="000000"/>
                <w:sz w:val="20"/>
                <w:szCs w:val="20"/>
              </w:rPr>
            </w:pPr>
            <w:r>
              <w:rPr>
                <w:color w:val="FF0000"/>
                <w:sz w:val="18"/>
                <w:szCs w:val="18"/>
              </w:rPr>
              <w:t>*** Unchanged text is omitted ***</w:t>
            </w:r>
          </w:p>
          <w:p w14:paraId="07E6B053" w14:textId="77777777" w:rsidR="006303A1" w:rsidRDefault="00A53935">
            <w:pPr>
              <w:pStyle w:val="NormalWeb"/>
              <w:spacing w:before="75" w:after="75" w:line="315" w:lineRule="atLeast"/>
              <w:rPr>
                <w:color w:val="000000"/>
                <w:sz w:val="20"/>
                <w:szCs w:val="20"/>
              </w:rPr>
            </w:pPr>
            <w:r>
              <w:rPr>
                <w:color w:val="000000"/>
                <w:sz w:val="20"/>
                <w:szCs w:val="20"/>
              </w:rPr>
              <w:t>A CSI Reporting Setting is said to have a wideband frequency-granularity if</w:t>
            </w:r>
          </w:p>
          <w:p w14:paraId="38071EF1" w14:textId="77777777" w:rsidR="006303A1" w:rsidRDefault="00A53935">
            <w:pPr>
              <w:pStyle w:val="NormalWeb"/>
              <w:spacing w:before="75" w:after="75" w:line="315" w:lineRule="atLeast"/>
              <w:rPr>
                <w:color w:val="000000"/>
                <w:sz w:val="20"/>
                <w:szCs w:val="20"/>
              </w:rPr>
            </w:pPr>
            <w:r>
              <w:rPr>
                <w:color w:val="000000"/>
                <w:sz w:val="20"/>
                <w:szCs w:val="20"/>
              </w:rPr>
              <w:t>-    </w:t>
            </w:r>
            <w:r>
              <w:rPr>
                <w:rStyle w:val="Emphasis"/>
                <w:color w:val="000000"/>
                <w:sz w:val="20"/>
                <w:szCs w:val="20"/>
              </w:rPr>
              <w:t>reportQuantity </w:t>
            </w:r>
            <w:r>
              <w:rPr>
                <w:color w:val="000000"/>
                <w:sz w:val="20"/>
                <w:szCs w:val="20"/>
              </w:rPr>
              <w:t>is set to 'cri-RI-PMI-CQI', or 'cri-RI-LI-PMI-CQI', </w:t>
            </w:r>
            <w:r>
              <w:rPr>
                <w:rStyle w:val="Emphasis"/>
                <w:color w:val="000000"/>
                <w:sz w:val="20"/>
                <w:szCs w:val="20"/>
              </w:rPr>
              <w:t>cqi-FormatIndicator </w:t>
            </w:r>
            <w:r>
              <w:rPr>
                <w:color w:val="000000"/>
                <w:sz w:val="20"/>
                <w:szCs w:val="20"/>
              </w:rPr>
              <w:t>is set to 'widebandCQI ' and </w:t>
            </w:r>
            <w:r>
              <w:rPr>
                <w:rStyle w:val="Emphasis"/>
                <w:color w:val="000000"/>
                <w:sz w:val="20"/>
                <w:szCs w:val="20"/>
              </w:rPr>
              <w:t>pmi-FormatIndicator </w:t>
            </w:r>
            <w:r>
              <w:rPr>
                <w:color w:val="000000"/>
                <w:sz w:val="20"/>
                <w:szCs w:val="20"/>
              </w:rPr>
              <w:t>is set to 'widebandPMI ', or</w:t>
            </w:r>
          </w:p>
          <w:p w14:paraId="043AE5A3" w14:textId="77777777" w:rsidR="006303A1" w:rsidRDefault="00A53935">
            <w:pPr>
              <w:pStyle w:val="NormalWeb"/>
              <w:spacing w:before="75" w:after="75" w:line="315" w:lineRule="atLeast"/>
              <w:rPr>
                <w:color w:val="000000"/>
                <w:sz w:val="20"/>
                <w:szCs w:val="20"/>
              </w:rPr>
            </w:pPr>
            <w:r>
              <w:rPr>
                <w:color w:val="000000"/>
                <w:sz w:val="20"/>
                <w:szCs w:val="20"/>
              </w:rPr>
              <w:t>-    </w:t>
            </w:r>
            <w:r>
              <w:rPr>
                <w:rStyle w:val="Emphasis"/>
                <w:color w:val="000000"/>
                <w:sz w:val="20"/>
                <w:szCs w:val="20"/>
              </w:rPr>
              <w:t>reportQuantity </w:t>
            </w:r>
            <w:r>
              <w:rPr>
                <w:color w:val="000000"/>
                <w:sz w:val="20"/>
                <w:szCs w:val="20"/>
              </w:rPr>
              <w:t>is set to 'cri-RI-PMI-CQI', or 'cri-RI-LI-PMI-CQI', </w:t>
            </w:r>
            <w:r>
              <w:rPr>
                <w:rStyle w:val="Emphasis"/>
                <w:color w:val="000000"/>
                <w:sz w:val="20"/>
                <w:szCs w:val="20"/>
              </w:rPr>
              <w:t>codebookType </w:t>
            </w:r>
            <w:r>
              <w:rPr>
                <w:color w:val="000000"/>
                <w:sz w:val="20"/>
                <w:szCs w:val="20"/>
              </w:rPr>
              <w:t>is set to 'typeII-PortSelection-r17' with M=1 and </w:t>
            </w:r>
            <w:r>
              <w:rPr>
                <w:rStyle w:val="Emphasis"/>
                <w:color w:val="000000"/>
                <w:sz w:val="20"/>
                <w:szCs w:val="20"/>
              </w:rPr>
              <w:t>cqi-FormatIndicator </w:t>
            </w:r>
            <w:r>
              <w:rPr>
                <w:color w:val="000000"/>
                <w:sz w:val="20"/>
                <w:szCs w:val="20"/>
              </w:rPr>
              <w:t>is set to 'widebandCQI ', or</w:t>
            </w:r>
          </w:p>
          <w:p w14:paraId="628848C6" w14:textId="77777777" w:rsidR="006303A1" w:rsidRDefault="00A53935">
            <w:pPr>
              <w:pStyle w:val="NormalWeb"/>
              <w:spacing w:before="75" w:after="75" w:line="315" w:lineRule="atLeast"/>
              <w:rPr>
                <w:color w:val="000000"/>
                <w:sz w:val="20"/>
                <w:szCs w:val="20"/>
              </w:rPr>
            </w:pPr>
            <w:r>
              <w:rPr>
                <w:color w:val="000000"/>
                <w:sz w:val="20"/>
                <w:szCs w:val="20"/>
              </w:rPr>
              <w:t>-    </w:t>
            </w:r>
            <w:r>
              <w:rPr>
                <w:rStyle w:val="Emphasis"/>
                <w:color w:val="000000"/>
                <w:sz w:val="20"/>
                <w:szCs w:val="20"/>
              </w:rPr>
              <w:t>reportQuantity </w:t>
            </w:r>
            <w:r>
              <w:rPr>
                <w:color w:val="000000"/>
                <w:sz w:val="20"/>
                <w:szCs w:val="20"/>
              </w:rPr>
              <w:t>is set to 'cri-RI-i1' or</w:t>
            </w:r>
          </w:p>
          <w:p w14:paraId="215CB45D" w14:textId="77777777" w:rsidR="006303A1" w:rsidRDefault="00A53935">
            <w:pPr>
              <w:pStyle w:val="NormalWeb"/>
              <w:spacing w:before="75" w:after="75" w:line="315" w:lineRule="atLeast"/>
              <w:rPr>
                <w:color w:val="000000"/>
                <w:sz w:val="20"/>
                <w:szCs w:val="20"/>
              </w:rPr>
            </w:pPr>
            <w:r>
              <w:rPr>
                <w:color w:val="000000"/>
                <w:sz w:val="20"/>
                <w:szCs w:val="20"/>
              </w:rPr>
              <w:t>-    </w:t>
            </w:r>
            <w:r>
              <w:rPr>
                <w:rStyle w:val="Emphasis"/>
                <w:color w:val="000000"/>
                <w:sz w:val="20"/>
                <w:szCs w:val="20"/>
              </w:rPr>
              <w:t>reportQuantity </w:t>
            </w:r>
            <w:r>
              <w:rPr>
                <w:color w:val="000000"/>
                <w:sz w:val="20"/>
                <w:szCs w:val="20"/>
              </w:rPr>
              <w:t>is set to 'cri-RI-CQI' or 'cri-RI-i1-CQI' and </w:t>
            </w:r>
            <w:r>
              <w:rPr>
                <w:rStyle w:val="Emphasis"/>
                <w:color w:val="000000"/>
                <w:sz w:val="20"/>
                <w:szCs w:val="20"/>
              </w:rPr>
              <w:t>cqi-FormatIndicator </w:t>
            </w:r>
            <w:r>
              <w:rPr>
                <w:color w:val="000000"/>
                <w:sz w:val="20"/>
                <w:szCs w:val="20"/>
              </w:rPr>
              <w:t>is set to 'widebandCQI ', or</w:t>
            </w:r>
          </w:p>
          <w:p w14:paraId="7C8024DB" w14:textId="77777777" w:rsidR="006303A1" w:rsidRDefault="00A53935">
            <w:pPr>
              <w:pStyle w:val="NormalWeb"/>
              <w:spacing w:before="75" w:after="75" w:line="315" w:lineRule="atLeast"/>
              <w:rPr>
                <w:color w:val="000000"/>
                <w:sz w:val="20"/>
                <w:szCs w:val="20"/>
              </w:rPr>
            </w:pPr>
            <w:r>
              <w:rPr>
                <w:color w:val="000000"/>
                <w:sz w:val="20"/>
                <w:szCs w:val="20"/>
              </w:rPr>
              <w:t>-    </w:t>
            </w:r>
            <w:r>
              <w:rPr>
                <w:rStyle w:val="Emphasis"/>
                <w:color w:val="000000"/>
                <w:sz w:val="20"/>
                <w:szCs w:val="20"/>
              </w:rPr>
              <w:t xml:space="preserve">reportQuantity </w:t>
            </w:r>
            <w:r w:rsidRPr="00303768">
              <w:rPr>
                <w:rStyle w:val="Emphasis"/>
                <w:i w:val="0"/>
                <w:color w:val="000000"/>
                <w:sz w:val="20"/>
                <w:szCs w:val="20"/>
              </w:rPr>
              <w:t>is set to</w:t>
            </w:r>
            <w:r>
              <w:rPr>
                <w:rStyle w:val="Emphasis"/>
                <w:color w:val="000000"/>
                <w:sz w:val="20"/>
                <w:szCs w:val="20"/>
              </w:rPr>
              <w:t xml:space="preserve"> 'cri-RSRP' or 'ssb-Index-RSRP' or 'cri-SINR', or 'ssb-Index-SINR' or 'cri-RSRP-Capability</w:t>
            </w:r>
            <w:r>
              <w:rPr>
                <w:rStyle w:val="Emphasis"/>
                <w:strike/>
                <w:color w:val="FF0000"/>
                <w:sz w:val="20"/>
                <w:szCs w:val="20"/>
              </w:rPr>
              <w:t>[Set]</w:t>
            </w:r>
            <w:r>
              <w:rPr>
                <w:rStyle w:val="Emphasis"/>
                <w:color w:val="000000"/>
                <w:sz w:val="20"/>
                <w:szCs w:val="20"/>
              </w:rPr>
              <w:t>Index' or 'ssb-Index-RSRP-Capability</w:t>
            </w:r>
            <w:r>
              <w:rPr>
                <w:rStyle w:val="Emphasis"/>
                <w:strike/>
                <w:color w:val="FF0000"/>
                <w:sz w:val="20"/>
                <w:szCs w:val="20"/>
              </w:rPr>
              <w:t>[Set]</w:t>
            </w:r>
            <w:r>
              <w:rPr>
                <w:rStyle w:val="Emphasis"/>
                <w:color w:val="000000"/>
                <w:sz w:val="20"/>
                <w:szCs w:val="20"/>
              </w:rPr>
              <w:t>Index' or 'cri-SINR-Capability</w:t>
            </w:r>
            <w:r>
              <w:rPr>
                <w:rStyle w:val="Emphasis"/>
                <w:strike/>
                <w:color w:val="FF0000"/>
                <w:sz w:val="20"/>
                <w:szCs w:val="20"/>
              </w:rPr>
              <w:t>[Set]</w:t>
            </w:r>
            <w:r>
              <w:rPr>
                <w:rStyle w:val="Emphasis"/>
                <w:color w:val="000000"/>
                <w:sz w:val="20"/>
                <w:szCs w:val="20"/>
              </w:rPr>
              <w:t>Index', or 'ssb-Index-SINR-Capability</w:t>
            </w:r>
            <w:r>
              <w:rPr>
                <w:rStyle w:val="Emphasis"/>
                <w:strike/>
                <w:color w:val="FF0000"/>
                <w:sz w:val="20"/>
                <w:szCs w:val="20"/>
              </w:rPr>
              <w:t>[Set]</w:t>
            </w:r>
            <w:r>
              <w:rPr>
                <w:rStyle w:val="Emphasis"/>
                <w:color w:val="000000"/>
                <w:sz w:val="20"/>
                <w:szCs w:val="20"/>
              </w:rPr>
              <w:t>Index' </w:t>
            </w:r>
          </w:p>
          <w:p w14:paraId="5B12D3ED" w14:textId="77777777" w:rsidR="006303A1" w:rsidRDefault="00A53935">
            <w:pPr>
              <w:pStyle w:val="NormalWeb"/>
              <w:spacing w:before="75" w:after="75" w:line="315" w:lineRule="atLeast"/>
              <w:jc w:val="center"/>
              <w:rPr>
                <w:rStyle w:val="Strong"/>
                <w:color w:val="000000"/>
                <w:sz w:val="18"/>
                <w:szCs w:val="18"/>
                <w:u w:val="single"/>
              </w:rPr>
            </w:pPr>
            <w:r>
              <w:rPr>
                <w:color w:val="FF0000"/>
                <w:sz w:val="18"/>
                <w:szCs w:val="18"/>
              </w:rPr>
              <w:t>*** Unchanged text is omitted ***</w:t>
            </w:r>
          </w:p>
        </w:tc>
      </w:tr>
    </w:tbl>
    <w:p w14:paraId="015557E0" w14:textId="77777777" w:rsidR="006303A1" w:rsidRDefault="006303A1"/>
    <w:p w14:paraId="662426BF" w14:textId="039D6E30" w:rsidR="00303768" w:rsidRDefault="00303768" w:rsidP="00303768">
      <w:pPr>
        <w:pStyle w:val="Heading3"/>
        <w:rPr>
          <w:lang w:eastAsia="zh-CN"/>
        </w:rPr>
      </w:pPr>
      <w:r>
        <w:rPr>
          <w:b/>
          <w:bCs/>
          <w:lang w:eastAsia="zh-CN"/>
        </w:rPr>
        <w:t>TP#</w:t>
      </w:r>
      <w:r w:rsidR="00E5318A">
        <w:rPr>
          <w:b/>
          <w:bCs/>
          <w:lang w:eastAsia="zh-CN"/>
        </w:rPr>
        <w:t>1</w:t>
      </w:r>
      <w:r>
        <w:rPr>
          <w:rFonts w:hint="eastAsia"/>
          <w:b/>
          <w:bCs/>
          <w:lang w:eastAsia="zh-CN"/>
        </w:rPr>
        <w:t>-1</w:t>
      </w:r>
      <w:r w:rsidR="00E5318A">
        <w:rPr>
          <w:b/>
          <w:bCs/>
          <w:lang w:eastAsia="zh-CN"/>
        </w:rPr>
        <w:t>1</w:t>
      </w:r>
      <w:r>
        <w:rPr>
          <w:rFonts w:hint="eastAsia"/>
          <w:b/>
          <w:bCs/>
          <w:lang w:eastAsia="zh-CN"/>
        </w:rPr>
        <w:t xml:space="preserve"> in TS38.214</w:t>
      </w:r>
    </w:p>
    <w:p w14:paraId="13EF66EC" w14:textId="77777777" w:rsidR="00303768" w:rsidRDefault="00303768" w:rsidP="00303768">
      <w:pPr>
        <w:pStyle w:val="Normal9pointspacing"/>
        <w:rPr>
          <w:rFonts w:eastAsiaTheme="minorEastAsia"/>
          <w:b/>
          <w:szCs w:val="20"/>
          <w:u w:val="single"/>
          <w:lang w:val="en-US" w:eastAsia="zh-CN"/>
        </w:rPr>
      </w:pPr>
      <w:r>
        <w:rPr>
          <w:rFonts w:eastAsiaTheme="minorEastAsia" w:hint="eastAsia"/>
          <w:b/>
          <w:szCs w:val="20"/>
          <w:u w:val="single"/>
          <w:lang w:val="en-US" w:eastAsia="zh-CN"/>
        </w:rPr>
        <w:t>Reason for change:</w:t>
      </w:r>
    </w:p>
    <w:p w14:paraId="624C3709" w14:textId="0CF5BDC4" w:rsidR="00303768" w:rsidRDefault="00AF44B5" w:rsidP="00303768">
      <w:pPr>
        <w:rPr>
          <w:sz w:val="20"/>
          <w:szCs w:val="20"/>
        </w:rPr>
      </w:pPr>
      <w:r>
        <w:rPr>
          <w:sz w:val="20"/>
          <w:szCs w:val="20"/>
        </w:rPr>
        <w:lastRenderedPageBreak/>
        <w:t xml:space="preserve">Directly applying the indicated </w:t>
      </w:r>
      <w:r w:rsidRPr="00AF44B5">
        <w:rPr>
          <w:i/>
          <w:sz w:val="20"/>
          <w:szCs w:val="20"/>
        </w:rPr>
        <w:t>DLorJointTCIState</w:t>
      </w:r>
      <w:r w:rsidRPr="00AF44B5">
        <w:rPr>
          <w:sz w:val="20"/>
          <w:szCs w:val="20"/>
        </w:rPr>
        <w:t xml:space="preserve"> and/or </w:t>
      </w:r>
      <w:r w:rsidRPr="00AF44B5">
        <w:rPr>
          <w:i/>
          <w:sz w:val="20"/>
          <w:szCs w:val="20"/>
        </w:rPr>
        <w:t>UL-TCIState</w:t>
      </w:r>
      <w:r w:rsidRPr="00AF44B5">
        <w:rPr>
          <w:sz w:val="20"/>
          <w:szCs w:val="20"/>
        </w:rPr>
        <w:t xml:space="preserve"> in the activation command</w:t>
      </w:r>
      <w:r>
        <w:rPr>
          <w:sz w:val="20"/>
          <w:szCs w:val="20"/>
        </w:rPr>
        <w:t>, if only one TCI codepoint is activated in MAC-CE level, has been agreed. But, in the current spec, the corresponding UE behavior is missing</w:t>
      </w:r>
      <w:r w:rsidR="00303768">
        <w:rPr>
          <w:rFonts w:hint="eastAsia"/>
          <w:sz w:val="20"/>
          <w:szCs w:val="20"/>
        </w:rPr>
        <w:t xml:space="preserve">. </w:t>
      </w:r>
    </w:p>
    <w:p w14:paraId="20E8432A" w14:textId="77777777" w:rsidR="00303768" w:rsidRDefault="00303768" w:rsidP="00303768">
      <w:pPr>
        <w:pStyle w:val="Normal9pointspacing"/>
        <w:rPr>
          <w:rFonts w:eastAsiaTheme="minorEastAsia"/>
          <w:b/>
          <w:szCs w:val="20"/>
          <w:u w:val="single"/>
          <w:lang w:val="en-US" w:eastAsia="zh-CN"/>
        </w:rPr>
      </w:pPr>
      <w:r>
        <w:rPr>
          <w:rFonts w:eastAsiaTheme="minorEastAsia" w:hint="eastAsia"/>
          <w:b/>
          <w:szCs w:val="20"/>
          <w:u w:val="single"/>
          <w:lang w:val="en-US" w:eastAsia="zh-CN"/>
        </w:rPr>
        <w:t>Summary of change:</w:t>
      </w:r>
    </w:p>
    <w:p w14:paraId="09657582" w14:textId="00CB0DAF" w:rsidR="00303768" w:rsidRDefault="00CD623A" w:rsidP="00CD623A">
      <w:pPr>
        <w:rPr>
          <w:sz w:val="20"/>
          <w:szCs w:val="20"/>
        </w:rPr>
      </w:pPr>
      <w:r>
        <w:rPr>
          <w:rFonts w:hint="eastAsia"/>
          <w:sz w:val="20"/>
          <w:szCs w:val="20"/>
        </w:rPr>
        <w:t>In section 5.</w:t>
      </w:r>
      <w:r>
        <w:rPr>
          <w:sz w:val="20"/>
          <w:szCs w:val="20"/>
        </w:rPr>
        <w:t>1.5</w:t>
      </w:r>
      <w:r w:rsidR="00303768">
        <w:rPr>
          <w:rFonts w:hint="eastAsia"/>
          <w:sz w:val="20"/>
          <w:szCs w:val="20"/>
        </w:rPr>
        <w:t xml:space="preserve"> of TS 38.214, </w:t>
      </w:r>
      <w:r>
        <w:rPr>
          <w:sz w:val="20"/>
          <w:szCs w:val="20"/>
        </w:rPr>
        <w:t xml:space="preserve">capture the UE behavior in the case that </w:t>
      </w:r>
      <w:r w:rsidRPr="00CD623A">
        <w:rPr>
          <w:sz w:val="20"/>
          <w:szCs w:val="20"/>
        </w:rPr>
        <w:t xml:space="preserve">the activation command maps </w:t>
      </w:r>
      <w:r w:rsidRPr="00CD623A">
        <w:rPr>
          <w:i/>
          <w:sz w:val="20"/>
          <w:szCs w:val="20"/>
        </w:rPr>
        <w:t>DLorJointTCIState</w:t>
      </w:r>
      <w:r w:rsidRPr="00CD623A">
        <w:rPr>
          <w:sz w:val="20"/>
          <w:szCs w:val="20"/>
        </w:rPr>
        <w:t xml:space="preserve"> and/or </w:t>
      </w:r>
      <w:r w:rsidRPr="00CD623A">
        <w:rPr>
          <w:i/>
          <w:sz w:val="20"/>
          <w:szCs w:val="20"/>
        </w:rPr>
        <w:t>UL-TCIState</w:t>
      </w:r>
      <w:r w:rsidRPr="00CD623A">
        <w:rPr>
          <w:sz w:val="20"/>
          <w:szCs w:val="20"/>
        </w:rPr>
        <w:t xml:space="preserve"> to only one TCI codepoint</w:t>
      </w:r>
      <w:r>
        <w:rPr>
          <w:rFonts w:hint="eastAsia"/>
          <w:sz w:val="20"/>
          <w:szCs w:val="20"/>
          <w:lang w:eastAsia="zh-CN"/>
        </w:rPr>
        <w:t>.</w:t>
      </w:r>
      <w:r w:rsidR="00303768">
        <w:rPr>
          <w:rFonts w:hint="eastAsia"/>
          <w:sz w:val="20"/>
          <w:szCs w:val="20"/>
        </w:rPr>
        <w:t xml:space="preserve"> </w:t>
      </w:r>
    </w:p>
    <w:p w14:paraId="1459A823" w14:textId="77777777" w:rsidR="00303768" w:rsidRDefault="00303768" w:rsidP="00303768">
      <w:pPr>
        <w:pStyle w:val="Normal9pointspacing"/>
        <w:rPr>
          <w:rFonts w:eastAsiaTheme="minorEastAsia"/>
          <w:b/>
          <w:szCs w:val="20"/>
          <w:u w:val="single"/>
          <w:lang w:val="en-US" w:eastAsia="zh-CN"/>
        </w:rPr>
      </w:pPr>
      <w:r>
        <w:rPr>
          <w:rFonts w:eastAsiaTheme="minorEastAsia" w:hint="eastAsia"/>
          <w:b/>
          <w:szCs w:val="20"/>
          <w:u w:val="single"/>
          <w:lang w:val="en-US" w:eastAsia="zh-CN"/>
        </w:rPr>
        <w:t>Consequences if not approved:</w:t>
      </w:r>
    </w:p>
    <w:p w14:paraId="4E940B20" w14:textId="43010EE4" w:rsidR="00303768" w:rsidRDefault="00CD623A" w:rsidP="00303768">
      <w:pPr>
        <w:rPr>
          <w:rFonts w:cs="Batang"/>
          <w:sz w:val="20"/>
          <w:szCs w:val="20"/>
          <w:lang w:val="en-GB"/>
        </w:rPr>
      </w:pPr>
      <w:r>
        <w:rPr>
          <w:rFonts w:cs="Batang" w:hint="eastAsia"/>
          <w:sz w:val="20"/>
          <w:szCs w:val="20"/>
          <w:lang w:val="en-GB" w:eastAsia="zh-CN"/>
        </w:rPr>
        <w:t>UE</w:t>
      </w:r>
      <w:r>
        <w:rPr>
          <w:rFonts w:cs="Batang"/>
          <w:sz w:val="20"/>
          <w:szCs w:val="20"/>
          <w:lang w:val="en-GB"/>
        </w:rPr>
        <w:t xml:space="preserve"> behaviour of mapping</w:t>
      </w:r>
      <w:r w:rsidRPr="00CD623A">
        <w:rPr>
          <w:rFonts w:cs="Batang"/>
          <w:sz w:val="20"/>
          <w:szCs w:val="20"/>
          <w:lang w:val="en-GB"/>
        </w:rPr>
        <w:t xml:space="preserve"> </w:t>
      </w:r>
      <w:r w:rsidRPr="00E5318A">
        <w:rPr>
          <w:rFonts w:cs="Batang"/>
          <w:i/>
          <w:sz w:val="20"/>
          <w:szCs w:val="20"/>
          <w:lang w:val="en-GB"/>
        </w:rPr>
        <w:t>DLorJointTCIState</w:t>
      </w:r>
      <w:r w:rsidRPr="00CD623A">
        <w:rPr>
          <w:rFonts w:cs="Batang"/>
          <w:sz w:val="20"/>
          <w:szCs w:val="20"/>
          <w:lang w:val="en-GB"/>
        </w:rPr>
        <w:t xml:space="preserve"> and/or </w:t>
      </w:r>
      <w:r w:rsidRPr="00E5318A">
        <w:rPr>
          <w:rFonts w:cs="Batang"/>
          <w:i/>
          <w:sz w:val="20"/>
          <w:szCs w:val="20"/>
          <w:lang w:val="en-GB"/>
        </w:rPr>
        <w:t>UL-TCIState</w:t>
      </w:r>
      <w:r w:rsidRPr="00CD623A">
        <w:rPr>
          <w:rFonts w:cs="Batang"/>
          <w:sz w:val="20"/>
          <w:szCs w:val="20"/>
          <w:lang w:val="en-GB"/>
        </w:rPr>
        <w:t xml:space="preserve"> to only one TCI codepoint</w:t>
      </w:r>
      <w:r>
        <w:rPr>
          <w:rFonts w:cs="Batang"/>
          <w:sz w:val="20"/>
          <w:szCs w:val="20"/>
          <w:lang w:val="en-GB"/>
        </w:rPr>
        <w:t xml:space="preserve"> is unclear</w:t>
      </w:r>
      <w:r w:rsidR="00303768">
        <w:rPr>
          <w:rFonts w:cs="Batang"/>
          <w:sz w:val="20"/>
          <w:szCs w:val="20"/>
          <w:lang w:val="en-GB"/>
        </w:rPr>
        <w:t xml:space="preserve">. </w:t>
      </w:r>
    </w:p>
    <w:p w14:paraId="207B9E3F" w14:textId="77777777" w:rsidR="00303768" w:rsidRDefault="00303768" w:rsidP="00303768">
      <w:pPr>
        <w:rPr>
          <w:sz w:val="20"/>
          <w:szCs w:val="20"/>
          <w:lang w:val="en-GB"/>
        </w:rPr>
      </w:pPr>
      <w:r>
        <w:rPr>
          <w:rFonts w:eastAsia="Malgun Gothic"/>
          <w:b/>
          <w:sz w:val="20"/>
          <w:szCs w:val="20"/>
          <w:u w:val="single"/>
        </w:rPr>
        <w:t xml:space="preserve">TP </w:t>
      </w:r>
      <w:r>
        <w:rPr>
          <w:rFonts w:eastAsia="宋体" w:hint="eastAsia"/>
          <w:b/>
          <w:sz w:val="20"/>
          <w:szCs w:val="20"/>
          <w:u w:val="single"/>
          <w:lang w:eastAsia="zh-CN"/>
        </w:rPr>
        <w:t>4</w:t>
      </w:r>
      <w:r>
        <w:rPr>
          <w:rFonts w:eastAsia="Malgun Gothic"/>
          <w:b/>
          <w:sz w:val="20"/>
          <w:szCs w:val="20"/>
          <w:u w:val="single"/>
        </w:rPr>
        <w:t>-</w:t>
      </w:r>
      <w:r>
        <w:rPr>
          <w:rFonts w:eastAsia="宋体" w:hint="eastAsia"/>
          <w:b/>
          <w:sz w:val="20"/>
          <w:szCs w:val="20"/>
          <w:u w:val="single"/>
          <w:lang w:eastAsia="zh-CN"/>
        </w:rPr>
        <w:t>1</w:t>
      </w:r>
      <w:r>
        <w:rPr>
          <w:sz w:val="20"/>
          <w:szCs w:val="20"/>
          <w:lang w:val="en-GB"/>
        </w:rPr>
        <w:t>: To endorse the following text proposal for TS 38.214:</w:t>
      </w:r>
    </w:p>
    <w:tbl>
      <w:tblPr>
        <w:tblW w:w="10101" w:type="dxa"/>
        <w:tblCellMar>
          <w:left w:w="10" w:type="dxa"/>
          <w:right w:w="10" w:type="dxa"/>
        </w:tblCellMar>
        <w:tblLook w:val="04A0" w:firstRow="1" w:lastRow="0" w:firstColumn="1" w:lastColumn="0" w:noHBand="0" w:noVBand="1"/>
      </w:tblPr>
      <w:tblGrid>
        <w:gridCol w:w="10101"/>
      </w:tblGrid>
      <w:tr w:rsidR="00303768" w14:paraId="0E78D924" w14:textId="77777777" w:rsidTr="00415617">
        <w:trPr>
          <w:trHeight w:val="48"/>
        </w:trPr>
        <w:tc>
          <w:tcPr>
            <w:tcW w:w="101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17CDEB" w14:textId="099B0190" w:rsidR="00303768" w:rsidRPr="00303768" w:rsidRDefault="00303768" w:rsidP="00415617">
            <w:pPr>
              <w:pStyle w:val="NormalWeb"/>
              <w:spacing w:before="75" w:after="75" w:line="315" w:lineRule="atLeast"/>
              <w:rPr>
                <w:rStyle w:val="Strong"/>
                <w:color w:val="000000"/>
                <w:sz w:val="20"/>
                <w:szCs w:val="20"/>
              </w:rPr>
            </w:pPr>
            <w:r w:rsidRPr="00303768">
              <w:rPr>
                <w:rStyle w:val="Strong"/>
                <w:color w:val="000000"/>
                <w:sz w:val="20"/>
                <w:szCs w:val="20"/>
              </w:rPr>
              <w:t>5.1.5 Antenna ports quasi co-location</w:t>
            </w:r>
          </w:p>
          <w:p w14:paraId="66493461" w14:textId="77777777" w:rsidR="00303768" w:rsidRPr="00303768" w:rsidRDefault="00303768" w:rsidP="00415617">
            <w:pPr>
              <w:pStyle w:val="NormalWeb"/>
              <w:spacing w:before="75" w:after="75" w:line="315" w:lineRule="atLeast"/>
              <w:jc w:val="center"/>
              <w:rPr>
                <w:rStyle w:val="Strong"/>
                <w:b w:val="0"/>
                <w:bCs w:val="0"/>
                <w:color w:val="000000"/>
                <w:sz w:val="20"/>
                <w:szCs w:val="20"/>
              </w:rPr>
            </w:pPr>
            <w:r w:rsidRPr="00303768">
              <w:rPr>
                <w:color w:val="FF0000"/>
                <w:sz w:val="20"/>
                <w:szCs w:val="20"/>
              </w:rPr>
              <w:t>*** Unchanged text is omitted ***</w:t>
            </w:r>
          </w:p>
          <w:p w14:paraId="04CAE03A" w14:textId="5C50E94E" w:rsidR="00303768" w:rsidRPr="00303768" w:rsidRDefault="00303768" w:rsidP="00303768">
            <w:pPr>
              <w:pStyle w:val="NormalWeb"/>
              <w:shd w:val="clear" w:color="auto" w:fill="FFFFFF"/>
              <w:spacing w:before="0" w:after="0" w:line="315" w:lineRule="atLeast"/>
              <w:rPr>
                <w:color w:val="000000"/>
                <w:sz w:val="20"/>
                <w:szCs w:val="20"/>
              </w:rPr>
            </w:pPr>
            <w:r w:rsidRPr="00303768">
              <w:rPr>
                <w:color w:val="000000"/>
                <w:sz w:val="20"/>
                <w:szCs w:val="20"/>
                <w:bdr w:val="none" w:sz="0" w:space="0" w:color="auto" w:frame="1"/>
              </w:rPr>
              <w:t>The UE receives an   activation command, as described in clause </w:t>
            </w:r>
            <w:hyperlink r:id="rId9" w:tgtFrame="_blank" w:history="1">
              <w:r w:rsidRPr="00AF44B5">
                <w:rPr>
                  <w:color w:val="000000"/>
                  <w:sz w:val="20"/>
                  <w:szCs w:val="20"/>
                  <w:bdr w:val="none" w:sz="0" w:space="0" w:color="auto" w:frame="1"/>
                </w:rPr>
                <w:t>6.1.3.14</w:t>
              </w:r>
            </w:hyperlink>
            <w:r w:rsidRPr="00303768">
              <w:rPr>
                <w:color w:val="000000"/>
                <w:sz w:val="20"/>
                <w:szCs w:val="20"/>
                <w:bdr w:val="none" w:sz="0" w:space="0" w:color="auto" w:frame="1"/>
              </w:rPr>
              <w:t> of [10, TS 38.321] or 6.1.3.x of [10, TS   38.321], used to map up to 8 TCI states and/or pairs of TCI states, with one   TCI state for DL channels/signals and one TCI state for UL channels/signals   to the codepoints of the DCI field </w:t>
            </w:r>
            <w:r w:rsidRPr="00303768">
              <w:rPr>
                <w:rStyle w:val="Emphasis"/>
                <w:color w:val="000000"/>
                <w:sz w:val="20"/>
                <w:szCs w:val="20"/>
                <w:bdr w:val="none" w:sz="0" w:space="0" w:color="auto" w:frame="1"/>
              </w:rPr>
              <w:t>'Transmission Configuration   Indication'</w:t>
            </w:r>
            <w:r w:rsidRPr="00303768">
              <w:rPr>
                <w:color w:val="000000"/>
                <w:sz w:val="20"/>
                <w:szCs w:val="20"/>
                <w:bdr w:val="none" w:sz="0" w:space="0" w:color="auto" w:frame="1"/>
              </w:rPr>
              <w:t> for one or for a set of CCs /DL BWPs , and if   applicable, for one or for a set of CCs /UL BWPs . When a set of TCI state   IDs are activated for a set of CCs /DL BWPs and if applicable, for a set of   CCs /UL BWPs , where the applicable list of CCs is determined by the   indicated CC in the activation command, the same set of TCI state IDs are   applied for all DL and/or UL BWPs in the indicated CCs . </w:t>
            </w:r>
            <w:r w:rsidRPr="00303768">
              <w:rPr>
                <w:color w:val="FF0000"/>
                <w:sz w:val="20"/>
                <w:szCs w:val="20"/>
                <w:bdr w:val="none" w:sz="0" w:space="0" w:color="auto" w:frame="1"/>
              </w:rPr>
              <w:t>If the activation command maps </w:t>
            </w:r>
            <w:r w:rsidR="00D4398C">
              <w:rPr>
                <w:rStyle w:val="Emphasis"/>
                <w:color w:val="FF0000"/>
                <w:sz w:val="20"/>
                <w:szCs w:val="20"/>
                <w:bdr w:val="none" w:sz="0" w:space="0" w:color="auto" w:frame="1"/>
              </w:rPr>
              <w:t xml:space="preserve">DLorJointTCIState </w:t>
            </w:r>
            <w:r w:rsidRPr="00303768">
              <w:rPr>
                <w:color w:val="FF0000"/>
                <w:sz w:val="20"/>
                <w:szCs w:val="20"/>
                <w:bdr w:val="none" w:sz="0" w:space="0" w:color="auto" w:frame="1"/>
              </w:rPr>
              <w:t>and/or </w:t>
            </w:r>
            <w:r w:rsidRPr="00303768">
              <w:rPr>
                <w:rStyle w:val="Emphasis"/>
                <w:color w:val="FF0000"/>
                <w:sz w:val="20"/>
                <w:szCs w:val="20"/>
                <w:bdr w:val="none" w:sz="0" w:space="0" w:color="auto" w:frame="1"/>
              </w:rPr>
              <w:t>UL-TCIState </w:t>
            </w:r>
            <w:r w:rsidR="00D4398C">
              <w:rPr>
                <w:color w:val="FF0000"/>
                <w:sz w:val="20"/>
                <w:szCs w:val="20"/>
                <w:bdr w:val="none" w:sz="0" w:space="0" w:color="auto" w:frame="1"/>
              </w:rPr>
              <w:t>to only one TCI codepoint</w:t>
            </w:r>
            <w:r w:rsidRPr="00303768">
              <w:rPr>
                <w:color w:val="FF0000"/>
                <w:sz w:val="20"/>
                <w:szCs w:val="20"/>
                <w:bdr w:val="none" w:sz="0" w:space="0" w:color="auto" w:frame="1"/>
              </w:rPr>
              <w:t>, UE shall apply the indicated </w:t>
            </w:r>
            <w:r w:rsidR="00D4398C">
              <w:rPr>
                <w:rStyle w:val="Emphasis"/>
                <w:color w:val="FF0000"/>
                <w:sz w:val="20"/>
                <w:szCs w:val="20"/>
                <w:bdr w:val="none" w:sz="0" w:space="0" w:color="auto" w:frame="1"/>
              </w:rPr>
              <w:t xml:space="preserve">DLorJointTCIState </w:t>
            </w:r>
            <w:r w:rsidRPr="00303768">
              <w:rPr>
                <w:color w:val="FF0000"/>
                <w:sz w:val="20"/>
                <w:szCs w:val="20"/>
                <w:bdr w:val="none" w:sz="0" w:space="0" w:color="auto" w:frame="1"/>
              </w:rPr>
              <w:t>and/or </w:t>
            </w:r>
            <w:r w:rsidRPr="00303768">
              <w:rPr>
                <w:rStyle w:val="Emphasis"/>
                <w:color w:val="FF0000"/>
                <w:sz w:val="20"/>
                <w:szCs w:val="20"/>
                <w:bdr w:val="none" w:sz="0" w:space="0" w:color="auto" w:frame="1"/>
              </w:rPr>
              <w:t>UL-TCIState </w:t>
            </w:r>
            <w:r w:rsidRPr="00303768">
              <w:rPr>
                <w:color w:val="FF0000"/>
                <w:sz w:val="20"/>
                <w:szCs w:val="20"/>
                <w:bdr w:val="none" w:sz="0" w:space="0" w:color="auto" w:frame="1"/>
              </w:rPr>
              <w:t>in the activation command for one or for a set of CCs /</w:t>
            </w:r>
            <w:r w:rsidR="005D35E0">
              <w:rPr>
                <w:color w:val="FF0000"/>
                <w:sz w:val="20"/>
                <w:szCs w:val="20"/>
                <w:bdr w:val="none" w:sz="0" w:space="0" w:color="auto" w:frame="1"/>
              </w:rPr>
              <w:t>DL BWPs</w:t>
            </w:r>
            <w:r w:rsidRPr="00303768">
              <w:rPr>
                <w:color w:val="FF0000"/>
                <w:sz w:val="20"/>
                <w:szCs w:val="20"/>
                <w:bdr w:val="none" w:sz="0" w:space="0" w:color="auto" w:frame="1"/>
              </w:rPr>
              <w:t>, and if applicable, for one or for a set of CCs /UL BWPs once the indicated mapping for the one single TCI codepoint is applied as described in [TS 38.133].</w:t>
            </w:r>
          </w:p>
          <w:p w14:paraId="3D3DFF53" w14:textId="77777777" w:rsidR="00303768" w:rsidRDefault="00303768" w:rsidP="00415617">
            <w:pPr>
              <w:pStyle w:val="NormalWeb"/>
              <w:spacing w:before="75" w:after="75" w:line="315" w:lineRule="atLeast"/>
              <w:jc w:val="center"/>
              <w:rPr>
                <w:rStyle w:val="Strong"/>
                <w:color w:val="000000"/>
                <w:sz w:val="18"/>
                <w:szCs w:val="18"/>
                <w:u w:val="single"/>
              </w:rPr>
            </w:pPr>
            <w:r w:rsidRPr="00303768">
              <w:rPr>
                <w:color w:val="FF0000"/>
                <w:sz w:val="20"/>
                <w:szCs w:val="20"/>
              </w:rPr>
              <w:t>*** Unchanged text is omitted ***</w:t>
            </w:r>
          </w:p>
        </w:tc>
      </w:tr>
    </w:tbl>
    <w:p w14:paraId="4218EA0B" w14:textId="77777777" w:rsidR="006303A1" w:rsidRDefault="00A53935">
      <w:pPr>
        <w:numPr>
          <w:ilvl w:val="0"/>
          <w:numId w:val="8"/>
        </w:numPr>
        <w:tabs>
          <w:tab w:val="clear" w:pos="432"/>
        </w:tabs>
        <w:snapToGrid w:val="0"/>
        <w:spacing w:beforeLines="50" w:before="182" w:afterLines="50" w:after="182" w:line="288" w:lineRule="auto"/>
        <w:ind w:left="425" w:hanging="425"/>
        <w:outlineLvl w:val="0"/>
        <w:rPr>
          <w:rFonts w:eastAsia="宋体"/>
          <w:b/>
          <w:sz w:val="28"/>
          <w:szCs w:val="28"/>
        </w:rPr>
      </w:pPr>
      <w:r>
        <w:rPr>
          <w:rFonts w:eastAsia="宋体"/>
          <w:b/>
          <w:sz w:val="28"/>
          <w:szCs w:val="28"/>
        </w:rPr>
        <w:t>References</w:t>
      </w:r>
    </w:p>
    <w:p w14:paraId="50D76E48" w14:textId="5D2C0A7D" w:rsidR="006303A1" w:rsidRDefault="00A53935">
      <w:pPr>
        <w:numPr>
          <w:ilvl w:val="0"/>
          <w:numId w:val="14"/>
        </w:numPr>
        <w:rPr>
          <w:sz w:val="18"/>
          <w:szCs w:val="18"/>
          <w:lang w:eastAsia="zh-CN"/>
        </w:rPr>
      </w:pPr>
      <w:r>
        <w:rPr>
          <w:rFonts w:hint="eastAsia"/>
          <w:sz w:val="18"/>
          <w:szCs w:val="18"/>
          <w:lang w:eastAsia="zh-CN"/>
        </w:rPr>
        <w:t>R1-2205315</w:t>
      </w:r>
      <w:r w:rsidR="00AD0A7C">
        <w:rPr>
          <w:rFonts w:hint="eastAsia"/>
          <w:sz w:val="18"/>
          <w:szCs w:val="18"/>
          <w:lang w:eastAsia="zh-CN"/>
        </w:rPr>
        <w:t>,</w:t>
      </w:r>
      <w:r w:rsidR="00AD0A7C">
        <w:rPr>
          <w:sz w:val="18"/>
          <w:szCs w:val="18"/>
          <w:lang w:eastAsia="zh-CN"/>
        </w:rPr>
        <w:t xml:space="preserve"> </w:t>
      </w:r>
      <w:r>
        <w:rPr>
          <w:rFonts w:hint="eastAsia"/>
          <w:sz w:val="18"/>
          <w:szCs w:val="18"/>
          <w:lang w:eastAsia="zh-CN"/>
        </w:rPr>
        <w:t>Moderator Summary #0 for Maintenance on Rel-17 Multi-Beam</w:t>
      </w:r>
      <w:r w:rsidR="00AD0A7C">
        <w:rPr>
          <w:sz w:val="18"/>
          <w:szCs w:val="18"/>
          <w:lang w:eastAsia="zh-CN"/>
        </w:rPr>
        <w:t>, ZTE</w:t>
      </w:r>
      <w:r>
        <w:rPr>
          <w:rFonts w:hint="eastAsia"/>
          <w:sz w:val="18"/>
          <w:szCs w:val="18"/>
          <w:lang w:eastAsia="zh-CN"/>
        </w:rPr>
        <w:t xml:space="preserve"> </w:t>
      </w:r>
    </w:p>
    <w:sectPr w:rsidR="006303A1">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509C9E" w14:textId="77777777" w:rsidR="0096174D" w:rsidRDefault="0096174D" w:rsidP="003B427A">
      <w:pPr>
        <w:spacing w:after="0" w:line="240" w:lineRule="auto"/>
      </w:pPr>
      <w:r>
        <w:separator/>
      </w:r>
    </w:p>
  </w:endnote>
  <w:endnote w:type="continuationSeparator" w:id="0">
    <w:p w14:paraId="26E77ED9" w14:textId="77777777" w:rsidR="0096174D" w:rsidRDefault="0096174D" w:rsidP="003B42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
    <w:altName w:val="Segoe Print"/>
    <w:panose1 w:val="00000000000000000000"/>
    <w:charset w:val="00"/>
    <w:family w:val="roman"/>
    <w:notTrueType/>
    <w:pitch w:val="default"/>
  </w:font>
  <w:font w:name="PMingLiU">
    <w:altName w:val="Arial Unicode MS"/>
    <w:panose1 w:val="02010601000101010101"/>
    <w:charset w:val="88"/>
    <w:family w:val="auto"/>
    <w:notTrueType/>
    <w:pitch w:val="variable"/>
    <w:sig w:usb0="00000000" w:usb1="08080000" w:usb2="00000010" w:usb3="00000000" w:csb0="00100000"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8BC39D" w14:textId="77777777" w:rsidR="0096174D" w:rsidRDefault="0096174D" w:rsidP="003B427A">
      <w:pPr>
        <w:spacing w:after="0" w:line="240" w:lineRule="auto"/>
      </w:pPr>
      <w:r>
        <w:separator/>
      </w:r>
    </w:p>
  </w:footnote>
  <w:footnote w:type="continuationSeparator" w:id="0">
    <w:p w14:paraId="1472EAED" w14:textId="77777777" w:rsidR="0096174D" w:rsidRDefault="0096174D" w:rsidP="003B427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D565B882"/>
    <w:multiLevelType w:val="multilevel"/>
    <w:tmpl w:val="D565B882"/>
    <w:lvl w:ilvl="0">
      <w:start w:val="1"/>
      <w:numFmt w:val="decimal"/>
      <w:suff w:val="space"/>
      <w:lvlText w:val="%1."/>
      <w:lvlJc w:val="left"/>
    </w:lvl>
    <w:lvl w:ilvl="1">
      <w:start w:val="1"/>
      <w:numFmt w:val="decimal"/>
      <w:lvlText w:val="(%2)"/>
      <w:lvlJc w:val="left"/>
      <w:pPr>
        <w:tabs>
          <w:tab w:val="left" w:pos="840"/>
        </w:tabs>
        <w:ind w:left="840" w:hanging="420"/>
      </w:pPr>
      <w:rPr>
        <w:rFonts w:hint="default"/>
      </w:rPr>
    </w:lvl>
    <w:lvl w:ilvl="2">
      <w:start w:val="1"/>
      <w:numFmt w:val="decimalEnclosedCircleChinese"/>
      <w:lvlText w:val="%3"/>
      <w:lvlJc w:val="left"/>
      <w:pPr>
        <w:tabs>
          <w:tab w:val="left" w:pos="1260"/>
        </w:tabs>
        <w:ind w:left="1260" w:hanging="420"/>
      </w:pPr>
      <w:rPr>
        <w:rFonts w:hint="eastAsia"/>
        <w:i w:val="0"/>
        <w:iCs w:val="0"/>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Letter"/>
      <w:lvlText w:val="%6)"/>
      <w:lvlJc w:val="left"/>
      <w:pPr>
        <w:tabs>
          <w:tab w:val="left" w:pos="2520"/>
        </w:tabs>
        <w:ind w:left="2520" w:hanging="420"/>
      </w:pPr>
      <w:rPr>
        <w:rFonts w:hint="default"/>
      </w:rPr>
    </w:lvl>
    <w:lvl w:ilvl="6">
      <w:start w:val="1"/>
      <w:numFmt w:val="lowerRoman"/>
      <w:lvlText w:val="%7."/>
      <w:lvlJc w:val="left"/>
      <w:pPr>
        <w:tabs>
          <w:tab w:val="left" w:pos="2940"/>
        </w:tabs>
        <w:ind w:left="2940" w:hanging="420"/>
      </w:pPr>
      <w:rPr>
        <w:rFonts w:hint="default"/>
      </w:rPr>
    </w:lvl>
    <w:lvl w:ilvl="7">
      <w:start w:val="1"/>
      <w:numFmt w:val="lowerRoman"/>
      <w:lvlText w:val="%8)"/>
      <w:lvlJc w:val="left"/>
      <w:pPr>
        <w:tabs>
          <w:tab w:val="left" w:pos="3360"/>
        </w:tabs>
        <w:ind w:left="3360" w:hanging="420"/>
      </w:pPr>
      <w:rPr>
        <w:rFonts w:hint="default"/>
      </w:rPr>
    </w:lvl>
    <w:lvl w:ilvl="8">
      <w:start w:val="1"/>
      <w:numFmt w:val="lowerLetter"/>
      <w:lvlText w:val="%9."/>
      <w:lvlJc w:val="left"/>
      <w:pPr>
        <w:tabs>
          <w:tab w:val="left" w:pos="3780"/>
        </w:tabs>
        <w:ind w:left="3780" w:hanging="420"/>
      </w:pPr>
      <w:rPr>
        <w:rFonts w:hint="default"/>
      </w:rPr>
    </w:lvl>
  </w:abstractNum>
  <w:abstractNum w:abstractNumId="1">
    <w:nsid w:val="DD93495D"/>
    <w:multiLevelType w:val="singleLevel"/>
    <w:tmpl w:val="DD93495D"/>
    <w:lvl w:ilvl="0">
      <w:start w:val="1"/>
      <w:numFmt w:val="decimal"/>
      <w:suff w:val="space"/>
      <w:lvlText w:val="[%1]"/>
      <w:lvlJc w:val="left"/>
    </w:lvl>
  </w:abstractNum>
  <w:abstractNum w:abstractNumId="2">
    <w:nsid w:val="EBEBD25C"/>
    <w:multiLevelType w:val="singleLevel"/>
    <w:tmpl w:val="EBEBD25C"/>
    <w:lvl w:ilvl="0">
      <w:start w:val="1"/>
      <w:numFmt w:val="decimal"/>
      <w:suff w:val="space"/>
      <w:lvlText w:val="%1."/>
      <w:lvlJc w:val="left"/>
    </w:lvl>
  </w:abstractNum>
  <w:abstractNum w:abstractNumId="3">
    <w:nsid w:val="00000005"/>
    <w:multiLevelType w:val="multilevel"/>
    <w:tmpl w:val="00000005"/>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0000007"/>
    <w:multiLevelType w:val="multilevel"/>
    <w:tmpl w:val="00000007"/>
    <w:lvl w:ilvl="0">
      <w:start w:val="1"/>
      <w:numFmt w:val="bullet"/>
      <w:pStyle w:val="bullet3"/>
      <w:lvlText w:val=""/>
      <w:lvlJc w:val="left"/>
      <w:pPr>
        <w:ind w:left="420" w:hanging="420"/>
      </w:pPr>
      <w:rPr>
        <w:rFonts w:ascii="Symbol" w:hAnsi="Symbol"/>
      </w:rPr>
    </w:lvl>
    <w:lvl w:ilvl="1">
      <w:start w:val="1"/>
      <w:numFmt w:val="bullet"/>
      <w:lvlText w:val="-"/>
      <w:lvlJc w:val="left"/>
      <w:pPr>
        <w:ind w:left="840" w:hanging="420"/>
      </w:pPr>
      <w:rPr>
        <w:rFonts w:ascii="Times New Roman" w:hAnsi="Times New Roman" w:cs="Times New Roman"/>
      </w:rPr>
    </w:lvl>
    <w:lvl w:ilvl="2">
      <w:start w:val="1"/>
      <w:numFmt w:val="bullet"/>
      <w:lvlText w:val=""/>
      <w:lvlJc w:val="left"/>
      <w:pPr>
        <w:ind w:left="1260" w:hanging="420"/>
      </w:pPr>
      <w:rPr>
        <w:rFonts w:ascii="Wingdings" w:hAnsi="Wingdings"/>
      </w:rPr>
    </w:lvl>
    <w:lvl w:ilvl="3">
      <w:start w:val="1"/>
      <w:numFmt w:val="bullet"/>
      <w:lvlText w:val=""/>
      <w:lvlJc w:val="left"/>
      <w:pPr>
        <w:ind w:left="1680" w:hanging="420"/>
      </w:pPr>
      <w:rPr>
        <w:rFonts w:ascii="Wingdings" w:hAnsi="Wingdings"/>
      </w:rPr>
    </w:lvl>
    <w:lvl w:ilvl="4">
      <w:start w:val="1"/>
      <w:numFmt w:val="bullet"/>
      <w:lvlText w:val=""/>
      <w:lvlJc w:val="left"/>
      <w:pPr>
        <w:ind w:left="2100" w:hanging="420"/>
      </w:pPr>
      <w:rPr>
        <w:rFonts w:ascii="Wingdings" w:hAnsi="Wingdings"/>
      </w:rPr>
    </w:lvl>
    <w:lvl w:ilvl="5">
      <w:start w:val="1"/>
      <w:numFmt w:val="bullet"/>
      <w:lvlText w:val=""/>
      <w:lvlJc w:val="left"/>
      <w:pPr>
        <w:ind w:left="2520" w:hanging="420"/>
      </w:pPr>
      <w:rPr>
        <w:rFonts w:ascii="Wingdings" w:hAnsi="Wingdings"/>
      </w:rPr>
    </w:lvl>
    <w:lvl w:ilvl="6">
      <w:start w:val="1"/>
      <w:numFmt w:val="bullet"/>
      <w:lvlText w:val=""/>
      <w:lvlJc w:val="left"/>
      <w:pPr>
        <w:ind w:left="2940" w:hanging="420"/>
      </w:pPr>
      <w:rPr>
        <w:rFonts w:ascii="Wingdings" w:hAnsi="Wingdings"/>
      </w:rPr>
    </w:lvl>
    <w:lvl w:ilvl="7">
      <w:start w:val="1"/>
      <w:numFmt w:val="bullet"/>
      <w:lvlText w:val=""/>
      <w:lvlJc w:val="left"/>
      <w:pPr>
        <w:ind w:left="3360" w:hanging="420"/>
      </w:pPr>
      <w:rPr>
        <w:rFonts w:ascii="Wingdings" w:hAnsi="Wingdings"/>
      </w:rPr>
    </w:lvl>
    <w:lvl w:ilvl="8">
      <w:start w:val="1"/>
      <w:numFmt w:val="bullet"/>
      <w:lvlText w:val=""/>
      <w:lvlJc w:val="left"/>
      <w:pPr>
        <w:ind w:left="3780" w:hanging="420"/>
      </w:pPr>
      <w:rPr>
        <w:rFonts w:ascii="Wingdings" w:hAnsi="Wingdings"/>
      </w:rPr>
    </w:lvl>
  </w:abstractNum>
  <w:abstractNum w:abstractNumId="5">
    <w:nsid w:val="00000014"/>
    <w:multiLevelType w:val="multilevel"/>
    <w:tmpl w:val="00000014"/>
    <w:lvl w:ilvl="0">
      <w:start w:val="1"/>
      <w:numFmt w:val="decimal"/>
      <w:pStyle w:val="Proposal0"/>
      <w:lvlText w:val="Proposal %1"/>
      <w:lvlJc w:val="left"/>
      <w:pPr>
        <w:ind w:left="1304" w:hanging="1304"/>
      </w:pPr>
    </w:lvl>
    <w:lvl w:ilvl="1">
      <w:start w:va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0000002D"/>
    <w:multiLevelType w:val="multilevel"/>
    <w:tmpl w:val="0000002D"/>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7">
    <w:nsid w:val="01007E7D"/>
    <w:multiLevelType w:val="multilevel"/>
    <w:tmpl w:val="01007E7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
    <w:nsid w:val="02B46033"/>
    <w:multiLevelType w:val="multilevel"/>
    <w:tmpl w:val="02B46033"/>
    <w:lvl w:ilvl="0">
      <w:start w:val="1"/>
      <w:numFmt w:val="decimal"/>
      <w:pStyle w:val="table"/>
      <w:lvlText w:val="Table %1"/>
      <w:lvlJc w:val="left"/>
      <w:pPr>
        <w:ind w:left="420" w:hanging="420"/>
      </w:pPr>
      <w:rPr>
        <w:rFonts w:ascii="Times New Roman" w:hAnsi="Times New Roman" w:cs="Times New Roman" w:hint="default"/>
        <w:b w:val="0"/>
        <w:bCs w:val="0"/>
        <w:i w:val="0"/>
        <w:iCs w:val="0"/>
        <w:caps w:val="0"/>
        <w:smallCaps w:val="0"/>
        <w:strike w:val="0"/>
        <w:dstrike w:val="0"/>
        <w:vanish w:val="0"/>
        <w:color w:val="000000"/>
        <w:spacing w:val="0"/>
        <w:kern w:val="0"/>
        <w:position w:val="0"/>
        <w:sz w:val="18"/>
        <w:szCs w:val="18"/>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14012511"/>
    <w:multiLevelType w:val="multilevel"/>
    <w:tmpl w:val="1401251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0">
    <w:nsid w:val="2621AF83"/>
    <w:multiLevelType w:val="multilevel"/>
    <w:tmpl w:val="2621AF83"/>
    <w:lvl w:ilvl="0">
      <w:start w:val="1"/>
      <w:numFmt w:val="decimal"/>
      <w:isLgl/>
      <w:lvlText w:val="%1"/>
      <w:lvlJc w:val="left"/>
      <w:pPr>
        <w:tabs>
          <w:tab w:val="left" w:pos="432"/>
        </w:tabs>
        <w:ind w:left="432" w:hanging="432"/>
      </w:pPr>
      <w:rPr>
        <w:rFonts w:ascii="Times New Roman" w:eastAsia="宋体" w:hAnsi="Times New Roman" w:cs="宋体" w:hint="default"/>
        <w:b/>
        <w:i w:val="0"/>
        <w:sz w:val="28"/>
      </w:rPr>
    </w:lvl>
    <w:lvl w:ilvl="1">
      <w:start w:val="1"/>
      <w:numFmt w:val="decimal"/>
      <w:lvlText w:val="%1.%2"/>
      <w:lvlJc w:val="left"/>
      <w:pPr>
        <w:tabs>
          <w:tab w:val="left" w:pos="576"/>
        </w:tabs>
        <w:ind w:left="576" w:hanging="576"/>
      </w:pPr>
      <w:rPr>
        <w:rFonts w:hint="eastAsia"/>
        <w:b/>
        <w:i w:val="0"/>
        <w:sz w:val="24"/>
      </w:rPr>
    </w:lvl>
    <w:lvl w:ilvl="2">
      <w:start w:val="1"/>
      <w:numFmt w:val="decimal"/>
      <w:lvlText w:val="%1.%2.%3"/>
      <w:lvlJc w:val="left"/>
      <w:pPr>
        <w:tabs>
          <w:tab w:val="left" w:pos="720"/>
        </w:tabs>
        <w:ind w:left="720" w:hanging="720"/>
      </w:pPr>
      <w:rPr>
        <w:rFonts w:hint="eastAsia"/>
        <w:b/>
        <w:i w:val="0"/>
        <w:sz w:val="21"/>
        <w:szCs w:val="21"/>
        <w:lang w:val="en-GB"/>
      </w:rPr>
    </w:lvl>
    <w:lvl w:ilvl="3">
      <w:start w:val="1"/>
      <w:numFmt w:val="decimal"/>
      <w:lvlText w:val="%1.%2.%3.%4"/>
      <w:lvlJc w:val="left"/>
      <w:pPr>
        <w:tabs>
          <w:tab w:val="left" w:pos="864"/>
        </w:tabs>
        <w:ind w:left="864" w:hanging="864"/>
      </w:pPr>
      <w:rPr>
        <w:rFonts w:hint="eastAsia"/>
        <w:b/>
        <w:i w:val="0"/>
        <w:sz w:val="21"/>
      </w:rPr>
    </w:lvl>
    <w:lvl w:ilvl="4">
      <w:start w:val="1"/>
      <w:numFmt w:val="decimal"/>
      <w:lvlText w:val="%1.%2.%3.%4.%5"/>
      <w:lvlJc w:val="left"/>
      <w:pPr>
        <w:tabs>
          <w:tab w:val="left" w:pos="1008"/>
        </w:tabs>
        <w:ind w:left="1008" w:hanging="1008"/>
      </w:pPr>
      <w:rPr>
        <w:rFonts w:hint="eastAsia"/>
        <w:b/>
        <w:i w:val="0"/>
        <w:sz w:val="21"/>
      </w:rPr>
    </w:lvl>
    <w:lvl w:ilvl="5">
      <w:start w:val="1"/>
      <w:numFmt w:val="decimal"/>
      <w:isLg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4"/>
        </w:tabs>
        <w:ind w:left="1584" w:hanging="1584"/>
      </w:pPr>
      <w:rPr>
        <w:rFonts w:hint="eastAsia"/>
      </w:rPr>
    </w:lvl>
  </w:abstractNum>
  <w:abstractNum w:abstractNumId="11">
    <w:nsid w:val="268C6FCA"/>
    <w:multiLevelType w:val="multilevel"/>
    <w:tmpl w:val="268C6FCA"/>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nsid w:val="35FE17B4"/>
    <w:multiLevelType w:val="multilevel"/>
    <w:tmpl w:val="35FE17B4"/>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4">
    <w:nsid w:val="4DB62EA4"/>
    <w:multiLevelType w:val="singleLevel"/>
    <w:tmpl w:val="4DB62EA4"/>
    <w:lvl w:ilvl="0">
      <w:start w:val="1"/>
      <w:numFmt w:val="decimal"/>
      <w:suff w:val="space"/>
      <w:lvlText w:val="%1."/>
      <w:lvlJc w:val="left"/>
    </w:lvl>
  </w:abstractNum>
  <w:abstractNum w:abstractNumId="15">
    <w:nsid w:val="51B53C98"/>
    <w:multiLevelType w:val="singleLevel"/>
    <w:tmpl w:val="51B53C98"/>
    <w:lvl w:ilvl="0">
      <w:start w:val="1"/>
      <w:numFmt w:val="decimal"/>
      <w:lvlText w:val="%1)"/>
      <w:lvlJc w:val="left"/>
      <w:pPr>
        <w:ind w:left="425" w:hanging="425"/>
      </w:pPr>
      <w:rPr>
        <w:rFonts w:hint="default"/>
      </w:rPr>
    </w:lvl>
  </w:abstractNum>
  <w:abstractNum w:abstractNumId="16">
    <w:nsid w:val="53D00A5E"/>
    <w:multiLevelType w:val="multilevel"/>
    <w:tmpl w:val="53D00A5E"/>
    <w:lvl w:ilvl="0">
      <w:start w:val="5"/>
      <w:numFmt w:val="bullet"/>
      <w:lvlText w:val="-"/>
      <w:lvlJc w:val="left"/>
      <w:pPr>
        <w:ind w:left="1211" w:hanging="360"/>
      </w:pPr>
      <w:rPr>
        <w:rFonts w:ascii="Times New Roman" w:eastAsia="宋体" w:hAnsi="Times New Roman" w:cs="Times New Roman" w:hint="default"/>
      </w:rPr>
    </w:lvl>
    <w:lvl w:ilvl="1">
      <w:start w:val="1"/>
      <w:numFmt w:val="bullet"/>
      <w:lvlText w:val=""/>
      <w:lvlJc w:val="left"/>
      <w:pPr>
        <w:ind w:left="1691" w:hanging="420"/>
      </w:pPr>
      <w:rPr>
        <w:rFonts w:ascii="Wingdings" w:hAnsi="Wingdings" w:hint="default"/>
      </w:rPr>
    </w:lvl>
    <w:lvl w:ilvl="2">
      <w:start w:val="1"/>
      <w:numFmt w:val="bullet"/>
      <w:lvlText w:val=""/>
      <w:lvlJc w:val="left"/>
      <w:pPr>
        <w:ind w:left="2111" w:hanging="420"/>
      </w:pPr>
      <w:rPr>
        <w:rFonts w:ascii="Wingdings" w:hAnsi="Wingdings" w:hint="default"/>
      </w:rPr>
    </w:lvl>
    <w:lvl w:ilvl="3">
      <w:start w:val="1"/>
      <w:numFmt w:val="bullet"/>
      <w:lvlText w:val=""/>
      <w:lvlJc w:val="left"/>
      <w:pPr>
        <w:ind w:left="2531" w:hanging="420"/>
      </w:pPr>
      <w:rPr>
        <w:rFonts w:ascii="Wingdings" w:hAnsi="Wingdings" w:hint="default"/>
      </w:rPr>
    </w:lvl>
    <w:lvl w:ilvl="4">
      <w:start w:val="1"/>
      <w:numFmt w:val="bullet"/>
      <w:lvlText w:val=""/>
      <w:lvlJc w:val="left"/>
      <w:pPr>
        <w:ind w:left="2951" w:hanging="420"/>
      </w:pPr>
      <w:rPr>
        <w:rFonts w:ascii="Wingdings" w:hAnsi="Wingdings" w:hint="default"/>
      </w:rPr>
    </w:lvl>
    <w:lvl w:ilvl="5">
      <w:start w:val="1"/>
      <w:numFmt w:val="bullet"/>
      <w:lvlText w:val=""/>
      <w:lvlJc w:val="left"/>
      <w:pPr>
        <w:ind w:left="3371" w:hanging="420"/>
      </w:pPr>
      <w:rPr>
        <w:rFonts w:ascii="Wingdings" w:hAnsi="Wingdings" w:hint="default"/>
      </w:rPr>
    </w:lvl>
    <w:lvl w:ilvl="6">
      <w:start w:val="1"/>
      <w:numFmt w:val="bullet"/>
      <w:lvlText w:val=""/>
      <w:lvlJc w:val="left"/>
      <w:pPr>
        <w:ind w:left="3791" w:hanging="420"/>
      </w:pPr>
      <w:rPr>
        <w:rFonts w:ascii="Wingdings" w:hAnsi="Wingdings" w:hint="default"/>
      </w:rPr>
    </w:lvl>
    <w:lvl w:ilvl="7">
      <w:start w:val="1"/>
      <w:numFmt w:val="bullet"/>
      <w:lvlText w:val=""/>
      <w:lvlJc w:val="left"/>
      <w:pPr>
        <w:ind w:left="4211" w:hanging="420"/>
      </w:pPr>
      <w:rPr>
        <w:rFonts w:ascii="Wingdings" w:hAnsi="Wingdings" w:hint="default"/>
      </w:rPr>
    </w:lvl>
    <w:lvl w:ilvl="8">
      <w:start w:val="1"/>
      <w:numFmt w:val="bullet"/>
      <w:lvlText w:val=""/>
      <w:lvlJc w:val="left"/>
      <w:pPr>
        <w:ind w:left="4631" w:hanging="420"/>
      </w:pPr>
      <w:rPr>
        <w:rFonts w:ascii="Wingdings" w:hAnsi="Wingdings" w:hint="default"/>
      </w:rPr>
    </w:lvl>
  </w:abstractNum>
  <w:abstractNum w:abstractNumId="17">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6"/>
  </w:num>
  <w:num w:numId="2">
    <w:abstractNumId w:val="3"/>
  </w:num>
  <w:num w:numId="3">
    <w:abstractNumId w:val="4"/>
  </w:num>
  <w:num w:numId="4">
    <w:abstractNumId w:val="5"/>
  </w:num>
  <w:num w:numId="5">
    <w:abstractNumId w:val="8"/>
  </w:num>
  <w:num w:numId="6">
    <w:abstractNumId w:val="17"/>
  </w:num>
  <w:num w:numId="7">
    <w:abstractNumId w:val="13"/>
  </w:num>
  <w:num w:numId="8">
    <w:abstractNumId w:val="10"/>
  </w:num>
  <w:num w:numId="9">
    <w:abstractNumId w:val="7"/>
  </w:num>
  <w:num w:numId="10">
    <w:abstractNumId w:val="12"/>
  </w:num>
  <w:num w:numId="11">
    <w:abstractNumId w:val="14"/>
  </w:num>
  <w:num w:numId="12">
    <w:abstractNumId w:val="9"/>
  </w:num>
  <w:num w:numId="13">
    <w:abstractNumId w:val="16"/>
  </w:num>
  <w:num w:numId="14">
    <w:abstractNumId w:val="1"/>
  </w:num>
  <w:num w:numId="15">
    <w:abstractNumId w:val="2"/>
  </w:num>
  <w:num w:numId="16">
    <w:abstractNumId w:val="0"/>
  </w:num>
  <w:num w:numId="17">
    <w:abstractNumId w:val="15"/>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FC5"/>
    <w:rsid w:val="00000706"/>
    <w:rsid w:val="00000736"/>
    <w:rsid w:val="00000F9F"/>
    <w:rsid w:val="00001E9A"/>
    <w:rsid w:val="00002AC3"/>
    <w:rsid w:val="000031EA"/>
    <w:rsid w:val="00004866"/>
    <w:rsid w:val="000052BA"/>
    <w:rsid w:val="0000580B"/>
    <w:rsid w:val="00006513"/>
    <w:rsid w:val="00010654"/>
    <w:rsid w:val="000119BF"/>
    <w:rsid w:val="00013F55"/>
    <w:rsid w:val="00014998"/>
    <w:rsid w:val="00014F34"/>
    <w:rsid w:val="00015488"/>
    <w:rsid w:val="00015993"/>
    <w:rsid w:val="00017763"/>
    <w:rsid w:val="00020CCE"/>
    <w:rsid w:val="00021115"/>
    <w:rsid w:val="00023A26"/>
    <w:rsid w:val="00023C80"/>
    <w:rsid w:val="0002557F"/>
    <w:rsid w:val="0003060C"/>
    <w:rsid w:val="00031729"/>
    <w:rsid w:val="0003223A"/>
    <w:rsid w:val="000343FA"/>
    <w:rsid w:val="00034E7E"/>
    <w:rsid w:val="000368EC"/>
    <w:rsid w:val="00041130"/>
    <w:rsid w:val="00041AFA"/>
    <w:rsid w:val="00042AB6"/>
    <w:rsid w:val="000449B3"/>
    <w:rsid w:val="000450C0"/>
    <w:rsid w:val="0004560C"/>
    <w:rsid w:val="00046126"/>
    <w:rsid w:val="00046D56"/>
    <w:rsid w:val="00047431"/>
    <w:rsid w:val="000476F7"/>
    <w:rsid w:val="00051095"/>
    <w:rsid w:val="00051549"/>
    <w:rsid w:val="000526C0"/>
    <w:rsid w:val="000526E7"/>
    <w:rsid w:val="000540A2"/>
    <w:rsid w:val="000542C1"/>
    <w:rsid w:val="00054EC6"/>
    <w:rsid w:val="0005517F"/>
    <w:rsid w:val="000557E8"/>
    <w:rsid w:val="000560A5"/>
    <w:rsid w:val="00056783"/>
    <w:rsid w:val="00056F8D"/>
    <w:rsid w:val="0005703A"/>
    <w:rsid w:val="00060555"/>
    <w:rsid w:val="000619AA"/>
    <w:rsid w:val="00063A09"/>
    <w:rsid w:val="00063E9F"/>
    <w:rsid w:val="00064DB9"/>
    <w:rsid w:val="0006514E"/>
    <w:rsid w:val="00066B54"/>
    <w:rsid w:val="00067B57"/>
    <w:rsid w:val="00071B96"/>
    <w:rsid w:val="000721BA"/>
    <w:rsid w:val="00074511"/>
    <w:rsid w:val="00075C7D"/>
    <w:rsid w:val="000762B5"/>
    <w:rsid w:val="000770E8"/>
    <w:rsid w:val="00080482"/>
    <w:rsid w:val="00081D85"/>
    <w:rsid w:val="000835B4"/>
    <w:rsid w:val="000845F2"/>
    <w:rsid w:val="00084EA4"/>
    <w:rsid w:val="000877CF"/>
    <w:rsid w:val="00087941"/>
    <w:rsid w:val="000879E1"/>
    <w:rsid w:val="00087C81"/>
    <w:rsid w:val="00090157"/>
    <w:rsid w:val="00091292"/>
    <w:rsid w:val="00091D52"/>
    <w:rsid w:val="00091EBA"/>
    <w:rsid w:val="00093D8E"/>
    <w:rsid w:val="00094046"/>
    <w:rsid w:val="00095724"/>
    <w:rsid w:val="00097AC1"/>
    <w:rsid w:val="000A0613"/>
    <w:rsid w:val="000A12F2"/>
    <w:rsid w:val="000A144C"/>
    <w:rsid w:val="000A1574"/>
    <w:rsid w:val="000A18EB"/>
    <w:rsid w:val="000A1F6D"/>
    <w:rsid w:val="000A5A76"/>
    <w:rsid w:val="000A601C"/>
    <w:rsid w:val="000B18AC"/>
    <w:rsid w:val="000B22FF"/>
    <w:rsid w:val="000B300F"/>
    <w:rsid w:val="000B33FC"/>
    <w:rsid w:val="000B491B"/>
    <w:rsid w:val="000B5A90"/>
    <w:rsid w:val="000B5FB4"/>
    <w:rsid w:val="000B7A7A"/>
    <w:rsid w:val="000B7F5E"/>
    <w:rsid w:val="000C018C"/>
    <w:rsid w:val="000C0AE9"/>
    <w:rsid w:val="000C13D4"/>
    <w:rsid w:val="000C17C6"/>
    <w:rsid w:val="000C2EB4"/>
    <w:rsid w:val="000C3AF6"/>
    <w:rsid w:val="000C575B"/>
    <w:rsid w:val="000C6A45"/>
    <w:rsid w:val="000C77D9"/>
    <w:rsid w:val="000D0394"/>
    <w:rsid w:val="000D1C81"/>
    <w:rsid w:val="000D212C"/>
    <w:rsid w:val="000D23B7"/>
    <w:rsid w:val="000D247D"/>
    <w:rsid w:val="000D3C80"/>
    <w:rsid w:val="000D3EA6"/>
    <w:rsid w:val="000D41CD"/>
    <w:rsid w:val="000D4564"/>
    <w:rsid w:val="000D4D9D"/>
    <w:rsid w:val="000D5943"/>
    <w:rsid w:val="000D5BB9"/>
    <w:rsid w:val="000D648F"/>
    <w:rsid w:val="000D72C3"/>
    <w:rsid w:val="000D794F"/>
    <w:rsid w:val="000D7DC6"/>
    <w:rsid w:val="000D7EA5"/>
    <w:rsid w:val="000D7F29"/>
    <w:rsid w:val="000E1B0B"/>
    <w:rsid w:val="000E2794"/>
    <w:rsid w:val="000E2B61"/>
    <w:rsid w:val="000E364D"/>
    <w:rsid w:val="000E52C2"/>
    <w:rsid w:val="000E5ACC"/>
    <w:rsid w:val="000E6108"/>
    <w:rsid w:val="000E7287"/>
    <w:rsid w:val="000F08C9"/>
    <w:rsid w:val="000F0FDD"/>
    <w:rsid w:val="000F1703"/>
    <w:rsid w:val="000F2251"/>
    <w:rsid w:val="000F3F2A"/>
    <w:rsid w:val="000F3F7D"/>
    <w:rsid w:val="0010042E"/>
    <w:rsid w:val="00100859"/>
    <w:rsid w:val="00103B1B"/>
    <w:rsid w:val="0010453F"/>
    <w:rsid w:val="00104683"/>
    <w:rsid w:val="001051AE"/>
    <w:rsid w:val="00105FA1"/>
    <w:rsid w:val="00106521"/>
    <w:rsid w:val="00106BD0"/>
    <w:rsid w:val="00113ACB"/>
    <w:rsid w:val="001151F4"/>
    <w:rsid w:val="00115BFB"/>
    <w:rsid w:val="00115C14"/>
    <w:rsid w:val="00115D5E"/>
    <w:rsid w:val="0011734E"/>
    <w:rsid w:val="00117846"/>
    <w:rsid w:val="00117AD3"/>
    <w:rsid w:val="00120380"/>
    <w:rsid w:val="0012295C"/>
    <w:rsid w:val="001232F1"/>
    <w:rsid w:val="00123597"/>
    <w:rsid w:val="001237D9"/>
    <w:rsid w:val="0012580C"/>
    <w:rsid w:val="0012608B"/>
    <w:rsid w:val="00127BF3"/>
    <w:rsid w:val="00127F58"/>
    <w:rsid w:val="00130C51"/>
    <w:rsid w:val="00131A2E"/>
    <w:rsid w:val="001328FF"/>
    <w:rsid w:val="001339D0"/>
    <w:rsid w:val="00133D99"/>
    <w:rsid w:val="00133FAA"/>
    <w:rsid w:val="00135F50"/>
    <w:rsid w:val="0013622B"/>
    <w:rsid w:val="001369CF"/>
    <w:rsid w:val="00137EEA"/>
    <w:rsid w:val="00140009"/>
    <w:rsid w:val="00140340"/>
    <w:rsid w:val="00140E93"/>
    <w:rsid w:val="00141341"/>
    <w:rsid w:val="00141555"/>
    <w:rsid w:val="001419EF"/>
    <w:rsid w:val="00141CAE"/>
    <w:rsid w:val="00143DEA"/>
    <w:rsid w:val="001441EF"/>
    <w:rsid w:val="00144EBF"/>
    <w:rsid w:val="001453E4"/>
    <w:rsid w:val="00145661"/>
    <w:rsid w:val="00145FAB"/>
    <w:rsid w:val="001465C3"/>
    <w:rsid w:val="00146981"/>
    <w:rsid w:val="00146D76"/>
    <w:rsid w:val="0015138C"/>
    <w:rsid w:val="00151927"/>
    <w:rsid w:val="00151FB4"/>
    <w:rsid w:val="00152FFC"/>
    <w:rsid w:val="001536E3"/>
    <w:rsid w:val="00157332"/>
    <w:rsid w:val="001579F2"/>
    <w:rsid w:val="00157C57"/>
    <w:rsid w:val="001616D4"/>
    <w:rsid w:val="00161818"/>
    <w:rsid w:val="00161B78"/>
    <w:rsid w:val="00162D8B"/>
    <w:rsid w:val="001630B7"/>
    <w:rsid w:val="001637F4"/>
    <w:rsid w:val="00166639"/>
    <w:rsid w:val="00166D5C"/>
    <w:rsid w:val="001670EE"/>
    <w:rsid w:val="00171F76"/>
    <w:rsid w:val="00172EBA"/>
    <w:rsid w:val="00173C2E"/>
    <w:rsid w:val="00174C4B"/>
    <w:rsid w:val="00174C75"/>
    <w:rsid w:val="0017564D"/>
    <w:rsid w:val="00175BD9"/>
    <w:rsid w:val="001762C7"/>
    <w:rsid w:val="00181578"/>
    <w:rsid w:val="00181907"/>
    <w:rsid w:val="00182549"/>
    <w:rsid w:val="001828D7"/>
    <w:rsid w:val="00182E7D"/>
    <w:rsid w:val="001832D4"/>
    <w:rsid w:val="00183D3B"/>
    <w:rsid w:val="0018598E"/>
    <w:rsid w:val="00185AF4"/>
    <w:rsid w:val="00186188"/>
    <w:rsid w:val="0018672E"/>
    <w:rsid w:val="00187E07"/>
    <w:rsid w:val="0019169D"/>
    <w:rsid w:val="0019305E"/>
    <w:rsid w:val="00193D08"/>
    <w:rsid w:val="00193F6A"/>
    <w:rsid w:val="00195F89"/>
    <w:rsid w:val="00196D51"/>
    <w:rsid w:val="00197CB8"/>
    <w:rsid w:val="001A0F33"/>
    <w:rsid w:val="001A1BF2"/>
    <w:rsid w:val="001A1F4D"/>
    <w:rsid w:val="001A358D"/>
    <w:rsid w:val="001A391D"/>
    <w:rsid w:val="001A5859"/>
    <w:rsid w:val="001A6D1C"/>
    <w:rsid w:val="001A7712"/>
    <w:rsid w:val="001A7787"/>
    <w:rsid w:val="001B3F8B"/>
    <w:rsid w:val="001B5253"/>
    <w:rsid w:val="001B53D7"/>
    <w:rsid w:val="001B54F0"/>
    <w:rsid w:val="001B650D"/>
    <w:rsid w:val="001B657C"/>
    <w:rsid w:val="001B66F0"/>
    <w:rsid w:val="001C0641"/>
    <w:rsid w:val="001C0A19"/>
    <w:rsid w:val="001C0EAB"/>
    <w:rsid w:val="001C0F81"/>
    <w:rsid w:val="001C2799"/>
    <w:rsid w:val="001C38D0"/>
    <w:rsid w:val="001C53AB"/>
    <w:rsid w:val="001C569A"/>
    <w:rsid w:val="001C678E"/>
    <w:rsid w:val="001C70E1"/>
    <w:rsid w:val="001C7CAB"/>
    <w:rsid w:val="001C7F44"/>
    <w:rsid w:val="001D0036"/>
    <w:rsid w:val="001D0179"/>
    <w:rsid w:val="001D0222"/>
    <w:rsid w:val="001D1516"/>
    <w:rsid w:val="001D1683"/>
    <w:rsid w:val="001D21FA"/>
    <w:rsid w:val="001D3B46"/>
    <w:rsid w:val="001D4C92"/>
    <w:rsid w:val="001D4FFD"/>
    <w:rsid w:val="001D54EF"/>
    <w:rsid w:val="001D5818"/>
    <w:rsid w:val="001D5907"/>
    <w:rsid w:val="001D5BF3"/>
    <w:rsid w:val="001D65A6"/>
    <w:rsid w:val="001D765A"/>
    <w:rsid w:val="001D7A50"/>
    <w:rsid w:val="001D7FF2"/>
    <w:rsid w:val="001E0673"/>
    <w:rsid w:val="001E193B"/>
    <w:rsid w:val="001E2070"/>
    <w:rsid w:val="001E2B27"/>
    <w:rsid w:val="001E4381"/>
    <w:rsid w:val="001E5351"/>
    <w:rsid w:val="001E5B67"/>
    <w:rsid w:val="001E6B8F"/>
    <w:rsid w:val="001E7163"/>
    <w:rsid w:val="001E7EE6"/>
    <w:rsid w:val="001F1A0E"/>
    <w:rsid w:val="001F241A"/>
    <w:rsid w:val="001F3A20"/>
    <w:rsid w:val="001F459B"/>
    <w:rsid w:val="001F466F"/>
    <w:rsid w:val="001F479E"/>
    <w:rsid w:val="001F574A"/>
    <w:rsid w:val="001F60B8"/>
    <w:rsid w:val="001F6E59"/>
    <w:rsid w:val="001F7807"/>
    <w:rsid w:val="00200008"/>
    <w:rsid w:val="00200CCB"/>
    <w:rsid w:val="00202335"/>
    <w:rsid w:val="002027BC"/>
    <w:rsid w:val="00206E50"/>
    <w:rsid w:val="00207125"/>
    <w:rsid w:val="00207590"/>
    <w:rsid w:val="00207EFE"/>
    <w:rsid w:val="002117E7"/>
    <w:rsid w:val="00211F27"/>
    <w:rsid w:val="00212822"/>
    <w:rsid w:val="00213B61"/>
    <w:rsid w:val="00215E90"/>
    <w:rsid w:val="002161F2"/>
    <w:rsid w:val="00220B5A"/>
    <w:rsid w:val="00221D92"/>
    <w:rsid w:val="002236E4"/>
    <w:rsid w:val="00223867"/>
    <w:rsid w:val="00223B2B"/>
    <w:rsid w:val="00223E00"/>
    <w:rsid w:val="00223E84"/>
    <w:rsid w:val="0022402A"/>
    <w:rsid w:val="002242F0"/>
    <w:rsid w:val="002244C5"/>
    <w:rsid w:val="00224FF0"/>
    <w:rsid w:val="0022615E"/>
    <w:rsid w:val="00227CD5"/>
    <w:rsid w:val="0023110A"/>
    <w:rsid w:val="0023118B"/>
    <w:rsid w:val="00231411"/>
    <w:rsid w:val="00233592"/>
    <w:rsid w:val="00234564"/>
    <w:rsid w:val="00234A14"/>
    <w:rsid w:val="0023502A"/>
    <w:rsid w:val="00235CF4"/>
    <w:rsid w:val="00235FF0"/>
    <w:rsid w:val="002367FC"/>
    <w:rsid w:val="00236D06"/>
    <w:rsid w:val="00237223"/>
    <w:rsid w:val="0023780D"/>
    <w:rsid w:val="00241766"/>
    <w:rsid w:val="002419F0"/>
    <w:rsid w:val="00241D49"/>
    <w:rsid w:val="00242738"/>
    <w:rsid w:val="00242AFE"/>
    <w:rsid w:val="002441FD"/>
    <w:rsid w:val="002450AC"/>
    <w:rsid w:val="00245791"/>
    <w:rsid w:val="00245C0C"/>
    <w:rsid w:val="0025040E"/>
    <w:rsid w:val="00251738"/>
    <w:rsid w:val="00251E17"/>
    <w:rsid w:val="00253484"/>
    <w:rsid w:val="00253856"/>
    <w:rsid w:val="00253DFA"/>
    <w:rsid w:val="00253FF7"/>
    <w:rsid w:val="00255FC9"/>
    <w:rsid w:val="00256DAD"/>
    <w:rsid w:val="00257557"/>
    <w:rsid w:val="00257CC3"/>
    <w:rsid w:val="00260272"/>
    <w:rsid w:val="00260FA1"/>
    <w:rsid w:val="00261220"/>
    <w:rsid w:val="00261307"/>
    <w:rsid w:val="0026176A"/>
    <w:rsid w:val="0026302F"/>
    <w:rsid w:val="00263D6A"/>
    <w:rsid w:val="00264351"/>
    <w:rsid w:val="00264361"/>
    <w:rsid w:val="0026460D"/>
    <w:rsid w:val="0026514C"/>
    <w:rsid w:val="00266129"/>
    <w:rsid w:val="00266150"/>
    <w:rsid w:val="002663DB"/>
    <w:rsid w:val="00266A54"/>
    <w:rsid w:val="0026752B"/>
    <w:rsid w:val="00267B6D"/>
    <w:rsid w:val="00267EAC"/>
    <w:rsid w:val="00267FCE"/>
    <w:rsid w:val="00272B22"/>
    <w:rsid w:val="00272E79"/>
    <w:rsid w:val="00273157"/>
    <w:rsid w:val="00274042"/>
    <w:rsid w:val="002747AF"/>
    <w:rsid w:val="002751CF"/>
    <w:rsid w:val="002764CB"/>
    <w:rsid w:val="00276FC9"/>
    <w:rsid w:val="002770FC"/>
    <w:rsid w:val="0027767A"/>
    <w:rsid w:val="002802DB"/>
    <w:rsid w:val="00280505"/>
    <w:rsid w:val="0028076F"/>
    <w:rsid w:val="002808FC"/>
    <w:rsid w:val="00280A25"/>
    <w:rsid w:val="00282AB3"/>
    <w:rsid w:val="00282D47"/>
    <w:rsid w:val="00283702"/>
    <w:rsid w:val="00283C8C"/>
    <w:rsid w:val="0028480D"/>
    <w:rsid w:val="00284F0D"/>
    <w:rsid w:val="0028622B"/>
    <w:rsid w:val="0028647E"/>
    <w:rsid w:val="00286C6A"/>
    <w:rsid w:val="00286D01"/>
    <w:rsid w:val="0029009E"/>
    <w:rsid w:val="002915B4"/>
    <w:rsid w:val="00291B8B"/>
    <w:rsid w:val="00292C69"/>
    <w:rsid w:val="002948C1"/>
    <w:rsid w:val="00294DFF"/>
    <w:rsid w:val="00297399"/>
    <w:rsid w:val="0029781E"/>
    <w:rsid w:val="00297886"/>
    <w:rsid w:val="002A01D2"/>
    <w:rsid w:val="002A0B09"/>
    <w:rsid w:val="002A1119"/>
    <w:rsid w:val="002A175D"/>
    <w:rsid w:val="002A2BFE"/>
    <w:rsid w:val="002A4128"/>
    <w:rsid w:val="002A4254"/>
    <w:rsid w:val="002A431D"/>
    <w:rsid w:val="002A44B9"/>
    <w:rsid w:val="002A71A4"/>
    <w:rsid w:val="002B0825"/>
    <w:rsid w:val="002B16AE"/>
    <w:rsid w:val="002B2816"/>
    <w:rsid w:val="002B5ABC"/>
    <w:rsid w:val="002B7AA7"/>
    <w:rsid w:val="002B7F70"/>
    <w:rsid w:val="002C0829"/>
    <w:rsid w:val="002C0E8A"/>
    <w:rsid w:val="002C1EEC"/>
    <w:rsid w:val="002C255E"/>
    <w:rsid w:val="002C310A"/>
    <w:rsid w:val="002C36BC"/>
    <w:rsid w:val="002C4DAC"/>
    <w:rsid w:val="002C53CF"/>
    <w:rsid w:val="002C77AA"/>
    <w:rsid w:val="002C7C3C"/>
    <w:rsid w:val="002D0769"/>
    <w:rsid w:val="002D0FBB"/>
    <w:rsid w:val="002D2C3D"/>
    <w:rsid w:val="002D2F74"/>
    <w:rsid w:val="002D38F8"/>
    <w:rsid w:val="002D41DE"/>
    <w:rsid w:val="002D440A"/>
    <w:rsid w:val="002D46ED"/>
    <w:rsid w:val="002D52B9"/>
    <w:rsid w:val="002D54BE"/>
    <w:rsid w:val="002D5777"/>
    <w:rsid w:val="002D6D17"/>
    <w:rsid w:val="002D78F6"/>
    <w:rsid w:val="002D7B8A"/>
    <w:rsid w:val="002D7E27"/>
    <w:rsid w:val="002E030B"/>
    <w:rsid w:val="002E04EB"/>
    <w:rsid w:val="002E0FEC"/>
    <w:rsid w:val="002E214B"/>
    <w:rsid w:val="002E34DB"/>
    <w:rsid w:val="002E4383"/>
    <w:rsid w:val="002E4574"/>
    <w:rsid w:val="002E4B30"/>
    <w:rsid w:val="002E790F"/>
    <w:rsid w:val="002F014B"/>
    <w:rsid w:val="002F0154"/>
    <w:rsid w:val="002F0771"/>
    <w:rsid w:val="002F0D9A"/>
    <w:rsid w:val="002F1936"/>
    <w:rsid w:val="002F1D39"/>
    <w:rsid w:val="002F212A"/>
    <w:rsid w:val="002F2DE8"/>
    <w:rsid w:val="002F4B0D"/>
    <w:rsid w:val="002F715F"/>
    <w:rsid w:val="002F719C"/>
    <w:rsid w:val="002F72AF"/>
    <w:rsid w:val="002F75B1"/>
    <w:rsid w:val="002F7D3A"/>
    <w:rsid w:val="002F7E5F"/>
    <w:rsid w:val="00301311"/>
    <w:rsid w:val="003024DD"/>
    <w:rsid w:val="00302FEF"/>
    <w:rsid w:val="00303768"/>
    <w:rsid w:val="003038ED"/>
    <w:rsid w:val="003043C2"/>
    <w:rsid w:val="00304C1D"/>
    <w:rsid w:val="003067E5"/>
    <w:rsid w:val="00306A72"/>
    <w:rsid w:val="00310269"/>
    <w:rsid w:val="00310E83"/>
    <w:rsid w:val="00311112"/>
    <w:rsid w:val="00313C74"/>
    <w:rsid w:val="00313CEF"/>
    <w:rsid w:val="0031491E"/>
    <w:rsid w:val="00314CAC"/>
    <w:rsid w:val="00315CCE"/>
    <w:rsid w:val="00315E6A"/>
    <w:rsid w:val="0031614B"/>
    <w:rsid w:val="00316771"/>
    <w:rsid w:val="003172F0"/>
    <w:rsid w:val="003177DB"/>
    <w:rsid w:val="00317BC9"/>
    <w:rsid w:val="00322B58"/>
    <w:rsid w:val="00322DF7"/>
    <w:rsid w:val="00322EBC"/>
    <w:rsid w:val="00324D15"/>
    <w:rsid w:val="0032767E"/>
    <w:rsid w:val="0033098B"/>
    <w:rsid w:val="003309A2"/>
    <w:rsid w:val="0033284C"/>
    <w:rsid w:val="00334125"/>
    <w:rsid w:val="00335125"/>
    <w:rsid w:val="00337067"/>
    <w:rsid w:val="00337837"/>
    <w:rsid w:val="00340819"/>
    <w:rsid w:val="003416D2"/>
    <w:rsid w:val="00343F07"/>
    <w:rsid w:val="00344810"/>
    <w:rsid w:val="00344ADC"/>
    <w:rsid w:val="00345E97"/>
    <w:rsid w:val="003478A4"/>
    <w:rsid w:val="00347E8D"/>
    <w:rsid w:val="00347F50"/>
    <w:rsid w:val="003503E6"/>
    <w:rsid w:val="00350DD6"/>
    <w:rsid w:val="0035130B"/>
    <w:rsid w:val="00351419"/>
    <w:rsid w:val="00352D58"/>
    <w:rsid w:val="003554AD"/>
    <w:rsid w:val="00356E16"/>
    <w:rsid w:val="0035737E"/>
    <w:rsid w:val="0035775D"/>
    <w:rsid w:val="00357BFE"/>
    <w:rsid w:val="00360897"/>
    <w:rsid w:val="00360CB1"/>
    <w:rsid w:val="00360D96"/>
    <w:rsid w:val="00362469"/>
    <w:rsid w:val="00363361"/>
    <w:rsid w:val="00363B65"/>
    <w:rsid w:val="003644AA"/>
    <w:rsid w:val="00364991"/>
    <w:rsid w:val="003654D2"/>
    <w:rsid w:val="0036679D"/>
    <w:rsid w:val="00366E32"/>
    <w:rsid w:val="00367934"/>
    <w:rsid w:val="00367C9E"/>
    <w:rsid w:val="0037359D"/>
    <w:rsid w:val="00374325"/>
    <w:rsid w:val="003745D1"/>
    <w:rsid w:val="003747D4"/>
    <w:rsid w:val="00374ED9"/>
    <w:rsid w:val="003765F4"/>
    <w:rsid w:val="00376660"/>
    <w:rsid w:val="003771E5"/>
    <w:rsid w:val="00377C6C"/>
    <w:rsid w:val="00377D3B"/>
    <w:rsid w:val="00377EE3"/>
    <w:rsid w:val="0038048F"/>
    <w:rsid w:val="00380B0B"/>
    <w:rsid w:val="003811B5"/>
    <w:rsid w:val="0038133D"/>
    <w:rsid w:val="0038213E"/>
    <w:rsid w:val="00382238"/>
    <w:rsid w:val="003822E8"/>
    <w:rsid w:val="00382A3E"/>
    <w:rsid w:val="00383110"/>
    <w:rsid w:val="003833F7"/>
    <w:rsid w:val="003840FE"/>
    <w:rsid w:val="003878A1"/>
    <w:rsid w:val="00390634"/>
    <w:rsid w:val="00390FB3"/>
    <w:rsid w:val="0039186E"/>
    <w:rsid w:val="00391B52"/>
    <w:rsid w:val="00392F47"/>
    <w:rsid w:val="00393D55"/>
    <w:rsid w:val="00393E7A"/>
    <w:rsid w:val="00394C8F"/>
    <w:rsid w:val="00394E32"/>
    <w:rsid w:val="00394E8E"/>
    <w:rsid w:val="00395C90"/>
    <w:rsid w:val="00396F18"/>
    <w:rsid w:val="00396F9F"/>
    <w:rsid w:val="00397CB6"/>
    <w:rsid w:val="00397E05"/>
    <w:rsid w:val="00397FF1"/>
    <w:rsid w:val="003A05BB"/>
    <w:rsid w:val="003A0DB9"/>
    <w:rsid w:val="003A151B"/>
    <w:rsid w:val="003A17BD"/>
    <w:rsid w:val="003A1E0B"/>
    <w:rsid w:val="003A27E4"/>
    <w:rsid w:val="003A3315"/>
    <w:rsid w:val="003A4086"/>
    <w:rsid w:val="003A41E2"/>
    <w:rsid w:val="003A4259"/>
    <w:rsid w:val="003A56CB"/>
    <w:rsid w:val="003A5AE6"/>
    <w:rsid w:val="003A7FA5"/>
    <w:rsid w:val="003B1D75"/>
    <w:rsid w:val="003B22DE"/>
    <w:rsid w:val="003B2FC7"/>
    <w:rsid w:val="003B3130"/>
    <w:rsid w:val="003B3C4A"/>
    <w:rsid w:val="003B427A"/>
    <w:rsid w:val="003B459D"/>
    <w:rsid w:val="003B476D"/>
    <w:rsid w:val="003B6639"/>
    <w:rsid w:val="003B6ED8"/>
    <w:rsid w:val="003B782E"/>
    <w:rsid w:val="003B7EEA"/>
    <w:rsid w:val="003C0030"/>
    <w:rsid w:val="003C13EC"/>
    <w:rsid w:val="003C1660"/>
    <w:rsid w:val="003C23F9"/>
    <w:rsid w:val="003C3737"/>
    <w:rsid w:val="003C51D3"/>
    <w:rsid w:val="003C5761"/>
    <w:rsid w:val="003C613E"/>
    <w:rsid w:val="003C7682"/>
    <w:rsid w:val="003D0D93"/>
    <w:rsid w:val="003D0EE9"/>
    <w:rsid w:val="003D1BFF"/>
    <w:rsid w:val="003D1EDC"/>
    <w:rsid w:val="003D23B2"/>
    <w:rsid w:val="003D28D3"/>
    <w:rsid w:val="003D475C"/>
    <w:rsid w:val="003D6196"/>
    <w:rsid w:val="003D6EFC"/>
    <w:rsid w:val="003D7A3B"/>
    <w:rsid w:val="003E2108"/>
    <w:rsid w:val="003E2BC2"/>
    <w:rsid w:val="003E3138"/>
    <w:rsid w:val="003E3D79"/>
    <w:rsid w:val="003E40B2"/>
    <w:rsid w:val="003E486C"/>
    <w:rsid w:val="003E5753"/>
    <w:rsid w:val="003E64A5"/>
    <w:rsid w:val="003E6A5B"/>
    <w:rsid w:val="003E724E"/>
    <w:rsid w:val="003E78F6"/>
    <w:rsid w:val="003F1A48"/>
    <w:rsid w:val="003F38E0"/>
    <w:rsid w:val="003F3D9C"/>
    <w:rsid w:val="003F4038"/>
    <w:rsid w:val="003F4E73"/>
    <w:rsid w:val="003F5046"/>
    <w:rsid w:val="003F66F4"/>
    <w:rsid w:val="003F73A3"/>
    <w:rsid w:val="004015D3"/>
    <w:rsid w:val="00401712"/>
    <w:rsid w:val="00402F34"/>
    <w:rsid w:val="004047C4"/>
    <w:rsid w:val="00405D3D"/>
    <w:rsid w:val="004069DE"/>
    <w:rsid w:val="0041055A"/>
    <w:rsid w:val="00412ED3"/>
    <w:rsid w:val="00413258"/>
    <w:rsid w:val="00413941"/>
    <w:rsid w:val="00413E49"/>
    <w:rsid w:val="00414175"/>
    <w:rsid w:val="00414970"/>
    <w:rsid w:val="00414D4E"/>
    <w:rsid w:val="00414FF7"/>
    <w:rsid w:val="00415617"/>
    <w:rsid w:val="004156DF"/>
    <w:rsid w:val="004162C8"/>
    <w:rsid w:val="00416D42"/>
    <w:rsid w:val="00416FB8"/>
    <w:rsid w:val="0042043E"/>
    <w:rsid w:val="00420D8E"/>
    <w:rsid w:val="00420EAD"/>
    <w:rsid w:val="004216BD"/>
    <w:rsid w:val="00421914"/>
    <w:rsid w:val="0042267B"/>
    <w:rsid w:val="004235F3"/>
    <w:rsid w:val="0042521A"/>
    <w:rsid w:val="00426142"/>
    <w:rsid w:val="004267D9"/>
    <w:rsid w:val="0042708C"/>
    <w:rsid w:val="004274FF"/>
    <w:rsid w:val="00431CE6"/>
    <w:rsid w:val="00436198"/>
    <w:rsid w:val="00437633"/>
    <w:rsid w:val="00437EF5"/>
    <w:rsid w:val="00440135"/>
    <w:rsid w:val="00440E7E"/>
    <w:rsid w:val="004415F8"/>
    <w:rsid w:val="00441DC3"/>
    <w:rsid w:val="0044257D"/>
    <w:rsid w:val="00445BF1"/>
    <w:rsid w:val="004461AA"/>
    <w:rsid w:val="004465E8"/>
    <w:rsid w:val="00447300"/>
    <w:rsid w:val="004477D5"/>
    <w:rsid w:val="00451B31"/>
    <w:rsid w:val="00451D87"/>
    <w:rsid w:val="0045213D"/>
    <w:rsid w:val="0045490E"/>
    <w:rsid w:val="0045608B"/>
    <w:rsid w:val="004562A0"/>
    <w:rsid w:val="00456BF9"/>
    <w:rsid w:val="00457882"/>
    <w:rsid w:val="00457CBF"/>
    <w:rsid w:val="00457F43"/>
    <w:rsid w:val="00460CCB"/>
    <w:rsid w:val="00461449"/>
    <w:rsid w:val="00461495"/>
    <w:rsid w:val="004617C7"/>
    <w:rsid w:val="0046317C"/>
    <w:rsid w:val="00463769"/>
    <w:rsid w:val="00464409"/>
    <w:rsid w:val="00464A63"/>
    <w:rsid w:val="00465305"/>
    <w:rsid w:val="00465895"/>
    <w:rsid w:val="004662E0"/>
    <w:rsid w:val="00466A38"/>
    <w:rsid w:val="00467151"/>
    <w:rsid w:val="004701FC"/>
    <w:rsid w:val="00470770"/>
    <w:rsid w:val="00470E10"/>
    <w:rsid w:val="00471131"/>
    <w:rsid w:val="0047244B"/>
    <w:rsid w:val="004736E2"/>
    <w:rsid w:val="004740F4"/>
    <w:rsid w:val="004741D4"/>
    <w:rsid w:val="004742EF"/>
    <w:rsid w:val="004745D9"/>
    <w:rsid w:val="0047511E"/>
    <w:rsid w:val="004766D7"/>
    <w:rsid w:val="00476C05"/>
    <w:rsid w:val="00477899"/>
    <w:rsid w:val="004779DE"/>
    <w:rsid w:val="00481CB1"/>
    <w:rsid w:val="004825EE"/>
    <w:rsid w:val="00482696"/>
    <w:rsid w:val="00482748"/>
    <w:rsid w:val="0048311F"/>
    <w:rsid w:val="0048331C"/>
    <w:rsid w:val="00483737"/>
    <w:rsid w:val="00483FEB"/>
    <w:rsid w:val="00485668"/>
    <w:rsid w:val="00485CB6"/>
    <w:rsid w:val="004861BB"/>
    <w:rsid w:val="00486C5E"/>
    <w:rsid w:val="00490070"/>
    <w:rsid w:val="0049038A"/>
    <w:rsid w:val="004903B0"/>
    <w:rsid w:val="00490617"/>
    <w:rsid w:val="00491B70"/>
    <w:rsid w:val="00491EBD"/>
    <w:rsid w:val="00492C8D"/>
    <w:rsid w:val="0049387F"/>
    <w:rsid w:val="00493ED3"/>
    <w:rsid w:val="00494728"/>
    <w:rsid w:val="00496D6C"/>
    <w:rsid w:val="00497409"/>
    <w:rsid w:val="00497564"/>
    <w:rsid w:val="004A012A"/>
    <w:rsid w:val="004A094D"/>
    <w:rsid w:val="004A178A"/>
    <w:rsid w:val="004A187E"/>
    <w:rsid w:val="004A2C4D"/>
    <w:rsid w:val="004A3BA8"/>
    <w:rsid w:val="004A3E40"/>
    <w:rsid w:val="004A4103"/>
    <w:rsid w:val="004A4AC4"/>
    <w:rsid w:val="004A51D3"/>
    <w:rsid w:val="004A5833"/>
    <w:rsid w:val="004A59CC"/>
    <w:rsid w:val="004A59E8"/>
    <w:rsid w:val="004A5AE4"/>
    <w:rsid w:val="004A72C1"/>
    <w:rsid w:val="004A7565"/>
    <w:rsid w:val="004B0312"/>
    <w:rsid w:val="004B035E"/>
    <w:rsid w:val="004B2114"/>
    <w:rsid w:val="004B29A8"/>
    <w:rsid w:val="004B2B68"/>
    <w:rsid w:val="004B3F2C"/>
    <w:rsid w:val="004B5130"/>
    <w:rsid w:val="004B580C"/>
    <w:rsid w:val="004B58A2"/>
    <w:rsid w:val="004B59DE"/>
    <w:rsid w:val="004B5CFE"/>
    <w:rsid w:val="004B67E1"/>
    <w:rsid w:val="004B7A41"/>
    <w:rsid w:val="004C16F4"/>
    <w:rsid w:val="004C23F2"/>
    <w:rsid w:val="004C26BA"/>
    <w:rsid w:val="004C414B"/>
    <w:rsid w:val="004C45FF"/>
    <w:rsid w:val="004C4942"/>
    <w:rsid w:val="004C4C6C"/>
    <w:rsid w:val="004C4F88"/>
    <w:rsid w:val="004C549F"/>
    <w:rsid w:val="004C5FF7"/>
    <w:rsid w:val="004D1C53"/>
    <w:rsid w:val="004D2922"/>
    <w:rsid w:val="004D2D83"/>
    <w:rsid w:val="004D4BDB"/>
    <w:rsid w:val="004D606C"/>
    <w:rsid w:val="004D6B8E"/>
    <w:rsid w:val="004D6ED9"/>
    <w:rsid w:val="004D6FB1"/>
    <w:rsid w:val="004D72D5"/>
    <w:rsid w:val="004D7CBE"/>
    <w:rsid w:val="004E146D"/>
    <w:rsid w:val="004E24DA"/>
    <w:rsid w:val="004E2DEF"/>
    <w:rsid w:val="004E45F6"/>
    <w:rsid w:val="004E4CC5"/>
    <w:rsid w:val="004E50A8"/>
    <w:rsid w:val="004E5397"/>
    <w:rsid w:val="004E5C92"/>
    <w:rsid w:val="004F1524"/>
    <w:rsid w:val="004F1BD4"/>
    <w:rsid w:val="004F2A12"/>
    <w:rsid w:val="004F3748"/>
    <w:rsid w:val="004F4018"/>
    <w:rsid w:val="004F4E12"/>
    <w:rsid w:val="004F59B5"/>
    <w:rsid w:val="004F5B24"/>
    <w:rsid w:val="004F63A6"/>
    <w:rsid w:val="005009A0"/>
    <w:rsid w:val="005031ED"/>
    <w:rsid w:val="005041F4"/>
    <w:rsid w:val="00505615"/>
    <w:rsid w:val="00505FBB"/>
    <w:rsid w:val="00506483"/>
    <w:rsid w:val="005070E3"/>
    <w:rsid w:val="0050741C"/>
    <w:rsid w:val="00507E3D"/>
    <w:rsid w:val="00510789"/>
    <w:rsid w:val="00510E4A"/>
    <w:rsid w:val="00512F9C"/>
    <w:rsid w:val="00514F7C"/>
    <w:rsid w:val="005158C4"/>
    <w:rsid w:val="00515DA8"/>
    <w:rsid w:val="005173F0"/>
    <w:rsid w:val="00517A0A"/>
    <w:rsid w:val="005207E1"/>
    <w:rsid w:val="00520A32"/>
    <w:rsid w:val="00520F5A"/>
    <w:rsid w:val="00521612"/>
    <w:rsid w:val="0052379C"/>
    <w:rsid w:val="00523A80"/>
    <w:rsid w:val="00523F3A"/>
    <w:rsid w:val="005245D2"/>
    <w:rsid w:val="00525254"/>
    <w:rsid w:val="00526540"/>
    <w:rsid w:val="00526ACC"/>
    <w:rsid w:val="00527E82"/>
    <w:rsid w:val="0053127A"/>
    <w:rsid w:val="00531E52"/>
    <w:rsid w:val="005339B3"/>
    <w:rsid w:val="0053414A"/>
    <w:rsid w:val="00534576"/>
    <w:rsid w:val="00535539"/>
    <w:rsid w:val="0053571A"/>
    <w:rsid w:val="00536FD4"/>
    <w:rsid w:val="00537102"/>
    <w:rsid w:val="005376BD"/>
    <w:rsid w:val="005405F8"/>
    <w:rsid w:val="00541252"/>
    <w:rsid w:val="00541C51"/>
    <w:rsid w:val="00543573"/>
    <w:rsid w:val="00544B4F"/>
    <w:rsid w:val="005459C2"/>
    <w:rsid w:val="00545AE3"/>
    <w:rsid w:val="00550165"/>
    <w:rsid w:val="00550C25"/>
    <w:rsid w:val="005511D3"/>
    <w:rsid w:val="0055247E"/>
    <w:rsid w:val="00554239"/>
    <w:rsid w:val="005606C5"/>
    <w:rsid w:val="005611BF"/>
    <w:rsid w:val="00562332"/>
    <w:rsid w:val="005642F4"/>
    <w:rsid w:val="00566A85"/>
    <w:rsid w:val="00573255"/>
    <w:rsid w:val="00573274"/>
    <w:rsid w:val="005737F2"/>
    <w:rsid w:val="005740E5"/>
    <w:rsid w:val="00581ED5"/>
    <w:rsid w:val="00582B49"/>
    <w:rsid w:val="005830C3"/>
    <w:rsid w:val="00583263"/>
    <w:rsid w:val="00584308"/>
    <w:rsid w:val="00584B9F"/>
    <w:rsid w:val="00585776"/>
    <w:rsid w:val="005859C3"/>
    <w:rsid w:val="005863C3"/>
    <w:rsid w:val="00586F46"/>
    <w:rsid w:val="00590B1F"/>
    <w:rsid w:val="0059138A"/>
    <w:rsid w:val="0059155B"/>
    <w:rsid w:val="00591EAB"/>
    <w:rsid w:val="00593975"/>
    <w:rsid w:val="00594D7A"/>
    <w:rsid w:val="0059517C"/>
    <w:rsid w:val="00595341"/>
    <w:rsid w:val="005957C0"/>
    <w:rsid w:val="00596D58"/>
    <w:rsid w:val="00596F0E"/>
    <w:rsid w:val="00597E7F"/>
    <w:rsid w:val="005A00D6"/>
    <w:rsid w:val="005A0290"/>
    <w:rsid w:val="005A0EF3"/>
    <w:rsid w:val="005A11B9"/>
    <w:rsid w:val="005A1C03"/>
    <w:rsid w:val="005A1F78"/>
    <w:rsid w:val="005A227A"/>
    <w:rsid w:val="005A23E2"/>
    <w:rsid w:val="005A2A5B"/>
    <w:rsid w:val="005A301B"/>
    <w:rsid w:val="005A3204"/>
    <w:rsid w:val="005A37DA"/>
    <w:rsid w:val="005A3BB1"/>
    <w:rsid w:val="005A4847"/>
    <w:rsid w:val="005A4C7C"/>
    <w:rsid w:val="005A553E"/>
    <w:rsid w:val="005A6F9E"/>
    <w:rsid w:val="005B04F1"/>
    <w:rsid w:val="005B0713"/>
    <w:rsid w:val="005B13A1"/>
    <w:rsid w:val="005B1E48"/>
    <w:rsid w:val="005B26B5"/>
    <w:rsid w:val="005B2E46"/>
    <w:rsid w:val="005B3070"/>
    <w:rsid w:val="005B3277"/>
    <w:rsid w:val="005B3588"/>
    <w:rsid w:val="005B53EB"/>
    <w:rsid w:val="005B617F"/>
    <w:rsid w:val="005B61FA"/>
    <w:rsid w:val="005B709F"/>
    <w:rsid w:val="005B785A"/>
    <w:rsid w:val="005C006D"/>
    <w:rsid w:val="005C11BF"/>
    <w:rsid w:val="005C20DA"/>
    <w:rsid w:val="005C3275"/>
    <w:rsid w:val="005C428E"/>
    <w:rsid w:val="005C4BC3"/>
    <w:rsid w:val="005C4C0D"/>
    <w:rsid w:val="005C4D02"/>
    <w:rsid w:val="005C4E92"/>
    <w:rsid w:val="005C52C6"/>
    <w:rsid w:val="005C5976"/>
    <w:rsid w:val="005C72F1"/>
    <w:rsid w:val="005D1B9B"/>
    <w:rsid w:val="005D286D"/>
    <w:rsid w:val="005D3386"/>
    <w:rsid w:val="005D35E0"/>
    <w:rsid w:val="005D3ACE"/>
    <w:rsid w:val="005D3C0F"/>
    <w:rsid w:val="005D449B"/>
    <w:rsid w:val="005D463A"/>
    <w:rsid w:val="005D5086"/>
    <w:rsid w:val="005D5261"/>
    <w:rsid w:val="005D580E"/>
    <w:rsid w:val="005D61DF"/>
    <w:rsid w:val="005D6533"/>
    <w:rsid w:val="005D7939"/>
    <w:rsid w:val="005E116B"/>
    <w:rsid w:val="005E27E8"/>
    <w:rsid w:val="005E2B7B"/>
    <w:rsid w:val="005E2C31"/>
    <w:rsid w:val="005E2FD0"/>
    <w:rsid w:val="005E3AA9"/>
    <w:rsid w:val="005E49FF"/>
    <w:rsid w:val="005E4B3B"/>
    <w:rsid w:val="005E558A"/>
    <w:rsid w:val="005E6759"/>
    <w:rsid w:val="005E6BE3"/>
    <w:rsid w:val="005E6E1B"/>
    <w:rsid w:val="005E6FDA"/>
    <w:rsid w:val="005E786B"/>
    <w:rsid w:val="005F1008"/>
    <w:rsid w:val="005F1C2D"/>
    <w:rsid w:val="005F221A"/>
    <w:rsid w:val="005F3D5B"/>
    <w:rsid w:val="005F3E30"/>
    <w:rsid w:val="005F4307"/>
    <w:rsid w:val="005F4D30"/>
    <w:rsid w:val="005F52B4"/>
    <w:rsid w:val="005F5310"/>
    <w:rsid w:val="005F5B92"/>
    <w:rsid w:val="005F60FD"/>
    <w:rsid w:val="005F6657"/>
    <w:rsid w:val="006000F1"/>
    <w:rsid w:val="006011EF"/>
    <w:rsid w:val="00601B37"/>
    <w:rsid w:val="00602F97"/>
    <w:rsid w:val="0060301E"/>
    <w:rsid w:val="00604621"/>
    <w:rsid w:val="00604914"/>
    <w:rsid w:val="00604B95"/>
    <w:rsid w:val="00606740"/>
    <w:rsid w:val="00606857"/>
    <w:rsid w:val="00606D9F"/>
    <w:rsid w:val="006102AB"/>
    <w:rsid w:val="00610B90"/>
    <w:rsid w:val="00610E99"/>
    <w:rsid w:val="0061112A"/>
    <w:rsid w:val="00612591"/>
    <w:rsid w:val="00613471"/>
    <w:rsid w:val="00613919"/>
    <w:rsid w:val="00614284"/>
    <w:rsid w:val="006148E5"/>
    <w:rsid w:val="00614B9D"/>
    <w:rsid w:val="006150FB"/>
    <w:rsid w:val="00615565"/>
    <w:rsid w:val="006155EF"/>
    <w:rsid w:val="006159D4"/>
    <w:rsid w:val="00616358"/>
    <w:rsid w:val="00617252"/>
    <w:rsid w:val="006172E1"/>
    <w:rsid w:val="00617433"/>
    <w:rsid w:val="006202CE"/>
    <w:rsid w:val="00620C0B"/>
    <w:rsid w:val="00621A3A"/>
    <w:rsid w:val="006227A2"/>
    <w:rsid w:val="006238F2"/>
    <w:rsid w:val="006249A8"/>
    <w:rsid w:val="006250FB"/>
    <w:rsid w:val="00625C24"/>
    <w:rsid w:val="006262F6"/>
    <w:rsid w:val="006265DB"/>
    <w:rsid w:val="00627226"/>
    <w:rsid w:val="00627574"/>
    <w:rsid w:val="006279B8"/>
    <w:rsid w:val="006300AB"/>
    <w:rsid w:val="006303A1"/>
    <w:rsid w:val="006309E1"/>
    <w:rsid w:val="00631138"/>
    <w:rsid w:val="0063310F"/>
    <w:rsid w:val="0063375D"/>
    <w:rsid w:val="00633B7A"/>
    <w:rsid w:val="00633E0A"/>
    <w:rsid w:val="0063418A"/>
    <w:rsid w:val="006344AA"/>
    <w:rsid w:val="00634B93"/>
    <w:rsid w:val="0063578E"/>
    <w:rsid w:val="00635BD5"/>
    <w:rsid w:val="00636401"/>
    <w:rsid w:val="00636B5F"/>
    <w:rsid w:val="00637871"/>
    <w:rsid w:val="00637BD6"/>
    <w:rsid w:val="00640884"/>
    <w:rsid w:val="006444C3"/>
    <w:rsid w:val="00644E6C"/>
    <w:rsid w:val="00645BC4"/>
    <w:rsid w:val="00646A29"/>
    <w:rsid w:val="006502C2"/>
    <w:rsid w:val="006507C3"/>
    <w:rsid w:val="00650FE4"/>
    <w:rsid w:val="006511AD"/>
    <w:rsid w:val="00653371"/>
    <w:rsid w:val="00654304"/>
    <w:rsid w:val="00654702"/>
    <w:rsid w:val="00656C13"/>
    <w:rsid w:val="0065701A"/>
    <w:rsid w:val="00660309"/>
    <w:rsid w:val="00660A13"/>
    <w:rsid w:val="00661F4D"/>
    <w:rsid w:val="0066446A"/>
    <w:rsid w:val="00664997"/>
    <w:rsid w:val="006669A1"/>
    <w:rsid w:val="00666A4B"/>
    <w:rsid w:val="0066780E"/>
    <w:rsid w:val="006716B8"/>
    <w:rsid w:val="00671874"/>
    <w:rsid w:val="00673CBA"/>
    <w:rsid w:val="006754FC"/>
    <w:rsid w:val="006773D0"/>
    <w:rsid w:val="00677F77"/>
    <w:rsid w:val="00680C64"/>
    <w:rsid w:val="00680DBC"/>
    <w:rsid w:val="006813F4"/>
    <w:rsid w:val="00681BBC"/>
    <w:rsid w:val="00683373"/>
    <w:rsid w:val="0068395D"/>
    <w:rsid w:val="0068412F"/>
    <w:rsid w:val="006861C5"/>
    <w:rsid w:val="00686CF2"/>
    <w:rsid w:val="00691531"/>
    <w:rsid w:val="00691765"/>
    <w:rsid w:val="00691F94"/>
    <w:rsid w:val="0069217F"/>
    <w:rsid w:val="00693264"/>
    <w:rsid w:val="0069381A"/>
    <w:rsid w:val="006941B9"/>
    <w:rsid w:val="00694BDC"/>
    <w:rsid w:val="006964F9"/>
    <w:rsid w:val="00696F16"/>
    <w:rsid w:val="006979C1"/>
    <w:rsid w:val="00697F6E"/>
    <w:rsid w:val="00697FA0"/>
    <w:rsid w:val="00697FC9"/>
    <w:rsid w:val="006A02EA"/>
    <w:rsid w:val="006A0304"/>
    <w:rsid w:val="006A07A0"/>
    <w:rsid w:val="006A18FA"/>
    <w:rsid w:val="006A1CC8"/>
    <w:rsid w:val="006A2F56"/>
    <w:rsid w:val="006A3A8A"/>
    <w:rsid w:val="006A4B2C"/>
    <w:rsid w:val="006B100C"/>
    <w:rsid w:val="006B16EE"/>
    <w:rsid w:val="006B34A5"/>
    <w:rsid w:val="006B448A"/>
    <w:rsid w:val="006B4F0C"/>
    <w:rsid w:val="006B50B8"/>
    <w:rsid w:val="006C117E"/>
    <w:rsid w:val="006C16F5"/>
    <w:rsid w:val="006C1C52"/>
    <w:rsid w:val="006C2C3B"/>
    <w:rsid w:val="006C2E13"/>
    <w:rsid w:val="006C3BE9"/>
    <w:rsid w:val="006C48D3"/>
    <w:rsid w:val="006C546D"/>
    <w:rsid w:val="006C74E7"/>
    <w:rsid w:val="006D224C"/>
    <w:rsid w:val="006D25DC"/>
    <w:rsid w:val="006D2C1E"/>
    <w:rsid w:val="006D30F4"/>
    <w:rsid w:val="006D50FD"/>
    <w:rsid w:val="006D5211"/>
    <w:rsid w:val="006D6EE6"/>
    <w:rsid w:val="006E11E2"/>
    <w:rsid w:val="006E1ECE"/>
    <w:rsid w:val="006E6E9B"/>
    <w:rsid w:val="006E7BEF"/>
    <w:rsid w:val="006F12AE"/>
    <w:rsid w:val="006F3FA7"/>
    <w:rsid w:val="006F4C37"/>
    <w:rsid w:val="006F587B"/>
    <w:rsid w:val="006F71BA"/>
    <w:rsid w:val="00700C3A"/>
    <w:rsid w:val="00700EE5"/>
    <w:rsid w:val="007023C2"/>
    <w:rsid w:val="007030A7"/>
    <w:rsid w:val="00703EA9"/>
    <w:rsid w:val="0070409E"/>
    <w:rsid w:val="00704323"/>
    <w:rsid w:val="0070435D"/>
    <w:rsid w:val="00705182"/>
    <w:rsid w:val="00706252"/>
    <w:rsid w:val="00706BE2"/>
    <w:rsid w:val="00710A79"/>
    <w:rsid w:val="0071282C"/>
    <w:rsid w:val="00713086"/>
    <w:rsid w:val="007130D4"/>
    <w:rsid w:val="0071342E"/>
    <w:rsid w:val="00713532"/>
    <w:rsid w:val="00713775"/>
    <w:rsid w:val="007148FF"/>
    <w:rsid w:val="00715430"/>
    <w:rsid w:val="00715EEF"/>
    <w:rsid w:val="00715F0A"/>
    <w:rsid w:val="00717B3D"/>
    <w:rsid w:val="00717D86"/>
    <w:rsid w:val="00717E4F"/>
    <w:rsid w:val="00720261"/>
    <w:rsid w:val="00720757"/>
    <w:rsid w:val="007208D4"/>
    <w:rsid w:val="007209EF"/>
    <w:rsid w:val="0072211A"/>
    <w:rsid w:val="00723869"/>
    <w:rsid w:val="00725292"/>
    <w:rsid w:val="0072540F"/>
    <w:rsid w:val="00725F28"/>
    <w:rsid w:val="00727E17"/>
    <w:rsid w:val="0073069F"/>
    <w:rsid w:val="0073201C"/>
    <w:rsid w:val="0073210A"/>
    <w:rsid w:val="00732C27"/>
    <w:rsid w:val="007339A3"/>
    <w:rsid w:val="00734027"/>
    <w:rsid w:val="00734727"/>
    <w:rsid w:val="007350E2"/>
    <w:rsid w:val="0073533B"/>
    <w:rsid w:val="00735352"/>
    <w:rsid w:val="007354E2"/>
    <w:rsid w:val="00736D45"/>
    <w:rsid w:val="00741602"/>
    <w:rsid w:val="00741D14"/>
    <w:rsid w:val="0074242C"/>
    <w:rsid w:val="00742832"/>
    <w:rsid w:val="00742A06"/>
    <w:rsid w:val="007435CB"/>
    <w:rsid w:val="00743654"/>
    <w:rsid w:val="00743C54"/>
    <w:rsid w:val="00744762"/>
    <w:rsid w:val="0074544E"/>
    <w:rsid w:val="0074547F"/>
    <w:rsid w:val="0074559E"/>
    <w:rsid w:val="007458B4"/>
    <w:rsid w:val="00745B07"/>
    <w:rsid w:val="0074669B"/>
    <w:rsid w:val="00747CE7"/>
    <w:rsid w:val="00751076"/>
    <w:rsid w:val="007519E6"/>
    <w:rsid w:val="00752826"/>
    <w:rsid w:val="00752AF3"/>
    <w:rsid w:val="007549BE"/>
    <w:rsid w:val="007567EB"/>
    <w:rsid w:val="00756A74"/>
    <w:rsid w:val="00761577"/>
    <w:rsid w:val="007634B2"/>
    <w:rsid w:val="00764D6A"/>
    <w:rsid w:val="00765075"/>
    <w:rsid w:val="00765220"/>
    <w:rsid w:val="00765430"/>
    <w:rsid w:val="0076560F"/>
    <w:rsid w:val="00766115"/>
    <w:rsid w:val="00766EC6"/>
    <w:rsid w:val="0077011A"/>
    <w:rsid w:val="007701E9"/>
    <w:rsid w:val="0077145C"/>
    <w:rsid w:val="0077185B"/>
    <w:rsid w:val="007720E8"/>
    <w:rsid w:val="00773949"/>
    <w:rsid w:val="00773E30"/>
    <w:rsid w:val="007751B7"/>
    <w:rsid w:val="00776166"/>
    <w:rsid w:val="00776657"/>
    <w:rsid w:val="007769C3"/>
    <w:rsid w:val="00777F82"/>
    <w:rsid w:val="007816C0"/>
    <w:rsid w:val="00782922"/>
    <w:rsid w:val="00782FC7"/>
    <w:rsid w:val="0078377F"/>
    <w:rsid w:val="00783AC0"/>
    <w:rsid w:val="00784947"/>
    <w:rsid w:val="00784DFB"/>
    <w:rsid w:val="007853CD"/>
    <w:rsid w:val="0078603E"/>
    <w:rsid w:val="007861F6"/>
    <w:rsid w:val="0078671C"/>
    <w:rsid w:val="0078732D"/>
    <w:rsid w:val="00787BC4"/>
    <w:rsid w:val="00790A2A"/>
    <w:rsid w:val="0079116E"/>
    <w:rsid w:val="00791B10"/>
    <w:rsid w:val="00791CE9"/>
    <w:rsid w:val="0079311B"/>
    <w:rsid w:val="00793EFC"/>
    <w:rsid w:val="00794E9D"/>
    <w:rsid w:val="007955B3"/>
    <w:rsid w:val="007968A6"/>
    <w:rsid w:val="00797A16"/>
    <w:rsid w:val="007A0D6A"/>
    <w:rsid w:val="007A2D1D"/>
    <w:rsid w:val="007A330E"/>
    <w:rsid w:val="007A3452"/>
    <w:rsid w:val="007A4CD2"/>
    <w:rsid w:val="007A5313"/>
    <w:rsid w:val="007A5DFB"/>
    <w:rsid w:val="007A6A6D"/>
    <w:rsid w:val="007A6F96"/>
    <w:rsid w:val="007A7CB2"/>
    <w:rsid w:val="007B05BD"/>
    <w:rsid w:val="007B1311"/>
    <w:rsid w:val="007B1747"/>
    <w:rsid w:val="007B3207"/>
    <w:rsid w:val="007B4AC6"/>
    <w:rsid w:val="007B4AE6"/>
    <w:rsid w:val="007B5442"/>
    <w:rsid w:val="007B6733"/>
    <w:rsid w:val="007B7A18"/>
    <w:rsid w:val="007B7C2A"/>
    <w:rsid w:val="007B7EF7"/>
    <w:rsid w:val="007C1D2D"/>
    <w:rsid w:val="007C30C3"/>
    <w:rsid w:val="007C4DAB"/>
    <w:rsid w:val="007C4E7D"/>
    <w:rsid w:val="007C67F7"/>
    <w:rsid w:val="007C6E6A"/>
    <w:rsid w:val="007C78F5"/>
    <w:rsid w:val="007D0F66"/>
    <w:rsid w:val="007D11F3"/>
    <w:rsid w:val="007D1323"/>
    <w:rsid w:val="007D166E"/>
    <w:rsid w:val="007D169B"/>
    <w:rsid w:val="007D248B"/>
    <w:rsid w:val="007D2B17"/>
    <w:rsid w:val="007D2E5F"/>
    <w:rsid w:val="007D2E77"/>
    <w:rsid w:val="007D3CA0"/>
    <w:rsid w:val="007D431B"/>
    <w:rsid w:val="007D4456"/>
    <w:rsid w:val="007D4F51"/>
    <w:rsid w:val="007D5570"/>
    <w:rsid w:val="007D5778"/>
    <w:rsid w:val="007D76F3"/>
    <w:rsid w:val="007E0FC5"/>
    <w:rsid w:val="007E0FE0"/>
    <w:rsid w:val="007E1559"/>
    <w:rsid w:val="007E1EA8"/>
    <w:rsid w:val="007E2402"/>
    <w:rsid w:val="007E2819"/>
    <w:rsid w:val="007E2861"/>
    <w:rsid w:val="007E3041"/>
    <w:rsid w:val="007E3A08"/>
    <w:rsid w:val="007E3C6C"/>
    <w:rsid w:val="007E4A24"/>
    <w:rsid w:val="007E4E14"/>
    <w:rsid w:val="007E56C0"/>
    <w:rsid w:val="007E5C7E"/>
    <w:rsid w:val="007E6064"/>
    <w:rsid w:val="007E624B"/>
    <w:rsid w:val="007E632F"/>
    <w:rsid w:val="007E6C56"/>
    <w:rsid w:val="007E775B"/>
    <w:rsid w:val="007E7DE0"/>
    <w:rsid w:val="007F07F8"/>
    <w:rsid w:val="007F144E"/>
    <w:rsid w:val="007F1F1F"/>
    <w:rsid w:val="007F2459"/>
    <w:rsid w:val="007F3741"/>
    <w:rsid w:val="007F3CF5"/>
    <w:rsid w:val="007F5D42"/>
    <w:rsid w:val="008001DD"/>
    <w:rsid w:val="008012E7"/>
    <w:rsid w:val="008014C2"/>
    <w:rsid w:val="008024CC"/>
    <w:rsid w:val="00802A21"/>
    <w:rsid w:val="00802AC2"/>
    <w:rsid w:val="00803DE1"/>
    <w:rsid w:val="00803F9C"/>
    <w:rsid w:val="00806B9C"/>
    <w:rsid w:val="00810B9E"/>
    <w:rsid w:val="008123D5"/>
    <w:rsid w:val="00812BBE"/>
    <w:rsid w:val="008138A1"/>
    <w:rsid w:val="00813E8B"/>
    <w:rsid w:val="0081445B"/>
    <w:rsid w:val="008144DE"/>
    <w:rsid w:val="00822265"/>
    <w:rsid w:val="00822725"/>
    <w:rsid w:val="00822901"/>
    <w:rsid w:val="00822F10"/>
    <w:rsid w:val="0082387B"/>
    <w:rsid w:val="00825009"/>
    <w:rsid w:val="008262B9"/>
    <w:rsid w:val="0082642C"/>
    <w:rsid w:val="00827672"/>
    <w:rsid w:val="008301F6"/>
    <w:rsid w:val="00831278"/>
    <w:rsid w:val="00832B73"/>
    <w:rsid w:val="00833A77"/>
    <w:rsid w:val="00834B89"/>
    <w:rsid w:val="0083535F"/>
    <w:rsid w:val="008356E6"/>
    <w:rsid w:val="00835D08"/>
    <w:rsid w:val="008361F4"/>
    <w:rsid w:val="00837D34"/>
    <w:rsid w:val="00840E6F"/>
    <w:rsid w:val="0084240B"/>
    <w:rsid w:val="00844BC0"/>
    <w:rsid w:val="00844DBF"/>
    <w:rsid w:val="0084569B"/>
    <w:rsid w:val="008457DB"/>
    <w:rsid w:val="00845CC9"/>
    <w:rsid w:val="00845D23"/>
    <w:rsid w:val="00845F80"/>
    <w:rsid w:val="008472D3"/>
    <w:rsid w:val="00850E50"/>
    <w:rsid w:val="00853CF0"/>
    <w:rsid w:val="00854ED8"/>
    <w:rsid w:val="00855DE1"/>
    <w:rsid w:val="0085692A"/>
    <w:rsid w:val="008601A7"/>
    <w:rsid w:val="00860625"/>
    <w:rsid w:val="008608D4"/>
    <w:rsid w:val="00860F2D"/>
    <w:rsid w:val="00861961"/>
    <w:rsid w:val="00862106"/>
    <w:rsid w:val="00862FD3"/>
    <w:rsid w:val="008633DC"/>
    <w:rsid w:val="008645FE"/>
    <w:rsid w:val="00864CE8"/>
    <w:rsid w:val="00865E31"/>
    <w:rsid w:val="00866B6B"/>
    <w:rsid w:val="00867736"/>
    <w:rsid w:val="008718CD"/>
    <w:rsid w:val="0087219B"/>
    <w:rsid w:val="00872219"/>
    <w:rsid w:val="008749E8"/>
    <w:rsid w:val="00875F62"/>
    <w:rsid w:val="00876518"/>
    <w:rsid w:val="00876545"/>
    <w:rsid w:val="00880717"/>
    <w:rsid w:val="008818E7"/>
    <w:rsid w:val="00882A98"/>
    <w:rsid w:val="00882B82"/>
    <w:rsid w:val="008848F8"/>
    <w:rsid w:val="00885751"/>
    <w:rsid w:val="008869E5"/>
    <w:rsid w:val="00886B57"/>
    <w:rsid w:val="00886C85"/>
    <w:rsid w:val="008904D1"/>
    <w:rsid w:val="0089105B"/>
    <w:rsid w:val="00891620"/>
    <w:rsid w:val="00891B7A"/>
    <w:rsid w:val="00893920"/>
    <w:rsid w:val="0089399E"/>
    <w:rsid w:val="00893E6D"/>
    <w:rsid w:val="00894078"/>
    <w:rsid w:val="00894D08"/>
    <w:rsid w:val="00894E31"/>
    <w:rsid w:val="00895584"/>
    <w:rsid w:val="0089635B"/>
    <w:rsid w:val="00897F21"/>
    <w:rsid w:val="008A080F"/>
    <w:rsid w:val="008A19FB"/>
    <w:rsid w:val="008A2478"/>
    <w:rsid w:val="008A3974"/>
    <w:rsid w:val="008A4642"/>
    <w:rsid w:val="008A52AB"/>
    <w:rsid w:val="008A5F1F"/>
    <w:rsid w:val="008A6774"/>
    <w:rsid w:val="008A704D"/>
    <w:rsid w:val="008A71FB"/>
    <w:rsid w:val="008A750C"/>
    <w:rsid w:val="008B1082"/>
    <w:rsid w:val="008B1462"/>
    <w:rsid w:val="008B1DF7"/>
    <w:rsid w:val="008B2645"/>
    <w:rsid w:val="008B27B5"/>
    <w:rsid w:val="008B2CD2"/>
    <w:rsid w:val="008B36FF"/>
    <w:rsid w:val="008B4688"/>
    <w:rsid w:val="008B5F1E"/>
    <w:rsid w:val="008B67F8"/>
    <w:rsid w:val="008B6A83"/>
    <w:rsid w:val="008B7335"/>
    <w:rsid w:val="008B7EE2"/>
    <w:rsid w:val="008C119D"/>
    <w:rsid w:val="008C16F5"/>
    <w:rsid w:val="008C1919"/>
    <w:rsid w:val="008C2689"/>
    <w:rsid w:val="008C29C0"/>
    <w:rsid w:val="008C32FB"/>
    <w:rsid w:val="008C4C08"/>
    <w:rsid w:val="008C56BC"/>
    <w:rsid w:val="008C71EB"/>
    <w:rsid w:val="008D02B7"/>
    <w:rsid w:val="008D050F"/>
    <w:rsid w:val="008D13E0"/>
    <w:rsid w:val="008D2202"/>
    <w:rsid w:val="008D23F4"/>
    <w:rsid w:val="008D2459"/>
    <w:rsid w:val="008D2EB1"/>
    <w:rsid w:val="008D2F74"/>
    <w:rsid w:val="008D36B3"/>
    <w:rsid w:val="008D3A0E"/>
    <w:rsid w:val="008D3EF8"/>
    <w:rsid w:val="008D4DB1"/>
    <w:rsid w:val="008D5D82"/>
    <w:rsid w:val="008E0926"/>
    <w:rsid w:val="008E1704"/>
    <w:rsid w:val="008E26DD"/>
    <w:rsid w:val="008E2B63"/>
    <w:rsid w:val="008E2CA9"/>
    <w:rsid w:val="008E31BC"/>
    <w:rsid w:val="008E33ED"/>
    <w:rsid w:val="008E34D3"/>
    <w:rsid w:val="008E3816"/>
    <w:rsid w:val="008E3894"/>
    <w:rsid w:val="008E3A8B"/>
    <w:rsid w:val="008E4123"/>
    <w:rsid w:val="008E4457"/>
    <w:rsid w:val="008E5116"/>
    <w:rsid w:val="008E5EB5"/>
    <w:rsid w:val="008E5F22"/>
    <w:rsid w:val="008E7DA0"/>
    <w:rsid w:val="008E7E5C"/>
    <w:rsid w:val="008F035D"/>
    <w:rsid w:val="008F05AA"/>
    <w:rsid w:val="008F09C7"/>
    <w:rsid w:val="008F0F23"/>
    <w:rsid w:val="008F15A5"/>
    <w:rsid w:val="008F262A"/>
    <w:rsid w:val="008F2FD4"/>
    <w:rsid w:val="008F3409"/>
    <w:rsid w:val="008F4515"/>
    <w:rsid w:val="008F46CE"/>
    <w:rsid w:val="008F5A2A"/>
    <w:rsid w:val="008F5C32"/>
    <w:rsid w:val="008F606F"/>
    <w:rsid w:val="008F71E0"/>
    <w:rsid w:val="008F7BEA"/>
    <w:rsid w:val="0090022D"/>
    <w:rsid w:val="00901581"/>
    <w:rsid w:val="00901FFA"/>
    <w:rsid w:val="009020BE"/>
    <w:rsid w:val="009021F5"/>
    <w:rsid w:val="0090261D"/>
    <w:rsid w:val="0090286A"/>
    <w:rsid w:val="00902A5E"/>
    <w:rsid w:val="009040D9"/>
    <w:rsid w:val="00904515"/>
    <w:rsid w:val="00904C9F"/>
    <w:rsid w:val="00907465"/>
    <w:rsid w:val="00907738"/>
    <w:rsid w:val="00910A5B"/>
    <w:rsid w:val="00910E29"/>
    <w:rsid w:val="00912CCD"/>
    <w:rsid w:val="00912CF9"/>
    <w:rsid w:val="009134AB"/>
    <w:rsid w:val="00913E8A"/>
    <w:rsid w:val="00914752"/>
    <w:rsid w:val="009148AF"/>
    <w:rsid w:val="00914A9B"/>
    <w:rsid w:val="00915E79"/>
    <w:rsid w:val="009162B0"/>
    <w:rsid w:val="009169A1"/>
    <w:rsid w:val="0092031A"/>
    <w:rsid w:val="0092043D"/>
    <w:rsid w:val="00921709"/>
    <w:rsid w:val="0092455A"/>
    <w:rsid w:val="009265C9"/>
    <w:rsid w:val="0092692C"/>
    <w:rsid w:val="00930035"/>
    <w:rsid w:val="00930C54"/>
    <w:rsid w:val="0093187D"/>
    <w:rsid w:val="00931F23"/>
    <w:rsid w:val="00932218"/>
    <w:rsid w:val="00932267"/>
    <w:rsid w:val="00936624"/>
    <w:rsid w:val="009370CF"/>
    <w:rsid w:val="009374D5"/>
    <w:rsid w:val="00937792"/>
    <w:rsid w:val="00937D9A"/>
    <w:rsid w:val="00941201"/>
    <w:rsid w:val="00942BBD"/>
    <w:rsid w:val="009431AD"/>
    <w:rsid w:val="00943E78"/>
    <w:rsid w:val="00945B2C"/>
    <w:rsid w:val="00946B67"/>
    <w:rsid w:val="0094702F"/>
    <w:rsid w:val="00947442"/>
    <w:rsid w:val="00947A2D"/>
    <w:rsid w:val="009509EC"/>
    <w:rsid w:val="00950C54"/>
    <w:rsid w:val="0095151B"/>
    <w:rsid w:val="00951592"/>
    <w:rsid w:val="0095275B"/>
    <w:rsid w:val="00952BB3"/>
    <w:rsid w:val="00953D8F"/>
    <w:rsid w:val="00953EB2"/>
    <w:rsid w:val="00954786"/>
    <w:rsid w:val="00954854"/>
    <w:rsid w:val="00955270"/>
    <w:rsid w:val="009555D9"/>
    <w:rsid w:val="00960CBC"/>
    <w:rsid w:val="0096153C"/>
    <w:rsid w:val="0096174D"/>
    <w:rsid w:val="009619EB"/>
    <w:rsid w:val="00962461"/>
    <w:rsid w:val="00962AF6"/>
    <w:rsid w:val="009631D1"/>
    <w:rsid w:val="00963677"/>
    <w:rsid w:val="00963B01"/>
    <w:rsid w:val="0096401F"/>
    <w:rsid w:val="00964139"/>
    <w:rsid w:val="00965AE3"/>
    <w:rsid w:val="00966B34"/>
    <w:rsid w:val="00966FF3"/>
    <w:rsid w:val="00970002"/>
    <w:rsid w:val="00970477"/>
    <w:rsid w:val="0097180A"/>
    <w:rsid w:val="0097247E"/>
    <w:rsid w:val="00972FAD"/>
    <w:rsid w:val="00975997"/>
    <w:rsid w:val="00975E73"/>
    <w:rsid w:val="00981467"/>
    <w:rsid w:val="00982685"/>
    <w:rsid w:val="00982CA4"/>
    <w:rsid w:val="009838AB"/>
    <w:rsid w:val="0098673D"/>
    <w:rsid w:val="00987084"/>
    <w:rsid w:val="00987CC5"/>
    <w:rsid w:val="00991817"/>
    <w:rsid w:val="00991B0E"/>
    <w:rsid w:val="00992D85"/>
    <w:rsid w:val="0099359F"/>
    <w:rsid w:val="00993D89"/>
    <w:rsid w:val="00995049"/>
    <w:rsid w:val="00995395"/>
    <w:rsid w:val="00995CC6"/>
    <w:rsid w:val="009961EC"/>
    <w:rsid w:val="009A107A"/>
    <w:rsid w:val="009A1B97"/>
    <w:rsid w:val="009A1C08"/>
    <w:rsid w:val="009A2050"/>
    <w:rsid w:val="009A23F9"/>
    <w:rsid w:val="009A2FAF"/>
    <w:rsid w:val="009A3109"/>
    <w:rsid w:val="009A4CB7"/>
    <w:rsid w:val="009A4F1E"/>
    <w:rsid w:val="009A633A"/>
    <w:rsid w:val="009A726C"/>
    <w:rsid w:val="009A73A6"/>
    <w:rsid w:val="009A7BB1"/>
    <w:rsid w:val="009B19F2"/>
    <w:rsid w:val="009B2AC6"/>
    <w:rsid w:val="009B2C19"/>
    <w:rsid w:val="009B4A75"/>
    <w:rsid w:val="009B52AA"/>
    <w:rsid w:val="009B60E6"/>
    <w:rsid w:val="009C02BD"/>
    <w:rsid w:val="009C0473"/>
    <w:rsid w:val="009C0CBB"/>
    <w:rsid w:val="009C3909"/>
    <w:rsid w:val="009C41FA"/>
    <w:rsid w:val="009C4A30"/>
    <w:rsid w:val="009C5431"/>
    <w:rsid w:val="009C592B"/>
    <w:rsid w:val="009C598C"/>
    <w:rsid w:val="009C6426"/>
    <w:rsid w:val="009C7F08"/>
    <w:rsid w:val="009D00B9"/>
    <w:rsid w:val="009D0F9B"/>
    <w:rsid w:val="009D1C3A"/>
    <w:rsid w:val="009D51F6"/>
    <w:rsid w:val="009D554A"/>
    <w:rsid w:val="009D602D"/>
    <w:rsid w:val="009D753D"/>
    <w:rsid w:val="009D78AF"/>
    <w:rsid w:val="009D7F61"/>
    <w:rsid w:val="009E0011"/>
    <w:rsid w:val="009E0541"/>
    <w:rsid w:val="009E0C31"/>
    <w:rsid w:val="009E1461"/>
    <w:rsid w:val="009E1669"/>
    <w:rsid w:val="009E1AC0"/>
    <w:rsid w:val="009E227C"/>
    <w:rsid w:val="009E26C1"/>
    <w:rsid w:val="009E3018"/>
    <w:rsid w:val="009E301E"/>
    <w:rsid w:val="009E38E6"/>
    <w:rsid w:val="009E45B7"/>
    <w:rsid w:val="009E4E14"/>
    <w:rsid w:val="009E4E56"/>
    <w:rsid w:val="009E5309"/>
    <w:rsid w:val="009E6C02"/>
    <w:rsid w:val="009E6EFA"/>
    <w:rsid w:val="009F13F9"/>
    <w:rsid w:val="009F29BA"/>
    <w:rsid w:val="009F32D9"/>
    <w:rsid w:val="009F4CFB"/>
    <w:rsid w:val="009F5F43"/>
    <w:rsid w:val="009F68BF"/>
    <w:rsid w:val="009F6D32"/>
    <w:rsid w:val="00A00604"/>
    <w:rsid w:val="00A007E2"/>
    <w:rsid w:val="00A009D1"/>
    <w:rsid w:val="00A01B32"/>
    <w:rsid w:val="00A01CEC"/>
    <w:rsid w:val="00A02C0E"/>
    <w:rsid w:val="00A035FF"/>
    <w:rsid w:val="00A05BA6"/>
    <w:rsid w:val="00A071CD"/>
    <w:rsid w:val="00A10AA2"/>
    <w:rsid w:val="00A11BCD"/>
    <w:rsid w:val="00A11CAC"/>
    <w:rsid w:val="00A11F4E"/>
    <w:rsid w:val="00A12067"/>
    <w:rsid w:val="00A17156"/>
    <w:rsid w:val="00A21A50"/>
    <w:rsid w:val="00A22EFE"/>
    <w:rsid w:val="00A23B55"/>
    <w:rsid w:val="00A245FC"/>
    <w:rsid w:val="00A24707"/>
    <w:rsid w:val="00A25461"/>
    <w:rsid w:val="00A2587E"/>
    <w:rsid w:val="00A25AB2"/>
    <w:rsid w:val="00A267D5"/>
    <w:rsid w:val="00A27915"/>
    <w:rsid w:val="00A27D6B"/>
    <w:rsid w:val="00A32E3D"/>
    <w:rsid w:val="00A33F06"/>
    <w:rsid w:val="00A361C6"/>
    <w:rsid w:val="00A37B8F"/>
    <w:rsid w:val="00A37BE9"/>
    <w:rsid w:val="00A400FC"/>
    <w:rsid w:val="00A404FF"/>
    <w:rsid w:val="00A4077B"/>
    <w:rsid w:val="00A40F10"/>
    <w:rsid w:val="00A40FAD"/>
    <w:rsid w:val="00A42506"/>
    <w:rsid w:val="00A42DC7"/>
    <w:rsid w:val="00A430D1"/>
    <w:rsid w:val="00A43232"/>
    <w:rsid w:val="00A43F89"/>
    <w:rsid w:val="00A44869"/>
    <w:rsid w:val="00A454C6"/>
    <w:rsid w:val="00A4586E"/>
    <w:rsid w:val="00A45E3A"/>
    <w:rsid w:val="00A47C2E"/>
    <w:rsid w:val="00A504E9"/>
    <w:rsid w:val="00A510C6"/>
    <w:rsid w:val="00A526C7"/>
    <w:rsid w:val="00A527B7"/>
    <w:rsid w:val="00A53935"/>
    <w:rsid w:val="00A539B9"/>
    <w:rsid w:val="00A545D3"/>
    <w:rsid w:val="00A545E0"/>
    <w:rsid w:val="00A549FA"/>
    <w:rsid w:val="00A54D3E"/>
    <w:rsid w:val="00A5521A"/>
    <w:rsid w:val="00A55EE2"/>
    <w:rsid w:val="00A5647B"/>
    <w:rsid w:val="00A56B82"/>
    <w:rsid w:val="00A56E56"/>
    <w:rsid w:val="00A57469"/>
    <w:rsid w:val="00A574AB"/>
    <w:rsid w:val="00A5756F"/>
    <w:rsid w:val="00A61217"/>
    <w:rsid w:val="00A61DF7"/>
    <w:rsid w:val="00A62FAA"/>
    <w:rsid w:val="00A63324"/>
    <w:rsid w:val="00A655F9"/>
    <w:rsid w:val="00A66EF1"/>
    <w:rsid w:val="00A67B4C"/>
    <w:rsid w:val="00A7135C"/>
    <w:rsid w:val="00A7254C"/>
    <w:rsid w:val="00A72C69"/>
    <w:rsid w:val="00A73E16"/>
    <w:rsid w:val="00A743AC"/>
    <w:rsid w:val="00A746E8"/>
    <w:rsid w:val="00A76272"/>
    <w:rsid w:val="00A764DD"/>
    <w:rsid w:val="00A765E6"/>
    <w:rsid w:val="00A76E53"/>
    <w:rsid w:val="00A7780A"/>
    <w:rsid w:val="00A8044E"/>
    <w:rsid w:val="00A81768"/>
    <w:rsid w:val="00A82B3C"/>
    <w:rsid w:val="00A85083"/>
    <w:rsid w:val="00A85488"/>
    <w:rsid w:val="00A857D9"/>
    <w:rsid w:val="00A85D2D"/>
    <w:rsid w:val="00A864E1"/>
    <w:rsid w:val="00A8735B"/>
    <w:rsid w:val="00A912C0"/>
    <w:rsid w:val="00A92C19"/>
    <w:rsid w:val="00A93EB9"/>
    <w:rsid w:val="00A942D1"/>
    <w:rsid w:val="00A957BB"/>
    <w:rsid w:val="00A958D6"/>
    <w:rsid w:val="00A965FD"/>
    <w:rsid w:val="00A96689"/>
    <w:rsid w:val="00A977F9"/>
    <w:rsid w:val="00AA013F"/>
    <w:rsid w:val="00AA1AB6"/>
    <w:rsid w:val="00AA1D72"/>
    <w:rsid w:val="00AA4D1E"/>
    <w:rsid w:val="00AA53F8"/>
    <w:rsid w:val="00AA6045"/>
    <w:rsid w:val="00AB1491"/>
    <w:rsid w:val="00AB1F1F"/>
    <w:rsid w:val="00AB4174"/>
    <w:rsid w:val="00AB5400"/>
    <w:rsid w:val="00AB543F"/>
    <w:rsid w:val="00AB5685"/>
    <w:rsid w:val="00AB617D"/>
    <w:rsid w:val="00AB6C60"/>
    <w:rsid w:val="00AC1058"/>
    <w:rsid w:val="00AC1E22"/>
    <w:rsid w:val="00AC22BF"/>
    <w:rsid w:val="00AC2CE2"/>
    <w:rsid w:val="00AC47CD"/>
    <w:rsid w:val="00AC4CEB"/>
    <w:rsid w:val="00AC4E50"/>
    <w:rsid w:val="00AC62E4"/>
    <w:rsid w:val="00AC72C1"/>
    <w:rsid w:val="00AC747F"/>
    <w:rsid w:val="00AC7C64"/>
    <w:rsid w:val="00AD0320"/>
    <w:rsid w:val="00AD0A7C"/>
    <w:rsid w:val="00AD114C"/>
    <w:rsid w:val="00AD1F56"/>
    <w:rsid w:val="00AD21D9"/>
    <w:rsid w:val="00AD2346"/>
    <w:rsid w:val="00AD5339"/>
    <w:rsid w:val="00AD598F"/>
    <w:rsid w:val="00AD6040"/>
    <w:rsid w:val="00AD6C32"/>
    <w:rsid w:val="00AD7475"/>
    <w:rsid w:val="00AD7C48"/>
    <w:rsid w:val="00AE1639"/>
    <w:rsid w:val="00AE2E53"/>
    <w:rsid w:val="00AE2E69"/>
    <w:rsid w:val="00AE4171"/>
    <w:rsid w:val="00AE4D01"/>
    <w:rsid w:val="00AE69D4"/>
    <w:rsid w:val="00AE76A3"/>
    <w:rsid w:val="00AE7DA7"/>
    <w:rsid w:val="00AF01EF"/>
    <w:rsid w:val="00AF0738"/>
    <w:rsid w:val="00AF0799"/>
    <w:rsid w:val="00AF191B"/>
    <w:rsid w:val="00AF1A64"/>
    <w:rsid w:val="00AF1AED"/>
    <w:rsid w:val="00AF1EB7"/>
    <w:rsid w:val="00AF2749"/>
    <w:rsid w:val="00AF2C1E"/>
    <w:rsid w:val="00AF2ED7"/>
    <w:rsid w:val="00AF30A9"/>
    <w:rsid w:val="00AF44B5"/>
    <w:rsid w:val="00AF7FE3"/>
    <w:rsid w:val="00B0062A"/>
    <w:rsid w:val="00B016AD"/>
    <w:rsid w:val="00B020DD"/>
    <w:rsid w:val="00B022EC"/>
    <w:rsid w:val="00B02AA0"/>
    <w:rsid w:val="00B0315E"/>
    <w:rsid w:val="00B03D01"/>
    <w:rsid w:val="00B04352"/>
    <w:rsid w:val="00B053C5"/>
    <w:rsid w:val="00B059C3"/>
    <w:rsid w:val="00B105F1"/>
    <w:rsid w:val="00B11EE2"/>
    <w:rsid w:val="00B1277F"/>
    <w:rsid w:val="00B12A9A"/>
    <w:rsid w:val="00B12DC8"/>
    <w:rsid w:val="00B134C3"/>
    <w:rsid w:val="00B135AF"/>
    <w:rsid w:val="00B13C20"/>
    <w:rsid w:val="00B13DDC"/>
    <w:rsid w:val="00B14E7A"/>
    <w:rsid w:val="00B16234"/>
    <w:rsid w:val="00B20A02"/>
    <w:rsid w:val="00B21153"/>
    <w:rsid w:val="00B219FF"/>
    <w:rsid w:val="00B22DFB"/>
    <w:rsid w:val="00B23659"/>
    <w:rsid w:val="00B24367"/>
    <w:rsid w:val="00B25523"/>
    <w:rsid w:val="00B266A0"/>
    <w:rsid w:val="00B27B17"/>
    <w:rsid w:val="00B27C2A"/>
    <w:rsid w:val="00B311A7"/>
    <w:rsid w:val="00B31A9A"/>
    <w:rsid w:val="00B31AE3"/>
    <w:rsid w:val="00B323AD"/>
    <w:rsid w:val="00B3311C"/>
    <w:rsid w:val="00B3327D"/>
    <w:rsid w:val="00B33671"/>
    <w:rsid w:val="00B34325"/>
    <w:rsid w:val="00B34C2B"/>
    <w:rsid w:val="00B3527C"/>
    <w:rsid w:val="00B3690D"/>
    <w:rsid w:val="00B36A00"/>
    <w:rsid w:val="00B3738B"/>
    <w:rsid w:val="00B37397"/>
    <w:rsid w:val="00B37F2C"/>
    <w:rsid w:val="00B407CD"/>
    <w:rsid w:val="00B40B5B"/>
    <w:rsid w:val="00B40F28"/>
    <w:rsid w:val="00B40FA1"/>
    <w:rsid w:val="00B417A4"/>
    <w:rsid w:val="00B42FF7"/>
    <w:rsid w:val="00B46689"/>
    <w:rsid w:val="00B46B55"/>
    <w:rsid w:val="00B473A1"/>
    <w:rsid w:val="00B47F3E"/>
    <w:rsid w:val="00B514CC"/>
    <w:rsid w:val="00B51AD1"/>
    <w:rsid w:val="00B53190"/>
    <w:rsid w:val="00B53616"/>
    <w:rsid w:val="00B5547D"/>
    <w:rsid w:val="00B55A01"/>
    <w:rsid w:val="00B55B25"/>
    <w:rsid w:val="00B56DB8"/>
    <w:rsid w:val="00B578D5"/>
    <w:rsid w:val="00B60292"/>
    <w:rsid w:val="00B60BF6"/>
    <w:rsid w:val="00B611FA"/>
    <w:rsid w:val="00B61741"/>
    <w:rsid w:val="00B61E17"/>
    <w:rsid w:val="00B63591"/>
    <w:rsid w:val="00B6360B"/>
    <w:rsid w:val="00B644EB"/>
    <w:rsid w:val="00B64F5D"/>
    <w:rsid w:val="00B6540A"/>
    <w:rsid w:val="00B662C8"/>
    <w:rsid w:val="00B674DE"/>
    <w:rsid w:val="00B709F8"/>
    <w:rsid w:val="00B72260"/>
    <w:rsid w:val="00B722EA"/>
    <w:rsid w:val="00B73FD8"/>
    <w:rsid w:val="00B7461C"/>
    <w:rsid w:val="00B75EC2"/>
    <w:rsid w:val="00B761D7"/>
    <w:rsid w:val="00B7656E"/>
    <w:rsid w:val="00B769F7"/>
    <w:rsid w:val="00B76DD2"/>
    <w:rsid w:val="00B7736B"/>
    <w:rsid w:val="00B8270B"/>
    <w:rsid w:val="00B82B6B"/>
    <w:rsid w:val="00B82D90"/>
    <w:rsid w:val="00B834F8"/>
    <w:rsid w:val="00B837CC"/>
    <w:rsid w:val="00B8410A"/>
    <w:rsid w:val="00B84819"/>
    <w:rsid w:val="00B84E48"/>
    <w:rsid w:val="00B873D3"/>
    <w:rsid w:val="00B87702"/>
    <w:rsid w:val="00B8779C"/>
    <w:rsid w:val="00B87887"/>
    <w:rsid w:val="00B900A7"/>
    <w:rsid w:val="00B906BE"/>
    <w:rsid w:val="00B906E6"/>
    <w:rsid w:val="00B9091D"/>
    <w:rsid w:val="00B90A2A"/>
    <w:rsid w:val="00B90C48"/>
    <w:rsid w:val="00B924E1"/>
    <w:rsid w:val="00B92EDD"/>
    <w:rsid w:val="00B93266"/>
    <w:rsid w:val="00B9329C"/>
    <w:rsid w:val="00B94558"/>
    <w:rsid w:val="00B9540D"/>
    <w:rsid w:val="00B96167"/>
    <w:rsid w:val="00B96C5F"/>
    <w:rsid w:val="00B971C0"/>
    <w:rsid w:val="00B97344"/>
    <w:rsid w:val="00B97744"/>
    <w:rsid w:val="00B979DD"/>
    <w:rsid w:val="00B97D65"/>
    <w:rsid w:val="00BA0DC0"/>
    <w:rsid w:val="00BA1D4A"/>
    <w:rsid w:val="00BA21E3"/>
    <w:rsid w:val="00BA2424"/>
    <w:rsid w:val="00BA348F"/>
    <w:rsid w:val="00BA3CDA"/>
    <w:rsid w:val="00BA78ED"/>
    <w:rsid w:val="00BA7954"/>
    <w:rsid w:val="00BB061A"/>
    <w:rsid w:val="00BB09E3"/>
    <w:rsid w:val="00BB134C"/>
    <w:rsid w:val="00BB1637"/>
    <w:rsid w:val="00BB1F9F"/>
    <w:rsid w:val="00BB2B4E"/>
    <w:rsid w:val="00BB4D60"/>
    <w:rsid w:val="00BB4F1C"/>
    <w:rsid w:val="00BB50A8"/>
    <w:rsid w:val="00BB52CF"/>
    <w:rsid w:val="00BB5973"/>
    <w:rsid w:val="00BB5FB6"/>
    <w:rsid w:val="00BB64B9"/>
    <w:rsid w:val="00BB67A5"/>
    <w:rsid w:val="00BB6A18"/>
    <w:rsid w:val="00BB6E66"/>
    <w:rsid w:val="00BC1967"/>
    <w:rsid w:val="00BC29EF"/>
    <w:rsid w:val="00BC3496"/>
    <w:rsid w:val="00BC3722"/>
    <w:rsid w:val="00BC5289"/>
    <w:rsid w:val="00BC5EB7"/>
    <w:rsid w:val="00BC5FF9"/>
    <w:rsid w:val="00BC699F"/>
    <w:rsid w:val="00BC71EF"/>
    <w:rsid w:val="00BC7819"/>
    <w:rsid w:val="00BC7DDD"/>
    <w:rsid w:val="00BC7FE9"/>
    <w:rsid w:val="00BD02AE"/>
    <w:rsid w:val="00BD0A88"/>
    <w:rsid w:val="00BD18A0"/>
    <w:rsid w:val="00BD30DA"/>
    <w:rsid w:val="00BD313A"/>
    <w:rsid w:val="00BD39D1"/>
    <w:rsid w:val="00BD6254"/>
    <w:rsid w:val="00BD62CA"/>
    <w:rsid w:val="00BD7124"/>
    <w:rsid w:val="00BD795A"/>
    <w:rsid w:val="00BE046D"/>
    <w:rsid w:val="00BE0E8B"/>
    <w:rsid w:val="00BE1297"/>
    <w:rsid w:val="00BE17C1"/>
    <w:rsid w:val="00BE1D77"/>
    <w:rsid w:val="00BE2BEF"/>
    <w:rsid w:val="00BE34AE"/>
    <w:rsid w:val="00BE4783"/>
    <w:rsid w:val="00BE615D"/>
    <w:rsid w:val="00BE6620"/>
    <w:rsid w:val="00BE6742"/>
    <w:rsid w:val="00BE67E3"/>
    <w:rsid w:val="00BE6F62"/>
    <w:rsid w:val="00BF0357"/>
    <w:rsid w:val="00BF56D1"/>
    <w:rsid w:val="00BF58E9"/>
    <w:rsid w:val="00BF5B6F"/>
    <w:rsid w:val="00BF637B"/>
    <w:rsid w:val="00BF63A0"/>
    <w:rsid w:val="00BF7365"/>
    <w:rsid w:val="00BF748D"/>
    <w:rsid w:val="00C00416"/>
    <w:rsid w:val="00C00927"/>
    <w:rsid w:val="00C00F2E"/>
    <w:rsid w:val="00C03112"/>
    <w:rsid w:val="00C03866"/>
    <w:rsid w:val="00C03DA0"/>
    <w:rsid w:val="00C03FD7"/>
    <w:rsid w:val="00C05C41"/>
    <w:rsid w:val="00C064A8"/>
    <w:rsid w:val="00C06934"/>
    <w:rsid w:val="00C06D60"/>
    <w:rsid w:val="00C07928"/>
    <w:rsid w:val="00C105F6"/>
    <w:rsid w:val="00C1147E"/>
    <w:rsid w:val="00C12187"/>
    <w:rsid w:val="00C12DC9"/>
    <w:rsid w:val="00C13B3A"/>
    <w:rsid w:val="00C14D74"/>
    <w:rsid w:val="00C15623"/>
    <w:rsid w:val="00C15C27"/>
    <w:rsid w:val="00C15C42"/>
    <w:rsid w:val="00C1638B"/>
    <w:rsid w:val="00C16DCA"/>
    <w:rsid w:val="00C200FD"/>
    <w:rsid w:val="00C20156"/>
    <w:rsid w:val="00C24C4C"/>
    <w:rsid w:val="00C252B8"/>
    <w:rsid w:val="00C25895"/>
    <w:rsid w:val="00C25EDD"/>
    <w:rsid w:val="00C2637A"/>
    <w:rsid w:val="00C27794"/>
    <w:rsid w:val="00C27C2F"/>
    <w:rsid w:val="00C305CE"/>
    <w:rsid w:val="00C31C6F"/>
    <w:rsid w:val="00C31FD5"/>
    <w:rsid w:val="00C32C1F"/>
    <w:rsid w:val="00C334AE"/>
    <w:rsid w:val="00C33F38"/>
    <w:rsid w:val="00C355E8"/>
    <w:rsid w:val="00C357ED"/>
    <w:rsid w:val="00C36041"/>
    <w:rsid w:val="00C362A3"/>
    <w:rsid w:val="00C404D8"/>
    <w:rsid w:val="00C412DB"/>
    <w:rsid w:val="00C414A6"/>
    <w:rsid w:val="00C41E13"/>
    <w:rsid w:val="00C438CF"/>
    <w:rsid w:val="00C43AA7"/>
    <w:rsid w:val="00C43F91"/>
    <w:rsid w:val="00C45BE0"/>
    <w:rsid w:val="00C46DFF"/>
    <w:rsid w:val="00C50EED"/>
    <w:rsid w:val="00C513FC"/>
    <w:rsid w:val="00C5283D"/>
    <w:rsid w:val="00C539B6"/>
    <w:rsid w:val="00C54CBD"/>
    <w:rsid w:val="00C551F0"/>
    <w:rsid w:val="00C5706F"/>
    <w:rsid w:val="00C6069C"/>
    <w:rsid w:val="00C60EF5"/>
    <w:rsid w:val="00C62066"/>
    <w:rsid w:val="00C62610"/>
    <w:rsid w:val="00C64FBA"/>
    <w:rsid w:val="00C650B8"/>
    <w:rsid w:val="00C65912"/>
    <w:rsid w:val="00C66430"/>
    <w:rsid w:val="00C666DB"/>
    <w:rsid w:val="00C66810"/>
    <w:rsid w:val="00C66FE4"/>
    <w:rsid w:val="00C72BBB"/>
    <w:rsid w:val="00C74062"/>
    <w:rsid w:val="00C748D1"/>
    <w:rsid w:val="00C760F0"/>
    <w:rsid w:val="00C7755B"/>
    <w:rsid w:val="00C77CF3"/>
    <w:rsid w:val="00C77F7A"/>
    <w:rsid w:val="00C80439"/>
    <w:rsid w:val="00C80449"/>
    <w:rsid w:val="00C824C6"/>
    <w:rsid w:val="00C82F7E"/>
    <w:rsid w:val="00C83145"/>
    <w:rsid w:val="00C83FE0"/>
    <w:rsid w:val="00C83FF0"/>
    <w:rsid w:val="00C851CD"/>
    <w:rsid w:val="00C85DEF"/>
    <w:rsid w:val="00C85F22"/>
    <w:rsid w:val="00C85FC5"/>
    <w:rsid w:val="00C860C8"/>
    <w:rsid w:val="00C86442"/>
    <w:rsid w:val="00C86FA2"/>
    <w:rsid w:val="00C90D9A"/>
    <w:rsid w:val="00C927FC"/>
    <w:rsid w:val="00C94125"/>
    <w:rsid w:val="00C9413A"/>
    <w:rsid w:val="00C959B7"/>
    <w:rsid w:val="00CA0EC2"/>
    <w:rsid w:val="00CA1704"/>
    <w:rsid w:val="00CA1A6B"/>
    <w:rsid w:val="00CA256A"/>
    <w:rsid w:val="00CA25FF"/>
    <w:rsid w:val="00CA3784"/>
    <w:rsid w:val="00CA431B"/>
    <w:rsid w:val="00CA4839"/>
    <w:rsid w:val="00CA4876"/>
    <w:rsid w:val="00CA499E"/>
    <w:rsid w:val="00CA5254"/>
    <w:rsid w:val="00CA5B44"/>
    <w:rsid w:val="00CA5FA6"/>
    <w:rsid w:val="00CA78B4"/>
    <w:rsid w:val="00CA7D19"/>
    <w:rsid w:val="00CB1546"/>
    <w:rsid w:val="00CB1804"/>
    <w:rsid w:val="00CB19D2"/>
    <w:rsid w:val="00CB2FF6"/>
    <w:rsid w:val="00CB33B6"/>
    <w:rsid w:val="00CB3743"/>
    <w:rsid w:val="00CB414F"/>
    <w:rsid w:val="00CB5320"/>
    <w:rsid w:val="00CB5A35"/>
    <w:rsid w:val="00CB600B"/>
    <w:rsid w:val="00CB6E7C"/>
    <w:rsid w:val="00CB7196"/>
    <w:rsid w:val="00CB7208"/>
    <w:rsid w:val="00CB7BE9"/>
    <w:rsid w:val="00CC0601"/>
    <w:rsid w:val="00CC0BE0"/>
    <w:rsid w:val="00CC25A2"/>
    <w:rsid w:val="00CC274C"/>
    <w:rsid w:val="00CC2A2B"/>
    <w:rsid w:val="00CC3845"/>
    <w:rsid w:val="00CC4EDF"/>
    <w:rsid w:val="00CC4F3F"/>
    <w:rsid w:val="00CD00B6"/>
    <w:rsid w:val="00CD00DC"/>
    <w:rsid w:val="00CD06EE"/>
    <w:rsid w:val="00CD19DF"/>
    <w:rsid w:val="00CD25A0"/>
    <w:rsid w:val="00CD2A08"/>
    <w:rsid w:val="00CD2A60"/>
    <w:rsid w:val="00CD2F04"/>
    <w:rsid w:val="00CD399F"/>
    <w:rsid w:val="00CD51C1"/>
    <w:rsid w:val="00CD623A"/>
    <w:rsid w:val="00CD63BF"/>
    <w:rsid w:val="00CD6E9F"/>
    <w:rsid w:val="00CD737A"/>
    <w:rsid w:val="00CD7B19"/>
    <w:rsid w:val="00CE0B6E"/>
    <w:rsid w:val="00CE118E"/>
    <w:rsid w:val="00CE179E"/>
    <w:rsid w:val="00CE2262"/>
    <w:rsid w:val="00CE27F0"/>
    <w:rsid w:val="00CE44DB"/>
    <w:rsid w:val="00CE5834"/>
    <w:rsid w:val="00CE5EF0"/>
    <w:rsid w:val="00CF03B5"/>
    <w:rsid w:val="00CF13CC"/>
    <w:rsid w:val="00CF3A0D"/>
    <w:rsid w:val="00CF3FF2"/>
    <w:rsid w:val="00CF46B5"/>
    <w:rsid w:val="00CF4743"/>
    <w:rsid w:val="00CF7415"/>
    <w:rsid w:val="00CF7853"/>
    <w:rsid w:val="00D00985"/>
    <w:rsid w:val="00D00C43"/>
    <w:rsid w:val="00D0434B"/>
    <w:rsid w:val="00D04FE3"/>
    <w:rsid w:val="00D0533C"/>
    <w:rsid w:val="00D05426"/>
    <w:rsid w:val="00D05BF8"/>
    <w:rsid w:val="00D1074F"/>
    <w:rsid w:val="00D11900"/>
    <w:rsid w:val="00D12BAF"/>
    <w:rsid w:val="00D147DD"/>
    <w:rsid w:val="00D14A7D"/>
    <w:rsid w:val="00D166AD"/>
    <w:rsid w:val="00D1694D"/>
    <w:rsid w:val="00D16B40"/>
    <w:rsid w:val="00D16BEA"/>
    <w:rsid w:val="00D20088"/>
    <w:rsid w:val="00D20179"/>
    <w:rsid w:val="00D20DF3"/>
    <w:rsid w:val="00D21559"/>
    <w:rsid w:val="00D21D9E"/>
    <w:rsid w:val="00D257F6"/>
    <w:rsid w:val="00D25ECD"/>
    <w:rsid w:val="00D262A0"/>
    <w:rsid w:val="00D30575"/>
    <w:rsid w:val="00D306D2"/>
    <w:rsid w:val="00D314AC"/>
    <w:rsid w:val="00D31956"/>
    <w:rsid w:val="00D3216F"/>
    <w:rsid w:val="00D32817"/>
    <w:rsid w:val="00D32BFD"/>
    <w:rsid w:val="00D35E2F"/>
    <w:rsid w:val="00D35E32"/>
    <w:rsid w:val="00D364C8"/>
    <w:rsid w:val="00D36CA8"/>
    <w:rsid w:val="00D4253B"/>
    <w:rsid w:val="00D4398C"/>
    <w:rsid w:val="00D43C47"/>
    <w:rsid w:val="00D44EAE"/>
    <w:rsid w:val="00D4536E"/>
    <w:rsid w:val="00D47CDE"/>
    <w:rsid w:val="00D47D87"/>
    <w:rsid w:val="00D47FF3"/>
    <w:rsid w:val="00D50AF2"/>
    <w:rsid w:val="00D512B0"/>
    <w:rsid w:val="00D519E4"/>
    <w:rsid w:val="00D51FD1"/>
    <w:rsid w:val="00D520AB"/>
    <w:rsid w:val="00D5235A"/>
    <w:rsid w:val="00D53DB8"/>
    <w:rsid w:val="00D546D5"/>
    <w:rsid w:val="00D54AD4"/>
    <w:rsid w:val="00D55BB2"/>
    <w:rsid w:val="00D55C5E"/>
    <w:rsid w:val="00D60CF5"/>
    <w:rsid w:val="00D61AD4"/>
    <w:rsid w:val="00D62560"/>
    <w:rsid w:val="00D635D2"/>
    <w:rsid w:val="00D63B6A"/>
    <w:rsid w:val="00D64470"/>
    <w:rsid w:val="00D647F3"/>
    <w:rsid w:val="00D64AD3"/>
    <w:rsid w:val="00D66185"/>
    <w:rsid w:val="00D6765F"/>
    <w:rsid w:val="00D706A6"/>
    <w:rsid w:val="00D70A8F"/>
    <w:rsid w:val="00D70C4C"/>
    <w:rsid w:val="00D71619"/>
    <w:rsid w:val="00D72E2F"/>
    <w:rsid w:val="00D7315B"/>
    <w:rsid w:val="00D7327C"/>
    <w:rsid w:val="00D74E44"/>
    <w:rsid w:val="00D756BE"/>
    <w:rsid w:val="00D75909"/>
    <w:rsid w:val="00D760A1"/>
    <w:rsid w:val="00D80C59"/>
    <w:rsid w:val="00D861B7"/>
    <w:rsid w:val="00D86925"/>
    <w:rsid w:val="00D86984"/>
    <w:rsid w:val="00D907DA"/>
    <w:rsid w:val="00D916A1"/>
    <w:rsid w:val="00D91810"/>
    <w:rsid w:val="00D9181F"/>
    <w:rsid w:val="00D9205E"/>
    <w:rsid w:val="00D92654"/>
    <w:rsid w:val="00D92C6C"/>
    <w:rsid w:val="00D938C6"/>
    <w:rsid w:val="00D940FB"/>
    <w:rsid w:val="00D949DD"/>
    <w:rsid w:val="00D94E28"/>
    <w:rsid w:val="00D953D2"/>
    <w:rsid w:val="00D95488"/>
    <w:rsid w:val="00D96403"/>
    <w:rsid w:val="00D969AC"/>
    <w:rsid w:val="00DA34A3"/>
    <w:rsid w:val="00DA351F"/>
    <w:rsid w:val="00DA37DB"/>
    <w:rsid w:val="00DA3A5B"/>
    <w:rsid w:val="00DA3CD1"/>
    <w:rsid w:val="00DA4005"/>
    <w:rsid w:val="00DA45BE"/>
    <w:rsid w:val="00DA4676"/>
    <w:rsid w:val="00DA5479"/>
    <w:rsid w:val="00DA58F0"/>
    <w:rsid w:val="00DA74F7"/>
    <w:rsid w:val="00DB0230"/>
    <w:rsid w:val="00DB11C5"/>
    <w:rsid w:val="00DB2BF1"/>
    <w:rsid w:val="00DB305C"/>
    <w:rsid w:val="00DB3444"/>
    <w:rsid w:val="00DB3A06"/>
    <w:rsid w:val="00DB3B46"/>
    <w:rsid w:val="00DB4A2E"/>
    <w:rsid w:val="00DB4B06"/>
    <w:rsid w:val="00DB5A57"/>
    <w:rsid w:val="00DB5BBD"/>
    <w:rsid w:val="00DB6446"/>
    <w:rsid w:val="00DB6940"/>
    <w:rsid w:val="00DB6CB0"/>
    <w:rsid w:val="00DB6F7D"/>
    <w:rsid w:val="00DB7A02"/>
    <w:rsid w:val="00DB7DC3"/>
    <w:rsid w:val="00DC1146"/>
    <w:rsid w:val="00DC1443"/>
    <w:rsid w:val="00DC2EAB"/>
    <w:rsid w:val="00DC3233"/>
    <w:rsid w:val="00DC40B9"/>
    <w:rsid w:val="00DC432A"/>
    <w:rsid w:val="00DC4C2E"/>
    <w:rsid w:val="00DC508B"/>
    <w:rsid w:val="00DC5755"/>
    <w:rsid w:val="00DC6E95"/>
    <w:rsid w:val="00DD03E3"/>
    <w:rsid w:val="00DD07DE"/>
    <w:rsid w:val="00DD0817"/>
    <w:rsid w:val="00DD1EBF"/>
    <w:rsid w:val="00DD223F"/>
    <w:rsid w:val="00DD25C5"/>
    <w:rsid w:val="00DD2835"/>
    <w:rsid w:val="00DD28D8"/>
    <w:rsid w:val="00DD3493"/>
    <w:rsid w:val="00DD4536"/>
    <w:rsid w:val="00DD53CE"/>
    <w:rsid w:val="00DD5C72"/>
    <w:rsid w:val="00DD6B0E"/>
    <w:rsid w:val="00DD6BDF"/>
    <w:rsid w:val="00DE1C31"/>
    <w:rsid w:val="00DE2596"/>
    <w:rsid w:val="00DE2A9D"/>
    <w:rsid w:val="00DE320C"/>
    <w:rsid w:val="00DE3579"/>
    <w:rsid w:val="00DE45C5"/>
    <w:rsid w:val="00DE5D8F"/>
    <w:rsid w:val="00DE6111"/>
    <w:rsid w:val="00DE6570"/>
    <w:rsid w:val="00DE69B4"/>
    <w:rsid w:val="00DE700A"/>
    <w:rsid w:val="00DE70FC"/>
    <w:rsid w:val="00DE7358"/>
    <w:rsid w:val="00DE7589"/>
    <w:rsid w:val="00DE7922"/>
    <w:rsid w:val="00DE7EB4"/>
    <w:rsid w:val="00DF0864"/>
    <w:rsid w:val="00DF092F"/>
    <w:rsid w:val="00DF4886"/>
    <w:rsid w:val="00DF5209"/>
    <w:rsid w:val="00DF54DA"/>
    <w:rsid w:val="00DF567D"/>
    <w:rsid w:val="00DF5956"/>
    <w:rsid w:val="00DF640D"/>
    <w:rsid w:val="00DF7F50"/>
    <w:rsid w:val="00E00D7F"/>
    <w:rsid w:val="00E01089"/>
    <w:rsid w:val="00E02E7C"/>
    <w:rsid w:val="00E0487E"/>
    <w:rsid w:val="00E04E7C"/>
    <w:rsid w:val="00E05F5F"/>
    <w:rsid w:val="00E061BE"/>
    <w:rsid w:val="00E06F73"/>
    <w:rsid w:val="00E07381"/>
    <w:rsid w:val="00E07D6A"/>
    <w:rsid w:val="00E1018D"/>
    <w:rsid w:val="00E10754"/>
    <w:rsid w:val="00E12E2E"/>
    <w:rsid w:val="00E133BF"/>
    <w:rsid w:val="00E13416"/>
    <w:rsid w:val="00E13FFA"/>
    <w:rsid w:val="00E14C8B"/>
    <w:rsid w:val="00E15A2B"/>
    <w:rsid w:val="00E1636D"/>
    <w:rsid w:val="00E164E3"/>
    <w:rsid w:val="00E177FF"/>
    <w:rsid w:val="00E20EC6"/>
    <w:rsid w:val="00E2183E"/>
    <w:rsid w:val="00E2213E"/>
    <w:rsid w:val="00E22F6E"/>
    <w:rsid w:val="00E241D1"/>
    <w:rsid w:val="00E2457D"/>
    <w:rsid w:val="00E248F7"/>
    <w:rsid w:val="00E24DB4"/>
    <w:rsid w:val="00E263E6"/>
    <w:rsid w:val="00E26B54"/>
    <w:rsid w:val="00E272AD"/>
    <w:rsid w:val="00E309DA"/>
    <w:rsid w:val="00E32B55"/>
    <w:rsid w:val="00E3367A"/>
    <w:rsid w:val="00E35140"/>
    <w:rsid w:val="00E35465"/>
    <w:rsid w:val="00E355C7"/>
    <w:rsid w:val="00E359D8"/>
    <w:rsid w:val="00E35C2F"/>
    <w:rsid w:val="00E3618A"/>
    <w:rsid w:val="00E36C13"/>
    <w:rsid w:val="00E36F05"/>
    <w:rsid w:val="00E40703"/>
    <w:rsid w:val="00E41411"/>
    <w:rsid w:val="00E4173B"/>
    <w:rsid w:val="00E42A95"/>
    <w:rsid w:val="00E432D2"/>
    <w:rsid w:val="00E436B4"/>
    <w:rsid w:val="00E443BD"/>
    <w:rsid w:val="00E44B53"/>
    <w:rsid w:val="00E463C6"/>
    <w:rsid w:val="00E46F8F"/>
    <w:rsid w:val="00E50F32"/>
    <w:rsid w:val="00E5318A"/>
    <w:rsid w:val="00E53611"/>
    <w:rsid w:val="00E53638"/>
    <w:rsid w:val="00E53E6B"/>
    <w:rsid w:val="00E5462F"/>
    <w:rsid w:val="00E5464A"/>
    <w:rsid w:val="00E54704"/>
    <w:rsid w:val="00E569D6"/>
    <w:rsid w:val="00E61B20"/>
    <w:rsid w:val="00E625BC"/>
    <w:rsid w:val="00E62E85"/>
    <w:rsid w:val="00E6387C"/>
    <w:rsid w:val="00E6563A"/>
    <w:rsid w:val="00E6644C"/>
    <w:rsid w:val="00E703CA"/>
    <w:rsid w:val="00E7069E"/>
    <w:rsid w:val="00E71609"/>
    <w:rsid w:val="00E716FC"/>
    <w:rsid w:val="00E7277F"/>
    <w:rsid w:val="00E73DAE"/>
    <w:rsid w:val="00E74D3A"/>
    <w:rsid w:val="00E74F5F"/>
    <w:rsid w:val="00E75114"/>
    <w:rsid w:val="00E759AD"/>
    <w:rsid w:val="00E76568"/>
    <w:rsid w:val="00E769EE"/>
    <w:rsid w:val="00E778C9"/>
    <w:rsid w:val="00E77B01"/>
    <w:rsid w:val="00E77F1C"/>
    <w:rsid w:val="00E8090B"/>
    <w:rsid w:val="00E8123E"/>
    <w:rsid w:val="00E8134B"/>
    <w:rsid w:val="00E81FC8"/>
    <w:rsid w:val="00E83F86"/>
    <w:rsid w:val="00E84062"/>
    <w:rsid w:val="00E8519A"/>
    <w:rsid w:val="00E853C6"/>
    <w:rsid w:val="00E862E0"/>
    <w:rsid w:val="00E87766"/>
    <w:rsid w:val="00E87B4A"/>
    <w:rsid w:val="00E87CB8"/>
    <w:rsid w:val="00E90A29"/>
    <w:rsid w:val="00E919D4"/>
    <w:rsid w:val="00E93552"/>
    <w:rsid w:val="00E93D80"/>
    <w:rsid w:val="00E94A5C"/>
    <w:rsid w:val="00E95CE9"/>
    <w:rsid w:val="00E963AF"/>
    <w:rsid w:val="00E96F3A"/>
    <w:rsid w:val="00EA0322"/>
    <w:rsid w:val="00EA133B"/>
    <w:rsid w:val="00EA209B"/>
    <w:rsid w:val="00EA23F0"/>
    <w:rsid w:val="00EA3BEE"/>
    <w:rsid w:val="00EA428A"/>
    <w:rsid w:val="00EA5F5C"/>
    <w:rsid w:val="00EA63C3"/>
    <w:rsid w:val="00EA6433"/>
    <w:rsid w:val="00EA7154"/>
    <w:rsid w:val="00EA7BC8"/>
    <w:rsid w:val="00EA7EB3"/>
    <w:rsid w:val="00EB2588"/>
    <w:rsid w:val="00EB269A"/>
    <w:rsid w:val="00EB34C5"/>
    <w:rsid w:val="00EB46FB"/>
    <w:rsid w:val="00EB4ED4"/>
    <w:rsid w:val="00EB54D5"/>
    <w:rsid w:val="00EB6835"/>
    <w:rsid w:val="00EB6927"/>
    <w:rsid w:val="00EB7250"/>
    <w:rsid w:val="00EC0A96"/>
    <w:rsid w:val="00EC1DEB"/>
    <w:rsid w:val="00EC1F5A"/>
    <w:rsid w:val="00EC26DD"/>
    <w:rsid w:val="00EC351C"/>
    <w:rsid w:val="00EC513A"/>
    <w:rsid w:val="00EC5527"/>
    <w:rsid w:val="00EC6B09"/>
    <w:rsid w:val="00EC6BBD"/>
    <w:rsid w:val="00ED15CD"/>
    <w:rsid w:val="00ED389E"/>
    <w:rsid w:val="00ED4407"/>
    <w:rsid w:val="00ED4B78"/>
    <w:rsid w:val="00ED4C79"/>
    <w:rsid w:val="00ED50CF"/>
    <w:rsid w:val="00ED77FC"/>
    <w:rsid w:val="00EE2291"/>
    <w:rsid w:val="00EE22F2"/>
    <w:rsid w:val="00EE23B5"/>
    <w:rsid w:val="00EE2D35"/>
    <w:rsid w:val="00EE346F"/>
    <w:rsid w:val="00EE3FB0"/>
    <w:rsid w:val="00EE57DD"/>
    <w:rsid w:val="00EE7907"/>
    <w:rsid w:val="00EF0E09"/>
    <w:rsid w:val="00EF0F50"/>
    <w:rsid w:val="00EF226A"/>
    <w:rsid w:val="00EF2794"/>
    <w:rsid w:val="00EF2AC8"/>
    <w:rsid w:val="00EF4804"/>
    <w:rsid w:val="00EF56DF"/>
    <w:rsid w:val="00EF62B4"/>
    <w:rsid w:val="00EF7926"/>
    <w:rsid w:val="00F002DB"/>
    <w:rsid w:val="00F0074A"/>
    <w:rsid w:val="00F00D8A"/>
    <w:rsid w:val="00F01361"/>
    <w:rsid w:val="00F014E5"/>
    <w:rsid w:val="00F01A3A"/>
    <w:rsid w:val="00F020CC"/>
    <w:rsid w:val="00F02706"/>
    <w:rsid w:val="00F0331D"/>
    <w:rsid w:val="00F052A9"/>
    <w:rsid w:val="00F05EA2"/>
    <w:rsid w:val="00F07AF3"/>
    <w:rsid w:val="00F07E22"/>
    <w:rsid w:val="00F07F9C"/>
    <w:rsid w:val="00F10A1F"/>
    <w:rsid w:val="00F10B4F"/>
    <w:rsid w:val="00F10ED7"/>
    <w:rsid w:val="00F114D2"/>
    <w:rsid w:val="00F11546"/>
    <w:rsid w:val="00F13AC2"/>
    <w:rsid w:val="00F140AD"/>
    <w:rsid w:val="00F14C2D"/>
    <w:rsid w:val="00F15A56"/>
    <w:rsid w:val="00F15B51"/>
    <w:rsid w:val="00F15DE8"/>
    <w:rsid w:val="00F16309"/>
    <w:rsid w:val="00F17901"/>
    <w:rsid w:val="00F17FDD"/>
    <w:rsid w:val="00F200D9"/>
    <w:rsid w:val="00F20513"/>
    <w:rsid w:val="00F21C64"/>
    <w:rsid w:val="00F24BB9"/>
    <w:rsid w:val="00F266C6"/>
    <w:rsid w:val="00F26B5E"/>
    <w:rsid w:val="00F26FF8"/>
    <w:rsid w:val="00F2799F"/>
    <w:rsid w:val="00F30EE1"/>
    <w:rsid w:val="00F31330"/>
    <w:rsid w:val="00F32306"/>
    <w:rsid w:val="00F33EF1"/>
    <w:rsid w:val="00F340D7"/>
    <w:rsid w:val="00F35817"/>
    <w:rsid w:val="00F35860"/>
    <w:rsid w:val="00F35FE0"/>
    <w:rsid w:val="00F36835"/>
    <w:rsid w:val="00F36B4E"/>
    <w:rsid w:val="00F36BC0"/>
    <w:rsid w:val="00F378E1"/>
    <w:rsid w:val="00F400C8"/>
    <w:rsid w:val="00F4137D"/>
    <w:rsid w:val="00F41526"/>
    <w:rsid w:val="00F41FEA"/>
    <w:rsid w:val="00F4229D"/>
    <w:rsid w:val="00F43791"/>
    <w:rsid w:val="00F44BA9"/>
    <w:rsid w:val="00F45D57"/>
    <w:rsid w:val="00F45E27"/>
    <w:rsid w:val="00F47389"/>
    <w:rsid w:val="00F47402"/>
    <w:rsid w:val="00F52311"/>
    <w:rsid w:val="00F52DCC"/>
    <w:rsid w:val="00F531CC"/>
    <w:rsid w:val="00F542A4"/>
    <w:rsid w:val="00F55663"/>
    <w:rsid w:val="00F57F04"/>
    <w:rsid w:val="00F602E2"/>
    <w:rsid w:val="00F603AA"/>
    <w:rsid w:val="00F6059D"/>
    <w:rsid w:val="00F6096A"/>
    <w:rsid w:val="00F60BE5"/>
    <w:rsid w:val="00F61556"/>
    <w:rsid w:val="00F622B1"/>
    <w:rsid w:val="00F62C25"/>
    <w:rsid w:val="00F643FE"/>
    <w:rsid w:val="00F64D73"/>
    <w:rsid w:val="00F65603"/>
    <w:rsid w:val="00F65792"/>
    <w:rsid w:val="00F6584B"/>
    <w:rsid w:val="00F668E0"/>
    <w:rsid w:val="00F66E56"/>
    <w:rsid w:val="00F72616"/>
    <w:rsid w:val="00F728CB"/>
    <w:rsid w:val="00F74EC7"/>
    <w:rsid w:val="00F76B9F"/>
    <w:rsid w:val="00F77A6E"/>
    <w:rsid w:val="00F8064A"/>
    <w:rsid w:val="00F80A1C"/>
    <w:rsid w:val="00F81A11"/>
    <w:rsid w:val="00F81DD3"/>
    <w:rsid w:val="00F82317"/>
    <w:rsid w:val="00F82D71"/>
    <w:rsid w:val="00F85CE5"/>
    <w:rsid w:val="00F86DDA"/>
    <w:rsid w:val="00F8757B"/>
    <w:rsid w:val="00F87816"/>
    <w:rsid w:val="00F903AB"/>
    <w:rsid w:val="00F916AB"/>
    <w:rsid w:val="00F92B18"/>
    <w:rsid w:val="00F92BC5"/>
    <w:rsid w:val="00F947BC"/>
    <w:rsid w:val="00F959A8"/>
    <w:rsid w:val="00F96BA4"/>
    <w:rsid w:val="00F972F4"/>
    <w:rsid w:val="00F97CBD"/>
    <w:rsid w:val="00FA4283"/>
    <w:rsid w:val="00FA5623"/>
    <w:rsid w:val="00FB0D36"/>
    <w:rsid w:val="00FB40D8"/>
    <w:rsid w:val="00FB69DA"/>
    <w:rsid w:val="00FB6A74"/>
    <w:rsid w:val="00FB6FCB"/>
    <w:rsid w:val="00FB7059"/>
    <w:rsid w:val="00FB7965"/>
    <w:rsid w:val="00FC0094"/>
    <w:rsid w:val="00FC241A"/>
    <w:rsid w:val="00FC2CC3"/>
    <w:rsid w:val="00FC2FFE"/>
    <w:rsid w:val="00FC3E10"/>
    <w:rsid w:val="00FC458C"/>
    <w:rsid w:val="00FC4853"/>
    <w:rsid w:val="00FC5D4D"/>
    <w:rsid w:val="00FC69EE"/>
    <w:rsid w:val="00FD032A"/>
    <w:rsid w:val="00FD11C1"/>
    <w:rsid w:val="00FD131B"/>
    <w:rsid w:val="00FD17D8"/>
    <w:rsid w:val="00FD1F10"/>
    <w:rsid w:val="00FD272B"/>
    <w:rsid w:val="00FD327C"/>
    <w:rsid w:val="00FD473A"/>
    <w:rsid w:val="00FD49B8"/>
    <w:rsid w:val="00FD4D03"/>
    <w:rsid w:val="00FD58F1"/>
    <w:rsid w:val="00FD6A7E"/>
    <w:rsid w:val="00FD70AB"/>
    <w:rsid w:val="00FD71ED"/>
    <w:rsid w:val="00FD723F"/>
    <w:rsid w:val="00FE0B77"/>
    <w:rsid w:val="00FE1360"/>
    <w:rsid w:val="00FE14DA"/>
    <w:rsid w:val="00FE1F82"/>
    <w:rsid w:val="00FE2FCB"/>
    <w:rsid w:val="00FE587F"/>
    <w:rsid w:val="00FE5908"/>
    <w:rsid w:val="00FE6008"/>
    <w:rsid w:val="00FE6228"/>
    <w:rsid w:val="00FE6457"/>
    <w:rsid w:val="00FE6463"/>
    <w:rsid w:val="00FE7250"/>
    <w:rsid w:val="00FE778F"/>
    <w:rsid w:val="00FE7917"/>
    <w:rsid w:val="00FE7D78"/>
    <w:rsid w:val="00FF1AF7"/>
    <w:rsid w:val="00FF2DD9"/>
    <w:rsid w:val="00FF3C46"/>
    <w:rsid w:val="00FF433A"/>
    <w:rsid w:val="00FF4A4C"/>
    <w:rsid w:val="00FF4F57"/>
    <w:rsid w:val="00FF52C2"/>
    <w:rsid w:val="00FF5EFD"/>
    <w:rsid w:val="00FF6964"/>
    <w:rsid w:val="00FF7A87"/>
    <w:rsid w:val="00FF7E45"/>
    <w:rsid w:val="011B294C"/>
    <w:rsid w:val="012F605E"/>
    <w:rsid w:val="02060815"/>
    <w:rsid w:val="023D6B59"/>
    <w:rsid w:val="02881FB3"/>
    <w:rsid w:val="02A06DFD"/>
    <w:rsid w:val="02CC7E21"/>
    <w:rsid w:val="032962F0"/>
    <w:rsid w:val="032C3EAD"/>
    <w:rsid w:val="032C41E2"/>
    <w:rsid w:val="03A87018"/>
    <w:rsid w:val="03F72C1D"/>
    <w:rsid w:val="04274A9B"/>
    <w:rsid w:val="044A2950"/>
    <w:rsid w:val="04FE0209"/>
    <w:rsid w:val="055C05D5"/>
    <w:rsid w:val="05725D89"/>
    <w:rsid w:val="05CF66D1"/>
    <w:rsid w:val="05DF1533"/>
    <w:rsid w:val="06180451"/>
    <w:rsid w:val="062A3AA0"/>
    <w:rsid w:val="06504EE5"/>
    <w:rsid w:val="06680D99"/>
    <w:rsid w:val="06746AED"/>
    <w:rsid w:val="067750BB"/>
    <w:rsid w:val="06991905"/>
    <w:rsid w:val="06B82090"/>
    <w:rsid w:val="07087FF6"/>
    <w:rsid w:val="072827B9"/>
    <w:rsid w:val="07403B9C"/>
    <w:rsid w:val="078425E2"/>
    <w:rsid w:val="07AC5670"/>
    <w:rsid w:val="07AE3B59"/>
    <w:rsid w:val="07E23439"/>
    <w:rsid w:val="07E83383"/>
    <w:rsid w:val="084068B1"/>
    <w:rsid w:val="08736201"/>
    <w:rsid w:val="08BC62FE"/>
    <w:rsid w:val="09342F68"/>
    <w:rsid w:val="099C12E4"/>
    <w:rsid w:val="09A62715"/>
    <w:rsid w:val="09C43C42"/>
    <w:rsid w:val="09D1504B"/>
    <w:rsid w:val="09E272FB"/>
    <w:rsid w:val="0A857AB0"/>
    <w:rsid w:val="0A8D71B4"/>
    <w:rsid w:val="0A9929FF"/>
    <w:rsid w:val="0B1E07D9"/>
    <w:rsid w:val="0B334A2A"/>
    <w:rsid w:val="0B5C2CE2"/>
    <w:rsid w:val="0B655444"/>
    <w:rsid w:val="0B930EC9"/>
    <w:rsid w:val="0C380B58"/>
    <w:rsid w:val="0C387300"/>
    <w:rsid w:val="0C616E23"/>
    <w:rsid w:val="0DDC3D40"/>
    <w:rsid w:val="0DE2644C"/>
    <w:rsid w:val="0E2E6BFA"/>
    <w:rsid w:val="0E7B2AB6"/>
    <w:rsid w:val="0E9813F8"/>
    <w:rsid w:val="0EEB5365"/>
    <w:rsid w:val="0F01193F"/>
    <w:rsid w:val="0F1D70A0"/>
    <w:rsid w:val="0F525C9A"/>
    <w:rsid w:val="0F8126F4"/>
    <w:rsid w:val="0F995EB7"/>
    <w:rsid w:val="0FCC03CD"/>
    <w:rsid w:val="0FE45283"/>
    <w:rsid w:val="1036463E"/>
    <w:rsid w:val="10D77AC7"/>
    <w:rsid w:val="10E17D49"/>
    <w:rsid w:val="113B56CD"/>
    <w:rsid w:val="115719D7"/>
    <w:rsid w:val="115A3367"/>
    <w:rsid w:val="11F10166"/>
    <w:rsid w:val="12127F19"/>
    <w:rsid w:val="121429C8"/>
    <w:rsid w:val="1219513F"/>
    <w:rsid w:val="12263EBD"/>
    <w:rsid w:val="1234365A"/>
    <w:rsid w:val="126F6EE5"/>
    <w:rsid w:val="12710F1A"/>
    <w:rsid w:val="12886DF0"/>
    <w:rsid w:val="12C13DE8"/>
    <w:rsid w:val="12C80E97"/>
    <w:rsid w:val="12CD777A"/>
    <w:rsid w:val="12D9121A"/>
    <w:rsid w:val="12EF6B68"/>
    <w:rsid w:val="12F103D6"/>
    <w:rsid w:val="133B6764"/>
    <w:rsid w:val="139948A7"/>
    <w:rsid w:val="13B15C0D"/>
    <w:rsid w:val="13BB4CB8"/>
    <w:rsid w:val="13D759B3"/>
    <w:rsid w:val="13F02C14"/>
    <w:rsid w:val="13F11B78"/>
    <w:rsid w:val="141C0EAF"/>
    <w:rsid w:val="14BC11D6"/>
    <w:rsid w:val="152A2227"/>
    <w:rsid w:val="164D0B41"/>
    <w:rsid w:val="168D4626"/>
    <w:rsid w:val="169876E1"/>
    <w:rsid w:val="169B1C44"/>
    <w:rsid w:val="16AD06C2"/>
    <w:rsid w:val="179E597B"/>
    <w:rsid w:val="17C609A0"/>
    <w:rsid w:val="180C2E88"/>
    <w:rsid w:val="18803647"/>
    <w:rsid w:val="189E061E"/>
    <w:rsid w:val="18C62560"/>
    <w:rsid w:val="18EA437E"/>
    <w:rsid w:val="19966474"/>
    <w:rsid w:val="19DE376D"/>
    <w:rsid w:val="19F673D9"/>
    <w:rsid w:val="1A0328D5"/>
    <w:rsid w:val="1A1D3BAA"/>
    <w:rsid w:val="1A276521"/>
    <w:rsid w:val="1ACC4DF4"/>
    <w:rsid w:val="1AD55200"/>
    <w:rsid w:val="1AE203DB"/>
    <w:rsid w:val="1AFD72D0"/>
    <w:rsid w:val="1B5468A1"/>
    <w:rsid w:val="1BAF4B0F"/>
    <w:rsid w:val="1C3835A3"/>
    <w:rsid w:val="1CB035C0"/>
    <w:rsid w:val="1CB61A90"/>
    <w:rsid w:val="1CD87C76"/>
    <w:rsid w:val="1CDF7B17"/>
    <w:rsid w:val="1D195C47"/>
    <w:rsid w:val="1D6C26EC"/>
    <w:rsid w:val="1D83739D"/>
    <w:rsid w:val="1D876D6F"/>
    <w:rsid w:val="1DFE2727"/>
    <w:rsid w:val="1E094549"/>
    <w:rsid w:val="1E3234CD"/>
    <w:rsid w:val="1E99006B"/>
    <w:rsid w:val="1EA24205"/>
    <w:rsid w:val="1EA6525D"/>
    <w:rsid w:val="1EAD2614"/>
    <w:rsid w:val="1EC41999"/>
    <w:rsid w:val="1EE26DEE"/>
    <w:rsid w:val="1EE66442"/>
    <w:rsid w:val="1F23237D"/>
    <w:rsid w:val="1F29358B"/>
    <w:rsid w:val="1F5A7916"/>
    <w:rsid w:val="1F9B621A"/>
    <w:rsid w:val="1FC31E56"/>
    <w:rsid w:val="1FE14161"/>
    <w:rsid w:val="202E1FA2"/>
    <w:rsid w:val="204E4B48"/>
    <w:rsid w:val="20912094"/>
    <w:rsid w:val="20BF1C49"/>
    <w:rsid w:val="20DC0F13"/>
    <w:rsid w:val="20E15F42"/>
    <w:rsid w:val="210A7273"/>
    <w:rsid w:val="212A31B8"/>
    <w:rsid w:val="21353431"/>
    <w:rsid w:val="216D0F79"/>
    <w:rsid w:val="21B2690E"/>
    <w:rsid w:val="21DE043E"/>
    <w:rsid w:val="21EE7C76"/>
    <w:rsid w:val="21F80B46"/>
    <w:rsid w:val="22294CFF"/>
    <w:rsid w:val="22411890"/>
    <w:rsid w:val="227518B8"/>
    <w:rsid w:val="228A683C"/>
    <w:rsid w:val="228E62D2"/>
    <w:rsid w:val="22CC28AF"/>
    <w:rsid w:val="22E10CD2"/>
    <w:rsid w:val="23281A17"/>
    <w:rsid w:val="239F0AF1"/>
    <w:rsid w:val="23B178C6"/>
    <w:rsid w:val="23F815F8"/>
    <w:rsid w:val="242558A0"/>
    <w:rsid w:val="249F275A"/>
    <w:rsid w:val="24C2124F"/>
    <w:rsid w:val="25304060"/>
    <w:rsid w:val="25A301F0"/>
    <w:rsid w:val="25EE4956"/>
    <w:rsid w:val="25F268CE"/>
    <w:rsid w:val="26126894"/>
    <w:rsid w:val="26537076"/>
    <w:rsid w:val="26874CC3"/>
    <w:rsid w:val="268C0EA3"/>
    <w:rsid w:val="26CD7E35"/>
    <w:rsid w:val="27153E14"/>
    <w:rsid w:val="27833CD0"/>
    <w:rsid w:val="27E83333"/>
    <w:rsid w:val="282C34FD"/>
    <w:rsid w:val="287A059F"/>
    <w:rsid w:val="287C6826"/>
    <w:rsid w:val="28FF6137"/>
    <w:rsid w:val="294B6EB2"/>
    <w:rsid w:val="297945F6"/>
    <w:rsid w:val="29B66966"/>
    <w:rsid w:val="2A9806ED"/>
    <w:rsid w:val="2AD930A0"/>
    <w:rsid w:val="2AF17143"/>
    <w:rsid w:val="2B0466FF"/>
    <w:rsid w:val="2B74008E"/>
    <w:rsid w:val="2C2C7B16"/>
    <w:rsid w:val="2C727815"/>
    <w:rsid w:val="2C860A99"/>
    <w:rsid w:val="2CDB5DF0"/>
    <w:rsid w:val="2D432AA0"/>
    <w:rsid w:val="2DE26ABF"/>
    <w:rsid w:val="2DF2303F"/>
    <w:rsid w:val="2E53525E"/>
    <w:rsid w:val="2E9A6EFE"/>
    <w:rsid w:val="2EAF4BEF"/>
    <w:rsid w:val="2ECB2D8B"/>
    <w:rsid w:val="2F013036"/>
    <w:rsid w:val="2F066DCC"/>
    <w:rsid w:val="2F573488"/>
    <w:rsid w:val="2F6055BF"/>
    <w:rsid w:val="3013615F"/>
    <w:rsid w:val="301375FA"/>
    <w:rsid w:val="301B6B1B"/>
    <w:rsid w:val="3020729F"/>
    <w:rsid w:val="302537D8"/>
    <w:rsid w:val="304253CE"/>
    <w:rsid w:val="30C300CB"/>
    <w:rsid w:val="316E4F7B"/>
    <w:rsid w:val="31E51769"/>
    <w:rsid w:val="32103699"/>
    <w:rsid w:val="325451D8"/>
    <w:rsid w:val="325C6031"/>
    <w:rsid w:val="32930568"/>
    <w:rsid w:val="32D34B3A"/>
    <w:rsid w:val="32F43AFD"/>
    <w:rsid w:val="33733C9B"/>
    <w:rsid w:val="33D334C4"/>
    <w:rsid w:val="33E16DC7"/>
    <w:rsid w:val="340F1FED"/>
    <w:rsid w:val="348A4F30"/>
    <w:rsid w:val="34D21B70"/>
    <w:rsid w:val="350A7538"/>
    <w:rsid w:val="351D3EC5"/>
    <w:rsid w:val="3530082C"/>
    <w:rsid w:val="355361E0"/>
    <w:rsid w:val="358F10B1"/>
    <w:rsid w:val="359F6BD7"/>
    <w:rsid w:val="35E3091E"/>
    <w:rsid w:val="36250321"/>
    <w:rsid w:val="363D42BB"/>
    <w:rsid w:val="36434CAB"/>
    <w:rsid w:val="365433D8"/>
    <w:rsid w:val="366B0E3A"/>
    <w:rsid w:val="36701EAB"/>
    <w:rsid w:val="36F47AFA"/>
    <w:rsid w:val="37022AE0"/>
    <w:rsid w:val="379E7559"/>
    <w:rsid w:val="37E10759"/>
    <w:rsid w:val="38463385"/>
    <w:rsid w:val="388472F8"/>
    <w:rsid w:val="38DE3088"/>
    <w:rsid w:val="38EE1325"/>
    <w:rsid w:val="38EF7F2C"/>
    <w:rsid w:val="38FC5F79"/>
    <w:rsid w:val="38FC72B4"/>
    <w:rsid w:val="39C166A6"/>
    <w:rsid w:val="3A00416C"/>
    <w:rsid w:val="3A2109DF"/>
    <w:rsid w:val="3A5F50B8"/>
    <w:rsid w:val="3A8D4DC9"/>
    <w:rsid w:val="3AC26820"/>
    <w:rsid w:val="3B110104"/>
    <w:rsid w:val="3B1D6499"/>
    <w:rsid w:val="3B6B377F"/>
    <w:rsid w:val="3C0E5A98"/>
    <w:rsid w:val="3C5A104A"/>
    <w:rsid w:val="3C5D49F0"/>
    <w:rsid w:val="3C6A01BC"/>
    <w:rsid w:val="3C89317D"/>
    <w:rsid w:val="3CCC438D"/>
    <w:rsid w:val="3CE15F76"/>
    <w:rsid w:val="3D03745C"/>
    <w:rsid w:val="3D26500D"/>
    <w:rsid w:val="3D2A2C48"/>
    <w:rsid w:val="3D3719B0"/>
    <w:rsid w:val="3D5E5818"/>
    <w:rsid w:val="3D6D27E2"/>
    <w:rsid w:val="3E115FE0"/>
    <w:rsid w:val="3E157634"/>
    <w:rsid w:val="3E63691A"/>
    <w:rsid w:val="3E854EB1"/>
    <w:rsid w:val="3E9E2450"/>
    <w:rsid w:val="3EBB5A30"/>
    <w:rsid w:val="3EFA5FE1"/>
    <w:rsid w:val="3F04518C"/>
    <w:rsid w:val="3FC65E7F"/>
    <w:rsid w:val="3FF35220"/>
    <w:rsid w:val="400C72F0"/>
    <w:rsid w:val="404E707C"/>
    <w:rsid w:val="40555DCC"/>
    <w:rsid w:val="40C21AE7"/>
    <w:rsid w:val="41686F0A"/>
    <w:rsid w:val="41B62CC7"/>
    <w:rsid w:val="41FC721D"/>
    <w:rsid w:val="42122875"/>
    <w:rsid w:val="421D0A42"/>
    <w:rsid w:val="423038EE"/>
    <w:rsid w:val="423A4445"/>
    <w:rsid w:val="42A1693C"/>
    <w:rsid w:val="42C8734A"/>
    <w:rsid w:val="42EA170C"/>
    <w:rsid w:val="42EC22CB"/>
    <w:rsid w:val="43612517"/>
    <w:rsid w:val="437A38AC"/>
    <w:rsid w:val="43E91929"/>
    <w:rsid w:val="44435E31"/>
    <w:rsid w:val="44510B62"/>
    <w:rsid w:val="44666EEF"/>
    <w:rsid w:val="44963E54"/>
    <w:rsid w:val="44AA6DD9"/>
    <w:rsid w:val="44B203E4"/>
    <w:rsid w:val="44C3436B"/>
    <w:rsid w:val="45162177"/>
    <w:rsid w:val="45611833"/>
    <w:rsid w:val="456157D1"/>
    <w:rsid w:val="45656FC2"/>
    <w:rsid w:val="45AE6788"/>
    <w:rsid w:val="45EF389F"/>
    <w:rsid w:val="46C35BB9"/>
    <w:rsid w:val="46E80831"/>
    <w:rsid w:val="46E94EBD"/>
    <w:rsid w:val="46F410B1"/>
    <w:rsid w:val="471D39F3"/>
    <w:rsid w:val="472D0D05"/>
    <w:rsid w:val="48601F80"/>
    <w:rsid w:val="487E34EC"/>
    <w:rsid w:val="48F84EFD"/>
    <w:rsid w:val="49942B29"/>
    <w:rsid w:val="49B648AD"/>
    <w:rsid w:val="49D73E29"/>
    <w:rsid w:val="4A2E43C5"/>
    <w:rsid w:val="4A877887"/>
    <w:rsid w:val="4A9039A8"/>
    <w:rsid w:val="4B3510ED"/>
    <w:rsid w:val="4B3C5B1D"/>
    <w:rsid w:val="4B426EAD"/>
    <w:rsid w:val="4B774600"/>
    <w:rsid w:val="4BAF5464"/>
    <w:rsid w:val="4BB21E26"/>
    <w:rsid w:val="4BD4211F"/>
    <w:rsid w:val="4C195358"/>
    <w:rsid w:val="4C200EBF"/>
    <w:rsid w:val="4C8E1DAB"/>
    <w:rsid w:val="4CA02A52"/>
    <w:rsid w:val="4CA44BD6"/>
    <w:rsid w:val="4CAF6AD2"/>
    <w:rsid w:val="4CCF083F"/>
    <w:rsid w:val="4CFC5D0A"/>
    <w:rsid w:val="4D02427D"/>
    <w:rsid w:val="4D026F96"/>
    <w:rsid w:val="4D1F1490"/>
    <w:rsid w:val="4D811CD8"/>
    <w:rsid w:val="4DA31532"/>
    <w:rsid w:val="4DE028C1"/>
    <w:rsid w:val="4DEF4CF4"/>
    <w:rsid w:val="4E275F7D"/>
    <w:rsid w:val="4E5325C5"/>
    <w:rsid w:val="4EA03A19"/>
    <w:rsid w:val="4EB1172D"/>
    <w:rsid w:val="4EB3490C"/>
    <w:rsid w:val="4EDA35E4"/>
    <w:rsid w:val="4EDA649B"/>
    <w:rsid w:val="4F944E03"/>
    <w:rsid w:val="4FA570C5"/>
    <w:rsid w:val="4FCA5CB3"/>
    <w:rsid w:val="4FD8221D"/>
    <w:rsid w:val="50056EB3"/>
    <w:rsid w:val="500A265E"/>
    <w:rsid w:val="505F7E32"/>
    <w:rsid w:val="509B68F6"/>
    <w:rsid w:val="509F5160"/>
    <w:rsid w:val="50A2296C"/>
    <w:rsid w:val="50D900FC"/>
    <w:rsid w:val="51385495"/>
    <w:rsid w:val="51743385"/>
    <w:rsid w:val="51765D49"/>
    <w:rsid w:val="51925C78"/>
    <w:rsid w:val="51A2432A"/>
    <w:rsid w:val="51AE0B30"/>
    <w:rsid w:val="52092FB4"/>
    <w:rsid w:val="52174E31"/>
    <w:rsid w:val="521C3F3B"/>
    <w:rsid w:val="522A6CAE"/>
    <w:rsid w:val="525B71C6"/>
    <w:rsid w:val="526C0198"/>
    <w:rsid w:val="52721288"/>
    <w:rsid w:val="52917A7D"/>
    <w:rsid w:val="52961B7C"/>
    <w:rsid w:val="52E3538D"/>
    <w:rsid w:val="52FC4A09"/>
    <w:rsid w:val="53262AD3"/>
    <w:rsid w:val="53474514"/>
    <w:rsid w:val="53C42930"/>
    <w:rsid w:val="542D2138"/>
    <w:rsid w:val="5445752C"/>
    <w:rsid w:val="54B80853"/>
    <w:rsid w:val="54BC058F"/>
    <w:rsid w:val="55006ADE"/>
    <w:rsid w:val="550F7C86"/>
    <w:rsid w:val="551E1E76"/>
    <w:rsid w:val="556E1667"/>
    <w:rsid w:val="558019FC"/>
    <w:rsid w:val="55CD115F"/>
    <w:rsid w:val="55D469DF"/>
    <w:rsid w:val="561644E5"/>
    <w:rsid w:val="56CF1BB9"/>
    <w:rsid w:val="570A0FC8"/>
    <w:rsid w:val="571334C1"/>
    <w:rsid w:val="57270BC0"/>
    <w:rsid w:val="574C6C56"/>
    <w:rsid w:val="5762518E"/>
    <w:rsid w:val="577B76A8"/>
    <w:rsid w:val="5791760B"/>
    <w:rsid w:val="57951BDB"/>
    <w:rsid w:val="57A04A26"/>
    <w:rsid w:val="57BA446B"/>
    <w:rsid w:val="57EB308F"/>
    <w:rsid w:val="58EF6272"/>
    <w:rsid w:val="59295BF0"/>
    <w:rsid w:val="59624C0A"/>
    <w:rsid w:val="597E473D"/>
    <w:rsid w:val="59B464B5"/>
    <w:rsid w:val="59B76FDE"/>
    <w:rsid w:val="59EC4A62"/>
    <w:rsid w:val="59F06636"/>
    <w:rsid w:val="5A1F7D65"/>
    <w:rsid w:val="5A4C6012"/>
    <w:rsid w:val="5A5C285E"/>
    <w:rsid w:val="5ADF23F3"/>
    <w:rsid w:val="5AFB1409"/>
    <w:rsid w:val="5B172E68"/>
    <w:rsid w:val="5B6E3E52"/>
    <w:rsid w:val="5BAA0409"/>
    <w:rsid w:val="5BCA7E93"/>
    <w:rsid w:val="5BD4004B"/>
    <w:rsid w:val="5BED7C84"/>
    <w:rsid w:val="5BFF06FD"/>
    <w:rsid w:val="5C2B161B"/>
    <w:rsid w:val="5C2B2355"/>
    <w:rsid w:val="5C7A4847"/>
    <w:rsid w:val="5CA80414"/>
    <w:rsid w:val="5CCA322A"/>
    <w:rsid w:val="5CEE164E"/>
    <w:rsid w:val="5E0C6DD0"/>
    <w:rsid w:val="5E2A7B26"/>
    <w:rsid w:val="5E2B17A6"/>
    <w:rsid w:val="5EF67EFB"/>
    <w:rsid w:val="5F751E60"/>
    <w:rsid w:val="5FD66919"/>
    <w:rsid w:val="5FE17227"/>
    <w:rsid w:val="602B2ADA"/>
    <w:rsid w:val="605516FE"/>
    <w:rsid w:val="60911398"/>
    <w:rsid w:val="60A070A6"/>
    <w:rsid w:val="60EB3531"/>
    <w:rsid w:val="61037FC0"/>
    <w:rsid w:val="61196A41"/>
    <w:rsid w:val="613826AF"/>
    <w:rsid w:val="613F67ED"/>
    <w:rsid w:val="614C546C"/>
    <w:rsid w:val="61CD679E"/>
    <w:rsid w:val="61F22D50"/>
    <w:rsid w:val="623A519F"/>
    <w:rsid w:val="628912DB"/>
    <w:rsid w:val="628D4783"/>
    <w:rsid w:val="628D6AED"/>
    <w:rsid w:val="62C70B85"/>
    <w:rsid w:val="62CE4BF2"/>
    <w:rsid w:val="62DC56FB"/>
    <w:rsid w:val="63177F61"/>
    <w:rsid w:val="632270BB"/>
    <w:rsid w:val="63A05D9B"/>
    <w:rsid w:val="63AC0532"/>
    <w:rsid w:val="640D4DB0"/>
    <w:rsid w:val="64594AFE"/>
    <w:rsid w:val="64C32BE3"/>
    <w:rsid w:val="64DA6EFC"/>
    <w:rsid w:val="651E4B07"/>
    <w:rsid w:val="656422B3"/>
    <w:rsid w:val="65722CDC"/>
    <w:rsid w:val="65851207"/>
    <w:rsid w:val="65B45C84"/>
    <w:rsid w:val="65DE0030"/>
    <w:rsid w:val="66126798"/>
    <w:rsid w:val="661F0264"/>
    <w:rsid w:val="6656609A"/>
    <w:rsid w:val="66786B7F"/>
    <w:rsid w:val="66CC7DF6"/>
    <w:rsid w:val="67052518"/>
    <w:rsid w:val="67191D02"/>
    <w:rsid w:val="67517DFF"/>
    <w:rsid w:val="6791419F"/>
    <w:rsid w:val="679B38AB"/>
    <w:rsid w:val="67E7336B"/>
    <w:rsid w:val="681E2882"/>
    <w:rsid w:val="683F63E8"/>
    <w:rsid w:val="69044DDB"/>
    <w:rsid w:val="69114C17"/>
    <w:rsid w:val="69697C0F"/>
    <w:rsid w:val="699569D2"/>
    <w:rsid w:val="69A37235"/>
    <w:rsid w:val="6A341D6B"/>
    <w:rsid w:val="6A901BDB"/>
    <w:rsid w:val="6ABE700E"/>
    <w:rsid w:val="6AD75FAE"/>
    <w:rsid w:val="6B282F07"/>
    <w:rsid w:val="6B4F53FD"/>
    <w:rsid w:val="6B6F6D0D"/>
    <w:rsid w:val="6B87781F"/>
    <w:rsid w:val="6B9F1762"/>
    <w:rsid w:val="6BC5359E"/>
    <w:rsid w:val="6C066211"/>
    <w:rsid w:val="6CD8278F"/>
    <w:rsid w:val="6CE55983"/>
    <w:rsid w:val="6D686EF3"/>
    <w:rsid w:val="6D6B3390"/>
    <w:rsid w:val="6DC35F80"/>
    <w:rsid w:val="6E1034CB"/>
    <w:rsid w:val="6E735CF5"/>
    <w:rsid w:val="6EFF5132"/>
    <w:rsid w:val="6F3F1D16"/>
    <w:rsid w:val="6F5F52F2"/>
    <w:rsid w:val="6F9456D5"/>
    <w:rsid w:val="702657B6"/>
    <w:rsid w:val="706529C9"/>
    <w:rsid w:val="713735FA"/>
    <w:rsid w:val="726314FE"/>
    <w:rsid w:val="727232E0"/>
    <w:rsid w:val="72892CF6"/>
    <w:rsid w:val="72A67E0C"/>
    <w:rsid w:val="73295B43"/>
    <w:rsid w:val="733C7067"/>
    <w:rsid w:val="737F5BEF"/>
    <w:rsid w:val="738E4054"/>
    <w:rsid w:val="73CD5BCD"/>
    <w:rsid w:val="73E15DBE"/>
    <w:rsid w:val="73E9788B"/>
    <w:rsid w:val="740B14D9"/>
    <w:rsid w:val="741722D4"/>
    <w:rsid w:val="743659DB"/>
    <w:rsid w:val="74E07A33"/>
    <w:rsid w:val="74ED6C79"/>
    <w:rsid w:val="752343D5"/>
    <w:rsid w:val="752363B8"/>
    <w:rsid w:val="756038AD"/>
    <w:rsid w:val="75A16944"/>
    <w:rsid w:val="75BB63F1"/>
    <w:rsid w:val="760A7463"/>
    <w:rsid w:val="765E6498"/>
    <w:rsid w:val="76790A13"/>
    <w:rsid w:val="768A1DE3"/>
    <w:rsid w:val="769B7F2C"/>
    <w:rsid w:val="769E23BE"/>
    <w:rsid w:val="76AF73F6"/>
    <w:rsid w:val="77293AD0"/>
    <w:rsid w:val="778441D7"/>
    <w:rsid w:val="77BB2167"/>
    <w:rsid w:val="78095066"/>
    <w:rsid w:val="78315BCB"/>
    <w:rsid w:val="78A03CFD"/>
    <w:rsid w:val="78C31FDA"/>
    <w:rsid w:val="78F20AD1"/>
    <w:rsid w:val="78F319B2"/>
    <w:rsid w:val="799B6CE6"/>
    <w:rsid w:val="7A0E4D36"/>
    <w:rsid w:val="7A1C13E4"/>
    <w:rsid w:val="7A276F37"/>
    <w:rsid w:val="7AD20BEF"/>
    <w:rsid w:val="7B0E0737"/>
    <w:rsid w:val="7B454847"/>
    <w:rsid w:val="7B4F3EB9"/>
    <w:rsid w:val="7B5F061A"/>
    <w:rsid w:val="7B9372A3"/>
    <w:rsid w:val="7C4C7CA3"/>
    <w:rsid w:val="7C860402"/>
    <w:rsid w:val="7CBD36F6"/>
    <w:rsid w:val="7CDF340B"/>
    <w:rsid w:val="7D005557"/>
    <w:rsid w:val="7D0C2918"/>
    <w:rsid w:val="7D1E330A"/>
    <w:rsid w:val="7D351003"/>
    <w:rsid w:val="7D4170B0"/>
    <w:rsid w:val="7D91125D"/>
    <w:rsid w:val="7D9D5E9E"/>
    <w:rsid w:val="7DA04C82"/>
    <w:rsid w:val="7E237953"/>
    <w:rsid w:val="7E7B667B"/>
    <w:rsid w:val="7E815F76"/>
    <w:rsid w:val="7ED10F64"/>
    <w:rsid w:val="7EE73F0F"/>
    <w:rsid w:val="7F0406A8"/>
    <w:rsid w:val="7F1C102F"/>
    <w:rsid w:val="7F72320C"/>
    <w:rsid w:val="7FCD250F"/>
    <w:rsid w:val="7FE62C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B893748-0A9C-4535-8C9F-7773D5D08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qFormat="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both"/>
    </w:pPr>
    <w:rPr>
      <w:rFonts w:eastAsia="等线"/>
      <w:sz w:val="24"/>
      <w:szCs w:val="24"/>
      <w:lang w:eastAsia="ko-KR"/>
    </w:rPr>
  </w:style>
  <w:style w:type="paragraph" w:styleId="Heading1">
    <w:name w:val="heading 1"/>
    <w:next w:val="Normal"/>
    <w:uiPriority w:val="9"/>
    <w:qFormat/>
    <w:pPr>
      <w:keepNext/>
      <w:keepLines/>
      <w:numPr>
        <w:numId w:val="1"/>
      </w:numPr>
      <w:tabs>
        <w:tab w:val="left" w:pos="0"/>
        <w:tab w:val="left" w:pos="426"/>
      </w:tabs>
      <w:suppressAutoHyphens/>
      <w:overflowPunct w:val="0"/>
      <w:autoSpaceDE w:val="0"/>
      <w:autoSpaceDN w:val="0"/>
      <w:spacing w:before="360" w:after="120" w:line="288" w:lineRule="auto"/>
      <w:jc w:val="both"/>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等线 Light"/>
      <w:sz w:val="28"/>
      <w:szCs w:val="26"/>
    </w:rPr>
  </w:style>
  <w:style w:type="paragraph" w:styleId="Heading3">
    <w:name w:val="heading 3"/>
    <w:basedOn w:val="Normal"/>
    <w:next w:val="Normal"/>
    <w:uiPriority w:val="9"/>
    <w:qFormat/>
    <w:pPr>
      <w:keepNext/>
      <w:keepLines/>
      <w:spacing w:before="40"/>
      <w:outlineLvl w:val="2"/>
    </w:pPr>
    <w:rPr>
      <w:rFonts w:eastAsia="等线 Light"/>
      <w:color w:val="000000"/>
    </w:rPr>
  </w:style>
  <w:style w:type="paragraph" w:styleId="Heading4">
    <w:name w:val="heading 4"/>
    <w:basedOn w:val="Normal"/>
    <w:next w:val="Normal"/>
    <w:link w:val="Heading4Char"/>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semiHidden/>
    <w:unhideWhenUsed/>
    <w:qFormat/>
    <w:pPr>
      <w:ind w:left="849" w:hanging="283"/>
      <w:contextualSpacing/>
    </w:pPr>
  </w:style>
  <w:style w:type="paragraph" w:styleId="Caption">
    <w:name w:val="caption"/>
    <w:basedOn w:val="Normal"/>
    <w:next w:val="Normal"/>
    <w:qFormat/>
    <w:pPr>
      <w:widowControl w:val="0"/>
      <w:wordWrap w:val="0"/>
      <w:autoSpaceDE w:val="0"/>
      <w:spacing w:line="256" w:lineRule="auto"/>
    </w:pPr>
    <w:rPr>
      <w:b/>
      <w:bCs/>
      <w:kern w:val="3"/>
      <w:sz w:val="20"/>
      <w:szCs w:val="20"/>
    </w:rPr>
  </w:style>
  <w:style w:type="paragraph" w:styleId="DocumentMap">
    <w:name w:val="Document Map"/>
    <w:basedOn w:val="Normal"/>
    <w:qFormat/>
    <w:rPr>
      <w:rFonts w:ascii="宋体" w:eastAsia="宋体" w:hAnsi="宋体"/>
      <w:sz w:val="18"/>
      <w:szCs w:val="18"/>
    </w:rPr>
  </w:style>
  <w:style w:type="paragraph" w:styleId="CommentText">
    <w:name w:val="annotation text"/>
    <w:basedOn w:val="Normal"/>
    <w:link w:val="CommentTextChar"/>
    <w:uiPriority w:val="99"/>
    <w:qFormat/>
    <w:rPr>
      <w:rFonts w:eastAsia="宋体"/>
      <w:sz w:val="20"/>
      <w:szCs w:val="20"/>
      <w:lang w:eastAsia="en-US"/>
    </w:rPr>
  </w:style>
  <w:style w:type="paragraph" w:styleId="BodyText">
    <w:name w:val="Body Text"/>
    <w:basedOn w:val="Normal"/>
    <w:qFormat/>
    <w:pPr>
      <w:spacing w:after="120"/>
    </w:pPr>
  </w:style>
  <w:style w:type="paragraph" w:styleId="List2">
    <w:name w:val="List 2"/>
    <w:basedOn w:val="List"/>
    <w:semiHidden/>
    <w:unhideWhenUsed/>
    <w:qFormat/>
    <w:pPr>
      <w:ind w:left="566"/>
      <w:contextualSpacing/>
    </w:pPr>
  </w:style>
  <w:style w:type="paragraph" w:styleId="List">
    <w:name w:val="List"/>
    <w:basedOn w:val="Normal"/>
    <w:qFormat/>
    <w:pPr>
      <w:ind w:left="283" w:hanging="283"/>
    </w:pPr>
  </w:style>
  <w:style w:type="paragraph" w:styleId="BalloonText">
    <w:name w:val="Balloon Text"/>
    <w:basedOn w:val="Normal"/>
    <w:qFormat/>
    <w:rPr>
      <w:rFonts w:ascii="Segoe UI" w:eastAsia="宋体" w:hAnsi="Segoe UI" w:cs="Segoe UI"/>
      <w:sz w:val="18"/>
      <w:szCs w:val="18"/>
      <w:lang w:eastAsia="en-US"/>
    </w:rPr>
  </w:style>
  <w:style w:type="paragraph" w:styleId="Footer">
    <w:name w:val="footer"/>
    <w:basedOn w:val="Normal"/>
    <w:qFormat/>
    <w:pPr>
      <w:tabs>
        <w:tab w:val="center" w:pos="4153"/>
        <w:tab w:val="right" w:pos="8306"/>
      </w:tabs>
      <w:snapToGrid w:val="0"/>
    </w:pPr>
    <w:rPr>
      <w:rFonts w:eastAsia="宋体"/>
      <w:sz w:val="18"/>
      <w:szCs w:val="18"/>
      <w:lang w:eastAsia="en-US"/>
    </w:rPr>
  </w:style>
  <w:style w:type="paragraph" w:styleId="Header">
    <w:name w:val="header"/>
    <w:basedOn w:val="Normal"/>
    <w:qFormat/>
    <w:pPr>
      <w:pBdr>
        <w:bottom w:val="single" w:sz="6" w:space="1" w:color="000000"/>
      </w:pBdr>
      <w:tabs>
        <w:tab w:val="center" w:pos="4153"/>
        <w:tab w:val="right" w:pos="8306"/>
      </w:tabs>
      <w:snapToGrid w:val="0"/>
      <w:jc w:val="center"/>
    </w:pPr>
    <w:rPr>
      <w:rFonts w:eastAsia="宋体"/>
      <w:sz w:val="18"/>
      <w:szCs w:val="18"/>
      <w:lang w:eastAsia="en-US"/>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table" w:styleId="TableGrid">
    <w:name w:val="Table Grid"/>
    <w:basedOn w:val="TableNormal"/>
    <w:uiPriority w:val="39"/>
    <w:qFormat/>
    <w:rPr>
      <w:rFonts w:ascii="等线" w:hAnsi="等线" w:cs="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character" w:styleId="Hyperlink">
    <w:name w:val="Hyperlink"/>
    <w:basedOn w:val="DefaultParagraphFont"/>
    <w:uiPriority w:val="99"/>
    <w:qFormat/>
    <w:rPr>
      <w:color w:val="0563C1"/>
      <w:u w:val="single"/>
    </w:rPr>
  </w:style>
  <w:style w:type="character" w:styleId="CommentReference">
    <w:name w:val="annotation reference"/>
    <w:basedOn w:val="DefaultParagraphFont"/>
    <w:uiPriority w:val="99"/>
    <w:qFormat/>
    <w:rPr>
      <w:sz w:val="16"/>
      <w:szCs w:val="16"/>
    </w:rPr>
  </w:style>
  <w:style w:type="character" w:customStyle="1" w:styleId="a">
    <w:name w:val="批注框文本 字符"/>
    <w:basedOn w:val="DefaultParagraphFont"/>
    <w:qFormat/>
    <w:rPr>
      <w:rFonts w:ascii="Segoe UI" w:hAnsi="Segoe UI" w:cs="Segoe UI"/>
      <w:sz w:val="18"/>
      <w:szCs w:val="18"/>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목록 단락,B"/>
    <w:basedOn w:val="Normal"/>
    <w:link w:val="ListParagraphChar"/>
    <w:uiPriority w:val="34"/>
    <w:qFormat/>
    <w:pPr>
      <w:spacing w:line="256" w:lineRule="auto"/>
      <w:ind w:left="720"/>
    </w:pPr>
    <w:rPr>
      <w:rFonts w:eastAsia="宋体"/>
      <w:lang w:eastAsia="en-US"/>
    </w:rPr>
  </w:style>
  <w:style w:type="character" w:customStyle="1" w:styleId="a0">
    <w:name w:val="批注文字 字符"/>
    <w:basedOn w:val="DefaultParagraphFont"/>
    <w:qFormat/>
    <w:rPr>
      <w:sz w:val="20"/>
      <w:szCs w:val="20"/>
    </w:rPr>
  </w:style>
  <w:style w:type="character" w:customStyle="1" w:styleId="a1">
    <w:name w:val="批注主题 字符"/>
    <w:basedOn w:val="a0"/>
    <w:qFormat/>
    <w:rPr>
      <w:b/>
      <w:bCs/>
      <w:sz w:val="20"/>
      <w:szCs w:val="20"/>
    </w:rPr>
  </w:style>
  <w:style w:type="character" w:customStyle="1" w:styleId="TALChar">
    <w:name w:val="TAL Char"/>
    <w:basedOn w:val="DefaultParagraphFont"/>
    <w:qFormat/>
    <w:rPr>
      <w:rFonts w:ascii="Arial" w:hAnsi="Arial" w:cs="Arial"/>
    </w:rPr>
  </w:style>
  <w:style w:type="paragraph" w:customStyle="1" w:styleId="TAL">
    <w:name w:val="TAL"/>
    <w:basedOn w:val="Normal"/>
    <w:link w:val="TALCar"/>
    <w:qFormat/>
    <w:pPr>
      <w:keepNext/>
    </w:pPr>
    <w:rPr>
      <w:rFonts w:ascii="Arial" w:hAnsi="Arial" w:cs="Arial"/>
    </w:rPr>
  </w:style>
  <w:style w:type="character" w:customStyle="1" w:styleId="TAHCar">
    <w:name w:val="TAH Car"/>
    <w:basedOn w:val="DefaultParagraphFont"/>
    <w:qFormat/>
    <w:rPr>
      <w:rFonts w:ascii="Arial" w:hAnsi="Arial" w:cs="Arial"/>
      <w:b/>
      <w:bCs/>
      <w:lang w:eastAsia="en-GB"/>
    </w:rPr>
  </w:style>
  <w:style w:type="paragraph" w:customStyle="1" w:styleId="TAH">
    <w:name w:val="TAH"/>
    <w:basedOn w:val="Normal"/>
    <w:qFormat/>
    <w:pPr>
      <w:keepNext/>
      <w:overflowPunct w:val="0"/>
      <w:autoSpaceDE w:val="0"/>
      <w:jc w:val="center"/>
    </w:pPr>
    <w:rPr>
      <w:rFonts w:ascii="Arial" w:hAnsi="Arial" w:cs="Arial"/>
      <w:b/>
      <w:bCs/>
      <w:lang w:eastAsia="en-GB"/>
    </w:rPr>
  </w:style>
  <w:style w:type="character" w:customStyle="1" w:styleId="a2">
    <w:name w:val="页眉 字符"/>
    <w:basedOn w:val="DefaultParagraphFont"/>
    <w:qFormat/>
    <w:rPr>
      <w:sz w:val="18"/>
      <w:szCs w:val="18"/>
    </w:rPr>
  </w:style>
  <w:style w:type="character" w:customStyle="1" w:styleId="a3">
    <w:name w:val="页脚 字符"/>
    <w:basedOn w:val="DefaultParagraphFont"/>
    <w:qFormat/>
    <w:rPr>
      <w:sz w:val="18"/>
      <w:szCs w:val="18"/>
    </w:rPr>
  </w:style>
  <w:style w:type="character" w:customStyle="1" w:styleId="a4">
    <w:name w:val="列表段落 字符"/>
    <w:basedOn w:val="DefaultParagraphFont"/>
    <w:qForma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paragraph" w:customStyle="1" w:styleId="paragraph">
    <w:name w:val="paragraph"/>
    <w:basedOn w:val="Normal"/>
    <w:qFormat/>
    <w:pPr>
      <w:spacing w:before="100" w:after="100"/>
    </w:pPr>
    <w:rPr>
      <w:rFonts w:eastAsia="Malgun Gothic"/>
      <w:lang w:eastAsia="en-US"/>
    </w:rPr>
  </w:style>
  <w:style w:type="paragraph" w:customStyle="1" w:styleId="1">
    <w:name w:val="修订1"/>
    <w:qFormat/>
    <w:pPr>
      <w:suppressAutoHyphens/>
      <w:autoSpaceDN w:val="0"/>
      <w:jc w:val="both"/>
      <w:textAlignment w:val="baseline"/>
    </w:pPr>
    <w:rPr>
      <w:rFonts w:ascii="Calibri" w:eastAsia="等线" w:hAnsi="Calibri"/>
      <w:sz w:val="22"/>
      <w:szCs w:val="22"/>
      <w:lang w:eastAsia="en-US"/>
    </w:rPr>
  </w:style>
  <w:style w:type="character" w:styleId="PlaceholderText">
    <w:name w:val="Placeholder Text"/>
    <w:basedOn w:val="DefaultParagraphFont"/>
    <w:qFormat/>
    <w:rPr>
      <w:color w:val="808080"/>
    </w:rPr>
  </w:style>
  <w:style w:type="character" w:customStyle="1" w:styleId="10">
    <w:name w:val="标题 1 字符"/>
    <w:basedOn w:val="DefaultParagraphFont"/>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qFormat/>
    <w:pPr>
      <w:spacing w:after="180" w:line="336" w:lineRule="auto"/>
      <w:ind w:firstLine="200"/>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paragraph" w:customStyle="1" w:styleId="proposal">
    <w:name w:val="proposal"/>
    <w:basedOn w:val="BodyText"/>
    <w:next w:val="Normal"/>
    <w:qFormat/>
    <w:pPr>
      <w:numPr>
        <w:numId w:val="2"/>
      </w:numPr>
    </w:pPr>
    <w:rPr>
      <w:rFonts w:eastAsia="宋体"/>
      <w:b/>
      <w:sz w:val="20"/>
      <w:szCs w:val="20"/>
      <w:lang w:eastAsia="zh-CN"/>
    </w:rPr>
  </w:style>
  <w:style w:type="paragraph" w:customStyle="1" w:styleId="bullet1">
    <w:name w:val="bullet1"/>
    <w:basedOn w:val="Normal"/>
    <w:qFormat/>
    <w:pPr>
      <w:spacing w:after="120"/>
    </w:pPr>
    <w:rPr>
      <w:rFonts w:eastAsia="宋体"/>
      <w:sz w:val="20"/>
      <w:lang w:eastAsia="zh-CN"/>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0">
    <w:name w:val="bullet1 字符"/>
    <w:qFormat/>
    <w:rPr>
      <w:rFonts w:ascii="Times New Roman" w:hAnsi="Times New Roman" w:cs="Times New Roman"/>
      <w:sz w:val="20"/>
      <w:szCs w:val="24"/>
      <w:lang w:eastAsia="zh-CN"/>
    </w:rPr>
  </w:style>
  <w:style w:type="paragraph" w:customStyle="1" w:styleId="bullet2">
    <w:name w:val="bullet2"/>
    <w:basedOn w:val="bullet1"/>
    <w:qFormat/>
    <w:pPr>
      <w:ind w:left="1440" w:hanging="360"/>
    </w:pPr>
  </w:style>
  <w:style w:type="paragraph" w:customStyle="1" w:styleId="bullet3">
    <w:name w:val="bullet3"/>
    <w:basedOn w:val="bullet1"/>
    <w:qFormat/>
    <w:pPr>
      <w:numPr>
        <w:numId w:val="3"/>
      </w:numPr>
      <w:tabs>
        <w:tab w:val="left" w:pos="360"/>
      </w:tabs>
    </w:pPr>
  </w:style>
  <w:style w:type="character" w:customStyle="1" w:styleId="a5">
    <w:name w:val="正文文本 字符"/>
    <w:basedOn w:val="DefaultParagraphFont"/>
    <w:qFormat/>
    <w:rPr>
      <w:rFonts w:ascii="Calibri" w:eastAsia="等线" w:hAnsi="Calibri" w:cs="Calibri"/>
      <w:lang w:eastAsia="ko-KR"/>
    </w:rPr>
  </w:style>
  <w:style w:type="character" w:customStyle="1" w:styleId="bullet20">
    <w:name w:val="bullet2 字符"/>
    <w:basedOn w:val="bullet10"/>
    <w:qFormat/>
    <w:rPr>
      <w:rFonts w:ascii="Times New Roman" w:hAnsi="Times New Roman" w:cs="Times New Roman"/>
      <w:sz w:val="20"/>
      <w:szCs w:val="24"/>
      <w:lang w:eastAsia="zh-CN"/>
    </w:r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qFormat/>
    <w:pPr>
      <w:spacing w:before="120" w:after="120" w:line="264" w:lineRule="auto"/>
    </w:pPr>
    <w:rPr>
      <w:rFonts w:eastAsia="宋体"/>
      <w:b/>
      <w:bCs/>
      <w:i/>
      <w:iCs/>
      <w:sz w:val="20"/>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paragraph" w:customStyle="1" w:styleId="00Text">
    <w:name w:val="00_Text"/>
    <w:basedOn w:val="Normal"/>
    <w:qFormat/>
    <w:pPr>
      <w:spacing w:before="120" w:after="120" w:line="264" w:lineRule="auto"/>
    </w:pPr>
    <w:rPr>
      <w:rFonts w:eastAsia="宋体"/>
      <w:sz w:val="20"/>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paragraph" w:customStyle="1" w:styleId="000proposals">
    <w:name w:val="000_proposals"/>
    <w:basedOn w:val="00Text"/>
    <w:qFormat/>
    <w:pPr>
      <w:spacing w:before="0" w:line="240" w:lineRule="auto"/>
    </w:pPr>
    <w:rPr>
      <w:b/>
      <w:bCs/>
      <w:i/>
      <w:iCs/>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paragraph" w:customStyle="1" w:styleId="LGTdoc">
    <w:name w:val="LGTdoc_본문"/>
    <w:basedOn w:val="Normal"/>
    <w:qFormat/>
    <w:pPr>
      <w:widowControl w:val="0"/>
      <w:autoSpaceDE w:val="0"/>
      <w:snapToGrid w:val="0"/>
      <w:spacing w:before="120" w:line="264" w:lineRule="auto"/>
    </w:pPr>
    <w:rPr>
      <w:rFonts w:eastAsia="Batang"/>
      <w:kern w:val="3"/>
      <w:lang w:val="en-GB"/>
    </w:rPr>
  </w:style>
  <w:style w:type="character" w:customStyle="1" w:styleId="LGTdocChar">
    <w:name w:val="LGTdoc_본문 Char"/>
    <w:qFormat/>
    <w:rPr>
      <w:rFonts w:ascii="Times New Roman" w:eastAsia="Batang" w:hAnsi="Times New Roman" w:cs="Times New Roman"/>
      <w:kern w:val="3"/>
      <w:szCs w:val="24"/>
      <w:lang w:val="en-GB" w:eastAsia="ko-KR"/>
    </w:rPr>
  </w:style>
  <w:style w:type="paragraph" w:customStyle="1" w:styleId="0Maintext">
    <w:name w:val="0 Main text"/>
    <w:basedOn w:val="Normal"/>
    <w:qFormat/>
    <w:pPr>
      <w:spacing w:after="100" w:line="288" w:lineRule="auto"/>
      <w:ind w:firstLine="360"/>
    </w:pPr>
    <w:rPr>
      <w:rFonts w:eastAsia="Times New Roman" w:cs="Batang"/>
      <w:sz w:val="20"/>
      <w:szCs w:val="20"/>
      <w:lang w:val="en-GB" w:eastAsia="en-US"/>
    </w:rPr>
  </w:style>
  <w:style w:type="character" w:customStyle="1" w:styleId="0MaintextChar">
    <w:name w:val="0 Main text Char"/>
    <w:basedOn w:val="DefaultParagraphFont"/>
    <w:qFormat/>
    <w:rPr>
      <w:rFonts w:ascii="Times New Roman" w:eastAsia="Times New Roman" w:hAnsi="Times New Roman" w:cs="Batang"/>
      <w:sz w:val="20"/>
      <w:szCs w:val="20"/>
      <w:lang w:val="en-GB"/>
    </w:rPr>
  </w:style>
  <w:style w:type="paragraph" w:customStyle="1" w:styleId="LGTdoc1">
    <w:name w:val="LGTdoc_제목1"/>
    <w:basedOn w:val="Normal"/>
    <w:qFormat/>
    <w:pPr>
      <w:snapToGrid w:val="0"/>
      <w:spacing w:after="100"/>
    </w:pPr>
    <w:rPr>
      <w:rFonts w:eastAsia="Batang"/>
      <w:b/>
      <w:sz w:val="28"/>
      <w:szCs w:val="20"/>
      <w:lang w:val="en-GB"/>
    </w:rPr>
  </w:style>
  <w:style w:type="paragraph" w:customStyle="1" w:styleId="Proposal0">
    <w:name w:val="Proposal"/>
    <w:basedOn w:val="BodyText"/>
    <w:qFormat/>
    <w:pPr>
      <w:numPr>
        <w:numId w:val="4"/>
      </w:numPr>
      <w:tabs>
        <w:tab w:val="left" w:pos="0"/>
        <w:tab w:val="left" w:pos="397"/>
      </w:tabs>
      <w:overflowPunct w:val="0"/>
      <w:autoSpaceDE w:val="0"/>
    </w:pPr>
    <w:rPr>
      <w:rFonts w:eastAsia="Times New Roman"/>
      <w:b/>
      <w:bCs/>
      <w:sz w:val="20"/>
      <w:szCs w:val="20"/>
      <w:lang w:val="en-GB" w:eastAsia="zh-CN"/>
    </w:rPr>
  </w:style>
  <w:style w:type="paragraph" w:customStyle="1" w:styleId="2">
    <w:name w:val="列出段落2"/>
    <w:basedOn w:val="Normal"/>
    <w:uiPriority w:val="34"/>
    <w:qFormat/>
    <w:pPr>
      <w:spacing w:after="200" w:line="276" w:lineRule="auto"/>
      <w:ind w:firstLine="420"/>
    </w:pPr>
    <w:rPr>
      <w:rFonts w:eastAsia="t"/>
      <w:sz w:val="20"/>
      <w:lang w:eastAsia="zh-CN"/>
    </w:rPr>
  </w:style>
  <w:style w:type="character" w:customStyle="1" w:styleId="a6">
    <w:name w:val="题注 字符"/>
    <w:qFormat/>
    <w:rPr>
      <w:rFonts w:eastAsia="等线"/>
      <w:b/>
      <w:bCs/>
      <w:kern w:val="3"/>
      <w:sz w:val="20"/>
      <w:szCs w:val="20"/>
      <w:lang w:eastAsia="ko-KR"/>
    </w:rPr>
  </w:style>
  <w:style w:type="character" w:customStyle="1" w:styleId="msoins2">
    <w:name w:val="msoins2"/>
    <w:qFormat/>
  </w:style>
  <w:style w:type="character" w:customStyle="1" w:styleId="a7">
    <w:name w:val="清單段落 字元"/>
    <w:basedOn w:val="DefaultParagraphFont"/>
    <w:uiPriority w:val="34"/>
    <w:qFormat/>
    <w:rPr>
      <w:rFonts w:ascii="Calibri" w:hAnsi="Calibri" w:cs="Calibri"/>
    </w:rPr>
  </w:style>
  <w:style w:type="character" w:customStyle="1" w:styleId="20">
    <w:name w:val="标题 2 字符"/>
    <w:basedOn w:val="DefaultParagraphFont"/>
    <w:qFormat/>
    <w:rPr>
      <w:rFonts w:ascii="Times New Roman" w:eastAsia="等线 Light" w:hAnsi="Times New Roman" w:cs="Times New Roman"/>
      <w:sz w:val="28"/>
      <w:szCs w:val="26"/>
      <w:lang w:eastAsia="zh-TW"/>
    </w:rPr>
  </w:style>
  <w:style w:type="paragraph" w:styleId="NoSpacing">
    <w:name w:val="No Spacing"/>
    <w:qFormat/>
    <w:pPr>
      <w:suppressAutoHyphens/>
      <w:autoSpaceDN w:val="0"/>
      <w:jc w:val="both"/>
      <w:textAlignment w:val="baseline"/>
    </w:pPr>
    <w:rPr>
      <w:rFonts w:ascii="Calibri" w:eastAsia="PMingLiU" w:hAnsi="Calibri" w:cs="Calibri"/>
      <w:sz w:val="22"/>
      <w:szCs w:val="22"/>
      <w:lang w:eastAsia="zh-TW"/>
    </w:rPr>
  </w:style>
  <w:style w:type="character" w:customStyle="1" w:styleId="3">
    <w:name w:val="标题 3 字符"/>
    <w:basedOn w:val="DefaultParagraphFont"/>
    <w:qFormat/>
    <w:rPr>
      <w:rFonts w:ascii="Times New Roman" w:eastAsia="等线 Light" w:hAnsi="Times New Roman" w:cs="Times New Roman"/>
      <w:color w:val="000000"/>
      <w:sz w:val="24"/>
      <w:szCs w:val="24"/>
      <w:lang w:eastAsia="zh-TW"/>
    </w:rPr>
  </w:style>
  <w:style w:type="character" w:customStyle="1" w:styleId="a8">
    <w:name w:val="文档结构图 字符"/>
    <w:basedOn w:val="DefaultParagraphFont"/>
    <w:qFormat/>
    <w:rPr>
      <w:rFonts w:ascii="宋体" w:hAnsi="宋体" w:cs="Calibri"/>
      <w:sz w:val="18"/>
      <w:szCs w:val="18"/>
      <w:lang w:eastAsia="zh-TW"/>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style>
  <w:style w:type="character" w:customStyle="1" w:styleId="apple-converted-space">
    <w:name w:val="apple-converted-space"/>
    <w:basedOn w:val="DefaultParagraphFont"/>
    <w:qFormat/>
  </w:style>
  <w:style w:type="paragraph" w:customStyle="1" w:styleId="B1">
    <w:name w:val="B1"/>
    <w:basedOn w:val="List"/>
    <w:link w:val="B1Zchn"/>
    <w:qFormat/>
    <w:pPr>
      <w:spacing w:after="180"/>
      <w:ind w:left="568" w:hanging="284"/>
    </w:pPr>
    <w:rPr>
      <w:rFonts w:eastAsia="Times New Roman"/>
      <w:sz w:val="20"/>
      <w:szCs w:val="20"/>
      <w:lang w:eastAsia="en-US"/>
    </w:rPr>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DefaultParagraphFont"/>
    <w:qFormat/>
  </w:style>
  <w:style w:type="paragraph" w:customStyle="1" w:styleId="xmsonormal">
    <w:name w:val="x_msonormal"/>
    <w:basedOn w:val="Normal"/>
    <w:uiPriority w:val="99"/>
    <w:qFormat/>
    <w:rPr>
      <w:rFonts w:ascii="Calibri" w:hAnsi="Calibri" w:cs="Calibri"/>
      <w:sz w:val="22"/>
      <w:szCs w:val="22"/>
    </w:rPr>
  </w:style>
  <w:style w:type="character" w:customStyle="1" w:styleId="xapple-converted-space">
    <w:name w:val="x_apple-converted-space"/>
    <w:basedOn w:val="DefaultParagraphFont"/>
    <w:qFormat/>
  </w:style>
  <w:style w:type="character" w:customStyle="1" w:styleId="TALCar">
    <w:name w:val="TAL Car"/>
    <w:basedOn w:val="DefaultParagraphFont"/>
    <w:link w:val="TAL"/>
    <w:qFormat/>
    <w:rPr>
      <w:rFonts w:ascii="Arial" w:hAnsi="Arial" w:cs="Arial"/>
      <w:sz w:val="24"/>
      <w:szCs w:val="24"/>
      <w:lang w:eastAsia="ko-KR"/>
    </w:rPr>
  </w:style>
  <w:style w:type="character" w:customStyle="1" w:styleId="B1Char1">
    <w:name w:val="B1 Char1"/>
    <w:qFormat/>
    <w:rPr>
      <w:rFonts w:eastAsia="Times New Roman"/>
    </w:rPr>
  </w:style>
  <w:style w:type="paragraph" w:customStyle="1" w:styleId="table">
    <w:name w:val="table"/>
    <w:basedOn w:val="Normal"/>
    <w:next w:val="Normal"/>
    <w:link w:val="table0"/>
    <w:qFormat/>
    <w:pPr>
      <w:numPr>
        <w:numId w:val="5"/>
      </w:numPr>
      <w:spacing w:after="120"/>
      <w:jc w:val="center"/>
    </w:pPr>
    <w:rPr>
      <w:rFonts w:eastAsiaTheme="minorEastAsia"/>
      <w:sz w:val="20"/>
      <w:lang w:eastAsia="zh-CN"/>
    </w:rPr>
  </w:style>
  <w:style w:type="character" w:customStyle="1" w:styleId="table0">
    <w:name w:val="table 字符"/>
    <w:basedOn w:val="DefaultParagraphFont"/>
    <w:link w:val="table"/>
    <w:qFormat/>
    <w:rPr>
      <w:rFonts w:ascii="Times New Roman" w:eastAsiaTheme="minorEastAsia" w:hAnsi="Times New Roman"/>
      <w:szCs w:val="24"/>
    </w:rPr>
  </w:style>
  <w:style w:type="paragraph" w:customStyle="1" w:styleId="B2">
    <w:name w:val="B2"/>
    <w:basedOn w:val="List2"/>
    <w:link w:val="B2Char"/>
    <w:qFormat/>
    <w:pPr>
      <w:overflowPunct w:val="0"/>
      <w:autoSpaceDE w:val="0"/>
      <w:autoSpaceDN w:val="0"/>
      <w:adjustRightInd w:val="0"/>
      <w:spacing w:after="180"/>
      <w:ind w:left="851" w:hanging="284"/>
      <w:contextualSpacing w:val="0"/>
      <w:textAlignment w:val="baseline"/>
    </w:pPr>
    <w:rPr>
      <w:rFonts w:eastAsia="Times New Roman"/>
      <w:sz w:val="20"/>
      <w:szCs w:val="20"/>
      <w:lang w:val="en-GB" w:eastAsia="ja-JP"/>
    </w:rPr>
  </w:style>
  <w:style w:type="character" w:customStyle="1" w:styleId="B2Char">
    <w:name w:val="B2 Char"/>
    <w:link w:val="B2"/>
    <w:qFormat/>
    <w:rPr>
      <w:rFonts w:ascii="Times New Roman" w:eastAsia="Times New Roman" w:hAnsi="Times New Roman"/>
      <w:lang w:val="en-GB" w:eastAsia="ja-JP"/>
    </w:rPr>
  </w:style>
  <w:style w:type="paragraph" w:customStyle="1" w:styleId="B3">
    <w:name w:val="B3"/>
    <w:basedOn w:val="List3"/>
    <w:link w:val="B3Char2"/>
    <w:qFormat/>
    <w:pPr>
      <w:overflowPunct w:val="0"/>
      <w:autoSpaceDE w:val="0"/>
      <w:autoSpaceDN w:val="0"/>
      <w:adjustRightInd w:val="0"/>
      <w:spacing w:after="180"/>
      <w:ind w:left="1135" w:hanging="284"/>
      <w:contextualSpacing w:val="0"/>
      <w:textAlignment w:val="baseline"/>
    </w:pPr>
    <w:rPr>
      <w:rFonts w:eastAsia="Times New Roman"/>
      <w:sz w:val="20"/>
      <w:szCs w:val="20"/>
      <w:lang w:val="en-GB" w:eastAsia="ja-JP"/>
    </w:rPr>
  </w:style>
  <w:style w:type="character" w:customStyle="1" w:styleId="B3Char2">
    <w:name w:val="B3 Char2"/>
    <w:link w:val="B3"/>
    <w:qFormat/>
    <w:rPr>
      <w:rFonts w:ascii="Times New Roman" w:eastAsia="Times New Roman" w:hAnsi="Times New Roman"/>
      <w:lang w:val="en-GB" w:eastAsia="ja-JP"/>
    </w:rPr>
  </w:style>
  <w:style w:type="paragraph" w:customStyle="1" w:styleId="Doc-text2">
    <w:name w:val="Doc-text2"/>
    <w:basedOn w:val="Normal"/>
    <w:link w:val="Doc-text2Char"/>
    <w:qFormat/>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4Char">
    <w:name w:val="Heading 4 Char"/>
    <w:basedOn w:val="DefaultParagraphFont"/>
    <w:link w:val="Heading4"/>
    <w:semiHidden/>
    <w:qFormat/>
    <w:rPr>
      <w:rFonts w:asciiTheme="majorHAnsi" w:eastAsiaTheme="majorEastAsia" w:hAnsiTheme="majorHAnsi" w:cstheme="majorBidi"/>
      <w:i/>
      <w:iCs/>
      <w:color w:val="365F91" w:themeColor="accent1" w:themeShade="BF"/>
      <w:sz w:val="24"/>
      <w:szCs w:val="24"/>
      <w:lang w:eastAsia="ko-KR"/>
    </w:rPr>
  </w:style>
  <w:style w:type="paragraph" w:customStyle="1" w:styleId="11">
    <w:name w:val="正文1"/>
    <w:qFormat/>
    <w:pPr>
      <w:spacing w:before="100" w:beforeAutospacing="1" w:after="180"/>
      <w:jc w:val="both"/>
    </w:pPr>
    <w:rPr>
      <w:sz w:val="24"/>
      <w:szCs w:val="24"/>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eastAsia="Times New Roman" w:hAnsi="Arial"/>
      <w:b/>
      <w:sz w:val="20"/>
      <w:szCs w:val="20"/>
      <w:lang w:val="en-GB" w:eastAsia="ja-JP"/>
    </w:rPr>
  </w:style>
  <w:style w:type="character" w:customStyle="1" w:styleId="THChar">
    <w:name w:val="TH Char"/>
    <w:link w:val="TH"/>
    <w:qFormat/>
    <w:rPr>
      <w:rFonts w:ascii="Arial" w:eastAsia="Times New Roman" w:hAnsi="Arial"/>
      <w:b/>
      <w:lang w:val="en-GB" w:eastAsia="ja-JP"/>
    </w:rPr>
  </w:style>
  <w:style w:type="paragraph" w:customStyle="1" w:styleId="xxxmsonormal">
    <w:name w:val="x_xxmsonormal"/>
    <w:basedOn w:val="Normal"/>
    <w:uiPriority w:val="99"/>
    <w:qFormat/>
    <w:rPr>
      <w:rFonts w:eastAsia="Malgun Gothic"/>
    </w:rPr>
  </w:style>
  <w:style w:type="paragraph" w:customStyle="1" w:styleId="12">
    <w:name w:val="수정1"/>
    <w:hidden/>
    <w:uiPriority w:val="99"/>
    <w:semiHidden/>
    <w:qFormat/>
    <w:pPr>
      <w:jc w:val="both"/>
    </w:pPr>
    <w:rPr>
      <w:rFonts w:eastAsia="等线"/>
      <w:sz w:val="24"/>
      <w:szCs w:val="24"/>
      <w:lang w:eastAsia="ko-KR"/>
    </w:rPr>
  </w:style>
  <w:style w:type="paragraph" w:customStyle="1" w:styleId="Agreement">
    <w:name w:val="Agreement"/>
    <w:basedOn w:val="Normal"/>
    <w:qFormat/>
    <w:pPr>
      <w:numPr>
        <w:numId w:val="6"/>
      </w:numPr>
      <w:spacing w:before="60"/>
    </w:pPr>
    <w:rPr>
      <w:rFonts w:ascii="Arial" w:eastAsia="宋体" w:hAnsi="Arial" w:cs="Arial"/>
      <w:b/>
      <w:bCs/>
      <w:sz w:val="20"/>
      <w:szCs w:val="20"/>
      <w:lang w:eastAsia="en-GB"/>
    </w:rPr>
  </w:style>
  <w:style w:type="character" w:customStyle="1" w:styleId="CommentTextChar">
    <w:name w:val="Comment Text Char"/>
    <w:link w:val="CommentText"/>
    <w:uiPriority w:val="99"/>
    <w:qFormat/>
    <w:rPr>
      <w:rFonts w:ascii="Times New Roman" w:eastAsia="宋体" w:hAnsi="Times New Roman"/>
      <w:lang w:eastAsia="en-US"/>
    </w:rPr>
  </w:style>
  <w:style w:type="character" w:customStyle="1" w:styleId="B10">
    <w:name w:val="B1 (文字)"/>
    <w:qFormat/>
    <w:locked/>
    <w:rPr>
      <w:rFonts w:ascii="Times New Roman" w:eastAsia="宋体" w:hAnsi="Times New Roman"/>
      <w:lang w:val="en-GB" w:eastAsia="en-US"/>
    </w:rPr>
  </w:style>
  <w:style w:type="paragraph" w:customStyle="1" w:styleId="B4">
    <w:name w:val="B4"/>
    <w:basedOn w:val="Normal"/>
    <w:qFormat/>
    <w:pPr>
      <w:spacing w:after="200" w:line="276" w:lineRule="auto"/>
      <w:ind w:left="1418" w:hanging="284"/>
    </w:pPr>
    <w:rPr>
      <w:rFonts w:eastAsia="t"/>
      <w:sz w:val="20"/>
      <w:szCs w:val="22"/>
      <w:lang w:eastAsia="zh-CN"/>
    </w:rPr>
  </w:style>
  <w:style w:type="paragraph" w:customStyle="1" w:styleId="References">
    <w:name w:val="References"/>
    <w:basedOn w:val="Normal"/>
    <w:qFormat/>
    <w:pPr>
      <w:numPr>
        <w:numId w:val="7"/>
      </w:numPr>
      <w:autoSpaceDE w:val="0"/>
      <w:autoSpaceDN w:val="0"/>
      <w:snapToGrid w:val="0"/>
      <w:spacing w:after="60"/>
    </w:pPr>
    <w:rPr>
      <w:rFonts w:eastAsiaTheme="minorEastAsia"/>
      <w:sz w:val="20"/>
      <w:szCs w:val="16"/>
      <w:lang w:eastAsia="en-US"/>
    </w:rPr>
  </w:style>
  <w:style w:type="character" w:customStyle="1" w:styleId="B1Char">
    <w:name w:val="B1 Char"/>
    <w:qFormat/>
    <w:locked/>
    <w:rPr>
      <w:rFonts w:eastAsia="宋体"/>
      <w:lang w:val="en-GB"/>
    </w:rPr>
  </w:style>
  <w:style w:type="paragraph" w:customStyle="1" w:styleId="Normal9pointspacing">
    <w:name w:val="Normal 9 point spacing"/>
    <w:basedOn w:val="BodyText"/>
    <w:link w:val="Normal9pointspacingChar"/>
    <w:qFormat/>
    <w:pPr>
      <w:spacing w:before="240" w:after="60"/>
    </w:pPr>
    <w:rPr>
      <w:rFonts w:eastAsia="MS Mincho"/>
      <w:sz w:val="20"/>
      <w:lang w:val="zh-CN" w:eastAsia="en-US"/>
    </w:rPr>
  </w:style>
  <w:style w:type="character" w:customStyle="1" w:styleId="Normal9pointspacingChar">
    <w:name w:val="Normal 9 point spacing Char"/>
    <w:link w:val="Normal9pointspacing"/>
    <w:qFormat/>
    <w:rPr>
      <w:rFonts w:ascii="Times New Roman" w:eastAsia="MS Mincho" w:hAnsi="Times New Roman"/>
      <w:szCs w:val="24"/>
      <w:lang w:val="zh-CN" w:eastAsia="en-US"/>
    </w:rPr>
  </w:style>
  <w:style w:type="paragraph" w:customStyle="1" w:styleId="21">
    <w:name w:val="正文2"/>
    <w:qFormat/>
    <w:pPr>
      <w:spacing w:before="100" w:beforeAutospacing="1" w:after="180"/>
      <w:jc w:val="both"/>
    </w:pPr>
    <w:rPr>
      <w:sz w:val="24"/>
      <w:szCs w:val="24"/>
    </w:rPr>
  </w:style>
  <w:style w:type="paragraph" w:customStyle="1" w:styleId="31">
    <w:name w:val="标题 31"/>
    <w:basedOn w:val="Normal"/>
    <w:next w:val="21"/>
    <w:qFormat/>
    <w:pPr>
      <w:keepNext/>
      <w:keepLines/>
      <w:widowControl w:val="0"/>
      <w:spacing w:before="120" w:after="180"/>
      <w:ind w:left="1134" w:hanging="1134"/>
      <w:outlineLvl w:val="2"/>
    </w:pPr>
    <w:rPr>
      <w:rFonts w:ascii="Arial" w:eastAsia="宋体" w:hAnsi="Arial"/>
      <w:sz w:val="28"/>
      <w:szCs w:val="28"/>
      <w:lang w:eastAsia="zh-CN"/>
    </w:rPr>
  </w:style>
  <w:style w:type="paragraph" w:customStyle="1" w:styleId="41">
    <w:name w:val="标题 41"/>
    <w:basedOn w:val="Normal"/>
    <w:next w:val="21"/>
    <w:qFormat/>
    <w:pPr>
      <w:keepNext/>
      <w:keepLines/>
      <w:widowControl w:val="0"/>
      <w:spacing w:before="120" w:after="180"/>
      <w:ind w:left="1418" w:hanging="1418"/>
      <w:outlineLvl w:val="3"/>
    </w:pPr>
    <w:rPr>
      <w:rFonts w:ascii="Arial" w:eastAsia="宋体" w:hAnsi="Arial"/>
      <w:lang w:eastAsia="zh-CN"/>
    </w:rPr>
  </w:style>
  <w:style w:type="paragraph" w:customStyle="1" w:styleId="tabletext">
    <w:name w:val="tabletext"/>
    <w:basedOn w:val="table"/>
    <w:qFormat/>
    <w:pPr>
      <w:numPr>
        <w:numId w:val="0"/>
      </w:numPr>
      <w:spacing w:after="0"/>
    </w:pPr>
  </w:style>
  <w:style w:type="paragraph" w:customStyle="1" w:styleId="EQ">
    <w:name w:val="EQ"/>
    <w:basedOn w:val="Normal"/>
    <w:next w:val="Normal"/>
    <w:uiPriority w:val="99"/>
    <w:qFormat/>
    <w:pPr>
      <w:keepLines/>
      <w:tabs>
        <w:tab w:val="center" w:pos="4536"/>
        <w:tab w:val="right" w:pos="9072"/>
      </w:tabs>
      <w:spacing w:after="180"/>
      <w:jc w:val="left"/>
    </w:pPr>
    <w:rPr>
      <w:rFonts w:eastAsia="Times New Roman"/>
      <w:sz w:val="20"/>
      <w:szCs w:val="20"/>
      <w:lang w:val="en-GB"/>
    </w:rPr>
  </w:style>
  <w:style w:type="paragraph" w:customStyle="1" w:styleId="NoSpacing1">
    <w:name w:val="No Spacing1"/>
    <w:uiPriority w:val="1"/>
    <w:qFormat/>
    <w:rPr>
      <w:sz w:val="22"/>
      <w:szCs w:val="22"/>
    </w:rPr>
  </w:style>
  <w:style w:type="paragraph" w:customStyle="1" w:styleId="06subTitle">
    <w:name w:val="06_subTitle"/>
    <w:basedOn w:val="Normal"/>
    <w:qFormat/>
    <w:rPr>
      <w:rFonts w:eastAsia="Times New Roman"/>
      <w:b/>
      <w:bCs/>
      <w:iCs/>
      <w:u w:val="single"/>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58283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javascript:voi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851CC47-5A4E-4942-89E4-1FD294943F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8</Pages>
  <Words>2783</Words>
  <Characters>15865</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ZTE-Bo</cp:lastModifiedBy>
  <cp:revision>22</cp:revision>
  <cp:lastPrinted>2021-10-06T09:28:00Z</cp:lastPrinted>
  <dcterms:created xsi:type="dcterms:W3CDTF">2022-05-13T01:03:00Z</dcterms:created>
  <dcterms:modified xsi:type="dcterms:W3CDTF">2022-05-21T23:13:00Z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TitusGUID">
    <vt:lpwstr>3061089c-032f-44c0-8202-3e2cc0418590</vt:lpwstr>
  </property>
  <property fmtid="{D5CDD505-2E9C-101B-9397-08002B2CF9AE}" pid="4" name="CTP_TimeStamp">
    <vt:lpwstr>2020-07-14 20:29:51Z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WM2f9f15c0d0334722af80d7498ae8a518">
    <vt:lpwstr>CWMW12znsIa+W3C4d+Gihblnqv8h7EL86GoNMv6vC1eWE8oSzu5QkOuRxx1GaxTS2vTS83ixeLjcj0tPiIsygdE/g==</vt:lpwstr>
  </property>
  <property fmtid="{D5CDD505-2E9C-101B-9397-08002B2CF9AE}" pid="10" name="ICV">
    <vt:lpwstr>39107aac2b5c4e9285512d64beed68aa</vt:lpwstr>
  </property>
  <property fmtid="{D5CDD505-2E9C-101B-9397-08002B2CF9AE}" pid="11" name="KSOProductBuildVer">
    <vt:lpwstr>2052-11.8.2.9022</vt:lpwstr>
  </property>
  <property fmtid="{D5CDD505-2E9C-101B-9397-08002B2CF9AE}" pid="12" name="_dlc_DocIdItemGuid">
    <vt:lpwstr>2a0960dd-9de2-4754-85bc-482db36a963d</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1651719057</vt:lpwstr>
  </property>
</Properties>
</file>