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bookmarkStart w:id="13" w:name="_GoBack"/>
      <w:bookmarkEnd w:id="13"/>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R1-220xxxx</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87303834"/>
      <w:bookmarkStart w:id="3" w:name="_Toc42034909"/>
      <w:bookmarkStart w:id="4" w:name="_Toc42211920"/>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游明朝"/>
          <w:lang w:eastAsia="ja-JP"/>
        </w:rPr>
      </w:pPr>
      <w:r>
        <w:rPr>
          <w:rFonts w:eastAsia="游明朝"/>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游明朝"/>
                <w:lang w:eastAsia="ja-JP"/>
              </w:rPr>
            </w:pPr>
            <w:r>
              <w:rPr>
                <w:rFonts w:eastAsia="游明朝"/>
                <w:lang w:eastAsia="ja-JP"/>
              </w:rPr>
              <w:t>Company</w:t>
            </w:r>
          </w:p>
        </w:tc>
        <w:tc>
          <w:tcPr>
            <w:tcW w:w="7830" w:type="dxa"/>
          </w:tcPr>
          <w:p>
            <w:pPr>
              <w:tabs>
                <w:tab w:val="left" w:pos="1410"/>
              </w:tabs>
              <w:spacing w:after="0"/>
              <w:rPr>
                <w:rFonts w:eastAsia="游明朝"/>
                <w:lang w:eastAsia="ja-JP"/>
              </w:rPr>
            </w:pPr>
            <w:r>
              <w:rPr>
                <w:rFonts w:eastAsia="游明朝"/>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游明朝"/>
                <w:lang w:eastAsia="ja-JP"/>
              </w:rPr>
            </w:pPr>
            <w:r>
              <w:rPr>
                <w:rFonts w:eastAsia="游明朝"/>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游明朝"/>
              </w:rPr>
            </w:pPr>
            <w:r>
              <w:rPr>
                <w:rFonts w:ascii="Times New Roman" w:hAnsi="Times New Roman" w:eastAsia="游明朝"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游明朝"/>
                <w:lang w:eastAsia="ja-JP"/>
              </w:rPr>
            </w:pPr>
            <w:r>
              <w:rPr>
                <w:rFonts w:eastAsia="游明朝"/>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游明朝"/>
                <w:lang w:eastAsia="ja-JP"/>
              </w:rPr>
            </w:pPr>
            <w:r>
              <w:rPr>
                <w:rFonts w:eastAsia="游明朝"/>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游明朝" w:cs="Times New Roman"/>
                <w:sz w:val="20"/>
                <w:szCs w:val="20"/>
              </w:rPr>
            </w:pPr>
            <w:r>
              <w:rPr>
                <w:rFonts w:ascii="Times New Roman" w:hAnsi="Times New Roman" w:eastAsia="游明朝" w:cs="Times New Roman"/>
                <w:sz w:val="20"/>
                <w:szCs w:val="20"/>
              </w:rPr>
              <w:t>Observation 1</w:t>
            </w:r>
            <w:r>
              <w:rPr>
                <w:rFonts w:ascii="Times New Roman" w:hAnsi="Times New Roman" w:eastAsia="游明朝" w:cs="Times New Roman"/>
                <w:sz w:val="20"/>
                <w:szCs w:val="20"/>
              </w:rPr>
              <w:tab/>
            </w:r>
            <w:r>
              <w:rPr>
                <w:rFonts w:ascii="Times New Roman" w:hAnsi="Times New Roman" w:eastAsia="游明朝"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游明朝"/>
              </w:rPr>
            </w:pPr>
            <w:r>
              <w:rPr>
                <w:rFonts w:ascii="Times New Roman" w:hAnsi="Times New Roman" w:eastAsia="游明朝" w:cs="Times New Roman"/>
                <w:sz w:val="20"/>
                <w:szCs w:val="20"/>
              </w:rPr>
              <w:t>Proposal 1</w:t>
            </w:r>
            <w:r>
              <w:rPr>
                <w:rFonts w:ascii="Times New Roman" w:hAnsi="Times New Roman" w:eastAsia="游明朝" w:cs="Times New Roman"/>
                <w:sz w:val="20"/>
                <w:szCs w:val="20"/>
              </w:rPr>
              <w:tab/>
            </w:r>
            <w:r>
              <w:rPr>
                <w:rFonts w:ascii="Times New Roman" w:hAnsi="Times New Roman" w:eastAsia="游明朝"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游明朝"/>
                <w:lang w:eastAsia="ja-JP"/>
              </w:rPr>
            </w:pPr>
            <w:r>
              <w:rPr>
                <w:rFonts w:eastAsia="游明朝"/>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游明朝"/>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游明朝" w:cs="Times New Roman"/>
                <w:sz w:val="20"/>
                <w:szCs w:val="20"/>
              </w:rPr>
            </w:pPr>
            <w:r>
              <w:rPr>
                <w:rFonts w:ascii="Times New Roman" w:hAnsi="Times New Roman" w:eastAsia="游明朝" w:cs="Times New Roman"/>
                <w:sz w:val="20"/>
                <w:szCs w:val="20"/>
              </w:rPr>
              <w:t>Proposal 2: The MsgA preambles for RedCap UEs can be separately ordered or unified ordered with those for non-RedCap UEs.</w:t>
            </w:r>
          </w:p>
        </w:tc>
      </w:tr>
    </w:tbl>
    <w:p>
      <w:pPr>
        <w:tabs>
          <w:tab w:val="left" w:pos="1410"/>
        </w:tabs>
        <w:spacing w:before="180"/>
        <w:rPr>
          <w:rFonts w:eastAsia="游明朝"/>
          <w:lang w:eastAsia="ja-JP"/>
        </w:rPr>
      </w:pPr>
    </w:p>
    <w:p>
      <w:pPr>
        <w:autoSpaceDE w:val="0"/>
        <w:autoSpaceDN w:val="0"/>
        <w:adjustRightInd w:val="0"/>
        <w:spacing w:after="0"/>
        <w:rPr>
          <w:lang w:val="en-US" w:eastAsia="zh-CN"/>
        </w:rPr>
      </w:pPr>
      <w:r>
        <w:rPr>
          <w:rFonts w:eastAsia="游明朝"/>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游明朝"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游明朝" w:cs="Times New Roman"/>
                <w:sz w:val="20"/>
                <w:szCs w:val="20"/>
              </w:rPr>
            </w:pPr>
            <w:r>
              <w:rPr>
                <w:rFonts w:ascii="Times New Roman" w:hAnsi="Times New Roman" w:eastAsia="游明朝"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游明朝" w:cs="Times New Roman"/>
                <w:sz w:val="20"/>
                <w:szCs w:val="20"/>
              </w:rPr>
            </w:pPr>
            <w:r>
              <w:rPr>
                <w:rFonts w:ascii="Times New Roman" w:hAnsi="Times New Roman" w:eastAsia="游明朝"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游明朝" w:cs="Times New Roman"/>
                <w:sz w:val="20"/>
                <w:szCs w:val="20"/>
              </w:rPr>
            </w:pPr>
            <w:r>
              <w:rPr>
                <w:rFonts w:ascii="Times New Roman" w:hAnsi="Times New Roman" w:eastAsia="游明朝"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游明朝" w:cs="Times New Roman"/>
                <w:sz w:val="20"/>
                <w:szCs w:val="20"/>
              </w:rPr>
            </w:pPr>
            <w:r>
              <w:rPr>
                <w:rFonts w:ascii="Times New Roman" w:hAnsi="Times New Roman" w:eastAsia="游明朝" w:cs="Times New Roman"/>
                <w:sz w:val="20"/>
                <w:szCs w:val="20"/>
              </w:rPr>
              <w:t>CMCC [10]</w:t>
            </w:r>
          </w:p>
          <w:p>
            <w:pPr>
              <w:autoSpaceDE w:val="0"/>
              <w:autoSpaceDN w:val="0"/>
              <w:adjustRightInd w:val="0"/>
              <w:spacing w:after="0"/>
              <w:ind w:left="-6"/>
              <w:rPr>
                <w:rFonts w:eastAsia="游明朝"/>
              </w:rPr>
            </w:pPr>
          </w:p>
        </w:tc>
        <w:tc>
          <w:tcPr>
            <w:tcW w:w="1260" w:type="dxa"/>
          </w:tcPr>
          <w:p>
            <w:pPr>
              <w:autoSpaceDE w:val="0"/>
              <w:autoSpaceDN w:val="0"/>
              <w:adjustRightInd w:val="0"/>
              <w:spacing w:after="0"/>
              <w:ind w:left="78"/>
              <w:rPr>
                <w:rFonts w:eastAsia="游明朝"/>
              </w:rPr>
            </w:pPr>
            <w:r>
              <w:rPr>
                <w:rFonts w:eastAsia="游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16"/>
        </w:numPr>
        <w:outlineLvl w:val="3"/>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Opt.1</w:t>
            </w:r>
          </w:p>
        </w:tc>
        <w:tc>
          <w:tcPr>
            <w:tcW w:w="6780" w:type="dxa"/>
          </w:tcPr>
          <w:p>
            <w:pPr>
              <w:rPr>
                <w:rFonts w:hint="default"/>
                <w:highlight w:val="none"/>
                <w:lang w:val="en-US"/>
              </w:rPr>
            </w:pPr>
            <w:r>
              <w:rPr>
                <w:rFonts w:hint="default"/>
                <w:highlight w:val="none"/>
                <w:lang w:val="en-US" w:eastAsia="zh-CN"/>
              </w:rPr>
              <w:t xml:space="preserve">For 2-step RACH, RAN1 has agreed </w:t>
            </w:r>
            <w:r>
              <w:rPr>
                <w:rFonts w:ascii="Times New Roman" w:hAnsi="Times New Roman" w:eastAsia="宋体" w:cs="Times New Roman"/>
                <w:szCs w:val="20"/>
                <w:highlight w:val="none"/>
                <w:lang w:val="en-GB" w:eastAsia="ja-JP" w:bidi="ar-SA"/>
              </w:rPr>
              <w:t>early indication of RedCap UEs</w:t>
            </w:r>
            <w:r>
              <w:rPr>
                <w:rFonts w:hint="default" w:cs="Times New Roman"/>
                <w:szCs w:val="20"/>
                <w:highlight w:val="none"/>
                <w:lang w:val="en-US" w:eastAsia="ja-JP" w:bidi="ar-SA"/>
              </w:rPr>
              <w:t xml:space="preserve"> through MsgA PRACH by </w:t>
            </w:r>
            <w:r>
              <w:rPr>
                <w:rFonts w:hint="default"/>
                <w:highlight w:val="none"/>
                <w:lang w:val="en-US" w:eastAsia="zh-CN"/>
              </w:rPr>
              <w:t xml:space="preserve">separate MsgA PRACH resource and MsgA PRACH preamble partitioning, which is aligned with the Msg.1 solutions of 4-step RACH. And also RAN2 has agreed to support </w:t>
            </w:r>
            <w:r>
              <w:rPr>
                <w:highlight w:val="none"/>
              </w:rPr>
              <w:t>dedicated LCID</w:t>
            </w:r>
            <w:r>
              <w:rPr>
                <w:rFonts w:hint="default"/>
                <w:highlight w:val="none"/>
                <w:lang w:val="en-US"/>
              </w:rPr>
              <w:t xml:space="preserve"> for </w:t>
            </w:r>
            <w:r>
              <w:rPr>
                <w:highlight w:val="none"/>
              </w:rPr>
              <w:t>MsgA early identification</w:t>
            </w:r>
            <w:r>
              <w:rPr>
                <w:rFonts w:hint="default"/>
                <w:highlight w:val="none"/>
                <w:lang w:val="en-US"/>
              </w:rPr>
              <w:t xml:space="preserve">, which is aligned with </w:t>
            </w:r>
            <w:r>
              <w:rPr>
                <w:highlight w:val="none"/>
              </w:rPr>
              <w:t>Msg3 early identification solution</w:t>
            </w:r>
            <w:r>
              <w:rPr>
                <w:rFonts w:hint="default"/>
                <w:highlight w:val="none"/>
                <w:lang w:val="en-US"/>
              </w:rPr>
              <w:t xml:space="preserve"> for 4-step RACH. With such agreements, the early indication has been well realized for 2-step RACH, either by PRACH part or PUSCH part. </w:t>
            </w:r>
          </w:p>
          <w:p>
            <w:pPr>
              <w:rPr>
                <w:rFonts w:hint="default"/>
                <w:highlight w:val="none"/>
                <w:lang w:val="en-US" w:eastAsia="zh-CN"/>
              </w:rPr>
            </w:pPr>
            <w:r>
              <w:rPr>
                <w:rFonts w:hint="default"/>
                <w:highlight w:val="none"/>
                <w:lang w:val="en-US" w:eastAsia="zh-CN"/>
              </w:rPr>
              <w:t xml:space="preserve">We also wonder how </w:t>
            </w:r>
            <w:r>
              <w:rPr>
                <w:rFonts w:hint="default"/>
                <w:highlight w:val="none"/>
                <w:lang w:val="en-US"/>
              </w:rPr>
              <w:t>dedicated PUSCH resource configuration only can realize early identification.</w:t>
            </w:r>
          </w:p>
        </w:tc>
      </w:tr>
    </w:tbl>
    <w:p>
      <w:pPr>
        <w:autoSpaceDE w:val="0"/>
        <w:autoSpaceDN w:val="0"/>
        <w:adjustRightInd w:val="0"/>
        <w:spacing w:before="180"/>
        <w:rPr>
          <w:lang w:eastAsia="zh-CN"/>
        </w:rPr>
      </w:pP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8146" w:type="dxa"/>
          </w:tcPr>
          <w:p>
            <w:pPr>
              <w:rPr>
                <w:rFonts w:eastAsia="游明朝"/>
                <w:lang w:val="en-US" w:eastAsia="ja-JP"/>
              </w:rPr>
            </w:pPr>
            <w:r>
              <w:rPr>
                <w:rFonts w:hint="eastAsia" w:eastAsia="游明朝"/>
                <w:lang w:val="en-US" w:eastAsia="ja-JP"/>
              </w:rPr>
              <w:t>N</w:t>
            </w:r>
            <w:r>
              <w:rPr>
                <w:rFonts w:eastAsia="游明朝"/>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8146" w:type="dxa"/>
          </w:tcPr>
          <w:p>
            <w:pPr>
              <w:rPr>
                <w:rFonts w:eastAsia="游明朝"/>
                <w:lang w:val="en-US" w:eastAsia="ja-JP"/>
              </w:rPr>
            </w:pPr>
            <w:r>
              <w:rPr>
                <w:rFonts w:hint="eastAsia" w:eastAsia="游明朝"/>
                <w:lang w:val="en-US" w:eastAsia="ja-JP"/>
              </w:rPr>
              <w:t>N</w:t>
            </w:r>
            <w:r>
              <w:rPr>
                <w:rFonts w:eastAsia="游明朝"/>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8146" w:type="dxa"/>
          </w:tcPr>
          <w:p>
            <w:pPr>
              <w:rPr>
                <w:rFonts w:hint="default" w:eastAsia="游明朝"/>
                <w:lang w:val="en-US" w:eastAsia="ja-JP"/>
              </w:rPr>
            </w:pPr>
            <w:r>
              <w:rPr>
                <w:rFonts w:hint="default" w:eastAsia="游明朝"/>
                <w:lang w:val="en-US" w:eastAsia="ja-JP"/>
              </w:rPr>
              <w:t>No</w:t>
            </w:r>
          </w:p>
        </w:tc>
      </w:tr>
    </w:tbl>
    <w:p>
      <w:pPr>
        <w:tabs>
          <w:tab w:val="left" w:pos="1410"/>
        </w:tabs>
        <w:spacing w:before="180"/>
        <w:rPr>
          <w:rFonts w:eastAsia="游明朝"/>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游明朝"/>
          <w:lang w:eastAsia="ja-JP"/>
        </w:rPr>
      </w:pPr>
      <w:r>
        <w:rPr>
          <w:rFonts w:eastAsia="游明朝"/>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游明朝"/>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游明朝" w:cs="Times New Roman"/>
          <w:sz w:val="20"/>
          <w:szCs w:val="20"/>
        </w:rPr>
      </w:pPr>
      <w:r>
        <w:rPr>
          <w:rFonts w:ascii="Times New Roman" w:hAnsi="Times New Roman" w:eastAsia="游明朝"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 xml:space="preserve">&lt;1st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游明朝" w:cs="Times New Roman"/>
          <w:sz w:val="20"/>
          <w:szCs w:val="20"/>
        </w:rPr>
      </w:pPr>
      <w:r>
        <w:rPr>
          <w:rFonts w:ascii="Times New Roman" w:hAnsi="Times New Roman" w:eastAsia="游明朝"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游明朝"/>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2386" w:type="dxa"/>
          </w:tcPr>
          <w:p>
            <w:pPr>
              <w:tabs>
                <w:tab w:val="left" w:pos="551"/>
              </w:tabs>
              <w:rPr>
                <w:rFonts w:eastAsia="游明朝"/>
                <w:lang w:val="en-US" w:eastAsia="ja-JP"/>
              </w:rPr>
            </w:pPr>
            <w:r>
              <w:rPr>
                <w:rFonts w:hint="eastAsia" w:eastAsia="游明朝"/>
                <w:lang w:val="en-US" w:eastAsia="ja-JP"/>
              </w:rPr>
              <w:t>N</w:t>
            </w:r>
            <w:r>
              <w:rPr>
                <w:rFonts w:eastAsia="游明朝"/>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Sharp</w:t>
            </w:r>
          </w:p>
        </w:tc>
        <w:tc>
          <w:tcPr>
            <w:tcW w:w="2386" w:type="dxa"/>
          </w:tcPr>
          <w:p>
            <w:pPr>
              <w:tabs>
                <w:tab w:val="left" w:pos="551"/>
              </w:tabs>
              <w:rPr>
                <w:rFonts w:eastAsia="游明朝"/>
                <w:lang w:val="en-US" w:eastAsia="ja-JP"/>
              </w:rPr>
            </w:pPr>
            <w:r>
              <w:rPr>
                <w:rFonts w:hint="eastAsia" w:eastAsia="游明朝"/>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2386" w:type="dxa"/>
          </w:tcPr>
          <w:p>
            <w:pPr>
              <w:tabs>
                <w:tab w:val="left" w:pos="551"/>
              </w:tabs>
              <w:rPr>
                <w:rFonts w:hint="default" w:eastAsia="游明朝"/>
                <w:lang w:val="en-US" w:eastAsia="ja-JP"/>
              </w:rPr>
            </w:pPr>
            <w:r>
              <w:rPr>
                <w:rFonts w:hint="default" w:eastAsia="游明朝"/>
                <w:lang w:val="en-US" w:eastAsia="ja-JP"/>
              </w:rPr>
              <w:t>No</w:t>
            </w:r>
          </w:p>
        </w:tc>
        <w:tc>
          <w:tcPr>
            <w:tcW w:w="5766" w:type="dxa"/>
          </w:tcPr>
          <w:p>
            <w:pPr>
              <w:rPr>
                <w:lang w:val="en-US" w:eastAsia="ko-KR"/>
              </w:rPr>
            </w:pPr>
          </w:p>
        </w:tc>
      </w:tr>
    </w:tbl>
    <w:p>
      <w:pPr>
        <w:tabs>
          <w:tab w:val="left" w:pos="1410"/>
        </w:tabs>
        <w:spacing w:before="180"/>
        <w:rPr>
          <w:rFonts w:eastAsia="游明朝"/>
        </w:rPr>
      </w:pPr>
    </w:p>
    <w:p>
      <w:pPr>
        <w:tabs>
          <w:tab w:val="left" w:pos="1410"/>
        </w:tabs>
        <w:spacing w:before="180"/>
        <w:rPr>
          <w:rFonts w:eastAsia="游明朝"/>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19"/>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19"/>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0"/>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2386" w:type="dxa"/>
          </w:tcPr>
          <w:p>
            <w:pPr>
              <w:tabs>
                <w:tab w:val="left" w:pos="551"/>
              </w:tabs>
              <w:rPr>
                <w:rFonts w:eastAsia="游明朝"/>
                <w:lang w:val="en-US" w:eastAsia="ja-JP"/>
              </w:rPr>
            </w:pPr>
            <w:r>
              <w:rPr>
                <w:rFonts w:hint="eastAsia" w:eastAsia="游明朝"/>
                <w:lang w:val="en-US" w:eastAsia="ja-JP"/>
              </w:rPr>
              <w:t>N</w:t>
            </w:r>
            <w:r>
              <w:rPr>
                <w:rFonts w:eastAsia="游明朝"/>
                <w:lang w:val="en-US" w:eastAsia="ja-JP"/>
              </w:rPr>
              <w:t>o</w:t>
            </w:r>
          </w:p>
        </w:tc>
        <w:tc>
          <w:tcPr>
            <w:tcW w:w="5766" w:type="dxa"/>
          </w:tcPr>
          <w:p>
            <w:pPr>
              <w:rPr>
                <w:rFonts w:eastAsia="游明朝"/>
                <w:lang w:val="en-US" w:eastAsia="ja-JP"/>
              </w:rPr>
            </w:pPr>
            <w:r>
              <w:rPr>
                <w:rFonts w:hint="eastAsia" w:eastAsia="游明朝"/>
                <w:lang w:val="en-US" w:eastAsia="ja-JP"/>
              </w:rPr>
              <w:t>T</w:t>
            </w:r>
            <w:r>
              <w:rPr>
                <w:rFonts w:eastAsia="游明朝"/>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Sharp</w:t>
            </w:r>
          </w:p>
        </w:tc>
        <w:tc>
          <w:tcPr>
            <w:tcW w:w="2386" w:type="dxa"/>
          </w:tcPr>
          <w:p>
            <w:pPr>
              <w:tabs>
                <w:tab w:val="left" w:pos="551"/>
              </w:tabs>
              <w:rPr>
                <w:rFonts w:eastAsia="游明朝"/>
                <w:lang w:val="en-US" w:eastAsia="ja-JP"/>
              </w:rPr>
            </w:pPr>
            <w:r>
              <w:rPr>
                <w:rFonts w:hint="eastAsia" w:eastAsia="游明朝"/>
                <w:lang w:val="en-US" w:eastAsia="ja-JP"/>
              </w:rPr>
              <w:t>N</w:t>
            </w:r>
            <w:r>
              <w:rPr>
                <w:rFonts w:eastAsia="游明朝"/>
                <w:lang w:val="en-US" w:eastAsia="ja-JP"/>
              </w:rPr>
              <w:t>o</w:t>
            </w:r>
          </w:p>
        </w:tc>
        <w:tc>
          <w:tcPr>
            <w:tcW w:w="5766" w:type="dxa"/>
          </w:tcPr>
          <w:p>
            <w:pPr>
              <w:rPr>
                <w:rFonts w:eastAsia="游明朝"/>
                <w:lang w:val="en-US" w:eastAsia="ja-JP"/>
              </w:rPr>
            </w:pPr>
            <w:r>
              <w:rPr>
                <w:rFonts w:hint="eastAsia" w:eastAsia="游明朝"/>
                <w:lang w:val="en-US" w:eastAsia="ja-JP"/>
              </w:rPr>
              <w:t>W</w:t>
            </w:r>
            <w:r>
              <w:rPr>
                <w:rFonts w:eastAsia="游明朝"/>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2386" w:type="dxa"/>
          </w:tcPr>
          <w:p>
            <w:pPr>
              <w:tabs>
                <w:tab w:val="left" w:pos="551"/>
              </w:tabs>
              <w:rPr>
                <w:rFonts w:hint="default" w:eastAsia="游明朝"/>
                <w:lang w:val="en-US" w:eastAsia="ja-JP"/>
              </w:rPr>
            </w:pPr>
            <w:r>
              <w:rPr>
                <w:rFonts w:hint="default" w:eastAsia="游明朝"/>
                <w:lang w:val="en-US" w:eastAsia="ja-JP"/>
              </w:rPr>
              <w:t>No</w:t>
            </w:r>
          </w:p>
        </w:tc>
        <w:tc>
          <w:tcPr>
            <w:tcW w:w="5766" w:type="dxa"/>
          </w:tcPr>
          <w:p>
            <w:pPr>
              <w:rPr>
                <w:rFonts w:hint="default" w:eastAsia="游明朝"/>
                <w:lang w:val="en-US" w:eastAsia="ja-JP"/>
              </w:rPr>
            </w:pPr>
            <w:r>
              <w:rPr>
                <w:rFonts w:hint="default" w:eastAsia="游明朝"/>
                <w:lang w:val="en-US" w:eastAsia="ja-JP"/>
              </w:rPr>
              <w:t>We share the same view as FL that alt1 is the current situation. And we also think it is better for RAN2 to make conclusion since Msg3 indication is defined by RAN2.</w:t>
            </w:r>
          </w:p>
        </w:tc>
      </w:tr>
    </w:tbl>
    <w:p>
      <w:pPr>
        <w:tabs>
          <w:tab w:val="left" w:pos="1410"/>
        </w:tabs>
        <w:spacing w:before="180"/>
        <w:rPr>
          <w:rFonts w:eastAsia="游明朝"/>
          <w:lang w:eastAsia="ja-JP"/>
        </w:rPr>
      </w:pPr>
    </w:p>
    <w:p>
      <w:pPr>
        <w:pStyle w:val="2"/>
        <w:numPr>
          <w:ilvl w:val="0"/>
          <w:numId w:val="0"/>
        </w:numPr>
        <w:tabs>
          <w:tab w:val="left" w:pos="1410"/>
        </w:tabs>
        <w:ind w:left="432" w:hanging="432"/>
        <w:jc w:val="both"/>
      </w:pPr>
      <w:bookmarkStart w:id="7" w:name="_Toc87303844"/>
      <w:r>
        <w:t>3. Other aspects</w:t>
      </w:r>
      <w:bookmarkEnd w:id="7"/>
      <w:r>
        <w:t xml:space="preserve"> </w:t>
      </w:r>
    </w:p>
    <w:p>
      <w:pPr>
        <w:snapToGrid w:val="0"/>
        <w:spacing w:after="120"/>
        <w:rPr>
          <w:b/>
          <w:bCs/>
          <w:u w:val="single"/>
        </w:rPr>
      </w:pPr>
      <w:bookmarkStart w:id="8"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Proposal 1 and Proposal 2 in R1-2202147 [Qualcomm]</w:t>
      </w:r>
    </w:p>
    <w:p>
      <w:pPr>
        <w:pStyle w:val="48"/>
        <w:numPr>
          <w:ilvl w:val="0"/>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r>
        <w:t>&lt;To be updated&gt;</w:t>
      </w:r>
    </w:p>
    <w:p>
      <w:pPr>
        <w:spacing w:after="0"/>
        <w:rPr>
          <w:rFonts w:ascii="Arial" w:hAnsi="Arial"/>
          <w:sz w:val="36"/>
        </w:rPr>
      </w:pPr>
      <w:r>
        <w:br w:type="page"/>
      </w:r>
    </w:p>
    <w:p>
      <w:pPr>
        <w:pStyle w:val="2"/>
        <w:numPr>
          <w:ilvl w:val="0"/>
          <w:numId w:val="0"/>
        </w:numPr>
        <w:ind w:left="432" w:hanging="432"/>
      </w:pPr>
      <w:bookmarkStart w:id="10" w:name="_Toc87303851"/>
      <w:r>
        <w:t>References</w:t>
      </w:r>
      <w:bookmarkEnd w:id="10"/>
    </w:p>
    <w:p>
      <w:pPr>
        <w:numPr>
          <w:ilvl w:val="0"/>
          <w:numId w:val="23"/>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8"/>
    </w:p>
    <w:p>
      <w:pPr>
        <w:pStyle w:val="292"/>
        <w:numPr>
          <w:ilvl w:val="0"/>
          <w:numId w:val="23"/>
        </w:numPr>
        <w:rPr>
          <w:rFonts w:ascii="Times New Roman" w:hAnsi="Times New Roman" w:cs="Times New Roman"/>
        </w:rPr>
      </w:pPr>
      <w:bookmarkStart w:id="11" w:name="_Ref88475392"/>
      <w:bookmarkStart w:id="12"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A00002BF" w:usb1="68C7FCFB" w:usb2="00000010"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4">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04"/>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264"/>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36F"/>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874"/>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8D1"/>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BDA"/>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CE7"/>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75C"/>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D21"/>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DFF"/>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3F95"/>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57CF6"/>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5E"/>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C7A"/>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74"/>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BF0"/>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7B"/>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9E6"/>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66E"/>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86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0A2"/>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BF"/>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B8D"/>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29195677"/>
    <w:rsid w:val="351C0551"/>
    <w:rsid w:val="55D34E37"/>
    <w:rsid w:val="5AC31984"/>
    <w:rsid w:val="7F41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ヘッダー (文字)"/>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0"/>
    <w:qFormat/>
    <w:uiPriority w:val="99"/>
    <w:rPr>
      <w:lang w:val="en-GB" w:eastAsia="en-US"/>
    </w:rPr>
  </w:style>
  <w:style w:type="character" w:customStyle="1" w:styleId="50">
    <w:name w:val="コメント内容 (文字)"/>
    <w:link w:val="31"/>
    <w:qFormat/>
    <w:uiPriority w:val="0"/>
    <w:rPr>
      <w:b/>
      <w:bCs/>
      <w:lang w:val="en-GB" w:eastAsia="en-US"/>
    </w:rPr>
  </w:style>
  <w:style w:type="character" w:customStyle="1" w:styleId="51">
    <w:name w:val="本文 (文字)"/>
    <w:link w:val="22"/>
    <w:qFormat/>
    <w:uiPriority w:val="0"/>
    <w:rPr>
      <w:rFonts w:ascii="Arial" w:hAnsi="Arial"/>
      <w:b/>
      <w:sz w:val="18"/>
      <w:lang w:val="en-GB" w:eastAsia="ja-JP"/>
    </w:rPr>
  </w:style>
  <w:style w:type="character" w:customStyle="1" w:styleId="52">
    <w:name w:val="図表番号 (文字)"/>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見出しマップ (文字)"/>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datastoreItem>
</file>

<file path=customXml/itemProps3.xml><?xml version="1.0" encoding="utf-8"?>
<ds:datastoreItem xmlns:ds="http://schemas.openxmlformats.org/officeDocument/2006/customXml" ds:itemID="{3A90FC1D-67AA-4CEA-AB62-F1909027FE9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2781</Words>
  <Characters>15858</Characters>
  <Lines>132</Lines>
  <Paragraphs>37</Paragraphs>
  <TotalTime>7</TotalTime>
  <ScaleCrop>false</ScaleCrop>
  <LinksUpToDate>false</LinksUpToDate>
  <CharactersWithSpaces>18602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2022-02-22T02:48:00Z</dcterms:created>
  <dc:creator>Johan Bergman</dc:creator>
  <cp:keywords>CTPClassification=CTP_NT</cp:keywords>
  <cp:lastModifiedBy>狐狸姐</cp:lastModifiedBy>
  <dcterms:modified xsi:type="dcterms:W3CDTF">2022-02-22T07:10:19Z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