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宋体"/>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宋体"/>
                <w:sz w:val="20"/>
                <w:szCs w:val="20"/>
                <w:lang w:val="en-GB" w:eastAsia="en-US"/>
              </w:rPr>
            </w:pPr>
            <w:r w:rsidRPr="00A71643">
              <w:rPr>
                <w:rFonts w:eastAsia="宋体"/>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CN"/>
              </w:rPr>
              <w:t>-</w:t>
            </w:r>
            <w:r w:rsidRPr="00A71643">
              <w:rPr>
                <w:rFonts w:eastAsia="宋体"/>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TW"/>
              </w:rPr>
              <w:t>-</w:t>
            </w:r>
            <w:r w:rsidRPr="00A71643">
              <w:rPr>
                <w:rFonts w:eastAsia="宋体"/>
                <w:sz w:val="20"/>
                <w:szCs w:val="20"/>
                <w:lang w:val="x-none" w:eastAsia="zh-TW"/>
              </w:rPr>
              <w:tab/>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 random access procedure not initiated by a PDCCH order that triggers a contention</w:t>
            </w:r>
            <w:r w:rsidRPr="00A71643">
              <w:rPr>
                <w:rFonts w:eastAsia="宋体"/>
                <w:sz w:val="20"/>
                <w:szCs w:val="20"/>
                <w:lang w:eastAsia="en-US"/>
              </w:rPr>
              <w:t>-free</w:t>
            </w:r>
            <w:r w:rsidRPr="00A71643">
              <w:rPr>
                <w:rFonts w:eastAsia="宋体"/>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宋体"/>
                <w:sz w:val="20"/>
                <w:szCs w:val="20"/>
                <w:lang w:eastAsia="en-US"/>
              </w:rPr>
              <w:t xml:space="preserve">, or </w:t>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w:t>
            </w:r>
            <w:r w:rsidRPr="00A71643">
              <w:rPr>
                <w:rFonts w:eastAsia="宋体"/>
                <w:sz w:val="20"/>
                <w:szCs w:val="20"/>
                <w:lang w:eastAsia="en-US"/>
              </w:rPr>
              <w:t xml:space="preserve"> configured grant PUSCH transmission as described in clause 19</w:t>
            </w:r>
            <w:r w:rsidRPr="00A71643">
              <w:rPr>
                <w:rFonts w:eastAsia="宋体"/>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宋体"/>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ac"/>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similar to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Not support. The application flexibility is already given by RRC configuration on CORESET C as similar to CORESET B where gNB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MS Mincho"/>
                <w:bCs/>
                <w:sz w:val="18"/>
                <w:szCs w:val="18"/>
                <w:lang w:eastAsia="ja-JP"/>
              </w:rPr>
            </w:pPr>
            <w:r>
              <w:rPr>
                <w:sz w:val="18"/>
                <w:szCs w:val="18"/>
              </w:rPr>
              <w:t xml:space="preserve">1.16: support FL proposal. The benefit of the proposal is that </w:t>
            </w:r>
            <w:r>
              <w:rPr>
                <w:rStyle w:val="00TextChar"/>
                <w:rFonts w:eastAsia="MS Mincho"/>
                <w:bCs/>
                <w:sz w:val="18"/>
                <w:szCs w:val="18"/>
                <w:lang w:eastAsia="ja-JP"/>
              </w:rPr>
              <w:t xml:space="preserve">gNB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MS Mincho"/>
                <w:bCs/>
                <w:sz w:val="18"/>
                <w:szCs w:val="18"/>
                <w:lang w:eastAsia="ja-JP"/>
              </w:rPr>
              <w:t>Another alternative commented by Huawei/vivo in the online last week, was “UE does not expect to be configured with CORESET (other than CORESET0) with both CSS and USS, if UE does not support the FG”. However, in this case, gNB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So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all CCs configured in a same CC list as that carrier,</w:t>
            </w:r>
            <w:r>
              <w:rPr>
                <w:color w:val="FF0000"/>
                <w:sz w:val="18"/>
                <w:szCs w:val="18"/>
                <w:u w:val="single"/>
              </w:rPr>
              <w:t xml:space="preserve"> </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 xml:space="preserve">elseif UE is activated with more than one TCI states, and at least one active TCI state is associated with a PCI different from the PCI of the serving cell, UE receives both </w:t>
                  </w:r>
                  <w:r>
                    <w:rPr>
                      <w:rFonts w:eastAsia="Times New Roman" w:hint="eastAsia"/>
                      <w:color w:val="FF0000"/>
                      <w:sz w:val="18"/>
                      <w:szCs w:val="18"/>
                    </w:rPr>
                    <w:lastRenderedPageBreak/>
                    <w:t>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宋体"/>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lastRenderedPageBreak/>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w:t>
            </w:r>
            <w:r w:rsidR="00B57A3F" w:rsidRPr="007D4011">
              <w:rPr>
                <w:strike/>
                <w:sz w:val="18"/>
                <w:szCs w:val="18"/>
              </w:rPr>
              <w:t>Xiaomi</w:t>
            </w:r>
            <w:r w:rsidR="00B57A3F">
              <w:rPr>
                <w:sz w:val="18"/>
                <w:szCs w:val="18"/>
              </w:rPr>
              <w:t>, ZTE</w:t>
            </w:r>
            <w:r w:rsidR="00EC5334">
              <w:rPr>
                <w:sz w:val="18"/>
                <w:szCs w:val="18"/>
              </w:rPr>
              <w:t>, Ericsson</w:t>
            </w:r>
            <w:r w:rsidR="003A7F4C">
              <w:rPr>
                <w:sz w:val="18"/>
                <w:szCs w:val="18"/>
              </w:rPr>
              <w:t>, Nokia/NSB</w:t>
            </w:r>
            <w:r w:rsidR="0040272A">
              <w:rPr>
                <w:sz w:val="18"/>
                <w:szCs w:val="18"/>
              </w:rPr>
              <w:t>, CATT</w:t>
            </w:r>
          </w:p>
          <w:p w14:paraId="3A054932" w14:textId="069169C3" w:rsidR="004578F3" w:rsidRPr="008F277C" w:rsidRDefault="00BF06B4" w:rsidP="007D4011">
            <w:pPr>
              <w:snapToGrid w:val="0"/>
              <w:rPr>
                <w:b/>
                <w:sz w:val="18"/>
                <w:szCs w:val="18"/>
                <w:lang w:eastAsia="zh-CN"/>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xml:space="preserve">, </w:t>
            </w:r>
            <w:r w:rsidR="00E22CD0">
              <w:rPr>
                <w:sz w:val="18"/>
                <w:szCs w:val="18"/>
              </w:rPr>
              <w:lastRenderedPageBreak/>
              <w:t>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r w:rsidR="007D4011">
              <w:rPr>
                <w:rFonts w:hint="eastAsia"/>
                <w:sz w:val="18"/>
                <w:szCs w:val="18"/>
                <w:lang w:eastAsia="zh-CN"/>
              </w:rPr>
              <w:t>,</w:t>
            </w:r>
            <w:r w:rsidR="007D4011">
              <w:rPr>
                <w:sz w:val="18"/>
                <w:szCs w:val="18"/>
                <w:lang w:eastAsia="zh-CN"/>
              </w:rPr>
              <w:t xml:space="preserve"> Xiaomi</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宋体"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w:t>
            </w:r>
            <w:r w:rsidR="0012704B" w:rsidRPr="0012704B">
              <w:rPr>
                <w:bCs/>
                <w:sz w:val="18"/>
                <w:szCs w:val="18"/>
                <w:lang w:val="en-GB" w:eastAsia="zh-CN"/>
              </w:rPr>
              <w:lastRenderedPageBreak/>
              <w:t>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lastRenderedPageBreak/>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MS Mincho"/>
                <w:iCs/>
                <w:sz w:val="18"/>
                <w:szCs w:val="18"/>
                <w:lang w:eastAsia="ja-JP"/>
              </w:rPr>
            </w:pPr>
            <w:r>
              <w:rPr>
                <w:rFonts w:eastAsia="MS Mincho" w:hint="eastAsia"/>
                <w:iCs/>
                <w:sz w:val="18"/>
                <w:szCs w:val="18"/>
                <w:lang w:eastAsia="ja-JP"/>
              </w:rPr>
              <w:t>2</w:t>
            </w:r>
            <w:r>
              <w:rPr>
                <w:rFonts w:eastAsia="MS Mincho"/>
                <w:iCs/>
                <w:sz w:val="18"/>
                <w:szCs w:val="18"/>
                <w:lang w:eastAsia="ja-JP"/>
              </w:rPr>
              <w:t>.8: We are ok to focus on case 1) only, i.e. TDM.</w:t>
            </w:r>
          </w:p>
          <w:p w14:paraId="4E6859A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e Qualcomm/Apple</w:t>
            </w:r>
            <w:r>
              <w:rPr>
                <w:rFonts w:eastAsia="MS Mincho"/>
                <w:iCs/>
                <w:sz w:val="18"/>
                <w:szCs w:val="18"/>
                <w:lang w:eastAsia="ja-JP"/>
              </w:rPr>
              <w:t>, we have following questions/comments:</w:t>
            </w:r>
          </w:p>
          <w:p w14:paraId="144579F3" w14:textId="77777777" w:rsidR="00051EE8" w:rsidRDefault="00051EE8" w:rsidP="00051EE8">
            <w:pPr>
              <w:pStyle w:val="af2"/>
              <w:widowControl w:val="0"/>
              <w:numPr>
                <w:ilvl w:val="0"/>
                <w:numId w:val="44"/>
              </w:numPr>
              <w:jc w:val="both"/>
              <w:rPr>
                <w:rFonts w:eastAsia="MS Mincho"/>
                <w:iCs/>
                <w:sz w:val="18"/>
                <w:szCs w:val="18"/>
                <w:lang w:eastAsia="ja-JP"/>
              </w:rPr>
            </w:pPr>
            <w:r>
              <w:rPr>
                <w:rFonts w:eastAsia="MS Mincho"/>
                <w:iCs/>
                <w:sz w:val="18"/>
                <w:szCs w:val="18"/>
                <w:lang w:eastAsia="ja-JP"/>
              </w:rPr>
              <w:t>For the 1</w:t>
            </w:r>
            <w:r w:rsidRPr="00673AF2">
              <w:rPr>
                <w:rFonts w:eastAsia="MS Mincho"/>
                <w:iCs/>
                <w:sz w:val="18"/>
                <w:szCs w:val="18"/>
                <w:vertAlign w:val="superscript"/>
                <w:lang w:eastAsia="ja-JP"/>
              </w:rPr>
              <w:t>st</w:t>
            </w:r>
            <w:r>
              <w:rPr>
                <w:rFonts w:eastAsia="MS Mincho"/>
                <w:iCs/>
                <w:sz w:val="18"/>
                <w:szCs w:val="18"/>
                <w:lang w:eastAsia="ja-JP"/>
              </w:rPr>
              <w:t xml:space="preserve"> bullet, for UE with one active TCI state, and if the active TCI state is associated with non-serving cell PCI, UE cannot receive paging. gNB needs to switch the one active TCI state to serving cell, so that UE can receive paging. This is our understanding of the consequence of the previous agreement. Regarding to CORESET 0, CORESET 0 without TCI state activation (i.e. QCLed with SSB) is not counted as the number of active TCI states, as same as Rel.15. So, as long as CORESET 0 is not activated with TCI state, gNB can indicate one </w:t>
            </w:r>
            <w:r>
              <w:rPr>
                <w:rFonts w:eastAsia="MS Mincho" w:hint="eastAsia"/>
                <w:iCs/>
                <w:sz w:val="18"/>
                <w:szCs w:val="18"/>
                <w:lang w:eastAsia="ja-JP"/>
              </w:rPr>
              <w:t>(</w:t>
            </w:r>
            <w:r>
              <w:rPr>
                <w:rFonts w:eastAsia="MS Mincho"/>
                <w:iCs/>
                <w:sz w:val="18"/>
                <w:szCs w:val="18"/>
                <w:lang w:eastAsia="ja-JP"/>
              </w:rPr>
              <w:t>other) active TCI state for non-serving cell, for UE supporting one active TCI state. To clarify that UE still receives paging if it is QCLed with CORESET0 without TCI state indication, we updated the TP below.</w:t>
            </w:r>
          </w:p>
          <w:p w14:paraId="48641DEB" w14:textId="77777777" w:rsidR="00051EE8" w:rsidRPr="00E431F2" w:rsidRDefault="00051EE8" w:rsidP="00051EE8">
            <w:pPr>
              <w:pStyle w:val="af2"/>
              <w:widowControl w:val="0"/>
              <w:numPr>
                <w:ilvl w:val="0"/>
                <w:numId w:val="44"/>
              </w:numPr>
              <w:jc w:val="both"/>
              <w:rPr>
                <w:rFonts w:eastAsia="MS Mincho"/>
                <w:iCs/>
                <w:sz w:val="18"/>
                <w:szCs w:val="18"/>
                <w:lang w:eastAsia="ja-JP"/>
              </w:rPr>
            </w:pPr>
            <w:r>
              <w:rPr>
                <w:rFonts w:eastAsia="MS Mincho" w:hint="eastAsia"/>
                <w:iCs/>
                <w:sz w:val="18"/>
                <w:szCs w:val="18"/>
                <w:lang w:eastAsia="ja-JP"/>
              </w:rPr>
              <w:t>F</w:t>
            </w:r>
            <w:r>
              <w:rPr>
                <w:rFonts w:eastAsia="MS Mincho"/>
                <w:iCs/>
                <w:sz w:val="18"/>
                <w:szCs w:val="18"/>
                <w:lang w:eastAsia="ja-JP"/>
              </w:rPr>
              <w:t>or 2</w:t>
            </w:r>
            <w:r w:rsidRPr="00673AF2">
              <w:rPr>
                <w:rFonts w:eastAsia="MS Mincho"/>
                <w:iCs/>
                <w:sz w:val="18"/>
                <w:szCs w:val="18"/>
                <w:vertAlign w:val="superscript"/>
                <w:lang w:eastAsia="ja-JP"/>
              </w:rPr>
              <w:t>nd</w:t>
            </w:r>
            <w:r>
              <w:rPr>
                <w:rFonts w:eastAsia="MS Mincho"/>
                <w:iCs/>
                <w:sz w:val="18"/>
                <w:szCs w:val="18"/>
                <w:lang w:eastAsia="ja-JP"/>
              </w:rPr>
              <w:t xml:space="preserve"> bullet, indeed the TDM is allowed in Rel.15/16. However, there was no TCI state associated with non-serving cell in legacy. Also, we have agreement as shown in Qualcomm’s comment. The agreement is not clear and the worst 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MS Mincho"/>
                <w:bCs/>
                <w:sz w:val="18"/>
                <w:szCs w:val="18"/>
                <w:lang w:eastAsia="ja-JP"/>
              </w:rPr>
            </w:pPr>
          </w:p>
          <w:p w14:paraId="003A651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 xml:space="preserve">e </w:t>
            </w:r>
            <w:r>
              <w:rPr>
                <w:rFonts w:eastAsia="MS Mincho"/>
                <w:b/>
                <w:bCs/>
                <w:iCs/>
                <w:sz w:val="18"/>
                <w:szCs w:val="18"/>
                <w:u w:val="single"/>
                <w:lang w:eastAsia="ja-JP"/>
              </w:rPr>
              <w:t>ZTE</w:t>
            </w:r>
            <w:r>
              <w:rPr>
                <w:rFonts w:eastAsia="MS Mincho"/>
                <w:iCs/>
                <w:sz w:val="18"/>
                <w:szCs w:val="18"/>
                <w:lang w:eastAsia="ja-JP"/>
              </w:rPr>
              <w:t>, we are fine to discuss issue 2.5 later. We see there would be issue of default QCL</w:t>
            </w:r>
            <w:r>
              <w:rPr>
                <w:rFonts w:eastAsia="MS Mincho"/>
                <w:bCs/>
                <w:sz w:val="18"/>
                <w:szCs w:val="18"/>
                <w:lang w:eastAsia="ja-JP"/>
              </w:rPr>
              <w:t xml:space="preserve"> assumption of PDSCH (&lt;timeDurationForQCL) in inter-cell case. For issue 2.8,</w:t>
            </w:r>
            <w:r>
              <w:rPr>
                <w:rFonts w:eastAsia="MS Mincho"/>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MS Mincho"/>
                <w:bCs/>
                <w:sz w:val="18"/>
                <w:szCs w:val="18"/>
                <w:lang w:eastAsia="ja-JP"/>
              </w:rPr>
            </w:pPr>
          </w:p>
          <w:p w14:paraId="29D09F3F" w14:textId="5501D9C3" w:rsidR="00051EE8" w:rsidRDefault="00051EE8" w:rsidP="00051EE8">
            <w:pPr>
              <w:widowControl w:val="0"/>
              <w:jc w:val="both"/>
              <w:rPr>
                <w:rFonts w:eastAsia="MS Mincho"/>
                <w:bCs/>
                <w:sz w:val="18"/>
                <w:szCs w:val="18"/>
                <w:lang w:eastAsia="ja-JP"/>
              </w:rPr>
            </w:pPr>
            <w:r w:rsidRPr="00BC333B">
              <w:rPr>
                <w:rFonts w:eastAsia="MS Mincho"/>
                <w:b/>
                <w:sz w:val="18"/>
                <w:szCs w:val="18"/>
                <w:u w:val="single"/>
                <w:lang w:eastAsia="ja-JP"/>
              </w:rPr>
              <w:t>@vivo:</w:t>
            </w:r>
            <w:r w:rsidRPr="00987CE1">
              <w:rPr>
                <w:rFonts w:eastAsia="MS Mincho"/>
                <w:bCs/>
                <w:sz w:val="18"/>
                <w:szCs w:val="18"/>
                <w:lang w:eastAsia="ja-JP"/>
              </w:rPr>
              <w:t xml:space="preserve"> The </w:t>
            </w:r>
            <w:r>
              <w:rPr>
                <w:rFonts w:eastAsia="MS Mincho"/>
                <w:bCs/>
                <w:sz w:val="18"/>
                <w:szCs w:val="18"/>
                <w:lang w:eastAsia="ja-JP"/>
              </w:rPr>
              <w:t>default QCL assumption of PDSCH (&lt;timeDurationForQCL) can be discussed in issue2.5. We think your question is more general question how to assume default QCL assumption of PDSCH (&lt;timeDurationForQCL) for serving cell and non-serving cell. We think this issue is not specific issue for paging reception. As long as we determine default QCL assumption of PDSCH (&lt;timeDurationForQCL) for serving cell and non-serving cell in issue 2.5, we think your questions are solved.</w:t>
            </w:r>
          </w:p>
          <w:p w14:paraId="430BFD2F" w14:textId="3DFCCAC4" w:rsidR="00051EE8" w:rsidRDefault="00051EE8" w:rsidP="00051EE8">
            <w:pPr>
              <w:widowControl w:val="0"/>
              <w:jc w:val="both"/>
              <w:rPr>
                <w:rFonts w:eastAsia="MS Mincho"/>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MS Mincho"/>
                <w:b/>
                <w:sz w:val="18"/>
                <w:szCs w:val="18"/>
                <w:u w:val="single"/>
                <w:lang w:eastAsia="ja-JP"/>
              </w:rPr>
            </w:pPr>
          </w:p>
          <w:p w14:paraId="3C566B47" w14:textId="77777777" w:rsidR="00051EE8" w:rsidRDefault="00051EE8" w:rsidP="00051EE8">
            <w:pPr>
              <w:widowControl w:val="0"/>
              <w:jc w:val="both"/>
              <w:rPr>
                <w:rFonts w:eastAsia="MS Mincho"/>
                <w:bCs/>
                <w:sz w:val="18"/>
                <w:szCs w:val="18"/>
                <w:lang w:eastAsia="ja-JP"/>
              </w:rPr>
            </w:pPr>
            <w:r w:rsidRPr="009D2564">
              <w:rPr>
                <w:rFonts w:eastAsia="MS Mincho" w:hint="eastAsia"/>
                <w:b/>
                <w:sz w:val="18"/>
                <w:szCs w:val="18"/>
                <w:u w:val="single"/>
                <w:lang w:eastAsia="ja-JP"/>
              </w:rPr>
              <w:t>@</w:t>
            </w:r>
            <w:r w:rsidRPr="009D2564">
              <w:rPr>
                <w:rFonts w:eastAsia="MS Mincho"/>
                <w:b/>
                <w:sz w:val="18"/>
                <w:szCs w:val="18"/>
                <w:u w:val="single"/>
                <w:lang w:eastAsia="ja-JP"/>
              </w:rPr>
              <w:t>Moderator</w:t>
            </w:r>
            <w:r>
              <w:rPr>
                <w:rFonts w:eastAsia="MS Mincho"/>
                <w:bCs/>
                <w:sz w:val="18"/>
                <w:szCs w:val="18"/>
                <w:lang w:eastAsia="ja-JP"/>
              </w:rPr>
              <w:t>,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to focus on the following TP.</w:t>
            </w:r>
          </w:p>
          <w:p w14:paraId="5A5E56C9" w14:textId="77777777" w:rsidR="00051EE8" w:rsidRDefault="00051EE8" w:rsidP="00051EE8">
            <w:pPr>
              <w:widowControl w:val="0"/>
              <w:jc w:val="both"/>
              <w:rPr>
                <w:rFonts w:eastAsia="MS Mincho"/>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af2"/>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QCLed with CORESET 0 without TCI state indication</w:t>
                  </w:r>
                  <w:r>
                    <w:rPr>
                      <w:rFonts w:eastAsia="Times New Roman"/>
                      <w:color w:val="FF0000"/>
                      <w:sz w:val="18"/>
                      <w:szCs w:val="18"/>
                    </w:rPr>
                    <w:t>..</w:t>
                  </w:r>
                </w:p>
                <w:p w14:paraId="4D20CBEF" w14:textId="205EFF59" w:rsidR="00051EE8" w:rsidRPr="00051EE8" w:rsidRDefault="00051EE8" w:rsidP="00051EE8">
                  <w:pPr>
                    <w:pStyle w:val="af2"/>
                    <w:numPr>
                      <w:ilvl w:val="0"/>
                      <w:numId w:val="37"/>
                    </w:numPr>
                    <w:spacing w:after="0" w:line="240" w:lineRule="auto"/>
                    <w:rPr>
                      <w:rFonts w:eastAsia="Times New Roman"/>
                      <w:color w:val="0000FF"/>
                      <w:sz w:val="18"/>
                      <w:szCs w:val="18"/>
                    </w:rPr>
                  </w:pPr>
                  <w:r>
                    <w:rPr>
                      <w:rFonts w:eastAsia="Times New Roman" w:hint="eastAsia"/>
                      <w:color w:val="FF0000"/>
                      <w:sz w:val="18"/>
                      <w:szCs w:val="18"/>
                    </w:rPr>
                    <w:lastRenderedPageBreak/>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MS Mincho"/>
                <w:sz w:val="18"/>
                <w:szCs w:val="18"/>
                <w:lang w:eastAsia="ja-JP"/>
              </w:rPr>
            </w:pPr>
            <w:r>
              <w:rPr>
                <w:rFonts w:eastAsia="MS Mincho"/>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MS Mincho"/>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宋体"/>
                <w:bCs/>
                <w:color w:val="000000" w:themeColor="text1"/>
                <w:sz w:val="18"/>
                <w:szCs w:val="18"/>
                <w:lang w:eastAsia="zh-CN"/>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sidR="00BF06B4" w:rsidRPr="00AF7028">
              <w:rPr>
                <w:rFonts w:eastAsia="宋体"/>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宋体"/>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1" w:name="_Ref505248562"/>
            <w:bookmarkStart w:id="12" w:name="_Toc12021470"/>
            <w:bookmarkStart w:id="13" w:name="_Toc20311582"/>
            <w:bookmarkStart w:id="14" w:name="_Toc26719407"/>
            <w:bookmarkStart w:id="15" w:name="_Toc29894840"/>
            <w:bookmarkStart w:id="16" w:name="_Toc29899139"/>
            <w:bookmarkStart w:id="17" w:name="_Toc29899557"/>
            <w:bookmarkStart w:id="18" w:name="_Toc29917294"/>
            <w:bookmarkStart w:id="19" w:name="_Toc36498168"/>
            <w:bookmarkStart w:id="20" w:name="_Toc45699194"/>
            <w:bookmarkStart w:id="21"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1"/>
            <w:bookmarkEnd w:id="12"/>
            <w:bookmarkEnd w:id="13"/>
            <w:bookmarkEnd w:id="14"/>
            <w:bookmarkEnd w:id="15"/>
            <w:bookmarkEnd w:id="16"/>
            <w:bookmarkEnd w:id="17"/>
            <w:bookmarkEnd w:id="18"/>
            <w:bookmarkEnd w:id="19"/>
            <w:bookmarkEnd w:id="20"/>
            <w:bookmarkEnd w:id="21"/>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w:t>
            </w:r>
            <w:r w:rsidRPr="00AF7028">
              <w:rPr>
                <w:sz w:val="18"/>
                <w:szCs w:val="18"/>
                <w:lang w:eastAsia="x-none"/>
              </w:rPr>
              <w:lastRenderedPageBreak/>
              <w:t xml:space="preserve">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lastRenderedPageBreak/>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lastRenderedPageBreak/>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t receive the DCI correctly, the UE feedbacks a NACK bit.  In this case, the UE does not receive the beam indication but the gNB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PDSCH-to-HARQ_feedback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MS Mincho"/>
                <w:bCs/>
                <w:sz w:val="18"/>
                <w:szCs w:val="18"/>
                <w:lang w:eastAsia="ja-JP"/>
              </w:rPr>
            </w:pPr>
            <w:r w:rsidRPr="00AD1A2C">
              <w:rPr>
                <w:rFonts w:eastAsia="MS Mincho" w:hint="eastAsia"/>
                <w:bCs/>
                <w:sz w:val="18"/>
                <w:szCs w:val="18"/>
                <w:lang w:eastAsia="ja-JP"/>
              </w:rPr>
              <w:t>H</w:t>
            </w:r>
            <w:r w:rsidRPr="00AD1A2C">
              <w:rPr>
                <w:rFonts w:eastAsia="MS Mincho"/>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MS Mincho"/>
                <w:lang w:eastAsia="ja-JP"/>
              </w:rPr>
            </w:pPr>
          </w:p>
          <w:p w14:paraId="4F369876" w14:textId="15042012" w:rsidR="00051EE8" w:rsidRDefault="00051EE8" w:rsidP="00051EE8">
            <w:pPr>
              <w:snapToGrid w:val="0"/>
              <w:jc w:val="both"/>
              <w:rPr>
                <w:rFonts w:eastAsia="Malgun Gothic"/>
                <w:sz w:val="18"/>
                <w:szCs w:val="18"/>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Pr>
                <w:rFonts w:eastAsia="宋体"/>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MS Mincho"/>
                <w:color w:val="000000" w:themeColor="text1"/>
                <w:sz w:val="18"/>
                <w:szCs w:val="18"/>
                <w:lang w:eastAsia="ja-JP"/>
              </w:rPr>
            </w:pPr>
            <w:r>
              <w:rPr>
                <w:rFonts w:eastAsiaTheme="minor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lastRenderedPageBreak/>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宋体"/>
                <w:b/>
                <w:bCs/>
                <w:sz w:val="18"/>
                <w:u w:val="single"/>
                <w:lang w:eastAsia="zh-CN"/>
              </w:rPr>
            </w:pPr>
          </w:p>
          <w:p w14:paraId="47283087" w14:textId="77777777" w:rsidR="0010322A" w:rsidRPr="00917338" w:rsidRDefault="0010322A" w:rsidP="0010322A">
            <w:pPr>
              <w:snapToGrid w:val="0"/>
              <w:jc w:val="both"/>
              <w:rPr>
                <w:rFonts w:eastAsia="宋体"/>
                <w:bCs/>
                <w:color w:val="3333FF"/>
                <w:sz w:val="18"/>
                <w:lang w:eastAsia="zh-CN"/>
              </w:rPr>
            </w:pPr>
            <w:r w:rsidRPr="00917338">
              <w:rPr>
                <w:rFonts w:eastAsia="宋体"/>
                <w:b/>
                <w:bCs/>
                <w:color w:val="3333FF"/>
                <w:sz w:val="18"/>
                <w:u w:val="single"/>
                <w:lang w:eastAsia="zh-CN"/>
              </w:rPr>
              <w:t xml:space="preserve">FL Note: </w:t>
            </w:r>
            <w:r w:rsidRPr="00917338">
              <w:rPr>
                <w:rFonts w:eastAsia="宋体"/>
                <w:bCs/>
                <w:color w:val="3333FF"/>
                <w:sz w:val="18"/>
                <w:lang w:eastAsia="zh-CN"/>
              </w:rPr>
              <w:t>Need to decide the maximum number of resources in this pool.</w:t>
            </w:r>
            <w:r>
              <w:rPr>
                <w:rFonts w:eastAsia="宋体"/>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159844D" w:rsidR="0010322A" w:rsidRPr="00704FFF" w:rsidRDefault="0010322A" w:rsidP="0010322A">
            <w:pPr>
              <w:snapToGrid w:val="0"/>
              <w:rPr>
                <w:sz w:val="18"/>
                <w:szCs w:val="18"/>
              </w:rPr>
            </w:pPr>
            <w:r>
              <w:rPr>
                <w:b/>
                <w:sz w:val="18"/>
                <w:szCs w:val="18"/>
              </w:rPr>
              <w:lastRenderedPageBreak/>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r w:rsidR="006468F7">
              <w:rPr>
                <w:sz w:val="18"/>
                <w:szCs w:val="18"/>
              </w:rPr>
              <w:t>, IDC</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r w:rsidR="006468F7" w14:paraId="3EBD79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C148" w14:textId="5161D5C6" w:rsidR="006468F7" w:rsidRDefault="006468F7" w:rsidP="00390C9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EE8C" w14:textId="59CDACB7" w:rsidR="006468F7" w:rsidRPr="006468F7" w:rsidRDefault="006468F7" w:rsidP="00390C98">
            <w:pPr>
              <w:snapToGrid w:val="0"/>
              <w:rPr>
                <w:sz w:val="20"/>
                <w:szCs w:val="18"/>
                <w:lang w:eastAsia="zh-CN"/>
              </w:rPr>
            </w:pPr>
            <w:r w:rsidRPr="006468F7">
              <w:rPr>
                <w:sz w:val="20"/>
                <w:szCs w:val="18"/>
              </w:rPr>
              <w:t>Proposal 5.A:</w:t>
            </w:r>
            <w:r w:rsidRPr="006468F7">
              <w:rPr>
                <w:sz w:val="18"/>
                <w:szCs w:val="18"/>
                <w:lang w:eastAsia="zh-CN"/>
              </w:rPr>
              <w:t xml:space="preserve"> Support</w:t>
            </w:r>
          </w:p>
        </w:tc>
      </w:tr>
      <w:tr w:rsidR="00CF6905" w14:paraId="1726CD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48D" w14:textId="6F505C21" w:rsidR="00CF6905" w:rsidRDefault="00CF6905" w:rsidP="00390C98">
            <w:pPr>
              <w:snapToGrid w:val="0"/>
              <w:rPr>
                <w:sz w:val="18"/>
                <w:szCs w:val="18"/>
                <w:lang w:eastAsia="zh-CN"/>
              </w:rPr>
            </w:pPr>
            <w:r>
              <w:rPr>
                <w:rFonts w:hint="eastAsia"/>
                <w:sz w:val="18"/>
                <w:szCs w:val="18"/>
                <w:lang w:eastAsia="zh-CN"/>
              </w:rPr>
              <w:t>N</w:t>
            </w:r>
            <w:r>
              <w:rPr>
                <w:sz w:val="18"/>
                <w:szCs w:val="18"/>
                <w:lang w:eastAsia="zh-CN"/>
              </w:rPr>
              <w:t>TT D</w:t>
            </w:r>
            <w:r w:rsidR="006D5429">
              <w:rPr>
                <w:sz w:val="18"/>
                <w:szCs w:val="18"/>
                <w:lang w:eastAsia="zh-CN"/>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A654" w14:textId="2FA3B6D5" w:rsidR="00CF6905" w:rsidRPr="006468F7" w:rsidRDefault="00CF6905" w:rsidP="00390C98">
            <w:pPr>
              <w:snapToGrid w:val="0"/>
              <w:rPr>
                <w:rFonts w:hint="eastAsia"/>
                <w:sz w:val="20"/>
                <w:szCs w:val="18"/>
                <w:lang w:eastAsia="zh-CN"/>
              </w:rPr>
            </w:pPr>
            <w:r>
              <w:rPr>
                <w:sz w:val="20"/>
                <w:szCs w:val="18"/>
                <w:lang w:eastAsia="zh-CN"/>
              </w:rPr>
              <w:t>Support.</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6836" w14:textId="77777777" w:rsidR="00F37EB5" w:rsidRDefault="00F37EB5" w:rsidP="00B17B1D">
      <w:r>
        <w:separator/>
      </w:r>
    </w:p>
  </w:endnote>
  <w:endnote w:type="continuationSeparator" w:id="0">
    <w:p w14:paraId="01C6459C" w14:textId="77777777" w:rsidR="00F37EB5" w:rsidRDefault="00F37EB5"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82A5" w14:textId="77777777" w:rsidR="00F37EB5" w:rsidRDefault="00F37EB5" w:rsidP="00B17B1D">
      <w:r>
        <w:separator/>
      </w:r>
    </w:p>
  </w:footnote>
  <w:footnote w:type="continuationSeparator" w:id="0">
    <w:p w14:paraId="658F7E69" w14:textId="77777777" w:rsidR="00F37EB5" w:rsidRDefault="00F37EB5"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0"/>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1"/>
  </w:num>
  <w:num w:numId="18">
    <w:abstractNumId w:val="38"/>
  </w:num>
  <w:num w:numId="19">
    <w:abstractNumId w:val="11"/>
  </w:num>
  <w:num w:numId="20">
    <w:abstractNumId w:val="37"/>
  </w:num>
  <w:num w:numId="21">
    <w:abstractNumId w:val="34"/>
  </w:num>
  <w:num w:numId="22">
    <w:abstractNumId w:val="32"/>
  </w:num>
  <w:num w:numId="23">
    <w:abstractNumId w:val="31"/>
  </w:num>
  <w:num w:numId="24">
    <w:abstractNumId w:val="42"/>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9"/>
  </w:num>
  <w:num w:numId="40">
    <w:abstractNumId w:val="16"/>
  </w:num>
  <w:num w:numId="41">
    <w:abstractNumId w:val="25"/>
  </w:num>
  <w:num w:numId="42">
    <w:abstractNumId w:val="19"/>
  </w:num>
  <w:num w:numId="43">
    <w:abstractNumId w:val="13"/>
  </w:num>
  <w:num w:numId="44">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8F7"/>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5429"/>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4B0"/>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6905"/>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37EB5"/>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1"/>
    <w:uiPriority w:val="9"/>
    <w:qFormat/>
    <w:pPr>
      <w:keepNext/>
      <w:keepLines/>
      <w:spacing w:before="40"/>
      <w:outlineLvl w:val="1"/>
    </w:pPr>
    <w:rPr>
      <w:rFonts w:eastAsia="等线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1"/>
    <w:uiPriority w:val="9"/>
    <w:qFormat/>
    <w:pPr>
      <w:keepNext/>
      <w:keepLines/>
      <w:spacing w:before="40"/>
      <w:outlineLvl w:val="2"/>
    </w:pPr>
    <w:rPr>
      <w:rFonts w:eastAsia="等线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0"/>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11"/>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3">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2">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11">
    <w:name w:val="列表段落 字符1"/>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Bullet list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4">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宋体"/>
      <w:noProof/>
      <w:sz w:val="20"/>
      <w:szCs w:val="20"/>
      <w:lang w:val="en-GB" w:eastAsia="en-US"/>
    </w:rPr>
  </w:style>
  <w:style w:type="character" w:customStyle="1" w:styleId="21">
    <w:name w:val="标题 2 字符1"/>
    <w:basedOn w:val="a0"/>
    <w:link w:val="2"/>
    <w:uiPriority w:val="9"/>
    <w:rsid w:val="002F33A3"/>
    <w:rPr>
      <w:rFonts w:ascii="Times New Roman" w:eastAsia="等线 Light" w:hAnsi="Times New Roman"/>
      <w:sz w:val="28"/>
      <w:szCs w:val="26"/>
      <w:lang w:eastAsia="ko-KR"/>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宋体" w:eastAsia="宋体" w:hAnsi="宋体"/>
      <w:lang w:eastAsia="en-US"/>
    </w:rPr>
  </w:style>
  <w:style w:type="character" w:customStyle="1" w:styleId="31">
    <w:name w:val="标题 3 字符1"/>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0"/>
    <w:link w:val="3"/>
    <w:uiPriority w:val="9"/>
    <w:rsid w:val="00356E77"/>
    <w:rPr>
      <w:rFonts w:ascii="Times New Roman" w:eastAsia="等线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D5602-0B6B-4DB4-B42C-0D050770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6510</Words>
  <Characters>37109</Characters>
  <Application>Microsoft Office Word</Application>
  <DocSecurity>0</DocSecurity>
  <Lines>309</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Sun Weiqi</cp:lastModifiedBy>
  <cp:revision>6</cp:revision>
  <cp:lastPrinted>2021-10-06T09:28:00Z</cp:lastPrinted>
  <dcterms:created xsi:type="dcterms:W3CDTF">2022-03-01T12:28:00Z</dcterms:created>
  <dcterms:modified xsi:type="dcterms:W3CDTF">2022-03-01T12:51:00Z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