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SimSun"/>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p>
          <w:p w14:paraId="352E2AF0" w14:textId="696E74B2"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Lenovo/MotM</w:t>
            </w:r>
            <w:r w:rsidR="000E3267">
              <w:rPr>
                <w:sz w:val="18"/>
                <w:szCs w:val="18"/>
              </w:rPr>
              <w:t>, MTK</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lastRenderedPageBreak/>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166F86" w:rsidRPr="00494792" w14:paraId="7B0F9B40" w14:textId="77777777" w:rsidTr="00EC4F9B">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TableGrid"/>
              <w:tblW w:w="0" w:type="auto"/>
              <w:tblLayout w:type="fixed"/>
              <w:tblLook w:val="04A0" w:firstRow="1" w:lastRow="0" w:firstColumn="1" w:lastColumn="0" w:noHBand="0" w:noVBand="1"/>
            </w:tblPr>
            <w:tblGrid>
              <w:gridCol w:w="8748"/>
            </w:tblGrid>
            <w:tr w:rsidR="008A2BB6" w:rsidRPr="00494792" w14:paraId="2B575FDD" w14:textId="77777777" w:rsidTr="00557A8D">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lastRenderedPageBreak/>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3117C726"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ListParagraph"/>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ListParagraph"/>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5E0350">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lastRenderedPageBreak/>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lastRenderedPageBreak/>
              <w:t>Support/fine:</w:t>
            </w:r>
            <w:r>
              <w:rPr>
                <w:sz w:val="18"/>
                <w:szCs w:val="20"/>
                <w:lang w:val="en-GB"/>
              </w:rPr>
              <w:t xml:space="preserve"> OPPO, Qualcomm, NTT Docomo, NEC, Xiaomi, TCL, CMCC, Intel, ZTE, vivo, Futurewei, Lenovo/MotM, Spreadtrum, </w:t>
            </w:r>
            <w:r>
              <w:rPr>
                <w:sz w:val="18"/>
                <w:szCs w:val="20"/>
                <w:lang w:val="en-GB"/>
              </w:rPr>
              <w:lastRenderedPageBreak/>
              <w:t>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lastRenderedPageBreak/>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11" w:name="_Ref505248562"/>
            <w:bookmarkStart w:id="12" w:name="_Toc12021470"/>
            <w:bookmarkStart w:id="13" w:name="_Toc20311582"/>
            <w:bookmarkStart w:id="14" w:name="_Toc26719407"/>
            <w:bookmarkStart w:id="15" w:name="_Toc29894840"/>
            <w:bookmarkStart w:id="16" w:name="_Toc29899139"/>
            <w:bookmarkStart w:id="17" w:name="_Toc29899557"/>
            <w:bookmarkStart w:id="18" w:name="_Toc29917294"/>
            <w:bookmarkStart w:id="19" w:name="_Toc36498168"/>
            <w:bookmarkStart w:id="20" w:name="_Toc45699194"/>
            <w:bookmarkStart w:id="21"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1"/>
            <w:bookmarkEnd w:id="12"/>
            <w:bookmarkEnd w:id="13"/>
            <w:bookmarkEnd w:id="14"/>
            <w:bookmarkEnd w:id="15"/>
            <w:bookmarkEnd w:id="16"/>
            <w:bookmarkEnd w:id="17"/>
            <w:bookmarkEnd w:id="18"/>
            <w:bookmarkEnd w:id="19"/>
            <w:bookmarkEnd w:id="20"/>
            <w:bookmarkEnd w:id="21"/>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t>Support/fine</w:t>
            </w:r>
            <w:r w:rsidR="00527C9F">
              <w:rPr>
                <w:sz w:val="18"/>
                <w:szCs w:val="20"/>
              </w:rPr>
              <w:t>: ZTE, Nokia/NSB, Lenovo/MotM</w:t>
            </w:r>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 xml:space="preserve">It can be interpreted as the one indicated in the most recent DCI or the one being applied for current communication. If this is the most recent DCI, it may be possible that UE missed the DCI so that there </w:t>
            </w:r>
            <w:r w:rsidRPr="0040051B">
              <w:rPr>
                <w:sz w:val="18"/>
                <w:lang w:eastAsia="zh-CN"/>
              </w:rPr>
              <w:lastRenderedPageBreak/>
              <w:t>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Heading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r w:rsidRPr="00F40503">
              <w:rPr>
                <w:bCs/>
                <w:sz w:val="18"/>
                <w:lang w:val="en-GB" w:eastAsia="zh-CN"/>
              </w:rPr>
              <w:t>e</w:t>
            </w:r>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Heading3"/>
              <w:rPr>
                <w:sz w:val="20"/>
                <w:szCs w:val="16"/>
              </w:rPr>
            </w:pPr>
            <w:r w:rsidRPr="00B37E9C">
              <w:rPr>
                <w:sz w:val="20"/>
                <w:szCs w:val="16"/>
              </w:rPr>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Emphasis"/>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t receive the DCI correctly, the UE feedbacks a NACK bit.  In this case, the UE does not receive the beam indication but the gNB would assume the UE receives the beam indication if NACK bit is used as acknowledgement to the beam indication.</w:t>
            </w: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5FBEABA0" w:rsidR="0010322A" w:rsidRPr="00704FFF" w:rsidRDefault="0010322A" w:rsidP="0010322A">
            <w:pPr>
              <w:snapToGrid w:val="0"/>
              <w:rPr>
                <w:sz w:val="18"/>
                <w:szCs w:val="18"/>
              </w:rPr>
            </w:pPr>
            <w:r>
              <w:rPr>
                <w:b/>
                <w:sz w:val="18"/>
                <w:szCs w:val="18"/>
              </w:rPr>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Huawei/HiSi, vivo</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6CAA" w14:textId="77777777" w:rsidR="00BE129B" w:rsidRDefault="00BE129B" w:rsidP="00B17B1D">
      <w:r>
        <w:separator/>
      </w:r>
    </w:p>
  </w:endnote>
  <w:endnote w:type="continuationSeparator" w:id="0">
    <w:p w14:paraId="0C1950D6" w14:textId="77777777" w:rsidR="00BE129B" w:rsidRDefault="00BE129B"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285B" w14:textId="77777777" w:rsidR="00BE129B" w:rsidRDefault="00BE129B" w:rsidP="00B17B1D">
      <w:r>
        <w:separator/>
      </w:r>
    </w:p>
  </w:footnote>
  <w:footnote w:type="continuationSeparator" w:id="0">
    <w:p w14:paraId="11F3B926" w14:textId="77777777" w:rsidR="00BE129B" w:rsidRDefault="00BE129B"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9"/>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0"/>
  </w:num>
  <w:num w:numId="18">
    <w:abstractNumId w:val="37"/>
  </w:num>
  <w:num w:numId="19">
    <w:abstractNumId w:val="11"/>
  </w:num>
  <w:num w:numId="20">
    <w:abstractNumId w:val="36"/>
  </w:num>
  <w:num w:numId="21">
    <w:abstractNumId w:val="34"/>
  </w:num>
  <w:num w:numId="22">
    <w:abstractNumId w:val="32"/>
  </w:num>
  <w:num w:numId="23">
    <w:abstractNumId w:val="31"/>
  </w:num>
  <w:num w:numId="24">
    <w:abstractNumId w:val="41"/>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8"/>
  </w:num>
  <w:num w:numId="40">
    <w:abstractNumId w:val="16"/>
  </w:num>
  <w:num w:numId="41">
    <w:abstractNumId w:val="25"/>
  </w:num>
  <w:num w:numId="42">
    <w:abstractNumId w:val="19"/>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SimSun" w:eastAsia="SimSun" w:hAnsi="SimSun"/>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6C0E2-C816-4341-9792-4D0B9692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5443</Words>
  <Characters>31030</Characters>
  <Application>Microsoft Office Word</Application>
  <DocSecurity>0</DocSecurity>
  <Lines>258</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10</cp:revision>
  <cp:lastPrinted>2021-10-06T09:28:00Z</cp:lastPrinted>
  <dcterms:created xsi:type="dcterms:W3CDTF">2022-03-01T03:58:00Z</dcterms:created>
  <dcterms:modified xsi:type="dcterms:W3CDTF">2022-03-01T05:57:00Z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