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af2"/>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af2"/>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af2"/>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af2"/>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af2"/>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r w:rsidRPr="00934D1F">
              <w:rPr>
                <w:color w:val="3333FF"/>
                <w:sz w:val="18"/>
                <w:szCs w:val="18"/>
                <w:lang w:val="en-GB"/>
              </w:rPr>
              <w:t>hether to apply the indicated Rel-17 TCI state is configured per CSI-RS resource by RRC – if not applied, use the legacy MAC-CE signalling mechanism</w:t>
            </w:r>
          </w:p>
          <w:p w14:paraId="385141FE"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af2"/>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Lenovo/MotM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宋体"/>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af2"/>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af2"/>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af2"/>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af2"/>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af2"/>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af2"/>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宋体"/>
                <w:b/>
                <w:sz w:val="20"/>
                <w:szCs w:val="20"/>
                <w:lang w:val="en-GB" w:eastAsia="en-US"/>
              </w:rPr>
            </w:pPr>
            <w:r>
              <w:rPr>
                <w:rFonts w:eastAsia="宋体"/>
                <w:b/>
                <w:sz w:val="20"/>
                <w:szCs w:val="20"/>
                <w:u w:val="single"/>
                <w:lang w:val="en-GB" w:eastAsia="en-US"/>
              </w:rPr>
              <w:t xml:space="preserve">Proposal </w:t>
            </w:r>
            <w:r>
              <w:rPr>
                <w:rFonts w:eastAsia="宋体"/>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宋体" w:hAnsi="Calibri" w:cs="Calibri"/>
                <w:sz w:val="20"/>
                <w:szCs w:val="20"/>
                <w:highlight w:val="green"/>
                <w:lang w:eastAsia="zh-CN"/>
              </w:rPr>
            </w:pPr>
            <w:r>
              <w:rPr>
                <w:rFonts w:ascii="Calibri" w:eastAsia="宋体" w:hAnsi="Calibri" w:cs="Calibri"/>
                <w:b/>
                <w:bCs/>
                <w:sz w:val="20"/>
                <w:szCs w:val="20"/>
                <w:highlight w:val="green"/>
                <w:lang w:eastAsia="zh-CN"/>
              </w:rPr>
              <w:t>Agreement</w:t>
            </w:r>
          </w:p>
          <w:p w14:paraId="5EAFDEEF" w14:textId="77777777" w:rsidR="004578F3" w:rsidRDefault="00BF06B4">
            <w:pPr>
              <w:snapToGrid w:val="0"/>
              <w:rPr>
                <w:rFonts w:ascii="Calibri" w:eastAsia="宋体" w:hAnsi="Calibri" w:cs="Calibri"/>
                <w:sz w:val="20"/>
                <w:szCs w:val="20"/>
                <w:lang w:eastAsia="zh-CN"/>
              </w:rPr>
            </w:pPr>
            <w:r>
              <w:rPr>
                <w:rFonts w:ascii="Calibri" w:eastAsia="宋体"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af2"/>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af2"/>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af2"/>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宋体"/>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af2"/>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af2"/>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宋体"/>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Support Alt3 and the Proposal 1.F. There is no agreement about the application of the indicated TCI state for P/SP-CSI-RS. For Alt4, the legacy behavior needs to be clarified when gNB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宋体"/>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is indicated</w:t>
              </w:r>
            </w:ins>
            <w:r>
              <w:rPr>
                <w:rFonts w:eastAsia="宋体"/>
                <w:bCs/>
                <w:color w:val="FF0000"/>
                <w:sz w:val="18"/>
                <w:lang w:eastAsia="x-none"/>
              </w:rPr>
              <w:t xml:space="preserve"> or activated by MAC CE</w:t>
            </w:r>
            <w:ins w:id="6" w:author="Eko Onggosanusi" w:date="2022-02-22T23:52:00Z">
              <w:r>
                <w:rPr>
                  <w:rFonts w:eastAsia="宋体"/>
                  <w:bCs/>
                  <w:color w:val="000000" w:themeColor="text1"/>
                  <w:sz w:val="18"/>
                  <w:lang w:eastAsia="x-none"/>
                </w:rPr>
                <w:t xml:space="preserve"> after </w:t>
              </w:r>
              <w:r w:rsidRPr="004E1471">
                <w:rPr>
                  <w:rFonts w:eastAsia="宋体"/>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r w:rsidR="00EB32ED" w14:paraId="63F6A45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C0A3" w14:textId="5A113C89" w:rsidR="00EB32ED" w:rsidRDefault="00EB32ED" w:rsidP="00DF227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967C" w14:textId="370C5FFF" w:rsidR="00EB32ED" w:rsidRDefault="00EB32ED" w:rsidP="00EB32ED">
            <w:pPr>
              <w:pStyle w:val="0Maintext"/>
              <w:ind w:firstLine="0"/>
              <w:rPr>
                <w:rStyle w:val="00TextChar"/>
                <w:rFonts w:eastAsiaTheme="minorEastAsia"/>
              </w:rPr>
            </w:pPr>
            <w:r>
              <w:rPr>
                <w:rStyle w:val="00TextChar"/>
                <w:rFonts w:eastAsiaTheme="minorEastAsia"/>
                <w:b/>
              </w:rPr>
              <w:t xml:space="preserve">Proposal 1.F: </w:t>
            </w:r>
            <w:r w:rsidRPr="000157AA">
              <w:rPr>
                <w:rStyle w:val="00TextChar"/>
                <w:rFonts w:eastAsiaTheme="minorEastAsia"/>
              </w:rPr>
              <w:t>Fine</w:t>
            </w:r>
          </w:p>
          <w:p w14:paraId="162CE82B" w14:textId="77777777" w:rsidR="00EB32ED" w:rsidRDefault="00EB32ED" w:rsidP="00EB32ED">
            <w:pPr>
              <w:pStyle w:val="0Maintext"/>
              <w:ind w:firstLine="0"/>
              <w:rPr>
                <w:rStyle w:val="00TextChar"/>
                <w:rFonts w:eastAsiaTheme="minorEastAsia"/>
                <w:b/>
              </w:rPr>
            </w:pPr>
            <w:r>
              <w:rPr>
                <w:rStyle w:val="00TextChar"/>
                <w:rFonts w:eastAsiaTheme="minorEastAsia"/>
                <w:b/>
              </w:rPr>
              <w:t xml:space="preserve">Proposal 1.G: </w:t>
            </w:r>
            <w:r w:rsidRPr="000157AA">
              <w:rPr>
                <w:rStyle w:val="00TextChar"/>
                <w:rFonts w:eastAsiaTheme="minorEastAsia"/>
              </w:rPr>
              <w:t>Fine</w:t>
            </w:r>
          </w:p>
          <w:p w14:paraId="53D37A49"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1</w:t>
            </w:r>
            <w:r>
              <w:rPr>
                <w:rStyle w:val="00TextChar"/>
                <w:rFonts w:eastAsiaTheme="minorEastAsia"/>
                <w:b/>
              </w:rPr>
              <w:t xml:space="preserve">.12: </w:t>
            </w:r>
            <w:r w:rsidRPr="000157AA">
              <w:rPr>
                <w:rStyle w:val="00TextChar"/>
                <w:rFonts w:eastAsiaTheme="minorEastAsia"/>
              </w:rPr>
              <w:t>Support</w:t>
            </w:r>
          </w:p>
          <w:p w14:paraId="730712FD" w14:textId="77777777" w:rsidR="00EB32ED" w:rsidRDefault="00EB32ED" w:rsidP="00EB32ED">
            <w:pPr>
              <w:pStyle w:val="0Maintext"/>
              <w:ind w:firstLine="0"/>
              <w:rPr>
                <w:rStyle w:val="00TextChar"/>
                <w:rFonts w:eastAsiaTheme="minorEastAsia"/>
                <w:b/>
              </w:rPr>
            </w:pPr>
            <w:r>
              <w:rPr>
                <w:rStyle w:val="00TextChar"/>
                <w:rFonts w:eastAsiaTheme="minorEastAsia" w:hint="eastAsia"/>
                <w:b/>
              </w:rPr>
              <w:t>P</w:t>
            </w:r>
            <w:r>
              <w:rPr>
                <w:rStyle w:val="00TextChar"/>
                <w:rFonts w:eastAsiaTheme="minorEastAsia"/>
                <w:b/>
              </w:rPr>
              <w:t xml:space="preserve">roposal 1.H:  </w:t>
            </w:r>
            <w:r w:rsidRPr="000157AA">
              <w:rPr>
                <w:rStyle w:val="00TextChar"/>
                <w:rFonts w:eastAsiaTheme="minorEastAsia"/>
              </w:rPr>
              <w:t>Not needed.</w:t>
            </w:r>
          </w:p>
          <w:p w14:paraId="71707742" w14:textId="77777777" w:rsidR="00EB32ED" w:rsidRDefault="00EB32ED" w:rsidP="00EB32ED">
            <w:pPr>
              <w:pStyle w:val="0Maintext"/>
              <w:ind w:firstLine="0"/>
              <w:rPr>
                <w:rStyle w:val="00TextChar"/>
                <w:rFonts w:eastAsiaTheme="minorEastAsia"/>
              </w:rPr>
            </w:pPr>
            <w:r>
              <w:rPr>
                <w:rStyle w:val="00TextChar"/>
                <w:rFonts w:eastAsiaTheme="minorEastAsia" w:hint="eastAsia"/>
                <w:b/>
              </w:rPr>
              <w:t>P</w:t>
            </w:r>
            <w:r>
              <w:rPr>
                <w:rStyle w:val="00TextChar"/>
                <w:rFonts w:eastAsiaTheme="minorEastAsia"/>
                <w:b/>
              </w:rPr>
              <w:t xml:space="preserve">roposal 1.I: </w:t>
            </w:r>
            <w:r w:rsidRPr="000157AA">
              <w:rPr>
                <w:rStyle w:val="00TextChar"/>
                <w:rFonts w:eastAsiaTheme="minorEastAsia"/>
              </w:rPr>
              <w:t>Support</w:t>
            </w:r>
          </w:p>
          <w:p w14:paraId="1B9FFE97" w14:textId="029C08DB" w:rsidR="00EB32ED" w:rsidRDefault="00EB32ED" w:rsidP="00EB32ED">
            <w:pPr>
              <w:tabs>
                <w:tab w:val="left" w:pos="2210"/>
              </w:tabs>
              <w:snapToGrid w:val="0"/>
              <w:rPr>
                <w:rStyle w:val="00TextChar"/>
                <w:b/>
                <w:sz w:val="18"/>
                <w:szCs w:val="18"/>
              </w:rPr>
            </w:pPr>
            <w:r>
              <w:rPr>
                <w:rStyle w:val="00TextChar"/>
                <w:rFonts w:eastAsiaTheme="minorEastAsia"/>
                <w:b/>
              </w:rPr>
              <w:t>Conclusion 1</w:t>
            </w:r>
            <w:r>
              <w:rPr>
                <w:rStyle w:val="00TextChar"/>
                <w:rFonts w:eastAsiaTheme="minorEastAsia" w:hint="eastAsia"/>
                <w:b/>
              </w:rPr>
              <w:t>.</w:t>
            </w:r>
            <w:r>
              <w:rPr>
                <w:rStyle w:val="00TextChar"/>
                <w:rFonts w:eastAsiaTheme="minorEastAsia"/>
                <w:b/>
              </w:rPr>
              <w:t xml:space="preserve">J: </w:t>
            </w:r>
            <w:r w:rsidRPr="000157AA">
              <w:rPr>
                <w:rStyle w:val="00TextChar"/>
                <w:rFonts w:eastAsiaTheme="minorEastAsia"/>
              </w:rPr>
              <w:t>Support</w:t>
            </w:r>
          </w:p>
        </w:tc>
      </w:tr>
      <w:tr w:rsidR="00197F60" w14:paraId="6081A8B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77E2F" w14:textId="183EFBD4" w:rsidR="00197F60" w:rsidRDefault="00197F60" w:rsidP="00197F60">
            <w:pPr>
              <w:snapToGrid w:val="0"/>
              <w:rPr>
                <w:sz w:val="18"/>
                <w:szCs w:val="18"/>
                <w:lang w:eastAsia="zh-CN"/>
              </w:rPr>
            </w:pPr>
            <w:r w:rsidRPr="0026084A">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FA6E4" w14:textId="77777777" w:rsidR="00197F60" w:rsidRDefault="00197F60" w:rsidP="00197F60">
            <w:pPr>
              <w:pStyle w:val="0Maintext"/>
              <w:snapToGrid w:val="0"/>
              <w:spacing w:after="0" w:line="240" w:lineRule="auto"/>
              <w:ind w:firstLine="0"/>
              <w:rPr>
                <w:rStyle w:val="00TextChar"/>
                <w:rFonts w:eastAsia="PMingLiU"/>
                <w:bCs/>
                <w:lang w:eastAsia="zh-TW"/>
              </w:rPr>
            </w:pPr>
            <w:r w:rsidRPr="0093431F">
              <w:rPr>
                <w:rStyle w:val="00TextChar"/>
                <w:b/>
              </w:rPr>
              <w:t>Issue 1.11 Proposal 1.G</w:t>
            </w:r>
            <w:r>
              <w:rPr>
                <w:rStyle w:val="00TextChar"/>
                <w:rFonts w:eastAsia="PMingLiU" w:hint="eastAsia"/>
                <w:b/>
                <w:lang w:eastAsia="zh-TW"/>
              </w:rPr>
              <w:t>:</w:t>
            </w:r>
            <w:r>
              <w:rPr>
                <w:rStyle w:val="00TextChar"/>
                <w:rFonts w:eastAsia="PMingLiU"/>
                <w:b/>
                <w:lang w:eastAsia="zh-TW"/>
              </w:rPr>
              <w:t xml:space="preserve"> </w:t>
            </w:r>
            <w:r w:rsidRPr="0026084A">
              <w:rPr>
                <w:rStyle w:val="00TextChar"/>
                <w:rFonts w:eastAsia="PMingLiU"/>
                <w:bCs/>
                <w:lang w:eastAsia="zh-TW"/>
              </w:rPr>
              <w:t xml:space="preserve">We are not sure whether </w:t>
            </w:r>
            <w:r>
              <w:rPr>
                <w:rStyle w:val="00TextChar"/>
                <w:rFonts w:eastAsia="PMingLiU"/>
                <w:bCs/>
                <w:lang w:eastAsia="zh-TW"/>
              </w:rPr>
              <w:t>it</w:t>
            </w:r>
            <w:r w:rsidRPr="0026084A">
              <w:rPr>
                <w:rStyle w:val="00TextChar"/>
                <w:rFonts w:eastAsia="PMingLiU"/>
                <w:bCs/>
                <w:lang w:eastAsia="zh-TW"/>
              </w:rPr>
              <w:t xml:space="preserve"> </w:t>
            </w:r>
            <w:r>
              <w:rPr>
                <w:rStyle w:val="00TextChar"/>
                <w:rFonts w:eastAsia="PMingLiU"/>
                <w:bCs/>
                <w:lang w:eastAsia="zh-TW"/>
              </w:rPr>
              <w:t>is essential to reset the QCL assumption for CORESET#0 after every CFRA, even it is already supported in Rel-15/16.</w:t>
            </w:r>
            <w:r>
              <w:rPr>
                <w:rStyle w:val="00TextChar"/>
                <w:rFonts w:eastAsia="PMingLiU" w:hint="eastAsia"/>
                <w:bCs/>
                <w:lang w:eastAsia="zh-TW"/>
              </w:rPr>
              <w:t xml:space="preserve"> </w:t>
            </w:r>
          </w:p>
          <w:p w14:paraId="61C25F7A" w14:textId="77777777" w:rsidR="00197F60" w:rsidRDefault="00197F60" w:rsidP="00197F60">
            <w:pPr>
              <w:pStyle w:val="0Maintext"/>
              <w:snapToGrid w:val="0"/>
              <w:spacing w:after="0" w:line="240" w:lineRule="auto"/>
              <w:ind w:firstLine="0"/>
              <w:rPr>
                <w:rStyle w:val="00TextChar"/>
                <w:rFonts w:eastAsia="PMingLiU"/>
                <w:bCs/>
                <w:lang w:eastAsia="zh-TW"/>
              </w:rPr>
            </w:pPr>
          </w:p>
          <w:p w14:paraId="78D5C5AD"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On the other hand, the proposal is not quite clear. The UE should assume a SSB for QCL instead of a TCI state. Meanwhile, this proposal should be defined for </w:t>
            </w:r>
            <w:r>
              <w:rPr>
                <w:sz w:val="18"/>
                <w:szCs w:val="18"/>
              </w:rPr>
              <w:t xml:space="preserve">CORESET 0 if it is configured by RRC to </w:t>
            </w:r>
            <w:r w:rsidRPr="00E31314">
              <w:rPr>
                <w:sz w:val="18"/>
                <w:szCs w:val="18"/>
              </w:rPr>
              <w:t>apply the indicated Rel-17 TCI state associated with the serving cell</w:t>
            </w:r>
            <w:r>
              <w:rPr>
                <w:sz w:val="18"/>
                <w:szCs w:val="18"/>
              </w:rPr>
              <w:t xml:space="preserve"> (if not, it should follow legacy behaviour)</w:t>
            </w:r>
            <w:r>
              <w:rPr>
                <w:rFonts w:ascii="PMingLiU" w:eastAsia="PMingLiU" w:hAnsi="PMingLiU" w:cs="PMingLiU" w:hint="eastAsia"/>
                <w:sz w:val="18"/>
                <w:szCs w:val="18"/>
                <w:lang w:eastAsia="zh-TW"/>
              </w:rPr>
              <w:t>.</w:t>
            </w:r>
          </w:p>
          <w:p w14:paraId="3C0D6F71" w14:textId="77777777" w:rsidR="00197F60" w:rsidRDefault="00197F60" w:rsidP="00197F60">
            <w:pPr>
              <w:pStyle w:val="0Maintext"/>
              <w:snapToGrid w:val="0"/>
              <w:spacing w:after="0" w:line="240" w:lineRule="auto"/>
              <w:ind w:firstLine="0"/>
              <w:rPr>
                <w:rStyle w:val="00TextChar"/>
                <w:rFonts w:eastAsia="PMingLiU"/>
                <w:bCs/>
                <w:lang w:eastAsia="zh-TW"/>
              </w:rPr>
            </w:pPr>
          </w:p>
          <w:p w14:paraId="6A79039C" w14:textId="77777777" w:rsidR="00197F60" w:rsidRDefault="00197F60" w:rsidP="00197F60">
            <w:pPr>
              <w:pStyle w:val="0Maintext"/>
              <w:snapToGrid w:val="0"/>
              <w:spacing w:after="0" w:line="240" w:lineRule="auto"/>
              <w:ind w:firstLine="0"/>
              <w:rPr>
                <w:rStyle w:val="00TextChar"/>
                <w:rFonts w:eastAsia="PMingLiU"/>
                <w:bCs/>
                <w:lang w:eastAsia="zh-TW"/>
              </w:rPr>
            </w:pPr>
            <w:r>
              <w:rPr>
                <w:rStyle w:val="00TextChar"/>
                <w:rFonts w:eastAsia="PMingLiU"/>
                <w:bCs/>
                <w:lang w:eastAsia="zh-TW"/>
              </w:rPr>
              <w:t xml:space="preserve">To be clear (even we think this is not essential), we </w:t>
            </w:r>
            <w:r>
              <w:rPr>
                <w:rStyle w:val="00TextChar"/>
                <w:rFonts w:eastAsia="PMingLiU" w:hint="eastAsia"/>
                <w:bCs/>
                <w:lang w:eastAsia="zh-TW"/>
              </w:rPr>
              <w:t>s</w:t>
            </w:r>
            <w:r>
              <w:rPr>
                <w:rStyle w:val="00TextChar"/>
                <w:rFonts w:eastAsia="PMingLiU"/>
                <w:bCs/>
                <w:lang w:eastAsia="zh-TW"/>
              </w:rPr>
              <w:t>uggest some changes as follows:</w:t>
            </w:r>
          </w:p>
          <w:p w14:paraId="3F8C7567" w14:textId="77777777" w:rsidR="00197F60" w:rsidRDefault="00197F60" w:rsidP="00197F60">
            <w:pPr>
              <w:snapToGrid w:val="0"/>
              <w:spacing w:before="24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w:t>
            </w:r>
            <w:del w:id="7" w:author="Darcy Tsai" w:date="2022-02-24T14:17:00Z">
              <w:r w:rsidDel="00E31314">
                <w:rPr>
                  <w:sz w:val="18"/>
                  <w:szCs w:val="18"/>
                  <w:lang w:val="en-GB"/>
                </w:rPr>
                <w:delText xml:space="preserve">the Rel-17 TCI state indication of </w:delText>
              </w:r>
            </w:del>
            <w:r>
              <w:rPr>
                <w:sz w:val="18"/>
                <w:szCs w:val="18"/>
                <w:lang w:val="en-GB"/>
              </w:rPr>
              <w:t>CORESET 0</w:t>
            </w:r>
            <w:ins w:id="8" w:author="Darcy Tsai" w:date="2022-02-24T14:23:00Z">
              <w:r>
                <w:rPr>
                  <w:sz w:val="18"/>
                  <w:szCs w:val="18"/>
                  <w:lang w:val="en-GB"/>
                </w:rPr>
                <w:t xml:space="preserve"> configured</w:t>
              </w:r>
            </w:ins>
            <w:ins w:id="9" w:author="Darcy Tsai" w:date="2022-02-24T14:24:00Z">
              <w:r>
                <w:rPr>
                  <w:sz w:val="18"/>
                  <w:szCs w:val="18"/>
                  <w:lang w:val="en-GB"/>
                </w:rPr>
                <w:t xml:space="preserve"> by RRC</w:t>
              </w:r>
            </w:ins>
            <w:ins w:id="10" w:author="Darcy Tsai" w:date="2022-02-24T14:23:00Z">
              <w:r>
                <w:rPr>
                  <w:sz w:val="18"/>
                  <w:szCs w:val="18"/>
                  <w:lang w:val="en-GB"/>
                </w:rPr>
                <w:t xml:space="preserve"> </w:t>
              </w:r>
            </w:ins>
            <w:r>
              <w:rPr>
                <w:sz w:val="18"/>
                <w:szCs w:val="18"/>
                <w:lang w:val="en-GB"/>
              </w:rPr>
              <w:t xml:space="preserve">to </w:t>
            </w:r>
            <w:ins w:id="11" w:author="Darcy Tsai" w:date="2022-02-24T14:24:00Z">
              <w:r w:rsidRPr="00E31314">
                <w:rPr>
                  <w:sz w:val="18"/>
                  <w:szCs w:val="18"/>
                  <w:lang w:val="en-GB"/>
                </w:rPr>
                <w:t>apply the indicated Rel-17 TCI state associated with the serving cell</w:t>
              </w:r>
            </w:ins>
            <w:r>
              <w:rPr>
                <w:sz w:val="18"/>
                <w:szCs w:val="18"/>
                <w:lang w:val="en-GB"/>
              </w:rPr>
              <w:t xml:space="preserve">, the UE assumes </w:t>
            </w:r>
            <w:del w:id="12" w:author="Darcy Tsai" w:date="2022-02-24T14:19:00Z">
              <w:r w:rsidDel="00E31314">
                <w:rPr>
                  <w:sz w:val="18"/>
                  <w:szCs w:val="18"/>
                  <w:lang w:val="en-GB"/>
                </w:rPr>
                <w:delText>TCI state</w:delText>
              </w:r>
            </w:del>
            <w:ins w:id="13" w:author="Darcy Tsai" w:date="2022-02-24T14:19:00Z">
              <w:r>
                <w:rPr>
                  <w:sz w:val="18"/>
                  <w:szCs w:val="18"/>
                  <w:lang w:val="en-GB"/>
                </w:rPr>
                <w:t xml:space="preserve">a DM-RS antenna port for PDCCH receptions in the CORESET is QCLed with </w:t>
              </w:r>
            </w:ins>
            <w:ins w:id="14" w:author="Darcy Tsai" w:date="2022-02-24T14:20:00Z">
              <w:r>
                <w:rPr>
                  <w:sz w:val="18"/>
                  <w:szCs w:val="18"/>
                  <w:lang w:val="en-GB"/>
                </w:rPr>
                <w:t>an SSB</w:t>
              </w:r>
            </w:ins>
            <w:r>
              <w:rPr>
                <w:sz w:val="18"/>
                <w:szCs w:val="18"/>
                <w:lang w:val="en-GB"/>
              </w:rPr>
              <w:t xml:space="preserve"> </w:t>
            </w:r>
            <w:del w:id="15" w:author="Darcy Tsai" w:date="2022-02-24T14:21:00Z">
              <w:r w:rsidDel="00E31314">
                <w:rPr>
                  <w:rFonts w:eastAsia="宋体"/>
                  <w:bCs/>
                  <w:color w:val="000000" w:themeColor="text1"/>
                  <w:sz w:val="18"/>
                  <w:lang w:eastAsia="zh-CN"/>
                </w:rPr>
                <w:delText>based on</w:delText>
              </w:r>
            </w:del>
            <w:ins w:id="16" w:author="Darcy Tsai" w:date="2022-02-24T14:21:00Z">
              <w:r>
                <w:rPr>
                  <w:rFonts w:eastAsia="宋体"/>
                  <w:bCs/>
                  <w:color w:val="000000" w:themeColor="text1"/>
                  <w:sz w:val="18"/>
                  <w:lang w:eastAsia="zh-CN"/>
                </w:rPr>
                <w:t>on the UE identified during</w:t>
              </w:r>
            </w:ins>
            <w:ins w:id="17" w:author="Darcy Tsai" w:date="2022-02-24T14:20:00Z">
              <w:r>
                <w:rPr>
                  <w:rFonts w:eastAsia="宋体"/>
                  <w:bCs/>
                  <w:color w:val="000000" w:themeColor="text1"/>
                  <w:sz w:val="18"/>
                  <w:lang w:eastAsia="zh-CN"/>
                </w:rPr>
                <w:t xml:space="preserve"> a</w:t>
              </w:r>
            </w:ins>
            <w:r>
              <w:rPr>
                <w:rFonts w:eastAsia="宋体"/>
                <w:bCs/>
                <w:color w:val="000000" w:themeColor="text1"/>
                <w:sz w:val="18"/>
                <w:lang w:eastAsia="zh-CN"/>
              </w:rPr>
              <w:t xml:space="preserve"> latest RA procedure</w:t>
            </w:r>
            <w:del w:id="18" w:author="Darcy Tsai" w:date="2022-02-24T14:21:00Z">
              <w:r w:rsidDel="00E31314">
                <w:rPr>
                  <w:rFonts w:eastAsia="宋体"/>
                  <w:bCs/>
                  <w:color w:val="000000" w:themeColor="text1"/>
                  <w:sz w:val="18"/>
                  <w:lang w:eastAsia="zh-CN"/>
                </w:rPr>
                <w:delText>,</w:delText>
              </w:r>
            </w:del>
            <w:r>
              <w:rPr>
                <w:rFonts w:eastAsia="宋体"/>
                <w:bCs/>
                <w:color w:val="000000" w:themeColor="text1"/>
                <w:sz w:val="18"/>
                <w:lang w:eastAsia="zh-CN"/>
              </w:rPr>
              <w:t xml:space="preserve"> </w:t>
            </w:r>
            <w:r>
              <w:rPr>
                <w:color w:val="FF0000"/>
                <w:sz w:val="18"/>
                <w:szCs w:val="18"/>
              </w:rPr>
              <w:t>not initiated by a PDCCH order that triggers a contention-free random access procedure</w:t>
            </w:r>
            <w:r>
              <w:rPr>
                <w:rFonts w:eastAsia="宋体"/>
                <w:bCs/>
                <w:color w:val="000000" w:themeColor="text1"/>
                <w:sz w:val="18"/>
                <w:lang w:eastAsia="zh-CN"/>
              </w:rPr>
              <w:t xml:space="preserve">, if no </w:t>
            </w:r>
            <w:ins w:id="19" w:author="Darcy Tsai" w:date="2022-02-24T14:29:00Z">
              <w:r>
                <w:rPr>
                  <w:rFonts w:eastAsia="宋体"/>
                  <w:bCs/>
                  <w:color w:val="000000" w:themeColor="text1"/>
                  <w:sz w:val="18"/>
                  <w:lang w:eastAsia="zh-CN"/>
                </w:rPr>
                <w:t>MAC-CE or DCI indicating a</w:t>
              </w:r>
            </w:ins>
            <w:r>
              <w:rPr>
                <w:rFonts w:eastAsia="宋体"/>
                <w:bCs/>
                <w:color w:val="000000" w:themeColor="text1"/>
                <w:sz w:val="18"/>
                <w:lang w:eastAsia="zh-CN"/>
              </w:rPr>
              <w:t xml:space="preserve"> TCI state</w:t>
            </w:r>
            <w:del w:id="20" w:author="Darcy Tsai" w:date="2022-02-24T14:30:00Z">
              <w:r w:rsidDel="008400EE">
                <w:rPr>
                  <w:rFonts w:eastAsia="宋体"/>
                  <w:bCs/>
                  <w:color w:val="000000" w:themeColor="text1"/>
                  <w:sz w:val="18"/>
                  <w:lang w:eastAsia="zh-CN"/>
                </w:rPr>
                <w:delText xml:space="preserve"> is indicated</w:delText>
              </w:r>
            </w:del>
            <w:r>
              <w:rPr>
                <w:rFonts w:eastAsia="宋体"/>
                <w:bCs/>
                <w:color w:val="000000" w:themeColor="text1"/>
                <w:sz w:val="18"/>
                <w:lang w:eastAsia="zh-CN"/>
              </w:rPr>
              <w:t xml:space="preserve"> after </w:t>
            </w:r>
            <w:ins w:id="21" w:author="Darcy Tsai" w:date="2022-02-24T14:30:00Z">
              <w:r>
                <w:rPr>
                  <w:rFonts w:eastAsia="宋体"/>
                  <w:bCs/>
                  <w:color w:val="000000" w:themeColor="text1"/>
                  <w:sz w:val="18"/>
                  <w:lang w:eastAsia="zh-CN"/>
                </w:rPr>
                <w:t xml:space="preserve">the </w:t>
              </w:r>
            </w:ins>
            <w:r>
              <w:rPr>
                <w:rFonts w:eastAsia="宋体"/>
                <w:bCs/>
                <w:color w:val="000000" w:themeColor="text1"/>
                <w:sz w:val="18"/>
                <w:lang w:eastAsia="zh-CN"/>
              </w:rPr>
              <w:t>RA procedure.</w:t>
            </w:r>
          </w:p>
          <w:p w14:paraId="0A80C251" w14:textId="77777777" w:rsidR="00197F60" w:rsidRDefault="00197F60" w:rsidP="00197F60">
            <w:pPr>
              <w:pStyle w:val="0Maintext"/>
              <w:snapToGrid w:val="0"/>
              <w:spacing w:after="0" w:line="240" w:lineRule="auto"/>
              <w:ind w:firstLine="0"/>
              <w:rPr>
                <w:ins w:id="22" w:author="Darcy Tsai" w:date="2022-02-24T14:23:00Z"/>
                <w:rStyle w:val="00TextChar"/>
                <w:rFonts w:eastAsia="PMingLiU"/>
                <w:b/>
                <w:lang w:val="en-US" w:eastAsia="zh-TW"/>
              </w:rPr>
            </w:pPr>
          </w:p>
          <w:p w14:paraId="08AB655C" w14:textId="77777777" w:rsidR="00197F60" w:rsidRPr="00E31314" w:rsidRDefault="00197F60" w:rsidP="00197F60">
            <w:pPr>
              <w:snapToGrid w:val="0"/>
              <w:jc w:val="both"/>
              <w:rPr>
                <w:sz w:val="18"/>
                <w:szCs w:val="12"/>
              </w:rPr>
            </w:pPr>
            <w:r w:rsidRPr="00E31314">
              <w:rPr>
                <w:rFonts w:eastAsia="Malgun Gothic"/>
                <w:b/>
                <w:sz w:val="18"/>
                <w:szCs w:val="12"/>
                <w:highlight w:val="green"/>
              </w:rPr>
              <w:t>Agreement</w:t>
            </w:r>
          </w:p>
          <w:p w14:paraId="325C3C49" w14:textId="77777777" w:rsidR="00197F60" w:rsidRPr="00E31314" w:rsidRDefault="00197F60" w:rsidP="00197F60">
            <w:pPr>
              <w:snapToGrid w:val="0"/>
              <w:jc w:val="both"/>
              <w:rPr>
                <w:sz w:val="18"/>
                <w:szCs w:val="14"/>
              </w:rPr>
            </w:pPr>
            <w:r w:rsidRPr="00E31314">
              <w:rPr>
                <w:sz w:val="18"/>
                <w:szCs w:val="14"/>
              </w:rPr>
              <w:t>For Rel-17 unified TCI framework, for the Rel-17 TCI state indication of CORESET 0:</w:t>
            </w:r>
          </w:p>
          <w:p w14:paraId="17818966" w14:textId="77777777" w:rsidR="00197F60" w:rsidRPr="008400EE" w:rsidRDefault="00197F60" w:rsidP="00197F60">
            <w:pPr>
              <w:numPr>
                <w:ilvl w:val="0"/>
                <w:numId w:val="12"/>
              </w:numPr>
              <w:snapToGrid w:val="0"/>
              <w:jc w:val="both"/>
              <w:rPr>
                <w:sz w:val="18"/>
                <w:szCs w:val="14"/>
                <w:highlight w:val="yellow"/>
              </w:rPr>
            </w:pPr>
            <w:r w:rsidRPr="008400EE">
              <w:rPr>
                <w:sz w:val="18"/>
                <w:szCs w:val="14"/>
                <w:highlight w:val="yellow"/>
              </w:rPr>
              <w:t xml:space="preserve">Whether to apply the indicated Rel-17 TCI state associated with the serving cell is configured per CORESET by RRC – if not applied, use the legacy MAC-CE/RACH signalling mechanism </w:t>
            </w:r>
          </w:p>
          <w:p w14:paraId="5CC08380" w14:textId="5F80CF77" w:rsidR="00197F60" w:rsidRDefault="00197F60" w:rsidP="00197F60">
            <w:pPr>
              <w:pStyle w:val="0Maintext"/>
              <w:ind w:firstLine="0"/>
              <w:rPr>
                <w:rStyle w:val="00TextChar"/>
                <w:rFonts w:eastAsiaTheme="minorEastAsia"/>
                <w:b/>
              </w:rPr>
            </w:pPr>
            <w:r w:rsidRPr="00E31314">
              <w:rPr>
                <w:sz w:val="18"/>
                <w:szCs w:val="14"/>
              </w:rPr>
              <w:t>Note: The CSI-RS associated with the Rel-17 TCI state applied to CORESET 0 should be QCLed with an SSB associated with serving cell PCI (same as Rel-15)</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3"/>
        <w:numPr>
          <w:ilvl w:val="1"/>
          <w:numId w:val="11"/>
        </w:numPr>
      </w:pPr>
      <w:r>
        <w:lastRenderedPageBreak/>
        <w:t>Issue 2 (inter-cell beam management)</w:t>
      </w:r>
    </w:p>
    <w:p w14:paraId="33C3F2C5" w14:textId="77777777" w:rsidR="004578F3" w:rsidRDefault="004578F3">
      <w:pPr>
        <w:ind w:left="360"/>
      </w:pPr>
    </w:p>
    <w:p w14:paraId="7F453BC4" w14:textId="77777777" w:rsidR="004578F3" w:rsidRDefault="00BF06B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af2"/>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14:paraId="651E4D96" w14:textId="77777777" w:rsidR="004578F3" w:rsidRDefault="00BF06B4">
            <w:pPr>
              <w:pStyle w:val="af2"/>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lastRenderedPageBreak/>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af2"/>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af2"/>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af2"/>
              <w:snapToGrid w:val="0"/>
              <w:spacing w:after="0" w:line="257" w:lineRule="auto"/>
              <w:ind w:left="420"/>
              <w:jc w:val="both"/>
              <w:rPr>
                <w:bCs/>
                <w:sz w:val="18"/>
                <w:szCs w:val="18"/>
                <w:lang w:val="en-GB" w:eastAsia="zh-CN"/>
              </w:rPr>
            </w:pPr>
          </w:p>
          <w:p w14:paraId="7F04E800" w14:textId="77777777" w:rsidR="004578F3" w:rsidRDefault="004578F3">
            <w:pPr>
              <w:pStyle w:val="af2"/>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lastRenderedPageBreak/>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lastRenderedPageBreak/>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宋体"/>
                <w:sz w:val="18"/>
                <w:szCs w:val="18"/>
                <w:lang w:eastAsia="zh-CN"/>
              </w:rPr>
            </w:pPr>
            <w:r>
              <w:rPr>
                <w:rFonts w:eastAsia="宋体"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2.1: We agree that the </w:t>
            </w:r>
            <w:r>
              <w:rPr>
                <w:rFonts w:eastAsia="宋体" w:hint="eastAsia"/>
                <w:b/>
                <w:sz w:val="18"/>
                <w:szCs w:val="18"/>
                <w:lang w:eastAsia="zh-CN"/>
              </w:rPr>
              <w:t xml:space="preserve">configured </w:t>
            </w:r>
            <w:r>
              <w:rPr>
                <w:rFonts w:eastAsia="宋体" w:hint="eastAsia"/>
                <w:bCs/>
                <w:sz w:val="18"/>
                <w:szCs w:val="18"/>
                <w:lang w:eastAsia="zh-CN"/>
              </w:rPr>
              <w:t>L1-RSRP set can be</w:t>
            </w:r>
            <w:r>
              <w:rPr>
                <w:rFonts w:eastAsia="宋体" w:hint="eastAsia"/>
                <w:b/>
                <w:sz w:val="18"/>
                <w:szCs w:val="18"/>
                <w:lang w:eastAsia="zh-CN"/>
              </w:rPr>
              <w:t xml:space="preserve"> a subset of configured </w:t>
            </w:r>
            <w:r>
              <w:rPr>
                <w:rFonts w:eastAsia="宋体" w:hint="eastAsia"/>
                <w:bCs/>
                <w:sz w:val="18"/>
                <w:szCs w:val="18"/>
                <w:lang w:eastAsia="zh-CN"/>
              </w:rPr>
              <w:t xml:space="preserve">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seems up to UE implementation. </w:t>
            </w:r>
          </w:p>
          <w:p w14:paraId="5CD93547" w14:textId="77777777" w:rsidR="004578F3" w:rsidRDefault="004578F3">
            <w:pPr>
              <w:snapToGrid w:val="0"/>
              <w:jc w:val="both"/>
              <w:rPr>
                <w:rFonts w:eastAsia="宋体"/>
                <w:bCs/>
                <w:sz w:val="18"/>
                <w:szCs w:val="18"/>
                <w:lang w:eastAsia="zh-CN"/>
              </w:rPr>
            </w:pPr>
          </w:p>
          <w:p w14:paraId="13DDCE12" w14:textId="77777777" w:rsidR="004578F3" w:rsidRDefault="00BF06B4">
            <w:pPr>
              <w:snapToGrid w:val="0"/>
              <w:rPr>
                <w:rFonts w:eastAsia="宋体"/>
                <w:bCs/>
                <w:sz w:val="18"/>
                <w:szCs w:val="18"/>
                <w:lang w:eastAsia="zh-CN"/>
              </w:rPr>
            </w:pPr>
            <w:r>
              <w:rPr>
                <w:rFonts w:eastAsia="宋体" w:hint="eastAsia"/>
                <w:bCs/>
                <w:sz w:val="18"/>
                <w:szCs w:val="18"/>
                <w:lang w:eastAsia="zh-CN"/>
              </w:rPr>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With this proposed scheme ,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To proponents of </w:t>
            </w:r>
            <w:r>
              <w:rPr>
                <w:rFonts w:eastAsia="宋体"/>
                <w:bCs/>
                <w:sz w:val="18"/>
                <w:szCs w:val="18"/>
                <w:lang w:eastAsia="zh-CN"/>
              </w:rPr>
              <w:t>“</w:t>
            </w:r>
            <w:r>
              <w:rPr>
                <w:rFonts w:eastAsia="宋体" w:hint="eastAsia"/>
                <w:bCs/>
                <w:sz w:val="18"/>
                <w:szCs w:val="18"/>
                <w:lang w:eastAsia="zh-CN"/>
              </w:rPr>
              <w:t>already supported implicitly</w:t>
            </w:r>
            <w:r>
              <w:rPr>
                <w:rFonts w:eastAsia="宋体"/>
                <w:bCs/>
                <w:sz w:val="18"/>
                <w:szCs w:val="18"/>
                <w:lang w:eastAsia="zh-CN"/>
              </w:rPr>
              <w:t>”</w:t>
            </w:r>
            <w:r>
              <w:rPr>
                <w:rFonts w:eastAsia="宋体" w:hint="eastAsia"/>
                <w:bCs/>
                <w:sz w:val="18"/>
                <w:szCs w:val="18"/>
                <w:lang w:eastAsia="zh-CN"/>
              </w:rPr>
              <w:t>: we need to clarify that there is no MAC CE directly activates non-serving cell SSB, especially for</w:t>
            </w:r>
            <w:r>
              <w:rPr>
                <w:rFonts w:eastAsia="宋体" w:hint="eastAsia"/>
                <w:b/>
                <w:sz w:val="18"/>
                <w:szCs w:val="18"/>
                <w:lang w:eastAsia="zh-CN"/>
              </w:rPr>
              <w:t xml:space="preserve"> semi-persistent measurement</w:t>
            </w:r>
            <w:r>
              <w:rPr>
                <w:rFonts w:eastAsia="宋体" w:hint="eastAsia"/>
                <w:bCs/>
                <w:sz w:val="18"/>
                <w:szCs w:val="18"/>
                <w:lang w:eastAsia="zh-CN"/>
              </w:rPr>
              <w:t xml:space="preserve"> for SSB. In current 38.331, for the element </w:t>
            </w:r>
            <w:r>
              <w:rPr>
                <w:rFonts w:eastAsia="宋体"/>
                <w:bCs/>
                <w:sz w:val="18"/>
                <w:szCs w:val="18"/>
                <w:lang w:eastAsia="zh-CN"/>
              </w:rPr>
              <w:t>“resourceType”</w:t>
            </w:r>
            <w:r>
              <w:rPr>
                <w:rFonts w:eastAsia="宋体" w:hint="eastAsia"/>
                <w:bCs/>
                <w:sz w:val="18"/>
                <w:szCs w:val="18"/>
                <w:lang w:eastAsia="zh-CN"/>
              </w:rPr>
              <w:t xml:space="preserve"> in </w:t>
            </w:r>
            <w:r>
              <w:rPr>
                <w:rFonts w:eastAsia="宋体"/>
                <w:bCs/>
                <w:sz w:val="18"/>
                <w:szCs w:val="18"/>
                <w:lang w:eastAsia="zh-CN"/>
              </w:rPr>
              <w:t>CSI-ResourceConfig</w:t>
            </w:r>
            <w:r>
              <w:rPr>
                <w:rFonts w:eastAsia="宋体" w:hint="eastAsia"/>
                <w:bCs/>
                <w:sz w:val="18"/>
                <w:szCs w:val="18"/>
                <w:lang w:eastAsia="zh-CN"/>
              </w:rPr>
              <w:t xml:space="preserve">, it says </w:t>
            </w:r>
            <w:r>
              <w:rPr>
                <w:rFonts w:eastAsia="宋体"/>
                <w:bCs/>
                <w:sz w:val="18"/>
                <w:szCs w:val="18"/>
                <w:lang w:eastAsia="zh-CN"/>
              </w:rPr>
              <w:t xml:space="preserve">“Time domain behavior of resource configuration (see TS 38.214 [19], clause 5.2.1.2). </w:t>
            </w:r>
            <w:r>
              <w:rPr>
                <w:rFonts w:eastAsia="宋体"/>
                <w:bCs/>
                <w:sz w:val="18"/>
                <w:szCs w:val="18"/>
                <w:highlight w:val="yellow"/>
                <w:lang w:eastAsia="zh-CN"/>
              </w:rPr>
              <w:t>It does not apply to resources provided in the csi-SSB-ResourceSetList</w:t>
            </w:r>
            <w:r>
              <w:rPr>
                <w:rFonts w:eastAsia="宋体"/>
                <w:bCs/>
                <w:sz w:val="18"/>
                <w:szCs w:val="18"/>
                <w:lang w:eastAsia="zh-CN"/>
              </w:rPr>
              <w:t>.”</w:t>
            </w:r>
            <w:r>
              <w:rPr>
                <w:rFonts w:eastAsia="宋体"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宋体"/>
                <w:bCs/>
                <w:sz w:val="18"/>
                <w:szCs w:val="18"/>
                <w:lang w:eastAsia="zh-CN"/>
              </w:rPr>
            </w:pPr>
          </w:p>
          <w:p w14:paraId="555F0E88" w14:textId="77777777" w:rsidR="004578F3" w:rsidRDefault="00BF06B4">
            <w:pPr>
              <w:pStyle w:val="af2"/>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af2"/>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af2"/>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宋体"/>
                <w:bCs/>
                <w:sz w:val="18"/>
                <w:szCs w:val="18"/>
                <w:lang w:eastAsia="zh-CN"/>
              </w:rPr>
            </w:pPr>
          </w:p>
          <w:p w14:paraId="046B42D0"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宋体"/>
                <w:bCs/>
                <w:sz w:val="18"/>
                <w:szCs w:val="18"/>
                <w:lang w:eastAsia="zh-CN"/>
              </w:rPr>
            </w:pPr>
          </w:p>
          <w:p w14:paraId="6498B454" w14:textId="77777777" w:rsidR="004578F3" w:rsidRDefault="00BF06B4">
            <w:pPr>
              <w:snapToGrid w:val="0"/>
              <w:jc w:val="both"/>
              <w:rPr>
                <w:bCs/>
                <w:sz w:val="18"/>
                <w:szCs w:val="18"/>
                <w:lang w:eastAsia="zh-CN"/>
              </w:rPr>
            </w:pPr>
            <w:r>
              <w:rPr>
                <w:rFonts w:eastAsia="宋体" w:hint="eastAsia"/>
                <w:bCs/>
                <w:sz w:val="18"/>
                <w:szCs w:val="18"/>
                <w:lang w:eastAsia="zh-CN"/>
              </w:rPr>
              <w:lastRenderedPageBreak/>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宋体"/>
                <w:sz w:val="18"/>
                <w:szCs w:val="18"/>
                <w:lang w:eastAsia="zh-CN"/>
              </w:rPr>
            </w:pPr>
            <w:r>
              <w:rPr>
                <w:rFonts w:eastAsia="宋体"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宋体"/>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宋体"/>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lastRenderedPageBreak/>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lastRenderedPageBreak/>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But,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r w:rsidR="00EB32ED" w14:paraId="33EEBA47"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53F46" w14:textId="30F85C5E" w:rsidR="00EB32ED" w:rsidRP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504C"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.1: Not needed. It’s up to UE implementation.</w:t>
            </w:r>
          </w:p>
          <w:p w14:paraId="64A15EC1"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 xml:space="preserve">.5: Support. Considering backward compatibility, </w:t>
            </w:r>
            <w:r>
              <w:rPr>
                <w:iCs/>
                <w:sz w:val="18"/>
                <w:szCs w:val="18"/>
                <w:lang w:val="en-GB"/>
              </w:rPr>
              <w:t xml:space="preserve">legacy default beam mechanism defined in Rel-15/16 should be reused </w:t>
            </w:r>
            <w:r>
              <w:rPr>
                <w:sz w:val="18"/>
                <w:szCs w:val="18"/>
                <w:lang w:val="en-GB" w:eastAsia="zh-CN"/>
              </w:rPr>
              <w:t xml:space="preserve">for non-UE-dedicated </w:t>
            </w:r>
            <w:r>
              <w:rPr>
                <w:rFonts w:hint="eastAsia"/>
                <w:sz w:val="18"/>
                <w:szCs w:val="18"/>
                <w:lang w:val="en-GB" w:eastAsia="zh-CN"/>
              </w:rPr>
              <w:t>channels</w:t>
            </w:r>
            <w:r>
              <w:rPr>
                <w:sz w:val="18"/>
                <w:szCs w:val="18"/>
                <w:lang w:val="en-GB" w:eastAsia="zh-CN"/>
              </w:rPr>
              <w:t>/RSs.</w:t>
            </w:r>
          </w:p>
          <w:p w14:paraId="1DBD0894" w14:textId="77777777" w:rsidR="00EB32ED" w:rsidRDefault="00EB32ED" w:rsidP="00EB32ED">
            <w:pPr>
              <w:snapToGrid w:val="0"/>
              <w:rPr>
                <w:sz w:val="18"/>
                <w:szCs w:val="18"/>
                <w:lang w:val="en-GB" w:eastAsia="zh-CN"/>
              </w:rPr>
            </w:pPr>
            <w:r>
              <w:rPr>
                <w:rFonts w:hint="eastAsia"/>
                <w:sz w:val="18"/>
                <w:szCs w:val="18"/>
                <w:lang w:val="en-GB" w:eastAsia="zh-CN"/>
              </w:rPr>
              <w:t>2</w:t>
            </w:r>
            <w:r>
              <w:rPr>
                <w:sz w:val="18"/>
                <w:szCs w:val="18"/>
                <w:lang w:val="en-GB" w:eastAsia="zh-CN"/>
              </w:rPr>
              <w:t>.6: Not needed.</w:t>
            </w:r>
          </w:p>
          <w:p w14:paraId="23594D14" w14:textId="77FECFE8" w:rsidR="00EB32ED" w:rsidRPr="00A72F65" w:rsidRDefault="00EB32ED" w:rsidP="00EB32ED">
            <w:pPr>
              <w:snapToGrid w:val="0"/>
              <w:jc w:val="both"/>
              <w:rPr>
                <w:b/>
                <w:bCs/>
                <w:sz w:val="18"/>
                <w:szCs w:val="18"/>
                <w:lang w:val="en-GB" w:eastAsia="zh-CN"/>
              </w:rPr>
            </w:pPr>
            <w:r>
              <w:rPr>
                <w:rFonts w:hint="eastAsia"/>
                <w:sz w:val="18"/>
                <w:szCs w:val="18"/>
                <w:lang w:val="en-GB" w:eastAsia="zh-CN"/>
              </w:rPr>
              <w:t>2</w:t>
            </w:r>
            <w:r>
              <w:rPr>
                <w:sz w:val="18"/>
                <w:szCs w:val="18"/>
                <w:lang w:val="en-GB" w:eastAsia="zh-CN"/>
              </w:rPr>
              <w:t>.7: It may cause low resource utilization. We prefer to reuse the agreements in AI 8.1.2.2.</w:t>
            </w:r>
          </w:p>
        </w:tc>
      </w:tr>
      <w:tr w:rsidR="00197F60" w14:paraId="04131255"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34EA7" w14:textId="47C7BBD9" w:rsidR="00197F60" w:rsidRPr="00197F60" w:rsidRDefault="00197F60" w:rsidP="00DF227B">
            <w:pPr>
              <w:snapToGrid w:val="0"/>
              <w:rPr>
                <w:rFonts w:eastAsia="PMingLiU"/>
                <w:sz w:val="18"/>
                <w:szCs w:val="18"/>
                <w:lang w:eastAsia="zh-TW"/>
              </w:rPr>
            </w:pPr>
            <w:r>
              <w:rPr>
                <w:rFonts w:eastAsia="PMingLiU" w:hint="eastAsia"/>
                <w:sz w:val="18"/>
                <w:szCs w:val="18"/>
                <w:lang w:eastAsia="zh-TW"/>
              </w:rPr>
              <w:t>M</w:t>
            </w:r>
            <w:r>
              <w:rPr>
                <w:sz w:val="18"/>
                <w:szCs w:val="18"/>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44BE" w14:textId="2E9FAEE6" w:rsidR="00197F60" w:rsidRPr="00197F60" w:rsidRDefault="00197F60" w:rsidP="00EB32ED">
            <w:pPr>
              <w:snapToGrid w:val="0"/>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ssue 2.8: Rel-15/16 priority rule for CORESET can resolve the overlapping issue.</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af2"/>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 xml:space="preserve">Lenovo/MotM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 xml:space="preserve">Lenovo/MotM,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lastRenderedPageBreak/>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lastRenderedPageBreak/>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af2"/>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23"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24" w:author="Eko Onggosanusi" w:date="2022-02-23T21:57:00Z">
              <w:r w:rsidRPr="001941AE">
                <w:rPr>
                  <w:b/>
                  <w:color w:val="3333FF"/>
                  <w:u w:val="single"/>
                  <w:lang w:eastAsia="zh-CN"/>
                </w:rPr>
                <w:t>FL Note</w:t>
              </w:r>
              <w:r w:rsidRPr="001941AE">
                <w:rPr>
                  <w:color w:val="3333FF"/>
                  <w:lang w:eastAsia="zh-CN"/>
                </w:rPr>
                <w:t>: This issue is being discussed as a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af2"/>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af2"/>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af2"/>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color w:val="3333FF"/>
                <w:sz w:val="18"/>
                <w:szCs w:val="18"/>
                <w:lang w:val="en-GB"/>
              </w:rPr>
              <w:t xml:space="preserve">Alt1: Reuse </w:t>
            </w:r>
            <w:r w:rsidRPr="00264ECB">
              <w:rPr>
                <w:rFonts w:eastAsia="PMingLiU"/>
                <w:bCs/>
                <w:i/>
                <w:iCs/>
                <w:color w:val="3333FF"/>
                <w:sz w:val="18"/>
                <w:szCs w:val="18"/>
                <w:lang w:eastAsia="zh-TW"/>
              </w:rPr>
              <w:t xml:space="preserve">tci-PresentInDCI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af2"/>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Huawei/HiSi,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Spreadtrum, vivo, Lenovo/MotM</w:t>
            </w:r>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pref)</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Huawei/HiSi,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Spreadtrum, vivo, Lenovo/MotM</w:t>
            </w:r>
            <w:r w:rsidR="006B7590">
              <w:rPr>
                <w:sz w:val="18"/>
                <w:szCs w:val="18"/>
              </w:rPr>
              <w:t>, Xiaomi</w:t>
            </w:r>
            <w:r w:rsidR="00FD7999">
              <w:rPr>
                <w:sz w:val="18"/>
                <w:szCs w:val="18"/>
              </w:rPr>
              <w:t>, MTK</w:t>
            </w:r>
            <w:ins w:id="25" w:author="Eko Onggosanusi" w:date="2022-02-23T22:27:00Z">
              <w:r w:rsidR="008851C4">
                <w:rPr>
                  <w:sz w:val="18"/>
                  <w:szCs w:val="18"/>
                </w:rPr>
                <w:t>,</w:t>
              </w:r>
            </w:ins>
            <w:r w:rsidR="008851C4">
              <w:rPr>
                <w:sz w:val="18"/>
                <w:szCs w:val="18"/>
              </w:rPr>
              <w:t xml:space="preserve"> Intel</w:t>
            </w:r>
            <w:ins w:id="26"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27"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af2"/>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lastRenderedPageBreak/>
              <w:t>3.5: Proponents to check Huawei’s comment below on adding “or NACK” and comment if it is ok</w:t>
            </w:r>
          </w:p>
          <w:p w14:paraId="70906F42"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af2"/>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af2"/>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168pt" o:ole="">
                  <v:imagedata r:id="rId11" o:title=""/>
                </v:shape>
                <o:OLEObject Type="Embed" ProgID="Visio.Drawing.11" ShapeID="_x0000_i1025" DrawAspect="Content" ObjectID="_1707227206" r:id="rId12"/>
              </w:object>
            </w:r>
          </w:p>
          <w:p w14:paraId="1C495421" w14:textId="77777777" w:rsidR="004578F3" w:rsidRDefault="00BF06B4">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宋体"/>
                <w:bCs/>
                <w:color w:val="000000" w:themeColor="text1"/>
                <w:sz w:val="18"/>
                <w:lang w:eastAsia="zh-CN"/>
              </w:rPr>
            </w:pPr>
            <w:r>
              <w:rPr>
                <w:rFonts w:hint="eastAsia"/>
                <w:sz w:val="18"/>
                <w:lang w:eastAsia="zh-CN"/>
              </w:rPr>
              <w:t xml:space="preserve">So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ac"/>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af2"/>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lastRenderedPageBreak/>
                    <w:t>The existing DCI formats 1_1 and 1_2 are reused for beam indication</w:t>
                  </w:r>
                </w:p>
                <w:p w14:paraId="76BEB56A" w14:textId="77777777" w:rsidR="004578F3" w:rsidRDefault="00BF06B4">
                  <w:pPr>
                    <w:pStyle w:val="af2"/>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af2"/>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af2"/>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lastRenderedPageBreak/>
              <w:t>We suggest updating the proposal as:</w:t>
            </w:r>
          </w:p>
          <w:p w14:paraId="7B6F0A29" w14:textId="77777777" w:rsidR="004578F3" w:rsidRDefault="00BF06B4">
            <w:pPr>
              <w:pStyle w:val="af2"/>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af2"/>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Prefer the proposal without the new changes. Not clear what is meaning of “cross-carrier beam indication” This can refer to the carrier-indicator field in the DCI format, not clear if this is the intention of the change. As this 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lastRenderedPageBreak/>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af2"/>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af2"/>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af2"/>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af2"/>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 xml:space="preserve">when the DCI is not </w:t>
            </w:r>
            <w:r>
              <w:rPr>
                <w:rStyle w:val="00TextChar"/>
              </w:rPr>
              <w:lastRenderedPageBreak/>
              <w:t>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case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r>
              <w:rPr>
                <w:color w:val="000000" w:themeColor="text1"/>
                <w:sz w:val="18"/>
                <w:szCs w:val="18"/>
                <w:lang w:eastAsia="zh-CN"/>
              </w:rPr>
              <w:t xml:space="preserve">So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197F60"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5E92EAD3" w:rsidR="00197F60" w:rsidRDefault="00197F60" w:rsidP="00197F60">
            <w:pPr>
              <w:snapToGrid w:val="0"/>
              <w:rPr>
                <w:rFonts w:eastAsiaTheme="minorEastAsia"/>
                <w:color w:val="000000" w:themeColor="text1"/>
                <w:sz w:val="18"/>
                <w:szCs w:val="18"/>
                <w:lang w:eastAsia="zh-CN"/>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454793AB" w:rsidR="00197F60" w:rsidRDefault="00197F60" w:rsidP="00197F60">
            <w:pPr>
              <w:snapToGrid w:val="0"/>
              <w:rPr>
                <w:rStyle w:val="00TextChar"/>
                <w:b/>
                <w:bCs/>
                <w:sz w:val="18"/>
                <w:szCs w:val="18"/>
              </w:rPr>
            </w:pPr>
            <w:r w:rsidRPr="00C44998">
              <w:rPr>
                <w:rFonts w:hint="eastAsia"/>
                <w:color w:val="000000" w:themeColor="text1"/>
                <w:sz w:val="18"/>
                <w:szCs w:val="18"/>
                <w:lang w:eastAsia="zh-CN"/>
              </w:rPr>
              <w:t>I</w:t>
            </w:r>
            <w:r w:rsidRPr="00C44998">
              <w:rPr>
                <w:color w:val="000000" w:themeColor="text1"/>
                <w:sz w:val="18"/>
                <w:szCs w:val="18"/>
                <w:lang w:eastAsia="zh-CN"/>
              </w:rPr>
              <w:t xml:space="preserve">ssue 3.5: </w:t>
            </w:r>
            <w:r>
              <w:rPr>
                <w:color w:val="000000" w:themeColor="text1"/>
                <w:sz w:val="18"/>
                <w:szCs w:val="18"/>
                <w:lang w:eastAsia="zh-CN"/>
              </w:rPr>
              <w:t>I</w:t>
            </w:r>
            <w:r w:rsidRPr="00C44998">
              <w:rPr>
                <w:rFonts w:hint="eastAsia"/>
                <w:color w:val="000000" w:themeColor="text1"/>
                <w:sz w:val="18"/>
                <w:szCs w:val="18"/>
                <w:lang w:eastAsia="zh-CN"/>
              </w:rPr>
              <w:t>f</w:t>
            </w:r>
            <w:r w:rsidRPr="00C44998">
              <w:rPr>
                <w:color w:val="000000" w:themeColor="text1"/>
                <w:sz w:val="18"/>
                <w:szCs w:val="18"/>
                <w:lang w:eastAsia="zh-CN"/>
              </w:rPr>
              <w:t xml:space="preserve"> our </w:t>
            </w:r>
            <w:r>
              <w:rPr>
                <w:color w:val="000000" w:themeColor="text1"/>
                <w:sz w:val="18"/>
                <w:szCs w:val="18"/>
                <w:lang w:eastAsia="zh-CN"/>
              </w:rPr>
              <w:t>understanding is correct, Rel-15/16 MAC-CE based CORESET TCI update &amp; MAC-CE TCI activation are also based on ACK/NACK. If it works in Rel-15/16, why this is an issue in Rel-17?</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o we think this should be clarified, especially in case of HARQ-ACK multiplexing, which is a typical use case for HARQ-ACK feedback</w:t>
            </w:r>
            <w:bookmarkStart w:id="28" w:name="_GoBack"/>
            <w:bookmarkEnd w:id="28"/>
            <w:r>
              <w:rPr>
                <w:color w:val="000000" w:themeColor="text1"/>
                <w:sz w:val="18"/>
                <w:szCs w:val="18"/>
                <w:lang w:eastAsia="zh-CN"/>
              </w:rPr>
              <w:t xml:space="preserve">. And </w:t>
            </w:r>
            <w:r>
              <w:rPr>
                <w:color w:val="000000" w:themeColor="text1"/>
                <w:sz w:val="18"/>
                <w:szCs w:val="18"/>
                <w:lang w:eastAsia="zh-CN"/>
              </w:rPr>
              <w:t xml:space="preserve">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DD6E85">
            <w:pPr>
              <w:pStyle w:val="af2"/>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DD6E85">
            <w:pPr>
              <w:pStyle w:val="af2"/>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3"/>
        <w:numPr>
          <w:ilvl w:val="1"/>
          <w:numId w:val="11"/>
        </w:numPr>
      </w:pPr>
      <w:r>
        <w:t>Issue 4 (MP-UE)</w:t>
      </w:r>
    </w:p>
    <w:p w14:paraId="1730E4E6" w14:textId="77777777" w:rsidR="004578F3" w:rsidRDefault="004578F3">
      <w:pPr>
        <w:ind w:left="360"/>
      </w:pPr>
    </w:p>
    <w:p w14:paraId="49CA00AE" w14:textId="77777777" w:rsidR="004578F3" w:rsidRDefault="00BF06B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lastRenderedPageBreak/>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lastRenderedPageBreak/>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29"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29"/>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30"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30"/>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lastRenderedPageBreak/>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lastRenderedPageBreak/>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t xml:space="preserve">Alt2: via SRS resource set selection by DCI </w:t>
            </w:r>
            <w:ins w:id="31" w:author="Eko Onggosanusi" w:date="2022-02-23T22:35:00Z">
              <w:r w:rsidR="008922F1">
                <w:rPr>
                  <w:sz w:val="18"/>
                  <w:szCs w:val="18"/>
                </w:rPr>
                <w:t>[</w:t>
              </w:r>
            </w:ins>
            <w:r>
              <w:rPr>
                <w:sz w:val="18"/>
                <w:szCs w:val="18"/>
              </w:rPr>
              <w:t>where each set has different number of ports</w:t>
            </w:r>
            <w:ins w:id="32"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af2"/>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af2"/>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lastRenderedPageBreak/>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  per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lastRenderedPageBreak/>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a5"/>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sz w:val="18"/>
                <w:szCs w:val="18"/>
                <w:lang w:eastAsia="zh-CN"/>
              </w:rPr>
            </w:pPr>
            <w:r>
              <w:rPr>
                <w:rFonts w:eastAsiaTheme="minorEastAsia"/>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Regarding vivo’s response, from gNB perspective, we can NOT agree with that. The uplink performance loss is a serious issue and may be introduced by many issues. Normally, the gNB will reduce the MCS or RANK or increase Tx power for link adaptation. If the UE can automatically change its capability but gNB can not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r w:rsidR="00EB32ED" w:rsidRPr="00550C25" w14:paraId="31A72B2F"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328E" w14:textId="2FCDA636" w:rsidR="00EB32ED" w:rsidRDefault="00EB32ED" w:rsidP="00DF227B">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43CC" w14:textId="77777777" w:rsidR="00EB32ED" w:rsidRDefault="00EB32ED" w:rsidP="00EB32ED">
            <w:pPr>
              <w:snapToGrid w:val="0"/>
              <w:rPr>
                <w:b/>
                <w:sz w:val="18"/>
                <w:szCs w:val="18"/>
                <w:u w:val="single"/>
              </w:rPr>
            </w:pPr>
            <w:r>
              <w:rPr>
                <w:b/>
                <w:sz w:val="18"/>
                <w:szCs w:val="18"/>
                <w:u w:val="single"/>
              </w:rPr>
              <w:t xml:space="preserve">Proposal 4.F: </w:t>
            </w:r>
            <w:r w:rsidRPr="008522DF">
              <w:rPr>
                <w:sz w:val="18"/>
                <w:szCs w:val="18"/>
              </w:rPr>
              <w:t>We think ACK mechanism is needed</w:t>
            </w:r>
            <w:r>
              <w:rPr>
                <w:sz w:val="18"/>
                <w:szCs w:val="18"/>
              </w:rPr>
              <w:t xml:space="preserve"> to avoid misunderstanding between NW and UE. Our first preference is Alt2/3, and can also accept Alt 1.</w:t>
            </w:r>
          </w:p>
          <w:p w14:paraId="442BF5AD" w14:textId="77777777" w:rsidR="00EB32ED" w:rsidRDefault="00EB32ED" w:rsidP="00EB32ED">
            <w:pPr>
              <w:snapToGrid w:val="0"/>
              <w:rPr>
                <w:b/>
                <w:sz w:val="18"/>
                <w:szCs w:val="18"/>
                <w:u w:val="single"/>
              </w:rPr>
            </w:pPr>
            <w:r>
              <w:rPr>
                <w:b/>
                <w:sz w:val="18"/>
                <w:szCs w:val="18"/>
                <w:u w:val="single"/>
              </w:rPr>
              <w:t xml:space="preserve">Proposal 4.G: </w:t>
            </w:r>
            <w:r w:rsidRPr="008522DF">
              <w:rPr>
                <w:sz w:val="18"/>
                <w:szCs w:val="18"/>
              </w:rPr>
              <w:t>Support Alt2</w:t>
            </w:r>
            <w:r>
              <w:rPr>
                <w:sz w:val="18"/>
                <w:szCs w:val="18"/>
              </w:rPr>
              <w:t>.</w:t>
            </w:r>
          </w:p>
          <w:p w14:paraId="4B024894" w14:textId="482D4996" w:rsidR="00EB32ED" w:rsidRDefault="00EB32ED" w:rsidP="00EB32ED">
            <w:pPr>
              <w:snapToGrid w:val="0"/>
              <w:rPr>
                <w:b/>
                <w:sz w:val="18"/>
                <w:szCs w:val="18"/>
                <w:lang w:eastAsia="zh-CN"/>
              </w:rPr>
            </w:pPr>
            <w:r>
              <w:rPr>
                <w:b/>
                <w:sz w:val="18"/>
                <w:szCs w:val="18"/>
                <w:u w:val="single"/>
              </w:rPr>
              <w:t xml:space="preserve">Proposal 4.H: </w:t>
            </w:r>
            <w:r w:rsidRPr="008522DF">
              <w:rPr>
                <w:sz w:val="18"/>
                <w:szCs w:val="18"/>
              </w:rPr>
              <w:t>Support</w:t>
            </w:r>
            <w:r>
              <w:rPr>
                <w:sz w:val="18"/>
                <w:szCs w:val="18"/>
              </w:rPr>
              <w:t>. ZTE’s suggestion is also fine to us.</w:t>
            </w:r>
          </w:p>
        </w:tc>
      </w:tr>
    </w:tbl>
    <w:p w14:paraId="39534F6E" w14:textId="77777777" w:rsidR="004578F3" w:rsidRDefault="004578F3">
      <w:pPr>
        <w:snapToGrid w:val="0"/>
      </w:pPr>
    </w:p>
    <w:p w14:paraId="4C1AFBC3" w14:textId="77777777" w:rsidR="004578F3" w:rsidRDefault="00BF06B4">
      <w:pPr>
        <w:pStyle w:val="3"/>
        <w:numPr>
          <w:ilvl w:val="1"/>
          <w:numId w:val="11"/>
        </w:numPr>
      </w:pPr>
      <w:r>
        <w:t>Issue 5 (MPE)</w:t>
      </w:r>
    </w:p>
    <w:p w14:paraId="423948A6" w14:textId="77777777" w:rsidR="004578F3" w:rsidRDefault="004578F3">
      <w:pPr>
        <w:snapToGrid w:val="0"/>
      </w:pPr>
    </w:p>
    <w:p w14:paraId="2AA4D5DB" w14:textId="77777777" w:rsidR="004578F3" w:rsidRDefault="00BF06B4">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lastRenderedPageBreak/>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33" w:author="Eko Onggosanusi" w:date="2022-02-23T22:43:00Z">
              <w:r w:rsidR="00983D6A">
                <w:rPr>
                  <w:sz w:val="18"/>
                  <w:lang w:eastAsia="zh-CN"/>
                </w:rPr>
                <w:t xml:space="preserve"> report</w:t>
              </w:r>
            </w:ins>
            <w:r>
              <w:rPr>
                <w:sz w:val="18"/>
                <w:lang w:eastAsia="zh-CN"/>
              </w:rPr>
              <w:t xml:space="preserve"> </w:t>
            </w:r>
            <w:del w:id="34" w:author="Eko Onggosanusi" w:date="2022-02-23T22:43:00Z">
              <w:r w:rsidDel="00983D6A">
                <w:rPr>
                  <w:sz w:val="18"/>
                  <w:lang w:eastAsia="zh-CN"/>
                </w:rPr>
                <w:delText>should be</w:delText>
              </w:r>
            </w:del>
            <w:ins w:id="35"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af2"/>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af2"/>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af2"/>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af2"/>
              <w:numPr>
                <w:ilvl w:val="0"/>
                <w:numId w:val="32"/>
              </w:numPr>
              <w:snapToGrid w:val="0"/>
              <w:rPr>
                <w:sz w:val="18"/>
                <w:lang w:eastAsia="zh-CN"/>
              </w:rPr>
            </w:pPr>
            <w:r>
              <w:rPr>
                <w:sz w:val="18"/>
                <w:lang w:eastAsia="zh-CN"/>
              </w:rPr>
              <w:lastRenderedPageBreak/>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36" w:author="Eko Onggosanusi" w:date="2022-02-23T22:40:00Z"/>
                <w:sz w:val="18"/>
                <w:lang w:eastAsia="zh-CN"/>
              </w:rPr>
            </w:pPr>
            <w:ins w:id="37" w:author="Eko Onggosanusi" w:date="2022-02-23T22:40:00Z">
              <w:r>
                <w:rPr>
                  <w:sz w:val="18"/>
                  <w:lang w:eastAsia="zh-CN"/>
                </w:rPr>
                <w:t>[Mod: Given that this is a maintenance phase, Alt2 is not feasible</w:t>
              </w:r>
            </w:ins>
            <w:ins w:id="38"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39"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r w:rsidR="00197F60" w14:paraId="4458B4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85431" w14:textId="6DE7592E" w:rsidR="00197F60" w:rsidRDefault="00197F60" w:rsidP="00197F60">
            <w:pPr>
              <w:snapToGrid w:val="0"/>
              <w:rPr>
                <w:sz w:val="18"/>
                <w:szCs w:val="18"/>
                <w:lang w:eastAsia="zh-CN"/>
              </w:rPr>
            </w:pPr>
            <w:r w:rsidRPr="00C44998">
              <w:rPr>
                <w:rStyle w:val="00TextChar"/>
                <w:rFonts w:hint="eastAsia"/>
              </w:rPr>
              <w:t>M</w:t>
            </w:r>
            <w:r w:rsidRPr="00C44998">
              <w:rPr>
                <w:rStyle w:val="00TextChar"/>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52B60" w14:textId="77777777" w:rsidR="00197F60" w:rsidRDefault="00197F60" w:rsidP="00197F60">
            <w:pPr>
              <w:snapToGrid w:val="0"/>
              <w:rPr>
                <w:rStyle w:val="00TextChar"/>
              </w:rPr>
            </w:pPr>
            <w:r w:rsidRPr="00C44998">
              <w:rPr>
                <w:rStyle w:val="00TextChar"/>
                <w:rFonts w:hint="eastAsia"/>
              </w:rPr>
              <w:t>I</w:t>
            </w:r>
            <w:r w:rsidRPr="00C44998">
              <w:rPr>
                <w:rStyle w:val="00TextChar"/>
              </w:rPr>
              <w:t xml:space="preserve">n fact, we are fine </w:t>
            </w:r>
            <w:r>
              <w:rPr>
                <w:rStyle w:val="00TextChar"/>
              </w:rPr>
              <w:t>with OPPO’s change. However, we believe any additional report quantity is precluded during RAN1#106b meeting as follows:</w:t>
            </w:r>
          </w:p>
          <w:p w14:paraId="616DF0D8" w14:textId="77777777" w:rsidR="00197F60" w:rsidRDefault="00197F60" w:rsidP="00197F60">
            <w:pPr>
              <w:snapToGrid w:val="0"/>
              <w:rPr>
                <w:rStyle w:val="00TextChar"/>
              </w:rPr>
            </w:pPr>
          </w:p>
          <w:p w14:paraId="51BD68AF" w14:textId="77777777" w:rsidR="00197F60" w:rsidRPr="00A6176B" w:rsidRDefault="00197F60" w:rsidP="00197F60">
            <w:pPr>
              <w:snapToGrid w:val="0"/>
              <w:rPr>
                <w:sz w:val="16"/>
                <w:szCs w:val="12"/>
                <w:highlight w:val="green"/>
              </w:rPr>
            </w:pPr>
            <w:r w:rsidRPr="00A6176B">
              <w:rPr>
                <w:b/>
                <w:sz w:val="16"/>
                <w:szCs w:val="12"/>
                <w:highlight w:val="green"/>
              </w:rPr>
              <w:t>Agreement</w:t>
            </w:r>
          </w:p>
          <w:p w14:paraId="6A65CFB9" w14:textId="77777777" w:rsidR="00197F60" w:rsidRPr="00A6176B" w:rsidRDefault="00197F60" w:rsidP="00197F60">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197F60" w:rsidRPr="00A6176B" w14:paraId="7875DBB3" w14:textId="77777777" w:rsidTr="001E6D97">
              <w:tc>
                <w:tcPr>
                  <w:tcW w:w="9857" w:type="dxa"/>
                  <w:shd w:val="clear" w:color="auto" w:fill="auto"/>
                </w:tcPr>
                <w:p w14:paraId="5EDED75A" w14:textId="77777777" w:rsidR="00197F60" w:rsidRPr="00A6176B" w:rsidRDefault="00197F60" w:rsidP="00197F60">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25F88E29" w14:textId="77777777" w:rsidR="00197F60" w:rsidRPr="00A6176B" w:rsidRDefault="00197F60" w:rsidP="00197F60">
                  <w:pPr>
                    <w:numPr>
                      <w:ilvl w:val="0"/>
                      <w:numId w:val="37"/>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4B72750A" w14:textId="77777777" w:rsidR="00197F60" w:rsidRPr="00A6176B" w:rsidRDefault="00197F60" w:rsidP="00197F60">
                  <w:pPr>
                    <w:numPr>
                      <w:ilvl w:val="1"/>
                      <w:numId w:val="37"/>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0100D8AD" w14:textId="77777777" w:rsidR="00197F60" w:rsidRPr="00A6176B" w:rsidRDefault="00197F60" w:rsidP="00197F60">
                  <w:pPr>
                    <w:numPr>
                      <w:ilvl w:val="2"/>
                      <w:numId w:val="37"/>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88528BC" w14:textId="77777777" w:rsidR="00197F60" w:rsidRPr="00A6176B" w:rsidRDefault="00197F60" w:rsidP="00197F60">
                  <w:pPr>
                    <w:numPr>
                      <w:ilvl w:val="3"/>
                      <w:numId w:val="37"/>
                    </w:numPr>
                    <w:snapToGrid w:val="0"/>
                    <w:rPr>
                      <w:rFonts w:eastAsia="Times New Roman"/>
                      <w:color w:val="FF0000"/>
                      <w:sz w:val="16"/>
                      <w:szCs w:val="12"/>
                    </w:rPr>
                  </w:pPr>
                  <w:r w:rsidRPr="00A6176B">
                    <w:rPr>
                      <w:rFonts w:eastAsia="Times New Roman"/>
                      <w:color w:val="FF0000"/>
                      <w:sz w:val="16"/>
                      <w:szCs w:val="12"/>
                    </w:rPr>
                    <w:t>Support M=1</w:t>
                  </w:r>
                </w:p>
                <w:p w14:paraId="47787D81" w14:textId="77777777" w:rsidR="00197F60" w:rsidRPr="00A6176B" w:rsidRDefault="00197F60" w:rsidP="00197F60">
                  <w:pPr>
                    <w:numPr>
                      <w:ilvl w:val="3"/>
                      <w:numId w:val="37"/>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74738E98" w14:textId="77777777" w:rsidR="00197F60" w:rsidRPr="00A6176B" w:rsidRDefault="00197F60" w:rsidP="00197F60">
                  <w:pPr>
                    <w:numPr>
                      <w:ilvl w:val="0"/>
                      <w:numId w:val="37"/>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103265BE" w14:textId="77777777" w:rsidR="00197F60" w:rsidRPr="00A6176B" w:rsidRDefault="00197F60" w:rsidP="00197F60">
                  <w:pPr>
                    <w:numPr>
                      <w:ilvl w:val="0"/>
                      <w:numId w:val="37"/>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5C7A4C46" w14:textId="77777777" w:rsidR="00197F60" w:rsidRDefault="00197F60" w:rsidP="00197F60">
            <w:pPr>
              <w:snapToGrid w:val="0"/>
              <w:rPr>
                <w:rStyle w:val="00TextChar"/>
              </w:rPr>
            </w:pPr>
          </w:p>
          <w:p w14:paraId="03D2AD8D" w14:textId="5ACD0925" w:rsidR="00197F60" w:rsidRDefault="00197F60" w:rsidP="00197F60">
            <w:pPr>
              <w:snapToGrid w:val="0"/>
              <w:rPr>
                <w:rStyle w:val="00TextChar"/>
              </w:rPr>
            </w:pPr>
            <w:r>
              <w:rPr>
                <w:rStyle w:val="00TextChar"/>
                <w:rFonts w:eastAsia="PMingLiU" w:hint="eastAsia"/>
                <w:lang w:eastAsia="zh-TW"/>
              </w:rPr>
              <w:t>S</w:t>
            </w:r>
            <w:r>
              <w:rPr>
                <w:rStyle w:val="00TextChar"/>
                <w:rFonts w:eastAsia="PMingLiU"/>
                <w:lang w:eastAsia="zh-TW"/>
              </w:rPr>
              <w:t>ince the RS resources for MPE mitigation and BM could be different, it will be difficult for UE to determine UL beams by considering both L1-RSRP and P-MRP. Thus, we see it is beneficial to align the RS resource for MPE mitigation and BM.</w:t>
            </w:r>
          </w:p>
        </w:tc>
      </w:tr>
    </w:tbl>
    <w:p w14:paraId="0F6D7802" w14:textId="77777777" w:rsidR="004578F3" w:rsidRDefault="004578F3">
      <w:pPr>
        <w:snapToGrid w:val="0"/>
      </w:pPr>
    </w:p>
    <w:p w14:paraId="75A1A430" w14:textId="77777777" w:rsidR="004578F3" w:rsidRDefault="00BF06B4">
      <w:pPr>
        <w:pStyle w:val="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2236" w14:textId="77777777" w:rsidR="00624CCA" w:rsidRDefault="00624CCA" w:rsidP="00B17B1D">
      <w:r>
        <w:separator/>
      </w:r>
    </w:p>
  </w:endnote>
  <w:endnote w:type="continuationSeparator" w:id="0">
    <w:p w14:paraId="2E8118A9" w14:textId="77777777" w:rsidR="00624CCA" w:rsidRDefault="00624CCA"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0A53B" w14:textId="77777777" w:rsidR="00624CCA" w:rsidRDefault="00624CCA" w:rsidP="00B17B1D">
      <w:r>
        <w:separator/>
      </w:r>
    </w:p>
  </w:footnote>
  <w:footnote w:type="continuationSeparator" w:id="0">
    <w:p w14:paraId="24FF9F29" w14:textId="77777777" w:rsidR="00624CCA" w:rsidRDefault="00624CCA"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3"/>
  </w:num>
  <w:num w:numId="7">
    <w:abstractNumId w:val="7"/>
  </w:num>
  <w:num w:numId="8">
    <w:abstractNumId w:val="5"/>
  </w:num>
  <w:num w:numId="9">
    <w:abstractNumId w:val="1"/>
  </w:num>
  <w:num w:numId="10">
    <w:abstractNumId w:val="3"/>
  </w:num>
  <w:num w:numId="11">
    <w:abstractNumId w:val="6"/>
  </w:num>
  <w:num w:numId="12">
    <w:abstractNumId w:val="28"/>
  </w:num>
  <w:num w:numId="13">
    <w:abstractNumId w:val="12"/>
  </w:num>
  <w:num w:numId="14">
    <w:abstractNumId w:val="20"/>
  </w:num>
  <w:num w:numId="15">
    <w:abstractNumId w:val="23"/>
  </w:num>
  <w:num w:numId="16">
    <w:abstractNumId w:val="11"/>
  </w:num>
  <w:num w:numId="17">
    <w:abstractNumId w:val="35"/>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4"/>
  </w:num>
  <w:num w:numId="27">
    <w:abstractNumId w:val="30"/>
  </w:num>
  <w:num w:numId="28">
    <w:abstractNumId w:val="29"/>
  </w:num>
  <w:num w:numId="29">
    <w:abstractNumId w:val="32"/>
  </w:num>
  <w:num w:numId="30">
    <w:abstractNumId w:val="10"/>
  </w:num>
  <w:num w:numId="31">
    <w:abstractNumId w:val="31"/>
  </w:num>
  <w:num w:numId="32">
    <w:abstractNumId w:val="16"/>
  </w:num>
  <w:num w:numId="33">
    <w:abstractNumId w:val="19"/>
  </w:num>
  <w:num w:numId="34">
    <w:abstractNumId w:val="19"/>
  </w:num>
  <w:num w:numId="35">
    <w:abstractNumId w:val="27"/>
  </w:num>
  <w:num w:numId="36">
    <w:abstractNumId w:val="26"/>
  </w:num>
  <w:num w:numId="37">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3EC4"/>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97F60"/>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7250"/>
    <w:rsid w:val="00EC0A96"/>
    <w:rsid w:val="00EC1ED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pPr>
      <w:ind w:left="849" w:hanging="283"/>
      <w:contextualSpacing/>
    </w:pPr>
  </w:style>
  <w:style w:type="paragraph" w:styleId="a3">
    <w:name w:val="caption"/>
    <w:basedOn w:val="a"/>
    <w:next w:val="a"/>
    <w:qFormat/>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10"/>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basedOn w:val="a"/>
    <w:link w:val="af3"/>
    <w:uiPriority w:val="34"/>
    <w:qFormat/>
    <w:pPr>
      <w:spacing w:after="160" w:line="256" w:lineRule="auto"/>
      <w:ind w:left="720"/>
    </w:pPr>
    <w:rPr>
      <w:rFonts w:eastAsia="宋体"/>
      <w:lang w:eastAsia="en-US"/>
    </w:rPr>
  </w:style>
  <w:style w:type="character" w:customStyle="1" w:styleId="af4">
    <w:name w:val="批注文字 字符"/>
    <w:basedOn w:val="a0"/>
    <w:qFormat/>
    <w:rPr>
      <w:sz w:val="20"/>
      <w:szCs w:val="20"/>
    </w:rPr>
  </w:style>
  <w:style w:type="character" w:customStyle="1" w:styleId="af5">
    <w:name w:val="批注主题 字符"/>
    <w:basedOn w:val="af4"/>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6">
    <w:name w:val="页眉 字符"/>
    <w:basedOn w:val="a0"/>
    <w:qFormat/>
    <w:rPr>
      <w:sz w:val="18"/>
      <w:szCs w:val="18"/>
    </w:rPr>
  </w:style>
  <w:style w:type="character" w:customStyle="1" w:styleId="af7">
    <w:name w:val="页脚 字符"/>
    <w:basedOn w:val="a0"/>
    <w:qFormat/>
    <w:rPr>
      <w:sz w:val="18"/>
      <w:szCs w:val="18"/>
    </w:rPr>
  </w:style>
  <w:style w:type="character" w:customStyle="1" w:styleId="af8">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9">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a">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b">
    <w:name w:val="题注 字符"/>
    <w:qFormat/>
    <w:rPr>
      <w:rFonts w:eastAsia="等线"/>
      <w:b/>
      <w:bCs/>
      <w:kern w:val="3"/>
      <w:sz w:val="20"/>
      <w:szCs w:val="20"/>
      <w:lang w:eastAsia="ko-KR"/>
    </w:rPr>
  </w:style>
  <w:style w:type="character" w:customStyle="1" w:styleId="msoins2">
    <w:name w:val="msoins2"/>
    <w:qFormat/>
  </w:style>
  <w:style w:type="character" w:customStyle="1" w:styleId="afc">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d">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e">
    <w:name w:val="文档结构图 字符"/>
    <w:basedOn w:val="a0"/>
    <w:qFormat/>
    <w:rPr>
      <w:rFonts w:ascii="宋体" w:hAnsi="宋体" w:cs="Calibri"/>
      <w:sz w:val="18"/>
      <w:szCs w:val="18"/>
      <w:lang w:eastAsia="zh-TW"/>
    </w:rPr>
  </w:style>
  <w:style w:type="character" w:customStyle="1" w:styleId="af3">
    <w:name w:val="列出段落 字符"/>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0">
    <w:name w:val="标题 4 字符"/>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10">
    <w:name w:val="批注文字 字符1"/>
    <w:link w:val="a5"/>
    <w:uiPriority w:val="99"/>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9BD3C-A98E-4984-81AB-C805EF3A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25</Pages>
  <Words>13132</Words>
  <Characters>74856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高毓恺</cp:lastModifiedBy>
  <cp:revision>4</cp:revision>
  <cp:lastPrinted>2021-10-06T09:28:00Z</cp:lastPrinted>
  <dcterms:created xsi:type="dcterms:W3CDTF">2022-02-24T07:37:00Z</dcterms:created>
  <dcterms:modified xsi:type="dcterms:W3CDTF">2022-02-24T08:20:00Z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