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w:t>
            </w:r>
            <w:proofErr w:type="spellStart"/>
            <w:r>
              <w:rPr>
                <w:rFonts w:ascii="Calibri" w:hAnsi="Calibri" w:cs="Calibri"/>
                <w:color w:val="000000"/>
              </w:rPr>
              <w:t>bandNR</w:t>
            </w:r>
            <w:proofErr w:type="spellEnd"/>
            <w:r>
              <w:rPr>
                <w:rFonts w:ascii="Calibri" w:hAnsi="Calibri" w:cs="Calibri"/>
                <w:color w:val="000000"/>
              </w:rPr>
              <w:t>).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signalling,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signalling,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The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PCell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PCell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PCell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lastRenderedPageBreak/>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gNB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47313490" w:rsidR="002B7942" w:rsidRDefault="00C308FB" w:rsidP="009E2EC7">
            <w:pPr>
              <w:rPr>
                <w:rFonts w:eastAsia="Malgun Gothic" w:hint="eastAsia"/>
                <w:lang w:eastAsia="ko-KR"/>
              </w:rPr>
            </w:pPr>
            <w:r>
              <w:rPr>
                <w:rFonts w:eastAsia="Malgun Gothic"/>
                <w:lang w:eastAsia="ko-KR"/>
              </w:rPr>
              <w:t>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hint="eastAsia"/>
                <w:lang w:eastAsia="ko-KR"/>
              </w:rPr>
            </w:pPr>
            <w:r>
              <w:rPr>
                <w:rFonts w:eastAsia="Malgun Gothic"/>
                <w:lang w:eastAsia="ko-KR"/>
              </w:rPr>
              <w:t xml:space="preserve">Support the </w:t>
            </w:r>
            <w:proofErr w:type="gramStart"/>
            <w:r>
              <w:rPr>
                <w:rFonts w:eastAsia="Malgun Gothic"/>
                <w:lang w:eastAsia="ko-KR"/>
              </w:rPr>
              <w:t>proposal</w:t>
            </w:r>
            <w:r w:rsidR="004D3CEB">
              <w:rPr>
                <w:rFonts w:eastAsia="Malgun Gothic"/>
                <w:lang w:eastAsia="ko-KR"/>
              </w:rPr>
              <w:t xml:space="preserve">  in</w:t>
            </w:r>
            <w:proofErr w:type="gramEnd"/>
            <w:r w:rsidR="004D3CEB">
              <w:rPr>
                <w:rFonts w:eastAsia="Malgun Gothic"/>
                <w:lang w:eastAsia="ko-KR"/>
              </w:rPr>
              <w:t xml:space="preserve">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lastRenderedPageBreak/>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hint="eastAsia"/>
                <w:lang w:eastAsia="ko-KR"/>
              </w:rPr>
            </w:pPr>
            <w:r>
              <w:rPr>
                <w:rFonts w:eastAsia="Malgun Gothic"/>
                <w:lang w:eastAsia="ko-KR"/>
              </w:rPr>
              <w:t>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hint="eastAsia"/>
                <w:lang w:eastAsia="ko-KR"/>
              </w:rPr>
            </w:pPr>
            <w:r>
              <w:rPr>
                <w:rFonts w:eastAsia="Malgun Gothic"/>
                <w:lang w:eastAsia="ko-KR"/>
              </w:rPr>
              <w:t>Support the proposal</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hint="eastAsia"/>
                <w:lang w:eastAsia="ko-KR"/>
              </w:rPr>
            </w:pPr>
            <w:r>
              <w:rPr>
                <w:rFonts w:eastAsia="Malgun Gothic"/>
                <w:lang w:eastAsia="ko-KR"/>
              </w:rPr>
              <w:t>Support the proposal</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hint="eastAsia"/>
                <w:lang w:eastAsia="ko-KR"/>
              </w:rPr>
            </w:pPr>
            <w:r>
              <w:rPr>
                <w:rFonts w:eastAsia="Malgun Gothic"/>
                <w:lang w:eastAsia="ko-KR"/>
              </w:rPr>
              <w:t>Support the proposal</w:t>
            </w:r>
            <w:r>
              <w:rPr>
                <w:rFonts w:eastAsia="Malgun Gothic"/>
                <w:lang w:eastAsia="ko-KR"/>
              </w:rPr>
              <w:t>. LGE’s update is good for us</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hint="eastAsia"/>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bl>
    <w:p w14:paraId="576E055F" w14:textId="08583EF8"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3"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3"/>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r w:rsidRPr="004B6396">
              <w:rPr>
                <w:rFonts w:cs="Arial"/>
                <w:color w:val="FF0000"/>
                <w:sz w:val="18"/>
                <w:szCs w:val="18"/>
              </w:rPr>
              <w:t>Xs,Ys</w:t>
            </w:r>
            <w:proofErr w:type="spell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r w:rsidRPr="004B6396">
              <w:rPr>
                <w:rFonts w:cs="Arial"/>
                <w:color w:val="FF0000"/>
                <w:sz w:val="18"/>
                <w:szCs w:val="18"/>
              </w:rPr>
              <w:t>Xs,Ys</w:t>
            </w:r>
            <w:proofErr w:type="spell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hint="eastAsia"/>
                <w:lang w:eastAsia="ko-KR"/>
              </w:rPr>
            </w:pPr>
            <w:r>
              <w:rPr>
                <w:rFonts w:eastAsia="Malgun Gothic"/>
                <w:lang w:eastAsia="ko-KR"/>
              </w:rPr>
              <w:t>Support the proposal</w:t>
            </w:r>
            <w:r>
              <w:rPr>
                <w:rFonts w:eastAsia="Malgun Gothic"/>
                <w:lang w:eastAsia="ko-KR"/>
              </w:rPr>
              <w:t>. LGE’s change seems to be right.</w:t>
            </w:r>
          </w:p>
        </w:tc>
      </w:tr>
    </w:tbl>
    <w:p w14:paraId="551E9832" w14:textId="67B3CFE5"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4"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4"/>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5" w:author="Seonwook Kim" w:date="2022-01-19T08:03:00Z">
              <w:r>
                <w:rPr>
                  <w:rFonts w:cs="Arial"/>
                  <w:color w:val="FF0000"/>
                  <w:sz w:val="18"/>
                  <w:szCs w:val="18"/>
                </w:rPr>
                <w:t>corresponding c</w:t>
              </w:r>
            </w:ins>
            <w:del w:id="286"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7"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w:t>
            </w:r>
            <w:r>
              <w:rPr>
                <w:rFonts w:eastAsia="Malgun Gothic"/>
                <w:lang w:eastAsia="ko-KR"/>
              </w:rPr>
              <w:t>. Agree with LGE’s change</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88"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88"/>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89"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0" w:author="Seonwook Kim" w:date="2022-01-19T08:11:00Z">
              <w:r>
                <w:rPr>
                  <w:rFonts w:cs="Arial"/>
                  <w:color w:val="FF0000"/>
                  <w:sz w:val="18"/>
                  <w:szCs w:val="18"/>
                </w:rPr>
                <w:t>s</w:t>
              </w:r>
            </w:ins>
            <w:r>
              <w:rPr>
                <w:rFonts w:cs="Arial"/>
                <w:color w:val="FF0000"/>
                <w:sz w:val="18"/>
                <w:szCs w:val="18"/>
              </w:rPr>
              <w:t>,Y</w:t>
            </w:r>
            <w:ins w:id="291" w:author="Seonwook Kim" w:date="2022-01-19T08:11:00Z">
              <w:r>
                <w:rPr>
                  <w:rFonts w:cs="Arial"/>
                  <w:color w:val="FF0000"/>
                  <w:sz w:val="18"/>
                  <w:szCs w:val="18"/>
                </w:rPr>
                <w:t>s</w:t>
              </w:r>
            </w:ins>
            <w:proofErr w:type="spell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2"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3" w:author="Seonwook Kim" w:date="2022-01-19T08:12:00Z">
              <w:r>
                <w:rPr>
                  <w:rFonts w:cs="Arial"/>
                  <w:color w:val="FF0000"/>
                  <w:sz w:val="18"/>
                  <w:szCs w:val="18"/>
                </w:rPr>
                <w:t>s</w:t>
              </w:r>
            </w:ins>
            <w:r>
              <w:rPr>
                <w:rFonts w:cs="Arial"/>
                <w:color w:val="FF0000"/>
                <w:sz w:val="18"/>
                <w:szCs w:val="18"/>
              </w:rPr>
              <w:t>,Y</w:t>
            </w:r>
            <w:ins w:id="294" w:author="Seonwook Kim" w:date="2022-01-19T08:12:00Z">
              <w:r>
                <w:rPr>
                  <w:rFonts w:cs="Arial"/>
                  <w:color w:val="FF0000"/>
                  <w:sz w:val="18"/>
                  <w:szCs w:val="18"/>
                </w:rPr>
                <w:t>s</w:t>
              </w:r>
            </w:ins>
            <w:proofErr w:type="spell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5"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ins w:id="296" w:author="Seonwook Kim" w:date="2022-01-19T08:12:00Z">
              <w:r>
                <w:rPr>
                  <w:rFonts w:cs="Arial"/>
                  <w:color w:val="000000"/>
                  <w:sz w:val="18"/>
                  <w:szCs w:val="18"/>
                </w:rPr>
                <w:t>s</w:t>
              </w:r>
            </w:ins>
            <w:r>
              <w:rPr>
                <w:rFonts w:cs="Arial"/>
                <w:color w:val="FF0000"/>
                <w:sz w:val="18"/>
                <w:szCs w:val="18"/>
              </w:rPr>
              <w:t>,Y</w:t>
            </w:r>
            <w:ins w:id="297" w:author="Seonwook Kim" w:date="2022-01-19T08:12:00Z">
              <w:r>
                <w:rPr>
                  <w:rFonts w:cs="Arial"/>
                  <w:color w:val="FF0000"/>
                  <w:sz w:val="18"/>
                  <w:szCs w:val="18"/>
                </w:rPr>
                <w:t>s</w:t>
              </w:r>
            </w:ins>
            <w:proofErr w:type="spell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298" w:author="Seonwook Kim" w:date="2022-01-19T08:12:00Z"/>
                <w:rFonts w:cs="Arial"/>
                <w:color w:val="FF0000"/>
                <w:sz w:val="18"/>
                <w:szCs w:val="18"/>
              </w:rPr>
            </w:pPr>
            <w:ins w:id="299" w:author="Seonwook Kim" w:date="2022-01-19T08:12:00Z">
              <w:r>
                <w:rPr>
                  <w:rFonts w:cs="Arial"/>
                  <w:color w:val="FF0000"/>
                  <w:sz w:val="18"/>
                  <w:szCs w:val="18"/>
                </w:rPr>
                <w:t>4</w:t>
              </w:r>
            </w:ins>
            <w:del w:id="300"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1" w:author="Seonwook Kim" w:date="2022-01-19T08:12:00Z"/>
                <w:rFonts w:cs="Arial"/>
                <w:color w:val="FF0000"/>
                <w:sz w:val="18"/>
                <w:szCs w:val="18"/>
              </w:rPr>
            </w:pPr>
            <w:ins w:id="302"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5" w:author="Seonwook Kim" w:date="2022-01-19T08:13:00Z">
              <w:r>
                <w:rPr>
                  <w:rFonts w:cs="Arial"/>
                  <w:color w:val="FF0000"/>
                  <w:sz w:val="18"/>
                  <w:szCs w:val="18"/>
                </w:rPr>
                <w:t xml:space="preserve">FG 3-1 or </w:t>
              </w:r>
            </w:ins>
            <w:ins w:id="306"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07"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hint="eastAsia"/>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hint="eastAsia"/>
                <w:lang w:eastAsia="ko-KR"/>
              </w:rPr>
            </w:pPr>
            <w:r>
              <w:rPr>
                <w:rFonts w:ascii="Calibri" w:eastAsia="Malgun Gothic" w:hAnsi="Calibri" w:cs="Calibri"/>
                <w:lang w:eastAsia="ko-KR"/>
              </w:rPr>
              <w:t>Just to clarify, for components 1,2,3, the UE can report any subset of them, instead of supporting all components, right?</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lastRenderedPageBreak/>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hint="eastAsia"/>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8"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08"/>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9" w:name="_Ref92813951"/>
      <w:r>
        <w:rPr>
          <w:rFonts w:ascii="Calibri" w:hAnsi="Calibri" w:cs="Times New Roman"/>
          <w:color w:val="000000"/>
          <w:lang w:eastAsia="ko-KR"/>
        </w:rPr>
        <w:t>R1-2200099, Discussions on UE features for NR operation from 52.6GHz to 71GHz, vivo</w:t>
      </w:r>
      <w:bookmarkEnd w:id="309"/>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0" w:name="_Ref92813958"/>
      <w:r>
        <w:rPr>
          <w:rFonts w:ascii="Calibri" w:hAnsi="Calibri" w:cs="Times New Roman"/>
          <w:color w:val="000000"/>
          <w:lang w:eastAsia="ko-KR"/>
        </w:rPr>
        <w:t>R1-2200217, UE features for supporting NR from 52.6 GHz to 71 GHz, Samsung</w:t>
      </w:r>
      <w:bookmarkEnd w:id="310"/>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1" w:name="_Ref92813963"/>
      <w:r>
        <w:rPr>
          <w:rFonts w:ascii="Calibri" w:hAnsi="Calibri" w:cs="Times New Roman"/>
          <w:color w:val="000000"/>
          <w:lang w:eastAsia="ko-KR"/>
        </w:rPr>
        <w:t>R1-2200247, Views on Rel-17 UE features for supporting NR in FR2-2, NTT DOCOMO, INC.</w:t>
      </w:r>
      <w:bookmarkEnd w:id="311"/>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2"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12"/>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13"/>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82"/>
      <w:r>
        <w:rPr>
          <w:rFonts w:ascii="Calibri" w:hAnsi="Calibri" w:cs="Times New Roman"/>
          <w:color w:val="000000"/>
          <w:lang w:eastAsia="ko-KR"/>
        </w:rPr>
        <w:t>R1-2200330, Discussion on UE feature for FR2-2, OPPO</w:t>
      </w:r>
      <w:bookmarkEnd w:id="314"/>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89"/>
      <w:r>
        <w:rPr>
          <w:rFonts w:ascii="Calibri" w:hAnsi="Calibri" w:cs="Times New Roman"/>
          <w:color w:val="000000"/>
          <w:lang w:eastAsia="ko-KR"/>
        </w:rPr>
        <w:t>R1-2200390, Discussion on UE capability for extending NR up to 71 GHz, Intel Corporation</w:t>
      </w:r>
      <w:bookmarkEnd w:id="315"/>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95"/>
      <w:r>
        <w:rPr>
          <w:rFonts w:ascii="Calibri" w:hAnsi="Calibri" w:cs="Times New Roman"/>
          <w:color w:val="000000"/>
          <w:lang w:eastAsia="ko-KR"/>
        </w:rPr>
        <w:t>R1-2200408, UE features for extending current NR operation to 71 GHz, Ericsson</w:t>
      </w:r>
      <w:bookmarkEnd w:id="316"/>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4002"/>
      <w:r>
        <w:rPr>
          <w:rFonts w:ascii="Calibri" w:hAnsi="Calibri" w:cs="Times New Roman"/>
          <w:color w:val="000000"/>
          <w:lang w:eastAsia="ko-KR"/>
        </w:rPr>
        <w:t>R1-2200431, Views on Rel-17 Beyond 52.6 GHz UE features, Apple</w:t>
      </w:r>
      <w:bookmarkEnd w:id="317"/>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4017"/>
      <w:r>
        <w:rPr>
          <w:rFonts w:ascii="Calibri" w:hAnsi="Calibri" w:cs="Times New Roman"/>
          <w:color w:val="000000"/>
          <w:lang w:eastAsia="ko-KR"/>
        </w:rPr>
        <w:t>R1-2200543, Views on UE features for supporting NR from 52.6 GHz to 71 GHz, MediaTek Inc.</w:t>
      </w:r>
      <w:bookmarkEnd w:id="318"/>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4022"/>
      <w:r>
        <w:rPr>
          <w:rFonts w:ascii="Calibri" w:hAnsi="Calibri" w:cs="Times New Roman"/>
          <w:color w:val="000000"/>
          <w:lang w:eastAsia="ko-KR"/>
        </w:rPr>
        <w:t>R1-2200582, Discussion on UE features for NR above 52.6 GHz, LG Electronics</w:t>
      </w:r>
      <w:bookmarkEnd w:id="319"/>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4027"/>
      <w:r>
        <w:rPr>
          <w:rFonts w:ascii="Calibri" w:hAnsi="Calibri" w:cs="Times New Roman"/>
          <w:color w:val="000000"/>
          <w:lang w:eastAsia="ko-KR"/>
        </w:rPr>
        <w:t>R1-2200623, On UE features for supporting NR from 52.6 GHz to 71 GHz, Nokia/Nokia Shanghai Bell</w:t>
      </w:r>
      <w:bookmarkEnd w:id="320"/>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2"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5"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7"/>
  </w:num>
  <w:num w:numId="3">
    <w:abstractNumId w:val="36"/>
  </w:num>
  <w:num w:numId="4">
    <w:abstractNumId w:val="35"/>
  </w:num>
  <w:num w:numId="5">
    <w:abstractNumId w:val="11"/>
  </w:num>
  <w:num w:numId="6">
    <w:abstractNumId w:val="33"/>
  </w:num>
  <w:num w:numId="7">
    <w:abstractNumId w:val="28"/>
  </w:num>
  <w:num w:numId="8">
    <w:abstractNumId w:val="56"/>
  </w:num>
  <w:num w:numId="9">
    <w:abstractNumId w:val="59"/>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52"/>
  </w:num>
  <w:num w:numId="13">
    <w:abstractNumId w:val="20"/>
  </w:num>
  <w:num w:numId="14">
    <w:abstractNumId w:val="16"/>
  </w:num>
  <w:num w:numId="15">
    <w:abstractNumId w:val="60"/>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2"/>
  </w:num>
  <w:num w:numId="18">
    <w:abstractNumId w:val="44"/>
  </w:num>
  <w:num w:numId="19">
    <w:abstractNumId w:val="48"/>
  </w:num>
  <w:num w:numId="20">
    <w:abstractNumId w:val="2"/>
  </w:num>
  <w:num w:numId="21">
    <w:abstractNumId w:val="66"/>
  </w:num>
  <w:num w:numId="22">
    <w:abstractNumId w:val="50"/>
  </w:num>
  <w:num w:numId="23">
    <w:abstractNumId w:val="10"/>
  </w:num>
  <w:num w:numId="24">
    <w:abstractNumId w:val="55"/>
  </w:num>
  <w:num w:numId="25">
    <w:abstractNumId w:val="64"/>
  </w:num>
  <w:num w:numId="26">
    <w:abstractNumId w:val="61"/>
  </w:num>
  <w:num w:numId="27">
    <w:abstractNumId w:val="4"/>
  </w:num>
  <w:num w:numId="28">
    <w:abstractNumId w:val="34"/>
  </w:num>
  <w:num w:numId="29">
    <w:abstractNumId w:val="42"/>
  </w:num>
  <w:num w:numId="30">
    <w:abstractNumId w:val="8"/>
  </w:num>
  <w:num w:numId="31">
    <w:abstractNumId w:val="7"/>
  </w:num>
  <w:num w:numId="32">
    <w:abstractNumId w:val="25"/>
  </w:num>
  <w:num w:numId="33">
    <w:abstractNumId w:val="37"/>
  </w:num>
  <w:num w:numId="34">
    <w:abstractNumId w:val="67"/>
  </w:num>
  <w:num w:numId="35">
    <w:abstractNumId w:val="51"/>
  </w:num>
  <w:num w:numId="36">
    <w:abstractNumId w:val="32"/>
  </w:num>
  <w:num w:numId="37">
    <w:abstractNumId w:val="22"/>
  </w:num>
  <w:num w:numId="38">
    <w:abstractNumId w:val="40"/>
  </w:num>
  <w:num w:numId="39">
    <w:abstractNumId w:val="62"/>
  </w:num>
  <w:num w:numId="40">
    <w:abstractNumId w:val="46"/>
  </w:num>
  <w:num w:numId="41">
    <w:abstractNumId w:val="45"/>
  </w:num>
  <w:num w:numId="42">
    <w:abstractNumId w:val="18"/>
  </w:num>
  <w:num w:numId="43">
    <w:abstractNumId w:val="3"/>
  </w:num>
  <w:num w:numId="44">
    <w:abstractNumId w:val="31"/>
  </w:num>
  <w:num w:numId="45">
    <w:abstractNumId w:val="19"/>
  </w:num>
  <w:num w:numId="46">
    <w:abstractNumId w:val="15"/>
  </w:num>
  <w:num w:numId="47">
    <w:abstractNumId w:val="41"/>
  </w:num>
  <w:num w:numId="48">
    <w:abstractNumId w:val="47"/>
  </w:num>
  <w:num w:numId="49">
    <w:abstractNumId w:val="24"/>
  </w:num>
  <w:num w:numId="50">
    <w:abstractNumId w:val="23"/>
  </w:num>
  <w:num w:numId="51">
    <w:abstractNumId w:val="30"/>
  </w:num>
  <w:num w:numId="52">
    <w:abstractNumId w:val="14"/>
  </w:num>
  <w:num w:numId="53">
    <w:abstractNumId w:val="6"/>
  </w:num>
  <w:num w:numId="54">
    <w:abstractNumId w:val="29"/>
  </w:num>
  <w:num w:numId="55">
    <w:abstractNumId w:val="21"/>
  </w:num>
  <w:num w:numId="56">
    <w:abstractNumId w:val="1"/>
  </w:num>
  <w:num w:numId="57">
    <w:abstractNumId w:val="0"/>
  </w:num>
  <w:num w:numId="58">
    <w:abstractNumId w:val="58"/>
  </w:num>
  <w:num w:numId="59">
    <w:abstractNumId w:val="13"/>
  </w:num>
  <w:num w:numId="60">
    <w:abstractNumId w:val="43"/>
  </w:num>
  <w:num w:numId="61">
    <w:abstractNumId w:val="65"/>
  </w:num>
  <w:num w:numId="62">
    <w:abstractNumId w:val="9"/>
  </w:num>
  <w:num w:numId="63">
    <w:abstractNumId w:val="5"/>
  </w:num>
  <w:num w:numId="64">
    <w:abstractNumId w:val="38"/>
  </w:num>
  <w:num w:numId="65">
    <w:abstractNumId w:val="63"/>
  </w:num>
  <w:num w:numId="66">
    <w:abstractNumId w:val="17"/>
  </w:num>
  <w:num w:numId="67">
    <w:abstractNumId w:val="57"/>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 w:numId="70">
    <w:abstractNumId w:val="26"/>
  </w:num>
  <w:num w:numId="71">
    <w:abstractNumId w:val="5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2E"/>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BAC"/>
    <w:rsid w:val="00597609"/>
    <w:rsid w:val="00597C5E"/>
    <w:rsid w:val="005A127F"/>
    <w:rsid w:val="005A3D20"/>
    <w:rsid w:val="005A4958"/>
    <w:rsid w:val="005A4A43"/>
    <w:rsid w:val="005A5129"/>
    <w:rsid w:val="005A5745"/>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505"/>
    <w:rsid w:val="00AD6C53"/>
    <w:rsid w:val="00AE0171"/>
    <w:rsid w:val="00AE1A18"/>
    <w:rsid w:val="00AE1FF5"/>
    <w:rsid w:val="00AE33AA"/>
    <w:rsid w:val="00AE3F30"/>
    <w:rsid w:val="00AE506B"/>
    <w:rsid w:val="00AE72F4"/>
    <w:rsid w:val="00AF0133"/>
    <w:rsid w:val="00AF02A7"/>
    <w:rsid w:val="00AF1814"/>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5546"/>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E8B"/>
    <w:rsid w:val="00E30F34"/>
    <w:rsid w:val="00E31B19"/>
    <w:rsid w:val="00E324C0"/>
    <w:rsid w:val="00E32B95"/>
    <w:rsid w:val="00E32DCC"/>
    <w:rsid w:val="00E330F8"/>
    <w:rsid w:val="00E33DC5"/>
    <w:rsid w:val="00E33F7B"/>
    <w:rsid w:val="00E3557C"/>
    <w:rsid w:val="00E35D58"/>
    <w:rsid w:val="00E36C7C"/>
    <w:rsid w:val="00E375D9"/>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EA"/>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39A4A-5DAE-48AC-B712-CFEC03705C76}">
  <ds:schemaRefs>
    <ds:schemaRef ds:uri="http://schemas.openxmlformats.org/officeDocument/2006/bibliography"/>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75</Pages>
  <Words>43271</Words>
  <Characters>246648</Characters>
  <Application>Microsoft Office Word</Application>
  <DocSecurity>0</DocSecurity>
  <Lines>2055</Lines>
  <Paragraphs>578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Sun</cp:lastModifiedBy>
  <cp:revision>19</cp:revision>
  <cp:lastPrinted>2020-07-20T16:11:00Z</cp:lastPrinted>
  <dcterms:created xsi:type="dcterms:W3CDTF">2022-01-18T23:14:00Z</dcterms:created>
  <dcterms:modified xsi:type="dcterms:W3CDTF">2022-01-19T00:21:00Z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