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2A33C91D"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w:t>
      </w:r>
      <w:r w:rsidR="00726840">
        <w:rPr>
          <w:rFonts w:ascii="Arial" w:eastAsia="Yu Mincho" w:hAnsi="Arial" w:cs="Arial"/>
          <w:b/>
          <w:bCs/>
          <w:noProof/>
          <w:sz w:val="24"/>
          <w:szCs w:val="24"/>
          <w:lang w:val="de-DE" w:eastAsia="ja-JP"/>
        </w:rPr>
        <w:t>10</w:t>
      </w:r>
      <w:r w:rsidR="00784F77">
        <w:rPr>
          <w:rFonts w:ascii="Arial" w:eastAsia="Yu Mincho" w:hAnsi="Arial" w:cs="Arial"/>
          <w:b/>
          <w:bCs/>
          <w:noProof/>
          <w:sz w:val="24"/>
          <w:szCs w:val="24"/>
          <w:lang w:val="de-DE" w:eastAsia="ja-JP"/>
        </w:rPr>
        <w:t>7</w:t>
      </w:r>
      <w:r w:rsidR="00C61DB2">
        <w:rPr>
          <w:rFonts w:ascii="Arial" w:eastAsia="Yu Mincho" w:hAnsi="Arial" w:cs="Arial"/>
          <w:b/>
          <w:bCs/>
          <w:noProof/>
          <w:sz w:val="24"/>
          <w:szCs w:val="24"/>
          <w:lang w:val="de-DE" w:eastAsia="ja-JP"/>
        </w:rPr>
        <w:t>bis</w:t>
      </w:r>
      <w:r w:rsidR="00AF0715">
        <w:rPr>
          <w:rFonts w:ascii="Arial" w:eastAsia="Yu Mincho" w:hAnsi="Arial" w:cs="Arial"/>
          <w:b/>
          <w:bCs/>
          <w:noProof/>
          <w:sz w:val="24"/>
          <w:szCs w:val="24"/>
          <w:lang w:val="de-DE" w:eastAsia="ja-JP"/>
        </w:rPr>
        <w:t>-</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00B27567">
        <w:rPr>
          <w:rFonts w:ascii="Arial" w:eastAsia="Yu Mincho" w:hAnsi="Arial" w:cs="Arial"/>
          <w:b/>
          <w:bCs/>
          <w:noProof/>
          <w:sz w:val="24"/>
          <w:szCs w:val="24"/>
          <w:lang w:val="de-DE" w:eastAsia="ja-JP"/>
        </w:rPr>
        <w:t xml:space="preserve">      </w:t>
      </w:r>
      <w:r w:rsidRPr="00747357">
        <w:rPr>
          <w:rFonts w:ascii="Arial" w:eastAsia="Yu Mincho" w:hAnsi="Arial"/>
          <w:b/>
          <w:noProof/>
          <w:sz w:val="24"/>
          <w:szCs w:val="24"/>
          <w:lang w:val="de-DE"/>
        </w:rPr>
        <w:t>R1-</w:t>
      </w:r>
      <w:r w:rsidR="00EE4A7D">
        <w:rPr>
          <w:rFonts w:ascii="Arial" w:eastAsia="Yu Mincho" w:hAnsi="Arial"/>
          <w:b/>
          <w:noProof/>
          <w:sz w:val="24"/>
          <w:szCs w:val="24"/>
          <w:lang w:val="de-DE"/>
        </w:rPr>
        <w:t>2</w:t>
      </w:r>
      <w:r w:rsidR="00A42F8A">
        <w:rPr>
          <w:rFonts w:ascii="Arial" w:eastAsia="Yu Mincho" w:hAnsi="Arial"/>
          <w:b/>
          <w:noProof/>
          <w:sz w:val="24"/>
          <w:szCs w:val="24"/>
          <w:lang w:val="de-DE"/>
        </w:rPr>
        <w:t>200671</w:t>
      </w:r>
    </w:p>
    <w:p w14:paraId="5F8CFDD6" w14:textId="3B8BB618"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eastAsia="ja-JP"/>
        </w:rPr>
      </w:pPr>
      <w:r>
        <w:rPr>
          <w:rFonts w:ascii="Arial" w:hAnsi="Arial" w:cs="Arial"/>
          <w:b/>
          <w:bCs/>
          <w:sz w:val="24"/>
          <w:szCs w:val="24"/>
          <w:lang w:eastAsia="ja-JP"/>
        </w:rPr>
        <w:t>e</w:t>
      </w:r>
      <w:r w:rsidR="00A40260" w:rsidRPr="009153C6">
        <w:rPr>
          <w:rFonts w:ascii="Arial" w:hAnsi="Arial" w:cs="Arial"/>
          <w:b/>
          <w:bCs/>
          <w:sz w:val="24"/>
          <w:szCs w:val="24"/>
          <w:lang w:eastAsia="ja-JP"/>
        </w:rPr>
        <w:t>-meeting,</w:t>
      </w:r>
      <w:r w:rsidR="007654A0">
        <w:rPr>
          <w:rFonts w:ascii="Arial" w:hAnsi="Arial" w:cs="Arial"/>
          <w:b/>
          <w:bCs/>
          <w:sz w:val="24"/>
          <w:szCs w:val="24"/>
          <w:lang w:eastAsia="ja-JP"/>
        </w:rPr>
        <w:t xml:space="preserve"> </w:t>
      </w:r>
      <w:r w:rsidR="000B5673">
        <w:rPr>
          <w:rFonts w:ascii="Arial" w:hAnsi="Arial" w:cs="Arial"/>
          <w:b/>
          <w:bCs/>
          <w:sz w:val="24"/>
          <w:szCs w:val="24"/>
          <w:lang w:eastAsia="ja-JP"/>
        </w:rPr>
        <w:t>January</w:t>
      </w:r>
      <w:r>
        <w:rPr>
          <w:rFonts w:ascii="Arial" w:hAnsi="Arial" w:cs="Arial"/>
          <w:b/>
          <w:bCs/>
          <w:sz w:val="24"/>
          <w:szCs w:val="24"/>
          <w:lang w:eastAsia="ja-JP"/>
        </w:rPr>
        <w:t xml:space="preserve"> </w:t>
      </w:r>
      <w:r w:rsidR="002F4AAF">
        <w:rPr>
          <w:rFonts w:ascii="Arial" w:hAnsi="Arial" w:cs="Arial"/>
          <w:b/>
          <w:bCs/>
          <w:sz w:val="24"/>
          <w:szCs w:val="24"/>
          <w:lang w:eastAsia="ja-JP"/>
        </w:rPr>
        <w:t>1</w:t>
      </w:r>
      <w:r w:rsidR="000B5673">
        <w:rPr>
          <w:rFonts w:ascii="Arial" w:hAnsi="Arial" w:cs="Arial"/>
          <w:b/>
          <w:bCs/>
          <w:sz w:val="24"/>
          <w:szCs w:val="24"/>
          <w:lang w:eastAsia="ja-JP"/>
        </w:rPr>
        <w:t>7</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w:t>
      </w:r>
      <w:r w:rsidR="00AF0715">
        <w:rPr>
          <w:rFonts w:ascii="Arial" w:hAnsi="Arial" w:cs="Arial"/>
          <w:b/>
          <w:bCs/>
          <w:sz w:val="24"/>
          <w:szCs w:val="24"/>
          <w:lang w:eastAsia="ja-JP"/>
        </w:rPr>
        <w:t xml:space="preserve"> </w:t>
      </w:r>
      <w:r w:rsidR="000B5673">
        <w:rPr>
          <w:rFonts w:ascii="Arial" w:hAnsi="Arial" w:cs="Arial"/>
          <w:b/>
          <w:bCs/>
          <w:sz w:val="24"/>
          <w:szCs w:val="24"/>
          <w:lang w:eastAsia="ja-JP"/>
        </w:rPr>
        <w:t>25</w:t>
      </w:r>
      <w:r w:rsidRPr="003237DE">
        <w:rPr>
          <w:rFonts w:ascii="Arial" w:hAnsi="Arial" w:cs="Arial"/>
          <w:b/>
          <w:bCs/>
          <w:sz w:val="24"/>
          <w:szCs w:val="24"/>
          <w:vertAlign w:val="superscript"/>
          <w:lang w:eastAsia="ja-JP"/>
        </w:rPr>
        <w:t>th</w:t>
      </w:r>
      <w:r>
        <w:rPr>
          <w:rFonts w:ascii="Arial" w:hAnsi="Arial" w:cs="Arial"/>
          <w:b/>
          <w:bCs/>
          <w:sz w:val="24"/>
          <w:szCs w:val="24"/>
          <w:lang w:eastAsia="ja-JP"/>
        </w:rPr>
        <w:t>, 202</w:t>
      </w:r>
      <w:r w:rsidR="00A573CF">
        <w:rPr>
          <w:rFonts w:ascii="Arial" w:hAnsi="Arial" w:cs="Arial"/>
          <w:b/>
          <w:bCs/>
          <w:sz w:val="24"/>
          <w:szCs w:val="24"/>
          <w:lang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1A37EFE1"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054B4D">
        <w:rPr>
          <w:rFonts w:ascii="Arial" w:eastAsia="MS Mincho" w:hAnsi="Arial"/>
          <w:sz w:val="24"/>
          <w:szCs w:val="24"/>
          <w:lang w:eastAsia="ja-JP"/>
        </w:rPr>
        <w:t>Remaining issues on P</w:t>
      </w:r>
      <w:r w:rsidR="00A136C3">
        <w:rPr>
          <w:rFonts w:ascii="Arial" w:eastAsia="MS Mincho" w:hAnsi="Arial"/>
          <w:sz w:val="24"/>
          <w:szCs w:val="24"/>
          <w:lang w:eastAsia="ja-JP"/>
        </w:rPr>
        <w:t>DCC</w:t>
      </w:r>
      <w:r w:rsidR="00CE2F1A">
        <w:rPr>
          <w:rFonts w:ascii="Arial" w:eastAsia="MS Mincho" w:hAnsi="Arial"/>
          <w:sz w:val="24"/>
          <w:szCs w:val="24"/>
          <w:lang w:eastAsia="ja-JP"/>
        </w:rPr>
        <w:t>H</w:t>
      </w:r>
      <w:r w:rsidR="00A136C3">
        <w:rPr>
          <w:rFonts w:ascii="Arial" w:eastAsia="MS Mincho" w:hAnsi="Arial"/>
          <w:sz w:val="24"/>
          <w:szCs w:val="24"/>
          <w:lang w:eastAsia="ja-JP"/>
        </w:rPr>
        <w:t xml:space="preserve"> </w:t>
      </w:r>
      <w:r w:rsidR="00A573CF">
        <w:rPr>
          <w:rFonts w:ascii="Arial" w:eastAsia="MS Mincho" w:hAnsi="Arial"/>
          <w:sz w:val="24"/>
          <w:szCs w:val="24"/>
          <w:lang w:eastAsia="ja-JP"/>
        </w:rPr>
        <w:t>for NR from 52.6 GHz to 71GHz</w:t>
      </w:r>
    </w:p>
    <w:p w14:paraId="586DB488" w14:textId="7D6E0A0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A136C3">
        <w:rPr>
          <w:rFonts w:ascii="Arial" w:eastAsia="MS Mincho" w:hAnsi="Arial"/>
          <w:sz w:val="24"/>
          <w:szCs w:val="24"/>
          <w:lang w:eastAsia="ja-JP"/>
        </w:rPr>
        <w:t>2</w:t>
      </w:r>
    </w:p>
    <w:p w14:paraId="03B3BB1F" w14:textId="77777777" w:rsidR="00747357" w:rsidRPr="00747357" w:rsidRDefault="00747357" w:rsidP="008734DC">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10747DFE" w14:textId="6739AFAF" w:rsidR="00803BAB" w:rsidRDefault="00803BAB" w:rsidP="00803BAB">
      <w:pPr>
        <w:spacing w:beforeLines="50" w:before="120"/>
        <w:jc w:val="both"/>
        <w:rPr>
          <w:rFonts w:eastAsia="MS Mincho"/>
          <w:lang w:eastAsia="ja-JP"/>
        </w:rPr>
      </w:pPr>
      <w:r w:rsidRPr="00133CCB">
        <w:rPr>
          <w:rFonts w:eastAsia="MS Mincho"/>
          <w:lang w:eastAsia="ja-JP"/>
        </w:rPr>
        <w:t>In RAN</w:t>
      </w:r>
      <w:r>
        <w:rPr>
          <w:rFonts w:eastAsia="MS Mincho"/>
          <w:lang w:eastAsia="ja-JP"/>
        </w:rPr>
        <w:t xml:space="preserve">#93-e, a revised work item for supporting NR from 52.6 GHz to 71 GHz in NR Rel. 17 has been approved with following objectives for </w:t>
      </w:r>
      <w:r w:rsidR="00B56CD9">
        <w:rPr>
          <w:rFonts w:eastAsia="MS Mincho"/>
          <w:lang w:eastAsia="ja-JP"/>
        </w:rPr>
        <w:t>PDCCH monitoring</w:t>
      </w:r>
      <w:r>
        <w:rPr>
          <w:rFonts w:eastAsia="MS Mincho"/>
          <w:lang w:eastAsia="ja-JP"/>
        </w:rPr>
        <w:t xml:space="preserve"> in [1]:</w:t>
      </w:r>
    </w:p>
    <w:p w14:paraId="1565F8EE" w14:textId="77777777" w:rsidR="008D45FD" w:rsidRDefault="008D45FD" w:rsidP="00917353">
      <w:pPr>
        <w:spacing w:beforeLines="50" w:before="120" w:after="0"/>
        <w:jc w:val="both"/>
        <w:rPr>
          <w:rFonts w:eastAsia="MS Mincho"/>
          <w:lang w:eastAsia="ja-JP"/>
        </w:rPr>
      </w:pPr>
    </w:p>
    <w:p w14:paraId="3257AC0E" w14:textId="219DA3DD" w:rsidR="0075513B" w:rsidRPr="00213D57" w:rsidRDefault="0075513B" w:rsidP="006F425A">
      <w:pPr>
        <w:pStyle w:val="B1"/>
        <w:numPr>
          <w:ilvl w:val="0"/>
          <w:numId w:val="2"/>
        </w:numPr>
        <w:spacing w:after="0"/>
        <w:rPr>
          <w:i/>
          <w:iCs/>
          <w:lang w:eastAsia="ja-JP"/>
        </w:rPr>
      </w:pPr>
      <w:r w:rsidRPr="00213D57">
        <w:rPr>
          <w:rFonts w:hint="eastAsia"/>
          <w:i/>
          <w:iCs/>
          <w:lang w:eastAsia="ja-JP"/>
        </w:rPr>
        <w:t>Physical layer aspects</w:t>
      </w:r>
      <w:r w:rsidRPr="00213D57">
        <w:rPr>
          <w:i/>
          <w:iCs/>
          <w:lang w:eastAsia="ja-JP"/>
        </w:rPr>
        <w:t xml:space="preserve"> including [RAN1]</w:t>
      </w:r>
      <w:r w:rsidRPr="00213D57">
        <w:rPr>
          <w:rFonts w:hint="eastAsia"/>
          <w:i/>
          <w:iCs/>
          <w:lang w:eastAsia="ja-JP"/>
        </w:rPr>
        <w:t>:</w:t>
      </w:r>
    </w:p>
    <w:p w14:paraId="69FB44B5" w14:textId="77777777" w:rsidR="00213D57" w:rsidRPr="00213D57" w:rsidRDefault="00213D57" w:rsidP="00213D57">
      <w:pPr>
        <w:pStyle w:val="B1"/>
        <w:numPr>
          <w:ilvl w:val="1"/>
          <w:numId w:val="2"/>
        </w:numPr>
        <w:spacing w:before="180"/>
        <w:textAlignment w:val="auto"/>
        <w:rPr>
          <w:i/>
          <w:iCs/>
          <w:lang w:eastAsia="ja-JP"/>
        </w:rPr>
      </w:pPr>
      <w:bookmarkStart w:id="0" w:name="_Hlk58583563"/>
      <w:bookmarkStart w:id="1" w:name="_Hlk26996217"/>
      <w:r w:rsidRPr="00213D57">
        <w:rPr>
          <w:i/>
          <w:iCs/>
          <w:lang w:eastAsia="ja-JP"/>
        </w:rPr>
        <w:t xml:space="preserve">In addition to 120kHz SCS, specify </w:t>
      </w:r>
      <w:r w:rsidRPr="00213D57">
        <w:rPr>
          <w:i/>
          <w:iCs/>
          <w:lang w:eastAsia="zh-CN"/>
        </w:rPr>
        <w:t xml:space="preserve">new SCS, </w:t>
      </w:r>
      <w:r w:rsidRPr="00213D57">
        <w:rPr>
          <w:i/>
          <w:iCs/>
          <w:lang w:eastAsia="ja-JP"/>
        </w:rPr>
        <w:t>480kHz and 960kHz, and define maximum bandwidth(s), for operation in this frequency range for data and control channels and reference signals, only NCP supported</w:t>
      </w:r>
      <w:bookmarkEnd w:id="0"/>
      <w:r w:rsidRPr="00213D57">
        <w:rPr>
          <w:i/>
          <w:iCs/>
          <w:lang w:eastAsia="ja-JP"/>
        </w:rPr>
        <w:t xml:space="preserve">. </w:t>
      </w:r>
    </w:p>
    <w:p w14:paraId="6787CB56" w14:textId="77777777" w:rsidR="00213D57" w:rsidRPr="00213D57" w:rsidRDefault="00213D57" w:rsidP="00213D57">
      <w:pPr>
        <w:pStyle w:val="B1"/>
        <w:spacing w:before="180"/>
        <w:ind w:left="1440" w:firstLine="0"/>
        <w:rPr>
          <w:i/>
          <w:iCs/>
          <w:lang w:eastAsia="ja-JP"/>
        </w:rPr>
      </w:pPr>
      <w:bookmarkStart w:id="2" w:name="_Hlk58594267"/>
      <w:r w:rsidRPr="00213D57">
        <w:rPr>
          <w:i/>
          <w:iCs/>
          <w:lang w:eastAsia="ja-JP"/>
        </w:rPr>
        <w:t>Note: Except for timing line related aspects, a common design framework shall be adopted for 480kHz to 960kHz</w:t>
      </w:r>
    </w:p>
    <w:bookmarkEnd w:id="1"/>
    <w:bookmarkEnd w:id="2"/>
    <w:p w14:paraId="5F909E8C" w14:textId="77777777" w:rsidR="00213D57" w:rsidRPr="00213D57" w:rsidRDefault="00213D57" w:rsidP="00213D57">
      <w:pPr>
        <w:pStyle w:val="B1"/>
        <w:numPr>
          <w:ilvl w:val="1"/>
          <w:numId w:val="2"/>
        </w:numPr>
        <w:spacing w:before="180"/>
        <w:textAlignment w:val="auto"/>
        <w:rPr>
          <w:i/>
          <w:iCs/>
          <w:lang w:eastAsia="ja-JP"/>
        </w:rPr>
      </w:pPr>
      <w:r w:rsidRPr="00213D57">
        <w:rPr>
          <w:i/>
          <w:iCs/>
          <w:lang w:eastAsia="ja-JP"/>
        </w:rPr>
        <w:t xml:space="preserve">Time line related aspects adapted to 480kHz and 960kHz, e.g., BWP and beam switching timeing, HARQ timing, UE processing, preparation and computation timelines for PDSCH, PUSCH/SRS and CSI, respectively. </w:t>
      </w:r>
    </w:p>
    <w:p w14:paraId="4A1F47D0" w14:textId="77777777" w:rsidR="00213D57" w:rsidRPr="00213D57" w:rsidRDefault="00213D57" w:rsidP="00213D57">
      <w:pPr>
        <w:pStyle w:val="B1"/>
        <w:numPr>
          <w:ilvl w:val="1"/>
          <w:numId w:val="2"/>
        </w:numPr>
        <w:spacing w:before="180"/>
        <w:textAlignment w:val="auto"/>
        <w:rPr>
          <w:i/>
          <w:iCs/>
          <w:lang w:eastAsia="zh-CN"/>
        </w:rPr>
      </w:pPr>
      <w:r w:rsidRPr="00213D57">
        <w:rPr>
          <w:i/>
          <w:iCs/>
          <w:lang w:eastAsia="zh-CN"/>
        </w:rPr>
        <w:t>Support enhancements for multi-PDSCH/PUSCH scheduling and HARQ support with a single DCI</w:t>
      </w:r>
    </w:p>
    <w:p w14:paraId="2D12C012" w14:textId="77777777" w:rsidR="00213D57" w:rsidRPr="00213D57" w:rsidRDefault="00213D57" w:rsidP="00213D57">
      <w:pPr>
        <w:pStyle w:val="b110"/>
        <w:wordWrap w:val="0"/>
        <w:spacing w:after="180"/>
        <w:ind w:left="1440"/>
        <w:rPr>
          <w:rFonts w:eastAsia="SimSun"/>
          <w:i/>
          <w:iCs/>
          <w:sz w:val="20"/>
          <w:szCs w:val="20"/>
          <w:lang w:val="en-GB"/>
        </w:rPr>
      </w:pPr>
      <w:r w:rsidRPr="00213D57">
        <w:rPr>
          <w:rFonts w:eastAsia="SimSun"/>
          <w:i/>
          <w:iCs/>
          <w:sz w:val="20"/>
          <w:szCs w:val="20"/>
          <w:lang w:val="en-GB"/>
        </w:rPr>
        <w:t>Note: coverage enhancement for multi-PDSCH/PUSCH scheduling is not pursued</w:t>
      </w:r>
    </w:p>
    <w:p w14:paraId="435F2D48" w14:textId="77777777" w:rsidR="00213D57" w:rsidRPr="00213D57" w:rsidRDefault="00213D57" w:rsidP="00213D57">
      <w:pPr>
        <w:pStyle w:val="B1"/>
        <w:numPr>
          <w:ilvl w:val="1"/>
          <w:numId w:val="2"/>
        </w:numPr>
        <w:spacing w:before="180"/>
        <w:textAlignment w:val="auto"/>
        <w:rPr>
          <w:i/>
          <w:iCs/>
          <w:lang w:eastAsia="zh-CN"/>
        </w:rPr>
      </w:pPr>
      <w:bookmarkStart w:id="3" w:name="_Hlk58595024"/>
      <w:r w:rsidRPr="00213D57">
        <w:rPr>
          <w:i/>
          <w:iCs/>
          <w:lang w:eastAsia="zh-CN"/>
        </w:rPr>
        <w:t>Support enhancement to PDCCH monitoring, including blind detection/CCE budget, and multi-slot span monitoring, potential limitation to UE PDCCH configuration and capability related to PDCCH monitoring.</w:t>
      </w:r>
      <w:bookmarkEnd w:id="3"/>
    </w:p>
    <w:p w14:paraId="01EE32B6" w14:textId="77777777" w:rsidR="00DA3154" w:rsidRDefault="00DA3154" w:rsidP="00AE05F4">
      <w:pPr>
        <w:spacing w:after="0"/>
        <w:jc w:val="both"/>
        <w:rPr>
          <w:bCs/>
        </w:rPr>
      </w:pPr>
    </w:p>
    <w:p w14:paraId="1E1B6B08" w14:textId="63BA6359" w:rsidR="009973C8" w:rsidRDefault="009973C8" w:rsidP="009973C8">
      <w:pPr>
        <w:spacing w:after="0"/>
        <w:jc w:val="both"/>
        <w:rPr>
          <w:rFonts w:asciiTheme="majorBidi" w:hAnsiTheme="majorBidi" w:cstheme="majorBidi"/>
          <w:bCs/>
        </w:rPr>
      </w:pPr>
      <w:r w:rsidRPr="00347C63">
        <w:rPr>
          <w:rFonts w:asciiTheme="majorBidi" w:hAnsiTheme="majorBidi" w:cstheme="majorBidi"/>
          <w:bCs/>
        </w:rPr>
        <w:t xml:space="preserve">In this contribution, we discuss </w:t>
      </w:r>
      <w:r>
        <w:rPr>
          <w:rFonts w:asciiTheme="majorBidi" w:hAnsiTheme="majorBidi" w:cstheme="majorBidi"/>
          <w:bCs/>
        </w:rPr>
        <w:t xml:space="preserve">some of the remaining issues for multi-slot PDCCH monitoring for NR operation </w:t>
      </w:r>
      <w:r w:rsidRPr="00347C63">
        <w:rPr>
          <w:rFonts w:asciiTheme="majorBidi" w:hAnsiTheme="majorBidi" w:cstheme="majorBidi"/>
          <w:bCs/>
        </w:rPr>
        <w:t>between 52.6</w:t>
      </w:r>
      <w:r>
        <w:rPr>
          <w:rFonts w:asciiTheme="majorBidi" w:hAnsiTheme="majorBidi" w:cstheme="majorBidi"/>
          <w:bCs/>
        </w:rPr>
        <w:t xml:space="preserve"> </w:t>
      </w:r>
      <w:r w:rsidRPr="00347C63">
        <w:rPr>
          <w:rFonts w:asciiTheme="majorBidi" w:hAnsiTheme="majorBidi" w:cstheme="majorBidi"/>
          <w:bCs/>
        </w:rPr>
        <w:t>GHz and 71GHz</w:t>
      </w:r>
      <w:r>
        <w:rPr>
          <w:rFonts w:asciiTheme="majorBidi" w:hAnsiTheme="majorBidi" w:cstheme="majorBidi"/>
          <w:bCs/>
        </w:rPr>
        <w:t>.</w:t>
      </w:r>
    </w:p>
    <w:p w14:paraId="72F78E4F" w14:textId="77777777" w:rsidR="009973C8" w:rsidRDefault="009973C8" w:rsidP="00AE05F4">
      <w:pPr>
        <w:spacing w:after="0"/>
        <w:jc w:val="both"/>
        <w:rPr>
          <w:rFonts w:asciiTheme="majorBidi" w:hAnsiTheme="majorBidi" w:cstheme="majorBidi"/>
          <w:bCs/>
        </w:rPr>
      </w:pPr>
    </w:p>
    <w:p w14:paraId="262B7182" w14:textId="77777777" w:rsidR="003F7CE8" w:rsidRPr="00B82F46" w:rsidRDefault="003F7CE8" w:rsidP="003F7CE8">
      <w:pPr>
        <w:pStyle w:val="ListParagraph"/>
        <w:spacing w:after="0"/>
        <w:jc w:val="both"/>
        <w:rPr>
          <w:rFonts w:asciiTheme="majorBidi" w:hAnsiTheme="majorBidi" w:cstheme="majorBidi"/>
          <w:bCs/>
        </w:rPr>
      </w:pPr>
    </w:p>
    <w:p w14:paraId="224F8E5E" w14:textId="3C67BDB6"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F14783">
        <w:rPr>
          <w:rFonts w:ascii="Arial" w:eastAsia="MS Mincho" w:hAnsi="Arial"/>
          <w:sz w:val="36"/>
          <w:szCs w:val="36"/>
          <w:lang w:eastAsia="ja-JP"/>
        </w:rPr>
        <w:t>Multi-slot PDCCH monitoring</w:t>
      </w:r>
    </w:p>
    <w:p w14:paraId="33631667" w14:textId="3CD472E8" w:rsidR="00BB0987" w:rsidRDefault="00BB0987" w:rsidP="00913653">
      <w:pPr>
        <w:jc w:val="both"/>
        <w:rPr>
          <w:bCs/>
          <w:lang w:eastAsia="ja-JP"/>
        </w:rPr>
      </w:pPr>
      <w:r>
        <w:rPr>
          <w:bCs/>
          <w:lang w:eastAsia="ja-JP"/>
        </w:rPr>
        <w:t>In RAN1#10</w:t>
      </w:r>
      <w:r w:rsidR="006554C7">
        <w:rPr>
          <w:bCs/>
          <w:lang w:eastAsia="ja-JP"/>
        </w:rPr>
        <w:t>7</w:t>
      </w:r>
      <w:r w:rsidR="00F60756">
        <w:rPr>
          <w:bCs/>
          <w:lang w:eastAsia="ja-JP"/>
        </w:rPr>
        <w:t xml:space="preserve"> [2]</w:t>
      </w:r>
      <w:r>
        <w:rPr>
          <w:bCs/>
          <w:lang w:eastAsia="ja-JP"/>
        </w:rPr>
        <w:t>, following agreement related to multi-slot PDCCH monitoring has been made:</w:t>
      </w:r>
    </w:p>
    <w:p w14:paraId="3D4906EC" w14:textId="77777777" w:rsidR="006554C7" w:rsidRPr="006554C7" w:rsidRDefault="006554C7" w:rsidP="006554C7">
      <w:pPr>
        <w:rPr>
          <w:b/>
          <w:i/>
          <w:iCs/>
        </w:rPr>
      </w:pPr>
      <w:bookmarkStart w:id="4" w:name="_Hlk88187306"/>
      <w:bookmarkStart w:id="5" w:name="_Hlk69545768"/>
      <w:r w:rsidRPr="006554C7">
        <w:rPr>
          <w:b/>
          <w:i/>
          <w:iCs/>
          <w:highlight w:val="green"/>
        </w:rPr>
        <w:t>Agreement</w:t>
      </w:r>
    </w:p>
    <w:p w14:paraId="359B6101" w14:textId="77777777" w:rsidR="006554C7" w:rsidRPr="006554C7" w:rsidRDefault="006554C7" w:rsidP="006554C7">
      <w:pPr>
        <w:pStyle w:val="ListParagraph"/>
        <w:numPr>
          <w:ilvl w:val="0"/>
          <w:numId w:val="30"/>
        </w:numPr>
        <w:overflowPunct/>
        <w:autoSpaceDE/>
        <w:autoSpaceDN/>
        <w:adjustRightInd/>
        <w:snapToGrid w:val="0"/>
        <w:spacing w:after="0" w:line="259" w:lineRule="auto"/>
        <w:contextualSpacing w:val="0"/>
        <w:textAlignment w:val="auto"/>
        <w:rPr>
          <w:i/>
          <w:iCs/>
        </w:rPr>
      </w:pPr>
      <w:r w:rsidRPr="006554C7">
        <w:rPr>
          <w:i/>
          <w:iCs/>
        </w:rPr>
        <w:t xml:space="preserve">For Group (1) SS: </w:t>
      </w:r>
      <w:r w:rsidRPr="006554C7">
        <w:rPr>
          <w:i/>
          <w:iCs/>
          <w:lang w:eastAsia="zh-CN"/>
        </w:rPr>
        <w:t>Type 1 CSS with dedicated RRC configuration and type 3 CSS, UE specific SS</w:t>
      </w:r>
    </w:p>
    <w:p w14:paraId="24E531F7"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A SS is monitored within Y consecutive slots within a slot group of X slots</w:t>
      </w:r>
    </w:p>
    <w:p w14:paraId="07BA98F7"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The Y consecutive slots can be located anywhere within the slot group of X slots</w:t>
      </w:r>
    </w:p>
    <w:p w14:paraId="1C8AF31B" w14:textId="77777777" w:rsidR="006554C7" w:rsidRPr="006554C7" w:rsidRDefault="006554C7" w:rsidP="006554C7">
      <w:pPr>
        <w:pStyle w:val="ListParagraph"/>
        <w:numPr>
          <w:ilvl w:val="2"/>
          <w:numId w:val="30"/>
        </w:numPr>
        <w:overflowPunct/>
        <w:autoSpaceDE/>
        <w:autoSpaceDN/>
        <w:adjustRightInd/>
        <w:snapToGrid w:val="0"/>
        <w:spacing w:after="0" w:line="259" w:lineRule="auto"/>
        <w:contextualSpacing w:val="0"/>
        <w:textAlignment w:val="auto"/>
        <w:rPr>
          <w:i/>
          <w:iCs/>
        </w:rPr>
      </w:pPr>
      <w:r w:rsidRPr="006554C7">
        <w:rPr>
          <w:i/>
          <w:iCs/>
        </w:rPr>
        <w:t>Note: There is no requirement to align the Y consecutive slots across UEs or with slot n0</w:t>
      </w:r>
    </w:p>
    <w:p w14:paraId="199D0F34"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The location of the Y consecutive slots within the slot group of X slots is maintained across different slot groups</w:t>
      </w:r>
    </w:p>
    <w:p w14:paraId="395D00CD"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BD attempts for all Group (1) SSs are restricted to fall within the same Y consecutive slots</w:t>
      </w:r>
    </w:p>
    <w:p w14:paraId="3FF49A2E" w14:textId="77777777" w:rsidR="006554C7" w:rsidRPr="006554C7" w:rsidRDefault="006554C7" w:rsidP="006554C7">
      <w:pPr>
        <w:pStyle w:val="ListParagraph"/>
        <w:numPr>
          <w:ilvl w:val="0"/>
          <w:numId w:val="30"/>
        </w:numPr>
        <w:overflowPunct/>
        <w:autoSpaceDE/>
        <w:autoSpaceDN/>
        <w:adjustRightInd/>
        <w:snapToGrid w:val="0"/>
        <w:spacing w:after="0" w:line="259" w:lineRule="auto"/>
        <w:contextualSpacing w:val="0"/>
        <w:textAlignment w:val="auto"/>
        <w:rPr>
          <w:i/>
          <w:iCs/>
        </w:rPr>
      </w:pPr>
      <w:r w:rsidRPr="006554C7">
        <w:rPr>
          <w:i/>
          <w:iCs/>
        </w:rPr>
        <w:t xml:space="preserve">For Group (2) SS: </w:t>
      </w:r>
      <w:r w:rsidRPr="006554C7">
        <w:rPr>
          <w:i/>
          <w:iCs/>
          <w:lang w:eastAsia="zh-CN"/>
        </w:rPr>
        <w:t>Type 1 CSS without dedicated RRC configuration and type 0, 0A, and 2 CSS</w:t>
      </w:r>
    </w:p>
    <w:p w14:paraId="25CBAB28"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SS monitoring locations can be anywhere within a slot group of X slots, with the following exception</w:t>
      </w:r>
    </w:p>
    <w:p w14:paraId="1171EC36" w14:textId="77777777" w:rsidR="006554C7" w:rsidRPr="006554C7" w:rsidRDefault="006554C7" w:rsidP="006554C7">
      <w:pPr>
        <w:pStyle w:val="ListParagraph"/>
        <w:numPr>
          <w:ilvl w:val="2"/>
          <w:numId w:val="30"/>
        </w:numPr>
        <w:overflowPunct/>
        <w:autoSpaceDE/>
        <w:autoSpaceDN/>
        <w:adjustRightInd/>
        <w:snapToGrid w:val="0"/>
        <w:spacing w:after="0" w:line="259" w:lineRule="auto"/>
        <w:contextualSpacing w:val="0"/>
        <w:textAlignment w:val="auto"/>
        <w:rPr>
          <w:i/>
          <w:iCs/>
        </w:rPr>
      </w:pPr>
      <w:r w:rsidRPr="006554C7">
        <w:rPr>
          <w:i/>
          <w:iCs/>
        </w:rPr>
        <w:lastRenderedPageBreak/>
        <w:t>BD attempts for Type0-CSS</w:t>
      </w:r>
      <w:r w:rsidRPr="006554C7">
        <w:rPr>
          <w:i/>
          <w:iCs/>
          <w:lang w:eastAsia="zh-CN"/>
        </w:rPr>
        <w:t xml:space="preserve"> for SSB/CORESET 0 multiplexing pattern 1</w:t>
      </w:r>
      <w:r w:rsidRPr="006554C7">
        <w:rPr>
          <w:i/>
          <w:iCs/>
        </w:rPr>
        <w:t>, and additionally for Type0A/2-CSS if searchSpaceId = 0, occur in slots with index n0 and n0+X0, where n0 is as in Rel-15, X0=4 for 480 kHz SCS and X0=8 for 960 kHz SCS.</w:t>
      </w:r>
    </w:p>
    <w:p w14:paraId="5A7F7C74" w14:textId="77777777" w:rsidR="006554C7" w:rsidRPr="006554C7" w:rsidRDefault="006554C7" w:rsidP="006554C7">
      <w:pPr>
        <w:pStyle w:val="ListParagraph"/>
        <w:numPr>
          <w:ilvl w:val="0"/>
          <w:numId w:val="30"/>
        </w:numPr>
        <w:overflowPunct/>
        <w:autoSpaceDE/>
        <w:autoSpaceDN/>
        <w:adjustRightInd/>
        <w:snapToGrid w:val="0"/>
        <w:spacing w:after="0" w:line="259" w:lineRule="auto"/>
        <w:contextualSpacing w:val="0"/>
        <w:textAlignment w:val="auto"/>
        <w:rPr>
          <w:i/>
          <w:iCs/>
        </w:rPr>
      </w:pPr>
      <w:r w:rsidRPr="006554C7">
        <w:rPr>
          <w:i/>
          <w:iCs/>
        </w:rPr>
        <w:t>Supported combinations of (X,Y)</w:t>
      </w:r>
    </w:p>
    <w:p w14:paraId="67D647C1"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A UE capable of multi-slot monitoring mandatorily supports</w:t>
      </w:r>
    </w:p>
    <w:p w14:paraId="228B9A3F" w14:textId="77777777" w:rsidR="006554C7" w:rsidRPr="006554C7" w:rsidRDefault="006554C7" w:rsidP="006554C7">
      <w:pPr>
        <w:pStyle w:val="ListParagraph"/>
        <w:numPr>
          <w:ilvl w:val="2"/>
          <w:numId w:val="30"/>
        </w:numPr>
        <w:overflowPunct/>
        <w:autoSpaceDE/>
        <w:autoSpaceDN/>
        <w:adjustRightInd/>
        <w:snapToGrid w:val="0"/>
        <w:spacing w:after="0" w:line="259" w:lineRule="auto"/>
        <w:contextualSpacing w:val="0"/>
        <w:textAlignment w:val="auto"/>
        <w:rPr>
          <w:i/>
          <w:iCs/>
        </w:rPr>
      </w:pPr>
      <w:r w:rsidRPr="006554C7">
        <w:rPr>
          <w:i/>
          <w:iCs/>
        </w:rPr>
        <w:t>For SCS 480 kHz: (X,Y) = (4,1)</w:t>
      </w:r>
    </w:p>
    <w:p w14:paraId="60A92246" w14:textId="77777777" w:rsidR="006554C7" w:rsidRPr="006554C7" w:rsidRDefault="006554C7" w:rsidP="006554C7">
      <w:pPr>
        <w:pStyle w:val="ListParagraph"/>
        <w:numPr>
          <w:ilvl w:val="2"/>
          <w:numId w:val="30"/>
        </w:numPr>
        <w:overflowPunct/>
        <w:autoSpaceDE/>
        <w:autoSpaceDN/>
        <w:adjustRightInd/>
        <w:snapToGrid w:val="0"/>
        <w:spacing w:after="0" w:line="259" w:lineRule="auto"/>
        <w:contextualSpacing w:val="0"/>
        <w:textAlignment w:val="auto"/>
        <w:rPr>
          <w:i/>
          <w:iCs/>
        </w:rPr>
      </w:pPr>
      <w:r w:rsidRPr="006554C7">
        <w:rPr>
          <w:i/>
          <w:iCs/>
        </w:rPr>
        <w:t>For SCS 960 kHz: (X,Y) = (8,1)</w:t>
      </w:r>
    </w:p>
    <w:p w14:paraId="5394CAE5"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A UE capable of multi-slot monitoring optionally supports</w:t>
      </w:r>
    </w:p>
    <w:p w14:paraId="0E388983" w14:textId="77777777" w:rsidR="006554C7" w:rsidRPr="006554C7" w:rsidRDefault="006554C7" w:rsidP="006554C7">
      <w:pPr>
        <w:pStyle w:val="ListParagraph"/>
        <w:numPr>
          <w:ilvl w:val="2"/>
          <w:numId w:val="30"/>
        </w:numPr>
        <w:overflowPunct/>
        <w:autoSpaceDE/>
        <w:autoSpaceDN/>
        <w:adjustRightInd/>
        <w:snapToGrid w:val="0"/>
        <w:spacing w:after="0" w:line="259" w:lineRule="auto"/>
        <w:contextualSpacing w:val="0"/>
        <w:textAlignment w:val="auto"/>
        <w:rPr>
          <w:i/>
          <w:iCs/>
        </w:rPr>
      </w:pPr>
      <w:r w:rsidRPr="006554C7">
        <w:rPr>
          <w:i/>
          <w:iCs/>
        </w:rPr>
        <w:t>For SCS 480 kHz: (X,Y) = (4,2)</w:t>
      </w:r>
    </w:p>
    <w:p w14:paraId="2A0023A8" w14:textId="77777777" w:rsidR="006554C7" w:rsidRPr="006554C7" w:rsidRDefault="006554C7" w:rsidP="006554C7">
      <w:pPr>
        <w:pStyle w:val="ListParagraph"/>
        <w:numPr>
          <w:ilvl w:val="2"/>
          <w:numId w:val="30"/>
        </w:numPr>
        <w:overflowPunct/>
        <w:autoSpaceDE/>
        <w:autoSpaceDN/>
        <w:adjustRightInd/>
        <w:snapToGrid w:val="0"/>
        <w:spacing w:after="0" w:line="259" w:lineRule="auto"/>
        <w:contextualSpacing w:val="0"/>
        <w:textAlignment w:val="auto"/>
        <w:rPr>
          <w:i/>
          <w:iCs/>
        </w:rPr>
      </w:pPr>
      <w:r w:rsidRPr="006554C7">
        <w:rPr>
          <w:i/>
          <w:iCs/>
        </w:rPr>
        <w:t>For SCS 960 kHz: (X,Y) = (8,4), (4,2), (4,1)</w:t>
      </w:r>
    </w:p>
    <w:p w14:paraId="6264BF4B" w14:textId="77777777" w:rsidR="006554C7" w:rsidRPr="006554C7" w:rsidRDefault="006554C7" w:rsidP="006554C7">
      <w:pPr>
        <w:pStyle w:val="ListParagraph"/>
        <w:numPr>
          <w:ilvl w:val="3"/>
          <w:numId w:val="30"/>
        </w:numPr>
        <w:overflowPunct/>
        <w:autoSpaceDE/>
        <w:autoSpaceDN/>
        <w:adjustRightInd/>
        <w:snapToGrid w:val="0"/>
        <w:spacing w:after="0" w:line="259" w:lineRule="auto"/>
        <w:contextualSpacing w:val="0"/>
        <w:textAlignment w:val="auto"/>
        <w:rPr>
          <w:i/>
          <w:iCs/>
        </w:rPr>
      </w:pPr>
      <w:r w:rsidRPr="006554C7">
        <w:rPr>
          <w:i/>
          <w:iCs/>
          <w:highlight w:val="darkYellow"/>
        </w:rPr>
        <w:t>Working assumption:</w:t>
      </w:r>
      <w:r w:rsidRPr="006554C7">
        <w:rPr>
          <w:i/>
          <w:iCs/>
        </w:rPr>
        <w:t xml:space="preserve"> BD/CCE budget for (4,2), (4,1) is half that of X=8</w:t>
      </w:r>
    </w:p>
    <w:p w14:paraId="4E0B833A" w14:textId="77777777" w:rsidR="006554C7" w:rsidRPr="006554C7" w:rsidRDefault="006554C7" w:rsidP="006554C7">
      <w:pPr>
        <w:pStyle w:val="ListParagraph"/>
        <w:numPr>
          <w:ilvl w:val="0"/>
          <w:numId w:val="30"/>
        </w:numPr>
        <w:overflowPunct/>
        <w:autoSpaceDE/>
        <w:autoSpaceDN/>
        <w:adjustRightInd/>
        <w:snapToGrid w:val="0"/>
        <w:spacing w:after="0" w:line="259" w:lineRule="auto"/>
        <w:contextualSpacing w:val="0"/>
        <w:textAlignment w:val="auto"/>
        <w:rPr>
          <w:i/>
          <w:iCs/>
        </w:rPr>
      </w:pPr>
      <w:r w:rsidRPr="006554C7">
        <w:rPr>
          <w:i/>
          <w:iCs/>
        </w:rPr>
        <w:t>A UE capable of multi-slot monitoring mandatorily supports the following PDCCH monitoring within Y slots</w:t>
      </w:r>
    </w:p>
    <w:p w14:paraId="2AB61FE3"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For Y&gt;1: FG3-1 (monitoring Group (1) SSs in the first 3 OFDM symbols of each of the Y slots)</w:t>
      </w:r>
    </w:p>
    <w:bookmarkEnd w:id="4"/>
    <w:p w14:paraId="27F21CCF"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For 960 kHz SCS For Y=1: FG3-5b with set1 = (7, 3)</w:t>
      </w:r>
    </w:p>
    <w:p w14:paraId="0E4806C5" w14:textId="77777777" w:rsidR="006554C7" w:rsidRPr="006554C7" w:rsidRDefault="006554C7" w:rsidP="006554C7">
      <w:pPr>
        <w:pStyle w:val="ListParagraph"/>
        <w:numPr>
          <w:ilvl w:val="2"/>
          <w:numId w:val="30"/>
        </w:numPr>
        <w:overflowPunct/>
        <w:autoSpaceDE/>
        <w:autoSpaceDN/>
        <w:adjustRightInd/>
        <w:snapToGrid w:val="0"/>
        <w:spacing w:after="0" w:line="259" w:lineRule="auto"/>
        <w:contextualSpacing w:val="0"/>
        <w:textAlignment w:val="auto"/>
        <w:rPr>
          <w:i/>
          <w:iCs/>
        </w:rPr>
      </w:pPr>
      <w:r w:rsidRPr="006554C7">
        <w:rPr>
          <w:i/>
          <w:iCs/>
        </w:rPr>
        <w:t>[FL Note: The first number is the minimum gap in symbols between the start of two spans, the second number is the span duration in symbols (cf. TS 38.822)]</w:t>
      </w:r>
    </w:p>
    <w:p w14:paraId="7C3877AC"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For 480 kHz SCS For Y=1: FG3-5b with set2 = (4, 3) and (7, 3) with a modification with maximum two monitoring spans in a slot</w:t>
      </w:r>
    </w:p>
    <w:p w14:paraId="1D5405F6" w14:textId="77777777" w:rsidR="006554C7" w:rsidRPr="006554C7" w:rsidRDefault="006554C7" w:rsidP="006554C7">
      <w:pPr>
        <w:pStyle w:val="ListParagraph"/>
        <w:numPr>
          <w:ilvl w:val="2"/>
          <w:numId w:val="30"/>
        </w:numPr>
        <w:overflowPunct/>
        <w:autoSpaceDE/>
        <w:autoSpaceDN/>
        <w:adjustRightInd/>
        <w:snapToGrid w:val="0"/>
        <w:spacing w:after="0" w:line="259" w:lineRule="auto"/>
        <w:contextualSpacing w:val="0"/>
        <w:textAlignment w:val="auto"/>
        <w:rPr>
          <w:i/>
          <w:iCs/>
        </w:rPr>
      </w:pPr>
      <w:r w:rsidRPr="006554C7">
        <w:rPr>
          <w:i/>
          <w:iCs/>
        </w:rPr>
        <w:t>[FL Note: The first number is the minimum gap in symbols between the start of two spans, the second number is the span duration in symbols (cf. TS 38.822)]</w:t>
      </w:r>
    </w:p>
    <w:p w14:paraId="3B75673D"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The</w:t>
      </w:r>
      <w:r w:rsidRPr="006554C7">
        <w:rPr>
          <w:rFonts w:hint="eastAsia"/>
          <w:i/>
          <w:iCs/>
        </w:rPr>
        <w:t xml:space="preserve"> </w:t>
      </w:r>
      <w:r w:rsidRPr="006554C7">
        <w:rPr>
          <w:i/>
          <w:iCs/>
        </w:rPr>
        <w:t>following supersedes FG3-5b and FG3-1 definition:</w:t>
      </w:r>
    </w:p>
    <w:p w14:paraId="220663D5" w14:textId="77777777" w:rsidR="006554C7" w:rsidRPr="006554C7" w:rsidRDefault="006554C7" w:rsidP="006554C7">
      <w:pPr>
        <w:pStyle w:val="ListParagraph"/>
        <w:numPr>
          <w:ilvl w:val="1"/>
          <w:numId w:val="30"/>
        </w:numPr>
        <w:overflowPunct/>
        <w:autoSpaceDE/>
        <w:autoSpaceDN/>
        <w:adjustRightInd/>
        <w:snapToGrid w:val="0"/>
        <w:spacing w:after="0" w:line="259" w:lineRule="auto"/>
        <w:ind w:leftChars="740" w:left="1840"/>
        <w:contextualSpacing w:val="0"/>
        <w:textAlignment w:val="auto"/>
        <w:rPr>
          <w:i/>
          <w:iCs/>
        </w:rPr>
      </w:pPr>
      <w:r w:rsidRPr="006554C7">
        <w:rPr>
          <w:i/>
          <w:iCs/>
        </w:rPr>
        <w:t>Processing one unicast DCI scheduling DL and one unicast DCI scheduling UL per slot group of X slots per scheduled CC for FDD</w:t>
      </w:r>
    </w:p>
    <w:p w14:paraId="6A309F98" w14:textId="77777777" w:rsidR="006554C7" w:rsidRPr="006554C7" w:rsidRDefault="006554C7" w:rsidP="006554C7">
      <w:pPr>
        <w:pStyle w:val="ListParagraph"/>
        <w:numPr>
          <w:ilvl w:val="1"/>
          <w:numId w:val="30"/>
        </w:numPr>
        <w:overflowPunct/>
        <w:autoSpaceDE/>
        <w:autoSpaceDN/>
        <w:adjustRightInd/>
        <w:snapToGrid w:val="0"/>
        <w:spacing w:after="0" w:line="259" w:lineRule="auto"/>
        <w:ind w:leftChars="740" w:left="1840"/>
        <w:contextualSpacing w:val="0"/>
        <w:textAlignment w:val="auto"/>
        <w:rPr>
          <w:i/>
          <w:iCs/>
        </w:rPr>
      </w:pPr>
      <w:r w:rsidRPr="006554C7">
        <w:rPr>
          <w:i/>
          <w:iCs/>
        </w:rPr>
        <w:t>Processing one unicast DCI scheduling DL and 2 unicast DCI scheduling UL per slot group of X slots per scheduled CC for TDD</w:t>
      </w:r>
    </w:p>
    <w:p w14:paraId="2AC07F98" w14:textId="77777777" w:rsidR="005878E9" w:rsidRPr="005878E9" w:rsidRDefault="005878E9" w:rsidP="004C2072"/>
    <w:bookmarkEnd w:id="5"/>
    <w:p w14:paraId="66DF251E" w14:textId="675867AB" w:rsidR="003C5162" w:rsidRDefault="00202DD5" w:rsidP="002F77BE">
      <w:pPr>
        <w:jc w:val="both"/>
        <w:rPr>
          <w:lang w:eastAsia="zh-CN"/>
        </w:rPr>
      </w:pPr>
      <w:r>
        <w:rPr>
          <w:bCs/>
        </w:rPr>
        <w:t>From</w:t>
      </w:r>
      <w:r w:rsidR="00073D62">
        <w:rPr>
          <w:bCs/>
        </w:rPr>
        <w:t xml:space="preserve"> the above agreement, </w:t>
      </w:r>
      <w:r w:rsidR="005E0CA8">
        <w:rPr>
          <w:lang w:eastAsia="x-none"/>
        </w:rPr>
        <w:t xml:space="preserve">there could be </w:t>
      </w:r>
      <w:r w:rsidR="00FB754D">
        <w:rPr>
          <w:lang w:eastAsia="x-none"/>
        </w:rPr>
        <w:t xml:space="preserve">the </w:t>
      </w:r>
      <w:r w:rsidR="005E0CA8">
        <w:rPr>
          <w:lang w:eastAsia="x-none"/>
        </w:rPr>
        <w:t xml:space="preserve">issue of back-to-back monitoring across slot groups </w:t>
      </w:r>
      <w:r w:rsidR="00FB754D">
        <w:rPr>
          <w:lang w:eastAsia="x-none"/>
        </w:rPr>
        <w:t xml:space="preserve">e.g. </w:t>
      </w:r>
      <w:r w:rsidR="005E0CA8">
        <w:rPr>
          <w:lang w:eastAsia="x-none"/>
        </w:rPr>
        <w:t xml:space="preserve">when the </w:t>
      </w:r>
      <w:r w:rsidR="00FB754D">
        <w:rPr>
          <w:lang w:eastAsia="x-none"/>
        </w:rPr>
        <w:t>beam</w:t>
      </w:r>
      <w:r w:rsidR="005E0CA8">
        <w:rPr>
          <w:lang w:eastAsia="x-none"/>
        </w:rPr>
        <w:t xml:space="preserve"> changes</w:t>
      </w:r>
      <w:r w:rsidR="00FB754D">
        <w:rPr>
          <w:lang w:eastAsia="x-none"/>
        </w:rPr>
        <w:t>, e.g. with respect to the above proposal when n0 changes</w:t>
      </w:r>
      <w:r w:rsidR="002F77BE">
        <w:rPr>
          <w:lang w:eastAsia="x-none"/>
        </w:rPr>
        <w:t xml:space="preserve"> and also</w:t>
      </w:r>
      <w:r w:rsidR="00435AD6">
        <w:rPr>
          <w:lang w:eastAsia="zh-CN"/>
        </w:rPr>
        <w:t xml:space="preserve"> when the periodicity of Group(2) SS MO is every slot group. </w:t>
      </w:r>
    </w:p>
    <w:p w14:paraId="1943BB4D" w14:textId="77777777" w:rsidR="003C5162" w:rsidRDefault="003C5162" w:rsidP="003C5162">
      <w:pPr>
        <w:pStyle w:val="ListParagraph"/>
        <w:spacing w:after="160"/>
        <w:ind w:left="0"/>
        <w:rPr>
          <w:lang w:eastAsia="zh-CN"/>
        </w:rPr>
      </w:pPr>
    </w:p>
    <w:p w14:paraId="50FE1737" w14:textId="2C16A41B" w:rsidR="005231DF" w:rsidRPr="005848DA" w:rsidRDefault="005231DF" w:rsidP="005231DF">
      <w:pPr>
        <w:pStyle w:val="ListParagraph"/>
        <w:spacing w:after="160"/>
        <w:ind w:left="0"/>
        <w:jc w:val="both"/>
        <w:rPr>
          <w:b/>
          <w:bCs/>
          <w:i/>
          <w:iCs/>
          <w:lang w:eastAsia="zh-CN"/>
        </w:rPr>
      </w:pPr>
      <w:r w:rsidRPr="005848DA">
        <w:rPr>
          <w:b/>
          <w:bCs/>
          <w:i/>
          <w:iCs/>
          <w:lang w:eastAsia="zh-CN"/>
        </w:rPr>
        <w:t xml:space="preserve">Observation </w:t>
      </w:r>
      <w:r w:rsidR="00D62150">
        <w:rPr>
          <w:b/>
          <w:bCs/>
          <w:i/>
          <w:iCs/>
          <w:lang w:eastAsia="zh-CN"/>
        </w:rPr>
        <w:t>1</w:t>
      </w:r>
      <w:r w:rsidRPr="005848DA">
        <w:rPr>
          <w:b/>
          <w:bCs/>
          <w:i/>
          <w:iCs/>
          <w:lang w:eastAsia="ja-JP"/>
        </w:rPr>
        <w:t xml:space="preserve">: </w:t>
      </w:r>
      <w:r w:rsidRPr="005848DA">
        <w:rPr>
          <w:b/>
          <w:bCs/>
          <w:i/>
          <w:iCs/>
        </w:rPr>
        <w:t>For supporting NR between 52.6 GHz and 71 GHz with high subcarrier spacing values including 480kHz and 960kHz, when multi-slot PDCCH monitoring is applied with shifting of Group(</w:t>
      </w:r>
      <w:r>
        <w:rPr>
          <w:b/>
          <w:bCs/>
          <w:i/>
          <w:iCs/>
        </w:rPr>
        <w:t>2</w:t>
      </w:r>
      <w:r w:rsidRPr="005848DA">
        <w:rPr>
          <w:b/>
          <w:bCs/>
          <w:i/>
          <w:iCs/>
        </w:rPr>
        <w:t xml:space="preserve">) SS due to n0 change, then potential back-to-back monitoring issue can arise across slot groups where the shift is </w:t>
      </w:r>
      <w:r w:rsidR="00FD1CBB" w:rsidRPr="005848DA">
        <w:rPr>
          <w:b/>
          <w:bCs/>
          <w:i/>
          <w:iCs/>
        </w:rPr>
        <w:t>applied,</w:t>
      </w:r>
      <w:r>
        <w:rPr>
          <w:b/>
          <w:bCs/>
          <w:i/>
          <w:iCs/>
        </w:rPr>
        <w:t xml:space="preserve"> and periodicity of Group(s) SS MOs is every slot group</w:t>
      </w:r>
    </w:p>
    <w:p w14:paraId="06AA5EA8" w14:textId="77777777" w:rsidR="005231DF" w:rsidRPr="005848DA" w:rsidRDefault="005231DF" w:rsidP="00F44F9D">
      <w:pPr>
        <w:pStyle w:val="ListParagraph"/>
        <w:spacing w:after="160"/>
        <w:ind w:left="0"/>
        <w:jc w:val="both"/>
        <w:rPr>
          <w:b/>
          <w:bCs/>
          <w:i/>
          <w:iCs/>
          <w:lang w:eastAsia="zh-CN"/>
        </w:rPr>
      </w:pPr>
    </w:p>
    <w:p w14:paraId="01E235D5" w14:textId="7BA262CB" w:rsidR="00F77379" w:rsidRDefault="003C5162" w:rsidP="00F44F9D">
      <w:pPr>
        <w:pStyle w:val="ListParagraph"/>
        <w:spacing w:after="160"/>
        <w:ind w:left="0"/>
        <w:jc w:val="both"/>
        <w:rPr>
          <w:lang w:eastAsia="zh-CN"/>
        </w:rPr>
      </w:pPr>
      <w:r>
        <w:rPr>
          <w:lang w:eastAsia="zh-CN"/>
        </w:rPr>
        <w:t xml:space="preserve">One potential solution could be to drop any Group(1) SS MOs </w:t>
      </w:r>
      <w:r w:rsidR="00811AC5">
        <w:rPr>
          <w:lang w:eastAsia="zh-CN"/>
        </w:rPr>
        <w:t xml:space="preserve">and/or Group(2) SS MOs </w:t>
      </w:r>
      <w:r>
        <w:rPr>
          <w:lang w:eastAsia="zh-CN"/>
        </w:rPr>
        <w:t xml:space="preserve">in the slot group </w:t>
      </w:r>
      <w:r w:rsidR="00F77379">
        <w:rPr>
          <w:lang w:eastAsia="zh-CN"/>
        </w:rPr>
        <w:t xml:space="preserve">in </w:t>
      </w:r>
      <w:r>
        <w:rPr>
          <w:lang w:eastAsia="zh-CN"/>
        </w:rPr>
        <w:t xml:space="preserve">which shifting needs to be applied such that back-to-back monitoring issue can be avoided. </w:t>
      </w:r>
    </w:p>
    <w:p w14:paraId="74776691" w14:textId="77777777" w:rsidR="00022C4B" w:rsidRDefault="00022C4B" w:rsidP="003C5162">
      <w:pPr>
        <w:pStyle w:val="ListParagraph"/>
        <w:spacing w:after="160"/>
        <w:ind w:left="0"/>
        <w:rPr>
          <w:lang w:eastAsia="zh-CN"/>
        </w:rPr>
      </w:pPr>
    </w:p>
    <w:p w14:paraId="2F7AC3C4" w14:textId="604D2752" w:rsidR="00751650" w:rsidRDefault="00D9157C" w:rsidP="009A1F1B">
      <w:pPr>
        <w:pStyle w:val="ListParagraph"/>
        <w:spacing w:after="160"/>
        <w:ind w:left="0"/>
        <w:jc w:val="both"/>
        <w:rPr>
          <w:b/>
          <w:bCs/>
          <w:i/>
          <w:iCs/>
        </w:rPr>
      </w:pPr>
      <w:r w:rsidRPr="009C7A87">
        <w:rPr>
          <w:b/>
          <w:bCs/>
          <w:i/>
          <w:iCs/>
          <w:lang w:eastAsia="zh-CN"/>
        </w:rPr>
        <w:t xml:space="preserve">Proposal </w:t>
      </w:r>
      <w:r w:rsidR="00D62150">
        <w:rPr>
          <w:b/>
          <w:bCs/>
          <w:i/>
          <w:iCs/>
          <w:lang w:eastAsia="zh-CN"/>
        </w:rPr>
        <w:t>1</w:t>
      </w:r>
      <w:r w:rsidRPr="009C7A87">
        <w:rPr>
          <w:b/>
          <w:bCs/>
          <w:i/>
          <w:iCs/>
          <w:lang w:eastAsia="zh-CN"/>
        </w:rPr>
        <w:t xml:space="preserve">: </w:t>
      </w:r>
      <w:r w:rsidR="0070055E" w:rsidRPr="009C7A87">
        <w:rPr>
          <w:b/>
          <w:bCs/>
          <w:i/>
          <w:iCs/>
        </w:rPr>
        <w:t xml:space="preserve">For supporting NR between 52.6 GHz and 71 GHz with high subcarrier spacing values including 480kHz and 960kHz, then dropping of Group(1) SS </w:t>
      </w:r>
      <w:r w:rsidR="00811AC5">
        <w:rPr>
          <w:b/>
          <w:bCs/>
          <w:i/>
          <w:iCs/>
        </w:rPr>
        <w:t xml:space="preserve">MOs and/or Group(2) SS MOs </w:t>
      </w:r>
      <w:r w:rsidR="0070055E" w:rsidRPr="009C7A87">
        <w:rPr>
          <w:b/>
          <w:bCs/>
          <w:i/>
          <w:iCs/>
        </w:rPr>
        <w:t>in the slot where the shift is first applied should be supported</w:t>
      </w:r>
      <w:r w:rsidR="00D62150">
        <w:rPr>
          <w:b/>
          <w:bCs/>
          <w:i/>
          <w:iCs/>
        </w:rPr>
        <w:t xml:space="preserve"> to avoid back-to-back monitoring issue.</w:t>
      </w:r>
    </w:p>
    <w:p w14:paraId="0AEA6DF4" w14:textId="5E88D21A" w:rsidR="007205C9" w:rsidRDefault="007205C9" w:rsidP="009A1F1B">
      <w:pPr>
        <w:pStyle w:val="ListParagraph"/>
        <w:spacing w:after="160"/>
        <w:ind w:left="0"/>
        <w:jc w:val="both"/>
        <w:rPr>
          <w:b/>
          <w:bCs/>
          <w:i/>
          <w:iCs/>
        </w:rPr>
      </w:pPr>
    </w:p>
    <w:p w14:paraId="577C8180" w14:textId="02987C13" w:rsidR="007205C9" w:rsidRDefault="007205C9" w:rsidP="007205C9">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Pr>
          <w:rFonts w:ascii="Arial" w:eastAsia="MS Mincho" w:hAnsi="Arial"/>
          <w:sz w:val="36"/>
          <w:szCs w:val="36"/>
          <w:lang w:eastAsia="ja-JP"/>
        </w:rPr>
        <w:tab/>
      </w:r>
      <w:r w:rsidR="0007773C">
        <w:rPr>
          <w:rFonts w:ascii="Arial" w:eastAsia="MS Mincho" w:hAnsi="Arial"/>
          <w:sz w:val="36"/>
          <w:szCs w:val="36"/>
          <w:lang w:eastAsia="ja-JP"/>
        </w:rPr>
        <w:t>Search Space Configuration</w:t>
      </w:r>
    </w:p>
    <w:p w14:paraId="6AA4BA81" w14:textId="0541159D" w:rsidR="005A2B38" w:rsidRDefault="005A2B38" w:rsidP="009A1F1B">
      <w:pPr>
        <w:pStyle w:val="ListParagraph"/>
        <w:spacing w:after="160"/>
        <w:ind w:left="0"/>
        <w:jc w:val="both"/>
        <w:rPr>
          <w:lang w:eastAsia="zh-CN"/>
        </w:rPr>
      </w:pPr>
      <w:r>
        <w:rPr>
          <w:lang w:eastAsia="zh-CN"/>
        </w:rPr>
        <w:t>With multi-slot PDCCH monitoring, the search space configuration enhancements are also required in terms of periodicity and indication of monitoring slots within the slot group. For the periodicity configuration, it makes sense to allow only multiple of X i.e. slot group duration to have alignment across slot groups</w:t>
      </w:r>
    </w:p>
    <w:p w14:paraId="2CE6D478" w14:textId="2E71CE6B" w:rsidR="005A2B38" w:rsidRDefault="005A2B38" w:rsidP="009A1F1B">
      <w:pPr>
        <w:pStyle w:val="ListParagraph"/>
        <w:spacing w:after="160"/>
        <w:ind w:left="0"/>
        <w:jc w:val="both"/>
        <w:rPr>
          <w:lang w:eastAsia="zh-CN"/>
        </w:rPr>
      </w:pPr>
    </w:p>
    <w:p w14:paraId="5F08BC01" w14:textId="7566575A" w:rsidR="005A2B38" w:rsidRDefault="005A2B38" w:rsidP="009A1F1B">
      <w:pPr>
        <w:pStyle w:val="ListParagraph"/>
        <w:spacing w:after="160"/>
        <w:ind w:left="0"/>
        <w:jc w:val="both"/>
        <w:rPr>
          <w:b/>
          <w:bCs/>
          <w:i/>
          <w:iCs/>
        </w:rPr>
      </w:pPr>
      <w:r w:rsidRPr="009C7A87">
        <w:rPr>
          <w:b/>
          <w:bCs/>
          <w:i/>
          <w:iCs/>
          <w:lang w:eastAsia="zh-CN"/>
        </w:rPr>
        <w:t xml:space="preserve">Proposal </w:t>
      </w:r>
      <w:r>
        <w:rPr>
          <w:b/>
          <w:bCs/>
          <w:i/>
          <w:iCs/>
          <w:lang w:eastAsia="zh-CN"/>
        </w:rPr>
        <w:t>2</w:t>
      </w:r>
      <w:r w:rsidRPr="009C7A87">
        <w:rPr>
          <w:b/>
          <w:bCs/>
          <w:i/>
          <w:iCs/>
          <w:lang w:eastAsia="zh-CN"/>
        </w:rPr>
        <w:t xml:space="preserve">: </w:t>
      </w:r>
      <w:r w:rsidRPr="009C7A87">
        <w:rPr>
          <w:b/>
          <w:bCs/>
          <w:i/>
          <w:iCs/>
        </w:rPr>
        <w:t>For supporting NR between 52.6 GHz and 71 GHz with high subcarrier spacing values including 480kHz and 960kHz,</w:t>
      </w:r>
      <w:r>
        <w:rPr>
          <w:b/>
          <w:bCs/>
          <w:i/>
          <w:iCs/>
        </w:rPr>
        <w:t xml:space="preserve"> support periodicity of PDCCH monitoring in search space configuration only in multiples of slot group duration.</w:t>
      </w:r>
    </w:p>
    <w:p w14:paraId="7232120D" w14:textId="05EB6E65" w:rsidR="00001818" w:rsidRDefault="00001818" w:rsidP="009A1F1B">
      <w:pPr>
        <w:pStyle w:val="ListParagraph"/>
        <w:spacing w:after="160"/>
        <w:ind w:left="0"/>
        <w:jc w:val="both"/>
        <w:rPr>
          <w:b/>
          <w:bCs/>
          <w:i/>
          <w:iCs/>
        </w:rPr>
      </w:pPr>
    </w:p>
    <w:p w14:paraId="3A8D693B" w14:textId="77777777" w:rsidR="00001818" w:rsidRPr="00055623" w:rsidRDefault="00001818" w:rsidP="00001818">
      <w:pPr>
        <w:jc w:val="both"/>
      </w:pPr>
      <w:r>
        <w:lastRenderedPageBreak/>
        <w:t xml:space="preserve">Furthermore, currently in search space configuration, a bitmap is configured to indicate the symbols within a slot for PDCCH monitoring occasions within a slot. Similarly for multi-slot PDCCH monitoring, a bitmap to indicate the slots containing PDCCH monitoring occasions should be configured. </w:t>
      </w:r>
      <w:r w:rsidRPr="00055623">
        <w:t xml:space="preserve">An example illustration for a 4-slot duration with a 4-bit bitmap for monitoringSlotsWithinGroup indicating “1010” is shown in Figure 1, where the first and third slot within the group have monitoring occasions. </w:t>
      </w:r>
    </w:p>
    <w:p w14:paraId="5E0ADBF7" w14:textId="77777777" w:rsidR="00001818" w:rsidRPr="00A07632" w:rsidRDefault="00001818" w:rsidP="00001818">
      <w:pPr>
        <w:jc w:val="both"/>
        <w:rPr>
          <w:rFonts w:eastAsiaTheme="minorEastAsia"/>
          <w:sz w:val="22"/>
          <w:szCs w:val="22"/>
          <w:lang w:eastAsia="zh-CN"/>
        </w:rPr>
      </w:pPr>
    </w:p>
    <w:p w14:paraId="61A58345" w14:textId="77777777" w:rsidR="00001818" w:rsidRDefault="00001818" w:rsidP="00001818">
      <w:pPr>
        <w:jc w:val="center"/>
      </w:pPr>
      <w:r>
        <w:object w:dxaOrig="11686" w:dyaOrig="4171" w14:anchorId="7E05A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02.5pt" o:ole="">
            <v:imagedata r:id="rId8" o:title=""/>
          </v:shape>
          <o:OLEObject Type="Embed" ProgID="Visio.Drawing.15" ShapeID="_x0000_i1025" DrawAspect="Content" ObjectID="_1703398693" r:id="rId9"/>
        </w:object>
      </w:r>
    </w:p>
    <w:p w14:paraId="25A9E787" w14:textId="77777777" w:rsidR="00001818" w:rsidRPr="00696A91" w:rsidRDefault="00001818" w:rsidP="00001818">
      <w:pPr>
        <w:jc w:val="center"/>
        <w:rPr>
          <w:rFonts w:eastAsiaTheme="minorEastAsia"/>
          <w:b/>
          <w:bCs/>
          <w:sz w:val="22"/>
          <w:szCs w:val="22"/>
          <w:lang w:eastAsia="zh-CN"/>
        </w:rPr>
      </w:pPr>
      <w:r w:rsidRPr="00696A91">
        <w:rPr>
          <w:b/>
          <w:bCs/>
        </w:rPr>
        <w:t>Figure 1: Example of monitoring slots indication for a multi-slot PDCCH monitoring</w:t>
      </w:r>
    </w:p>
    <w:p w14:paraId="4459D242" w14:textId="1C756658" w:rsidR="006F2AD8" w:rsidRDefault="006F2AD8" w:rsidP="006F2AD8">
      <w:pPr>
        <w:pStyle w:val="ListParagraph"/>
        <w:spacing w:after="160"/>
        <w:ind w:left="0"/>
        <w:jc w:val="both"/>
        <w:rPr>
          <w:b/>
          <w:bCs/>
          <w:i/>
          <w:iCs/>
        </w:rPr>
      </w:pPr>
      <w:r w:rsidRPr="009C7A87">
        <w:rPr>
          <w:b/>
          <w:bCs/>
          <w:i/>
          <w:iCs/>
          <w:lang w:eastAsia="zh-CN"/>
        </w:rPr>
        <w:t xml:space="preserve">Proposal </w:t>
      </w:r>
      <w:r>
        <w:rPr>
          <w:b/>
          <w:bCs/>
          <w:i/>
          <w:iCs/>
          <w:lang w:eastAsia="zh-CN"/>
        </w:rPr>
        <w:t>3</w:t>
      </w:r>
      <w:r w:rsidRPr="009C7A87">
        <w:rPr>
          <w:b/>
          <w:bCs/>
          <w:i/>
          <w:iCs/>
          <w:lang w:eastAsia="zh-CN"/>
        </w:rPr>
        <w:t xml:space="preserve">: </w:t>
      </w:r>
      <w:r w:rsidRPr="009C7A87">
        <w:rPr>
          <w:b/>
          <w:bCs/>
          <w:i/>
          <w:iCs/>
        </w:rPr>
        <w:t>For supporting NR between 52.6 GHz and 71 GHz with high subcarrier spacing values including 480kHz and 960kHz,</w:t>
      </w:r>
      <w:r>
        <w:rPr>
          <w:b/>
          <w:bCs/>
          <w:i/>
          <w:iCs/>
        </w:rPr>
        <w:t xml:space="preserve"> support </w:t>
      </w:r>
      <w:r w:rsidR="00FA508F">
        <w:rPr>
          <w:b/>
          <w:bCs/>
          <w:i/>
          <w:iCs/>
        </w:rPr>
        <w:t xml:space="preserve">configuration of a </w:t>
      </w:r>
      <w:r w:rsidR="00E36348">
        <w:rPr>
          <w:b/>
          <w:bCs/>
          <w:i/>
          <w:iCs/>
        </w:rPr>
        <w:t xml:space="preserve">new </w:t>
      </w:r>
      <w:r w:rsidR="00FA508F">
        <w:rPr>
          <w:b/>
          <w:bCs/>
          <w:i/>
          <w:iCs/>
        </w:rPr>
        <w:t xml:space="preserve">bitmap to indicate </w:t>
      </w:r>
      <w:r w:rsidR="00E36348">
        <w:rPr>
          <w:b/>
          <w:bCs/>
          <w:i/>
          <w:iCs/>
        </w:rPr>
        <w:t xml:space="preserve">which </w:t>
      </w:r>
      <w:r w:rsidR="00FA508F">
        <w:rPr>
          <w:b/>
          <w:bCs/>
          <w:i/>
          <w:iCs/>
        </w:rPr>
        <w:t>slots within the slot group contain monitoring occasions.</w:t>
      </w:r>
      <w:r w:rsidR="00E36348">
        <w:rPr>
          <w:b/>
          <w:bCs/>
          <w:i/>
          <w:iCs/>
        </w:rPr>
        <w:t xml:space="preserve"> The size of the bitmap is equal to the number of slots per slot group (i.e. X).</w:t>
      </w:r>
      <w:r w:rsidR="00770C85">
        <w:rPr>
          <w:b/>
          <w:bCs/>
          <w:i/>
          <w:iCs/>
        </w:rPr>
        <w:t xml:space="preserve"> The indication of symbols within a slot for PDCCH monitoring applies only to slots indicated by the new bitmap.</w:t>
      </w:r>
    </w:p>
    <w:p w14:paraId="33F6BAEF" w14:textId="0223EA62" w:rsidR="00001818" w:rsidRPr="00001818" w:rsidRDefault="00001818" w:rsidP="009A1F1B">
      <w:pPr>
        <w:pStyle w:val="ListParagraph"/>
        <w:spacing w:after="160"/>
        <w:ind w:left="0"/>
        <w:jc w:val="both"/>
        <w:rPr>
          <w:lang w:eastAsia="zh-CN"/>
        </w:rPr>
      </w:pPr>
    </w:p>
    <w:p w14:paraId="3EF2F589" w14:textId="3684A979" w:rsidR="003D1867" w:rsidRDefault="007205C9" w:rsidP="003D186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3D1867">
        <w:rPr>
          <w:rFonts w:ascii="Arial" w:eastAsia="MS Mincho" w:hAnsi="Arial"/>
          <w:sz w:val="36"/>
          <w:szCs w:val="36"/>
          <w:lang w:eastAsia="ja-JP"/>
        </w:rPr>
        <w:tab/>
        <w:t xml:space="preserve">PDCCH multi-beam aspects </w:t>
      </w:r>
    </w:p>
    <w:p w14:paraId="68ECCF61" w14:textId="39BDACE5" w:rsidR="009752A0" w:rsidRDefault="009752A0" w:rsidP="009752A0">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according to the indicated sensing beam(s) used by the gNB to initiate a COT, a UE </w:t>
      </w:r>
      <w:r w:rsidR="00E36348">
        <w:rPr>
          <w:kern w:val="2"/>
          <w:lang w:eastAsia="zh-CN"/>
        </w:rPr>
        <w:t>does not need to monitor</w:t>
      </w:r>
      <w:r>
        <w:rPr>
          <w:kern w:val="2"/>
          <w:lang w:eastAsia="zh-CN"/>
        </w:rPr>
        <w:t xml:space="preserve"> PDCCH occasions in </w:t>
      </w:r>
      <w:r w:rsidR="00E36348">
        <w:rPr>
          <w:kern w:val="2"/>
          <w:lang w:eastAsia="zh-CN"/>
        </w:rPr>
        <w:t xml:space="preserve">a </w:t>
      </w:r>
      <w:r>
        <w:rPr>
          <w:kern w:val="2"/>
          <w:lang w:eastAsia="zh-CN"/>
        </w:rPr>
        <w:t>CORESET corresponding to a different Tx beam which is not ‘covered’ by the indicated sensing beam(s) until the current COT ends, which can reduce the p</w:t>
      </w:r>
      <w:r w:rsidRPr="00E03C94">
        <w:rPr>
          <w:kern w:val="2"/>
          <w:lang w:eastAsia="zh-CN"/>
        </w:rPr>
        <w:t>ower consumption</w:t>
      </w:r>
      <w:r>
        <w:rPr>
          <w:kern w:val="2"/>
          <w:lang w:eastAsia="zh-CN"/>
        </w:rPr>
        <w:t xml:space="preserve"> cause</w:t>
      </w:r>
      <w:r w:rsidR="00E36348">
        <w:rPr>
          <w:kern w:val="2"/>
          <w:lang w:eastAsia="zh-CN"/>
        </w:rPr>
        <w:t>d</w:t>
      </w:r>
      <w:r>
        <w:rPr>
          <w:kern w:val="2"/>
          <w:lang w:eastAsia="zh-CN"/>
        </w:rPr>
        <w:t xml:space="preserve"> by blind decoding. </w:t>
      </w:r>
    </w:p>
    <w:p w14:paraId="22590D6F" w14:textId="699D5F2F" w:rsidR="00D54E1C" w:rsidRDefault="00D54E1C" w:rsidP="00D54E1C">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sidR="00DE32D0">
        <w:rPr>
          <w:rFonts w:asciiTheme="majorBidi" w:hAnsiTheme="majorBidi" w:cstheme="majorBidi"/>
          <w:b/>
          <w:bCs/>
          <w:i/>
          <w:iCs/>
          <w:lang w:eastAsia="zh-CN"/>
        </w:rPr>
        <w:t>4</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 xml:space="preserve">within a COT, PDCCH monitoring </w:t>
      </w:r>
      <w:r w:rsidR="00756905">
        <w:rPr>
          <w:rFonts w:asciiTheme="majorBidi" w:hAnsiTheme="majorBidi" w:cstheme="majorBidi"/>
          <w:b/>
          <w:bCs/>
          <w:i/>
          <w:iCs/>
          <w:lang w:eastAsia="zh-CN"/>
        </w:rPr>
        <w:t>is no</w:t>
      </w:r>
      <w:r w:rsidR="00755C9A">
        <w:rPr>
          <w:rFonts w:asciiTheme="majorBidi" w:hAnsiTheme="majorBidi" w:cstheme="majorBidi"/>
          <w:b/>
          <w:bCs/>
          <w:i/>
          <w:iCs/>
          <w:lang w:eastAsia="zh-CN"/>
        </w:rPr>
        <w:t>t</w:t>
      </w:r>
      <w:r w:rsidR="00756905">
        <w:rPr>
          <w:rFonts w:asciiTheme="majorBidi" w:hAnsiTheme="majorBidi" w:cstheme="majorBidi"/>
          <w:b/>
          <w:bCs/>
          <w:i/>
          <w:iCs/>
          <w:lang w:eastAsia="zh-CN"/>
        </w:rPr>
        <w:t xml:space="preserve"> supported </w:t>
      </w:r>
      <w:r>
        <w:rPr>
          <w:rFonts w:asciiTheme="majorBidi" w:hAnsiTheme="majorBidi" w:cstheme="majorBidi"/>
          <w:b/>
          <w:bCs/>
          <w:i/>
          <w:iCs/>
          <w:lang w:eastAsia="zh-CN"/>
        </w:rPr>
        <w:t>in the CORESETs corresponding to other COTs</w:t>
      </w:r>
      <w:r w:rsidR="00756905">
        <w:rPr>
          <w:rFonts w:asciiTheme="majorBidi" w:hAnsiTheme="majorBidi" w:cstheme="majorBidi"/>
          <w:b/>
          <w:bCs/>
          <w:i/>
          <w:iCs/>
          <w:lang w:eastAsia="zh-CN"/>
        </w:rPr>
        <w:t xml:space="preserve"> (</w:t>
      </w:r>
      <w:r w:rsidR="0030439A">
        <w:rPr>
          <w:rFonts w:asciiTheme="majorBidi" w:hAnsiTheme="majorBidi" w:cstheme="majorBidi"/>
          <w:b/>
          <w:bCs/>
          <w:i/>
          <w:iCs/>
          <w:lang w:eastAsia="zh-CN"/>
        </w:rPr>
        <w:t>PDCCH monitoring restricted to monitoring corresponding to only one COT</w:t>
      </w:r>
      <w:r w:rsidR="00C77E02">
        <w:rPr>
          <w:rFonts w:asciiTheme="majorBidi" w:hAnsiTheme="majorBidi" w:cstheme="majorBidi"/>
          <w:b/>
          <w:bCs/>
          <w:i/>
          <w:iCs/>
          <w:lang w:eastAsia="zh-CN"/>
        </w:rPr>
        <w:t xml:space="preserve"> at a time</w:t>
      </w:r>
      <w:r w:rsidR="0030439A">
        <w:rPr>
          <w:rFonts w:asciiTheme="majorBidi" w:hAnsiTheme="majorBidi" w:cstheme="majorBidi"/>
          <w:b/>
          <w:bCs/>
          <w:i/>
          <w:iCs/>
          <w:lang w:eastAsia="zh-CN"/>
        </w:rPr>
        <w:t>)</w:t>
      </w:r>
    </w:p>
    <w:p w14:paraId="57B4CFD4" w14:textId="77777777" w:rsidR="00A67FE2" w:rsidRDefault="00A67FE2" w:rsidP="00D54E1C">
      <w:pPr>
        <w:spacing w:after="0"/>
        <w:jc w:val="both"/>
        <w:rPr>
          <w:rFonts w:asciiTheme="majorBidi" w:hAnsiTheme="majorBidi" w:cstheme="majorBidi"/>
          <w:b/>
          <w:bCs/>
          <w:i/>
          <w:iCs/>
          <w:lang w:eastAsia="zh-CN"/>
        </w:rPr>
      </w:pPr>
    </w:p>
    <w:p w14:paraId="16999FE0" w14:textId="77777777" w:rsidR="00671BAD" w:rsidRDefault="00671BAD" w:rsidP="00D54E1C">
      <w:pPr>
        <w:spacing w:after="0"/>
        <w:jc w:val="both"/>
        <w:rPr>
          <w:rFonts w:asciiTheme="majorBidi" w:hAnsiTheme="majorBidi" w:cstheme="majorBidi"/>
          <w:b/>
          <w:bCs/>
          <w:i/>
          <w:iCs/>
          <w:lang w:eastAsia="zh-CN"/>
        </w:rPr>
      </w:pPr>
    </w:p>
    <w:p w14:paraId="0376B0F9" w14:textId="63AF1C03" w:rsidR="00790DD7" w:rsidRPr="000B409F" w:rsidRDefault="006F43C0"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790DD7">
        <w:rPr>
          <w:rFonts w:ascii="Arial" w:eastAsia="MS Mincho" w:hAnsi="Arial"/>
          <w:sz w:val="36"/>
          <w:szCs w:val="36"/>
          <w:lang w:eastAsia="ja-JP"/>
        </w:rPr>
        <w:tab/>
        <w:t>Conclusion</w:t>
      </w:r>
    </w:p>
    <w:p w14:paraId="10436BA2" w14:textId="1BF0DF34" w:rsidR="00D07BD2" w:rsidRPr="00347C63" w:rsidRDefault="00D07BD2" w:rsidP="00D07BD2">
      <w:pPr>
        <w:jc w:val="both"/>
        <w:rPr>
          <w:rFonts w:asciiTheme="majorBidi" w:hAnsiTheme="majorBidi" w:cstheme="majorBidi"/>
        </w:rPr>
      </w:pPr>
      <w:r w:rsidRPr="00347C63">
        <w:rPr>
          <w:rFonts w:asciiTheme="majorBidi" w:hAnsiTheme="majorBidi" w:cstheme="majorBidi"/>
        </w:rPr>
        <w:t xml:space="preserve">In this contribution, we </w:t>
      </w:r>
      <w:r>
        <w:rPr>
          <w:rFonts w:asciiTheme="majorBidi" w:hAnsiTheme="majorBidi" w:cstheme="majorBidi"/>
        </w:rPr>
        <w:t>discussed enhancements for PDCCH monitoring for NR operation between 52.6 GHz to 71 GHz with high SCS values and provided following observations/proposals:</w:t>
      </w:r>
      <w:r w:rsidRPr="00347C63">
        <w:rPr>
          <w:rFonts w:asciiTheme="majorBidi" w:hAnsiTheme="majorBidi" w:cstheme="majorBidi"/>
        </w:rPr>
        <w:t xml:space="preserve"> </w:t>
      </w:r>
    </w:p>
    <w:p w14:paraId="1DC0FDC9" w14:textId="4BBACD7A" w:rsidR="008C08B3" w:rsidRDefault="008C08B3" w:rsidP="008C08B3">
      <w:pPr>
        <w:pStyle w:val="ListParagraph"/>
        <w:spacing w:after="160"/>
        <w:ind w:left="0"/>
        <w:jc w:val="both"/>
        <w:rPr>
          <w:b/>
          <w:bCs/>
          <w:i/>
          <w:iCs/>
        </w:rPr>
      </w:pPr>
      <w:r w:rsidRPr="005848DA">
        <w:rPr>
          <w:b/>
          <w:bCs/>
          <w:i/>
          <w:iCs/>
          <w:lang w:eastAsia="zh-CN"/>
        </w:rPr>
        <w:t xml:space="preserve">Observation </w:t>
      </w:r>
      <w:r>
        <w:rPr>
          <w:b/>
          <w:bCs/>
          <w:i/>
          <w:iCs/>
          <w:lang w:eastAsia="zh-CN"/>
        </w:rPr>
        <w:t>1</w:t>
      </w:r>
      <w:r w:rsidRPr="005848DA">
        <w:rPr>
          <w:b/>
          <w:bCs/>
          <w:i/>
          <w:iCs/>
          <w:lang w:eastAsia="ja-JP"/>
        </w:rPr>
        <w:t xml:space="preserve">: </w:t>
      </w:r>
      <w:r w:rsidRPr="005848DA">
        <w:rPr>
          <w:b/>
          <w:bCs/>
          <w:i/>
          <w:iCs/>
        </w:rPr>
        <w:t>For supporting NR between 52.6 GHz and 71 GHz with high subcarrier spacing values including 480kHz and 960kHz, when multi-slot PDCCH monitoring is applied with shifting of Group(</w:t>
      </w:r>
      <w:r>
        <w:rPr>
          <w:b/>
          <w:bCs/>
          <w:i/>
          <w:iCs/>
        </w:rPr>
        <w:t>2</w:t>
      </w:r>
      <w:r w:rsidRPr="005848DA">
        <w:rPr>
          <w:b/>
          <w:bCs/>
          <w:i/>
          <w:iCs/>
        </w:rPr>
        <w:t>) SS due to n0 change, then potential back-to-back monitoring issue can arise across slot groups where the shift is applied,</w:t>
      </w:r>
      <w:r>
        <w:rPr>
          <w:b/>
          <w:bCs/>
          <w:i/>
          <w:iCs/>
        </w:rPr>
        <w:t xml:space="preserve"> and periodicity of Group(s) SS MOs is every slot group</w:t>
      </w:r>
    </w:p>
    <w:p w14:paraId="58699098" w14:textId="77777777" w:rsidR="008C08B3" w:rsidRPr="005848DA" w:rsidRDefault="008C08B3" w:rsidP="008C08B3">
      <w:pPr>
        <w:pStyle w:val="ListParagraph"/>
        <w:spacing w:after="160"/>
        <w:ind w:left="0"/>
        <w:jc w:val="both"/>
        <w:rPr>
          <w:b/>
          <w:bCs/>
          <w:i/>
          <w:iCs/>
          <w:lang w:eastAsia="zh-CN"/>
        </w:rPr>
      </w:pPr>
    </w:p>
    <w:p w14:paraId="0FD4D5B9" w14:textId="64DCF7CD" w:rsidR="008C08B3" w:rsidRDefault="008C08B3" w:rsidP="008C08B3">
      <w:pPr>
        <w:pStyle w:val="ListParagraph"/>
        <w:spacing w:after="160"/>
        <w:ind w:left="0"/>
        <w:jc w:val="both"/>
        <w:rPr>
          <w:b/>
          <w:bCs/>
          <w:i/>
          <w:iCs/>
        </w:rPr>
      </w:pPr>
      <w:r w:rsidRPr="009C7A87">
        <w:rPr>
          <w:b/>
          <w:bCs/>
          <w:i/>
          <w:iCs/>
          <w:lang w:eastAsia="zh-CN"/>
        </w:rPr>
        <w:t xml:space="preserve">Proposal </w:t>
      </w:r>
      <w:r>
        <w:rPr>
          <w:b/>
          <w:bCs/>
          <w:i/>
          <w:iCs/>
          <w:lang w:eastAsia="zh-CN"/>
        </w:rPr>
        <w:t>1</w:t>
      </w:r>
      <w:r w:rsidRPr="009C7A87">
        <w:rPr>
          <w:b/>
          <w:bCs/>
          <w:i/>
          <w:iCs/>
          <w:lang w:eastAsia="zh-CN"/>
        </w:rPr>
        <w:t xml:space="preserve">: </w:t>
      </w:r>
      <w:r w:rsidRPr="009C7A87">
        <w:rPr>
          <w:b/>
          <w:bCs/>
          <w:i/>
          <w:iCs/>
        </w:rPr>
        <w:t xml:space="preserve">For supporting NR between 52.6 GHz and 71 GHz with high subcarrier spacing values including 480kHz and 960kHz, then dropping of Group(1) SS </w:t>
      </w:r>
      <w:r>
        <w:rPr>
          <w:b/>
          <w:bCs/>
          <w:i/>
          <w:iCs/>
        </w:rPr>
        <w:t xml:space="preserve">MOs and/or Group(2) SS MOs </w:t>
      </w:r>
      <w:r w:rsidRPr="009C7A87">
        <w:rPr>
          <w:b/>
          <w:bCs/>
          <w:i/>
          <w:iCs/>
        </w:rPr>
        <w:t>in the slot where the shift is first applied should be supported</w:t>
      </w:r>
      <w:r>
        <w:rPr>
          <w:b/>
          <w:bCs/>
          <w:i/>
          <w:iCs/>
        </w:rPr>
        <w:t xml:space="preserve"> to avoid back-to-back monitoring issue.</w:t>
      </w:r>
    </w:p>
    <w:p w14:paraId="0C1B527C" w14:textId="77777777" w:rsidR="008C08B3" w:rsidRDefault="008C08B3" w:rsidP="008C08B3">
      <w:pPr>
        <w:pStyle w:val="ListParagraph"/>
        <w:spacing w:after="160"/>
        <w:ind w:left="0"/>
        <w:jc w:val="both"/>
        <w:rPr>
          <w:b/>
          <w:bCs/>
          <w:i/>
          <w:iCs/>
        </w:rPr>
      </w:pPr>
    </w:p>
    <w:p w14:paraId="7317DB8B" w14:textId="77777777" w:rsidR="008C08B3" w:rsidRDefault="008C08B3" w:rsidP="008C08B3">
      <w:pPr>
        <w:pStyle w:val="ListParagraph"/>
        <w:spacing w:after="160"/>
        <w:ind w:left="0"/>
        <w:jc w:val="both"/>
        <w:rPr>
          <w:b/>
          <w:bCs/>
          <w:i/>
          <w:iCs/>
        </w:rPr>
      </w:pPr>
      <w:r w:rsidRPr="009C7A87">
        <w:rPr>
          <w:b/>
          <w:bCs/>
          <w:i/>
          <w:iCs/>
          <w:lang w:eastAsia="zh-CN"/>
        </w:rPr>
        <w:t xml:space="preserve">Proposal </w:t>
      </w:r>
      <w:r>
        <w:rPr>
          <w:b/>
          <w:bCs/>
          <w:i/>
          <w:iCs/>
          <w:lang w:eastAsia="zh-CN"/>
        </w:rPr>
        <w:t>2</w:t>
      </w:r>
      <w:r w:rsidRPr="009C7A87">
        <w:rPr>
          <w:b/>
          <w:bCs/>
          <w:i/>
          <w:iCs/>
          <w:lang w:eastAsia="zh-CN"/>
        </w:rPr>
        <w:t xml:space="preserve">: </w:t>
      </w:r>
      <w:r w:rsidRPr="009C7A87">
        <w:rPr>
          <w:b/>
          <w:bCs/>
          <w:i/>
          <w:iCs/>
        </w:rPr>
        <w:t>For supporting NR between 52.6 GHz and 71 GHz with high subcarrier spacing values including 480kHz and 960kHz,</w:t>
      </w:r>
      <w:r>
        <w:rPr>
          <w:b/>
          <w:bCs/>
          <w:i/>
          <w:iCs/>
        </w:rPr>
        <w:t xml:space="preserve"> support periodicity of PDCCH monitoring in search space configuration only in multiples of slot group duration.</w:t>
      </w:r>
    </w:p>
    <w:p w14:paraId="754E4C51" w14:textId="77777777" w:rsidR="008C08B3" w:rsidRDefault="008C08B3" w:rsidP="008C08B3">
      <w:pPr>
        <w:pStyle w:val="ListParagraph"/>
        <w:spacing w:after="160"/>
        <w:ind w:left="0"/>
        <w:jc w:val="both"/>
        <w:rPr>
          <w:b/>
          <w:bCs/>
          <w:i/>
          <w:iCs/>
        </w:rPr>
      </w:pPr>
      <w:r w:rsidRPr="009C7A87">
        <w:rPr>
          <w:b/>
          <w:bCs/>
          <w:i/>
          <w:iCs/>
          <w:lang w:eastAsia="zh-CN"/>
        </w:rPr>
        <w:lastRenderedPageBreak/>
        <w:t xml:space="preserve">Proposal </w:t>
      </w:r>
      <w:r>
        <w:rPr>
          <w:b/>
          <w:bCs/>
          <w:i/>
          <w:iCs/>
          <w:lang w:eastAsia="zh-CN"/>
        </w:rPr>
        <w:t>3</w:t>
      </w:r>
      <w:r w:rsidRPr="009C7A87">
        <w:rPr>
          <w:b/>
          <w:bCs/>
          <w:i/>
          <w:iCs/>
          <w:lang w:eastAsia="zh-CN"/>
        </w:rPr>
        <w:t xml:space="preserve">: </w:t>
      </w:r>
      <w:r w:rsidRPr="009C7A87">
        <w:rPr>
          <w:b/>
          <w:bCs/>
          <w:i/>
          <w:iCs/>
        </w:rPr>
        <w:t>For supporting NR between 52.6 GHz and 71 GHz with high subcarrier spacing values including 480kHz and 960kHz,</w:t>
      </w:r>
      <w:r>
        <w:rPr>
          <w:b/>
          <w:bCs/>
          <w:i/>
          <w:iCs/>
        </w:rPr>
        <w:t xml:space="preserve"> support configuration of a new bitmap to indicate which slots within the slot group contain monitoring occasions. The size of the bitmap is equal to the number of slots per slot group (i.e. X). The indication of symbols within a slot for PDCCH monitoring applies only to slots indicated by the new bitmap.</w:t>
      </w:r>
    </w:p>
    <w:p w14:paraId="57D2C41F" w14:textId="77777777" w:rsidR="008C08B3" w:rsidRDefault="008C08B3" w:rsidP="008C08B3">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4</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within a COT, PDCCH monitoring is not supported in the CORESETs corresponding to other COTs (PDCCH monitoring restricted to monitoring corresponding to only one COT at a time)</w:t>
      </w:r>
    </w:p>
    <w:p w14:paraId="16A61FF9" w14:textId="7B71855B" w:rsidR="008C4EC8" w:rsidRPr="009F4DFD" w:rsidRDefault="008C4EC8" w:rsidP="009F4DFD">
      <w:pPr>
        <w:spacing w:after="0"/>
        <w:jc w:val="both"/>
        <w:rPr>
          <w:rFonts w:asciiTheme="majorBidi" w:hAnsiTheme="majorBidi" w:cstheme="majorBidi"/>
          <w:b/>
          <w:bCs/>
          <w:i/>
          <w:iCs/>
          <w:lang w:eastAsia="zh-CN"/>
        </w:rPr>
      </w:pPr>
    </w:p>
    <w:p w14:paraId="388AD2B8" w14:textId="76DC2FB5" w:rsidR="00790DD7" w:rsidRPr="000B409F" w:rsidRDefault="006B2A90"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0416EC4E" w:rsidR="003A0821" w:rsidRDefault="003A0821" w:rsidP="00A40260">
      <w:pPr>
        <w:spacing w:beforeLines="50" w:before="120"/>
        <w:jc w:val="both"/>
      </w:pPr>
      <w:r>
        <w:t>[</w:t>
      </w:r>
      <w:r w:rsidR="00713F0E">
        <w:t>1</w:t>
      </w:r>
      <w:r>
        <w:t>]</w:t>
      </w:r>
      <w:r>
        <w:tab/>
        <w:t>3GPP RP-</w:t>
      </w:r>
      <w:r w:rsidR="00196FFB">
        <w:t>2</w:t>
      </w:r>
      <w:r w:rsidR="004132C4">
        <w:t>1</w:t>
      </w:r>
      <w:r w:rsidR="00527FE6">
        <w:t>1584</w:t>
      </w:r>
      <w:r>
        <w:t>, “</w:t>
      </w:r>
      <w:r w:rsidR="001552C4" w:rsidRPr="001552C4">
        <w:rPr>
          <w:i/>
          <w:iCs/>
        </w:rPr>
        <w:t>Revised WID:  Extending current NR operation to 71 GHz</w:t>
      </w:r>
      <w:r>
        <w:t xml:space="preserve">”, </w:t>
      </w:r>
      <w:r w:rsidR="00196FFB">
        <w:t>CMCC</w:t>
      </w:r>
    </w:p>
    <w:p w14:paraId="15B5344E" w14:textId="61703948" w:rsidR="00CB78E4" w:rsidRPr="00202DD5" w:rsidRDefault="00CB78E4" w:rsidP="00CB78E4">
      <w:pPr>
        <w:spacing w:beforeLines="50" w:before="120"/>
        <w:ind w:left="720" w:hanging="720"/>
        <w:jc w:val="both"/>
        <w:rPr>
          <w:lang w:val="de-DE"/>
        </w:rPr>
      </w:pPr>
      <w:r w:rsidRPr="00202DD5">
        <w:rPr>
          <w:lang w:val="de-DE"/>
        </w:rPr>
        <w:t>[</w:t>
      </w:r>
      <w:r w:rsidR="008A7B2A" w:rsidRPr="00202DD5">
        <w:rPr>
          <w:lang w:val="de-DE"/>
        </w:rPr>
        <w:t>2</w:t>
      </w:r>
      <w:r w:rsidRPr="00202DD5">
        <w:rPr>
          <w:lang w:val="de-DE"/>
        </w:rPr>
        <w:t xml:space="preserve">] </w:t>
      </w:r>
      <w:r w:rsidRPr="00202DD5">
        <w:rPr>
          <w:lang w:val="de-DE"/>
        </w:rPr>
        <w:tab/>
        <w:t>3GPP RAN1#10</w:t>
      </w:r>
      <w:r w:rsidR="007B3A1F">
        <w:rPr>
          <w:lang w:val="de-DE"/>
        </w:rPr>
        <w:t>7</w:t>
      </w:r>
      <w:r w:rsidRPr="00202DD5">
        <w:rPr>
          <w:lang w:val="de-DE"/>
        </w:rPr>
        <w:t>-e, “</w:t>
      </w:r>
      <w:r w:rsidRPr="00202DD5">
        <w:rPr>
          <w:i/>
          <w:iCs/>
          <w:lang w:val="de-DE"/>
        </w:rPr>
        <w:t>Chairman Notes</w:t>
      </w:r>
    </w:p>
    <w:sectPr w:rsidR="00CB78E4" w:rsidRPr="00202DD5" w:rsidSect="00B975F2">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EC5B3" w14:textId="77777777" w:rsidR="00655396" w:rsidRDefault="00655396">
      <w:pPr>
        <w:spacing w:after="0"/>
      </w:pPr>
      <w:r>
        <w:separator/>
      </w:r>
    </w:p>
  </w:endnote>
  <w:endnote w:type="continuationSeparator" w:id="0">
    <w:p w14:paraId="42D985C9" w14:textId="77777777" w:rsidR="00655396" w:rsidRDefault="00655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5C26E8" w14:textId="77777777" w:rsidR="00655396" w:rsidRDefault="00655396">
      <w:pPr>
        <w:spacing w:after="0"/>
      </w:pPr>
      <w:r>
        <w:separator/>
      </w:r>
    </w:p>
  </w:footnote>
  <w:footnote w:type="continuationSeparator" w:id="0">
    <w:p w14:paraId="626A6539" w14:textId="77777777" w:rsidR="00655396" w:rsidRDefault="006553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D7ADC"/>
    <w:multiLevelType w:val="hybridMultilevel"/>
    <w:tmpl w:val="204C7B3A"/>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C2969"/>
    <w:multiLevelType w:val="hybridMultilevel"/>
    <w:tmpl w:val="70F61EEC"/>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2BA7809"/>
    <w:multiLevelType w:val="hybridMultilevel"/>
    <w:tmpl w:val="933A7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4"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F72302A"/>
    <w:multiLevelType w:val="hybridMultilevel"/>
    <w:tmpl w:val="D5A24B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27E1AD2"/>
    <w:multiLevelType w:val="hybridMultilevel"/>
    <w:tmpl w:val="5CA6E026"/>
    <w:lvl w:ilvl="0" w:tplc="B9EACEFC">
      <w:start w:val="1"/>
      <w:numFmt w:val="bullet"/>
      <w:lvlText w:val="•"/>
      <w:lvlJc w:val="left"/>
      <w:pPr>
        <w:tabs>
          <w:tab w:val="num" w:pos="720"/>
        </w:tabs>
        <w:ind w:left="720" w:hanging="360"/>
      </w:pPr>
      <w:rPr>
        <w:rFonts w:ascii="Arial" w:hAnsi="Arial" w:hint="default"/>
      </w:rPr>
    </w:lvl>
    <w:lvl w:ilvl="1" w:tplc="29B4260A">
      <w:numFmt w:val="bullet"/>
      <w:lvlText w:val="–"/>
      <w:lvlJc w:val="left"/>
      <w:pPr>
        <w:tabs>
          <w:tab w:val="num" w:pos="1440"/>
        </w:tabs>
        <w:ind w:left="1440" w:hanging="360"/>
      </w:pPr>
      <w:rPr>
        <w:rFonts w:ascii="Arial" w:hAnsi="Arial" w:hint="default"/>
      </w:rPr>
    </w:lvl>
    <w:lvl w:ilvl="2" w:tplc="9A5E9F88" w:tentative="1">
      <w:start w:val="1"/>
      <w:numFmt w:val="bullet"/>
      <w:lvlText w:val="•"/>
      <w:lvlJc w:val="left"/>
      <w:pPr>
        <w:tabs>
          <w:tab w:val="num" w:pos="2160"/>
        </w:tabs>
        <w:ind w:left="2160" w:hanging="360"/>
      </w:pPr>
      <w:rPr>
        <w:rFonts w:ascii="Arial" w:hAnsi="Arial" w:hint="default"/>
      </w:rPr>
    </w:lvl>
    <w:lvl w:ilvl="3" w:tplc="D48EE364" w:tentative="1">
      <w:start w:val="1"/>
      <w:numFmt w:val="bullet"/>
      <w:lvlText w:val="•"/>
      <w:lvlJc w:val="left"/>
      <w:pPr>
        <w:tabs>
          <w:tab w:val="num" w:pos="2880"/>
        </w:tabs>
        <w:ind w:left="2880" w:hanging="360"/>
      </w:pPr>
      <w:rPr>
        <w:rFonts w:ascii="Arial" w:hAnsi="Arial" w:hint="default"/>
      </w:rPr>
    </w:lvl>
    <w:lvl w:ilvl="4" w:tplc="F94A49B0" w:tentative="1">
      <w:start w:val="1"/>
      <w:numFmt w:val="bullet"/>
      <w:lvlText w:val="•"/>
      <w:lvlJc w:val="left"/>
      <w:pPr>
        <w:tabs>
          <w:tab w:val="num" w:pos="3600"/>
        </w:tabs>
        <w:ind w:left="3600" w:hanging="360"/>
      </w:pPr>
      <w:rPr>
        <w:rFonts w:ascii="Arial" w:hAnsi="Arial" w:hint="default"/>
      </w:rPr>
    </w:lvl>
    <w:lvl w:ilvl="5" w:tplc="32E600E8" w:tentative="1">
      <w:start w:val="1"/>
      <w:numFmt w:val="bullet"/>
      <w:lvlText w:val="•"/>
      <w:lvlJc w:val="left"/>
      <w:pPr>
        <w:tabs>
          <w:tab w:val="num" w:pos="4320"/>
        </w:tabs>
        <w:ind w:left="4320" w:hanging="360"/>
      </w:pPr>
      <w:rPr>
        <w:rFonts w:ascii="Arial" w:hAnsi="Arial" w:hint="default"/>
      </w:rPr>
    </w:lvl>
    <w:lvl w:ilvl="6" w:tplc="46BABE5E" w:tentative="1">
      <w:start w:val="1"/>
      <w:numFmt w:val="bullet"/>
      <w:lvlText w:val="•"/>
      <w:lvlJc w:val="left"/>
      <w:pPr>
        <w:tabs>
          <w:tab w:val="num" w:pos="5040"/>
        </w:tabs>
        <w:ind w:left="5040" w:hanging="360"/>
      </w:pPr>
      <w:rPr>
        <w:rFonts w:ascii="Arial" w:hAnsi="Arial" w:hint="default"/>
      </w:rPr>
    </w:lvl>
    <w:lvl w:ilvl="7" w:tplc="A7E0CED2" w:tentative="1">
      <w:start w:val="1"/>
      <w:numFmt w:val="bullet"/>
      <w:lvlText w:val="•"/>
      <w:lvlJc w:val="left"/>
      <w:pPr>
        <w:tabs>
          <w:tab w:val="num" w:pos="5760"/>
        </w:tabs>
        <w:ind w:left="5760" w:hanging="360"/>
      </w:pPr>
      <w:rPr>
        <w:rFonts w:ascii="Arial" w:hAnsi="Arial" w:hint="default"/>
      </w:rPr>
    </w:lvl>
    <w:lvl w:ilvl="8" w:tplc="CC7642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2E4D07"/>
    <w:multiLevelType w:val="hybridMultilevel"/>
    <w:tmpl w:val="204C7B3A"/>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6B1CB1"/>
    <w:multiLevelType w:val="hybridMultilevel"/>
    <w:tmpl w:val="70F61EEC"/>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47D2213"/>
    <w:multiLevelType w:val="hybridMultilevel"/>
    <w:tmpl w:val="D7D24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29"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27"/>
  </w:num>
  <w:num w:numId="4">
    <w:abstractNumId w:val="24"/>
  </w:num>
  <w:num w:numId="5">
    <w:abstractNumId w:val="2"/>
  </w:num>
  <w:num w:numId="6">
    <w:abstractNumId w:val="1"/>
  </w:num>
  <w:num w:numId="7">
    <w:abstractNumId w:val="10"/>
  </w:num>
  <w:num w:numId="8">
    <w:abstractNumId w:val="6"/>
  </w:num>
  <w:num w:numId="9">
    <w:abstractNumId w:val="9"/>
  </w:num>
  <w:num w:numId="10">
    <w:abstractNumId w:val="14"/>
  </w:num>
  <w:num w:numId="11">
    <w:abstractNumId w:val="3"/>
  </w:num>
  <w:num w:numId="12">
    <w:abstractNumId w:val="13"/>
  </w:num>
  <w:num w:numId="13">
    <w:abstractNumId w:val="20"/>
  </w:num>
  <w:num w:numId="14">
    <w:abstractNumId w:val="29"/>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8"/>
  </w:num>
  <w:num w:numId="18">
    <w:abstractNumId w:val="11"/>
  </w:num>
  <w:num w:numId="19">
    <w:abstractNumId w:val="19"/>
  </w:num>
  <w:num w:numId="20">
    <w:abstractNumId w:val="15"/>
  </w:num>
  <w:num w:numId="21">
    <w:abstractNumId w:val="17"/>
  </w:num>
  <w:num w:numId="22">
    <w:abstractNumId w:val="7"/>
  </w:num>
  <w:num w:numId="23">
    <w:abstractNumId w:val="23"/>
  </w:num>
  <w:num w:numId="24">
    <w:abstractNumId w:val="0"/>
  </w:num>
  <w:num w:numId="25">
    <w:abstractNumId w:val="18"/>
  </w:num>
  <w:num w:numId="26">
    <w:abstractNumId w:val="21"/>
  </w:num>
  <w:num w:numId="27">
    <w:abstractNumId w:val="22"/>
  </w:num>
  <w:num w:numId="28">
    <w:abstractNumId w:val="8"/>
  </w:num>
  <w:num w:numId="29">
    <w:abstractNumId w:val="5"/>
  </w:num>
  <w:num w:numId="30">
    <w:abstractNumId w:val="26"/>
  </w:num>
  <w:num w:numId="31">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1818"/>
    <w:rsid w:val="00003D0F"/>
    <w:rsid w:val="00003F0E"/>
    <w:rsid w:val="00005030"/>
    <w:rsid w:val="00005D7F"/>
    <w:rsid w:val="000069B9"/>
    <w:rsid w:val="00006C38"/>
    <w:rsid w:val="00007165"/>
    <w:rsid w:val="000076CC"/>
    <w:rsid w:val="0001095B"/>
    <w:rsid w:val="00010DC3"/>
    <w:rsid w:val="00011B53"/>
    <w:rsid w:val="00015540"/>
    <w:rsid w:val="00020857"/>
    <w:rsid w:val="00022C4B"/>
    <w:rsid w:val="000230AF"/>
    <w:rsid w:val="00023614"/>
    <w:rsid w:val="00023710"/>
    <w:rsid w:val="000264B8"/>
    <w:rsid w:val="00026DC5"/>
    <w:rsid w:val="000270EA"/>
    <w:rsid w:val="000271A1"/>
    <w:rsid w:val="000272C7"/>
    <w:rsid w:val="00031EE2"/>
    <w:rsid w:val="000331B4"/>
    <w:rsid w:val="00033DB1"/>
    <w:rsid w:val="000357D7"/>
    <w:rsid w:val="00036903"/>
    <w:rsid w:val="000402EC"/>
    <w:rsid w:val="00041822"/>
    <w:rsid w:val="000422CE"/>
    <w:rsid w:val="00043EA5"/>
    <w:rsid w:val="00054B4D"/>
    <w:rsid w:val="00055623"/>
    <w:rsid w:val="000560AF"/>
    <w:rsid w:val="00056528"/>
    <w:rsid w:val="000606A5"/>
    <w:rsid w:val="0006151A"/>
    <w:rsid w:val="000671D6"/>
    <w:rsid w:val="0006735F"/>
    <w:rsid w:val="00073D62"/>
    <w:rsid w:val="000756A6"/>
    <w:rsid w:val="0007709B"/>
    <w:rsid w:val="0007773C"/>
    <w:rsid w:val="00081F11"/>
    <w:rsid w:val="0008305E"/>
    <w:rsid w:val="00086A91"/>
    <w:rsid w:val="0009166C"/>
    <w:rsid w:val="00095BA9"/>
    <w:rsid w:val="00096CB1"/>
    <w:rsid w:val="000A2A2A"/>
    <w:rsid w:val="000A416F"/>
    <w:rsid w:val="000B2B28"/>
    <w:rsid w:val="000B394E"/>
    <w:rsid w:val="000B3A78"/>
    <w:rsid w:val="000B4071"/>
    <w:rsid w:val="000B5673"/>
    <w:rsid w:val="000C0C40"/>
    <w:rsid w:val="000C1EF4"/>
    <w:rsid w:val="000C2B74"/>
    <w:rsid w:val="000C458D"/>
    <w:rsid w:val="000C562C"/>
    <w:rsid w:val="000C73A8"/>
    <w:rsid w:val="000D1DD3"/>
    <w:rsid w:val="000D4899"/>
    <w:rsid w:val="000D4D06"/>
    <w:rsid w:val="000E05EE"/>
    <w:rsid w:val="000E190D"/>
    <w:rsid w:val="000F1868"/>
    <w:rsid w:val="000F21B0"/>
    <w:rsid w:val="000F2FCE"/>
    <w:rsid w:val="000F4C7C"/>
    <w:rsid w:val="000F50FA"/>
    <w:rsid w:val="000F7B1F"/>
    <w:rsid w:val="00102157"/>
    <w:rsid w:val="00102F82"/>
    <w:rsid w:val="001047AA"/>
    <w:rsid w:val="001057C9"/>
    <w:rsid w:val="001067E6"/>
    <w:rsid w:val="00107E45"/>
    <w:rsid w:val="001104EF"/>
    <w:rsid w:val="00110C14"/>
    <w:rsid w:val="00115A44"/>
    <w:rsid w:val="00115B63"/>
    <w:rsid w:val="0012198A"/>
    <w:rsid w:val="001228F3"/>
    <w:rsid w:val="0012610D"/>
    <w:rsid w:val="00126FB9"/>
    <w:rsid w:val="00132171"/>
    <w:rsid w:val="00133D01"/>
    <w:rsid w:val="001341D1"/>
    <w:rsid w:val="0013433F"/>
    <w:rsid w:val="00136A59"/>
    <w:rsid w:val="0014036F"/>
    <w:rsid w:val="0014114E"/>
    <w:rsid w:val="00141D86"/>
    <w:rsid w:val="00141FAE"/>
    <w:rsid w:val="00143172"/>
    <w:rsid w:val="001438EF"/>
    <w:rsid w:val="0014729A"/>
    <w:rsid w:val="00150450"/>
    <w:rsid w:val="0015078F"/>
    <w:rsid w:val="00150F5F"/>
    <w:rsid w:val="0015212A"/>
    <w:rsid w:val="00152571"/>
    <w:rsid w:val="00153A1C"/>
    <w:rsid w:val="001552C4"/>
    <w:rsid w:val="00155F34"/>
    <w:rsid w:val="00157CB5"/>
    <w:rsid w:val="001603B4"/>
    <w:rsid w:val="00162A35"/>
    <w:rsid w:val="00170A52"/>
    <w:rsid w:val="00171CBA"/>
    <w:rsid w:val="00174DF4"/>
    <w:rsid w:val="00177AA3"/>
    <w:rsid w:val="00180C2B"/>
    <w:rsid w:val="00181D34"/>
    <w:rsid w:val="00182C32"/>
    <w:rsid w:val="00183B8D"/>
    <w:rsid w:val="00183D1D"/>
    <w:rsid w:val="001842B8"/>
    <w:rsid w:val="00185D56"/>
    <w:rsid w:val="001873F7"/>
    <w:rsid w:val="00187556"/>
    <w:rsid w:val="00192B7F"/>
    <w:rsid w:val="00192D02"/>
    <w:rsid w:val="00192F4C"/>
    <w:rsid w:val="00194625"/>
    <w:rsid w:val="001949AF"/>
    <w:rsid w:val="00196FFB"/>
    <w:rsid w:val="001A000F"/>
    <w:rsid w:val="001A028F"/>
    <w:rsid w:val="001A0787"/>
    <w:rsid w:val="001A1094"/>
    <w:rsid w:val="001A17E5"/>
    <w:rsid w:val="001A1A04"/>
    <w:rsid w:val="001A327A"/>
    <w:rsid w:val="001A559A"/>
    <w:rsid w:val="001A72A2"/>
    <w:rsid w:val="001B12E0"/>
    <w:rsid w:val="001B179E"/>
    <w:rsid w:val="001B6901"/>
    <w:rsid w:val="001C088D"/>
    <w:rsid w:val="001C3735"/>
    <w:rsid w:val="001C62F6"/>
    <w:rsid w:val="001C6D78"/>
    <w:rsid w:val="001D0850"/>
    <w:rsid w:val="001D1F60"/>
    <w:rsid w:val="001D22F1"/>
    <w:rsid w:val="001D5272"/>
    <w:rsid w:val="001D5BBE"/>
    <w:rsid w:val="001D681E"/>
    <w:rsid w:val="001D7B42"/>
    <w:rsid w:val="001D7CFD"/>
    <w:rsid w:val="001E2EA4"/>
    <w:rsid w:val="001E3506"/>
    <w:rsid w:val="001E5445"/>
    <w:rsid w:val="001E68BE"/>
    <w:rsid w:val="001E7186"/>
    <w:rsid w:val="001F028A"/>
    <w:rsid w:val="001F0DAD"/>
    <w:rsid w:val="001F2B53"/>
    <w:rsid w:val="001F2FBB"/>
    <w:rsid w:val="001F4A0A"/>
    <w:rsid w:val="001F5320"/>
    <w:rsid w:val="00202015"/>
    <w:rsid w:val="00202DD5"/>
    <w:rsid w:val="002039B0"/>
    <w:rsid w:val="00203A90"/>
    <w:rsid w:val="00204AF0"/>
    <w:rsid w:val="002053BF"/>
    <w:rsid w:val="00206C2E"/>
    <w:rsid w:val="002075EB"/>
    <w:rsid w:val="00213D57"/>
    <w:rsid w:val="002212D9"/>
    <w:rsid w:val="00221A93"/>
    <w:rsid w:val="00222F63"/>
    <w:rsid w:val="002259B3"/>
    <w:rsid w:val="00226823"/>
    <w:rsid w:val="002339B5"/>
    <w:rsid w:val="002361AE"/>
    <w:rsid w:val="00236BEC"/>
    <w:rsid w:val="00236DDC"/>
    <w:rsid w:val="00240384"/>
    <w:rsid w:val="00244CEF"/>
    <w:rsid w:val="00247F0D"/>
    <w:rsid w:val="00250A46"/>
    <w:rsid w:val="00251514"/>
    <w:rsid w:val="00253839"/>
    <w:rsid w:val="002543F7"/>
    <w:rsid w:val="00255159"/>
    <w:rsid w:val="002559C4"/>
    <w:rsid w:val="00260B38"/>
    <w:rsid w:val="002623A4"/>
    <w:rsid w:val="002623E2"/>
    <w:rsid w:val="002625CB"/>
    <w:rsid w:val="00262722"/>
    <w:rsid w:val="00270012"/>
    <w:rsid w:val="00270FF8"/>
    <w:rsid w:val="002710B1"/>
    <w:rsid w:val="00272E2E"/>
    <w:rsid w:val="00273340"/>
    <w:rsid w:val="0027420D"/>
    <w:rsid w:val="00280239"/>
    <w:rsid w:val="002817ED"/>
    <w:rsid w:val="00284187"/>
    <w:rsid w:val="002849F4"/>
    <w:rsid w:val="00286EDB"/>
    <w:rsid w:val="00290C41"/>
    <w:rsid w:val="00291E2B"/>
    <w:rsid w:val="002952EE"/>
    <w:rsid w:val="002979E1"/>
    <w:rsid w:val="00297F0C"/>
    <w:rsid w:val="002A1C1A"/>
    <w:rsid w:val="002A4291"/>
    <w:rsid w:val="002A700E"/>
    <w:rsid w:val="002B0ECA"/>
    <w:rsid w:val="002B2950"/>
    <w:rsid w:val="002B682F"/>
    <w:rsid w:val="002B75AD"/>
    <w:rsid w:val="002C09D3"/>
    <w:rsid w:val="002C1642"/>
    <w:rsid w:val="002C1749"/>
    <w:rsid w:val="002C2290"/>
    <w:rsid w:val="002C40DF"/>
    <w:rsid w:val="002C61CE"/>
    <w:rsid w:val="002D0CA8"/>
    <w:rsid w:val="002D1FD7"/>
    <w:rsid w:val="002D318B"/>
    <w:rsid w:val="002D3841"/>
    <w:rsid w:val="002E05FB"/>
    <w:rsid w:val="002E0E5C"/>
    <w:rsid w:val="002E3BF0"/>
    <w:rsid w:val="002E6FFA"/>
    <w:rsid w:val="002F0081"/>
    <w:rsid w:val="002F091B"/>
    <w:rsid w:val="002F126F"/>
    <w:rsid w:val="002F340C"/>
    <w:rsid w:val="002F4AAF"/>
    <w:rsid w:val="002F4C54"/>
    <w:rsid w:val="002F77BE"/>
    <w:rsid w:val="0030439A"/>
    <w:rsid w:val="00304583"/>
    <w:rsid w:val="003054C4"/>
    <w:rsid w:val="00305B56"/>
    <w:rsid w:val="0030741B"/>
    <w:rsid w:val="00310A89"/>
    <w:rsid w:val="00311699"/>
    <w:rsid w:val="00313257"/>
    <w:rsid w:val="0031673E"/>
    <w:rsid w:val="003176A0"/>
    <w:rsid w:val="003176BE"/>
    <w:rsid w:val="003205B2"/>
    <w:rsid w:val="00320DC2"/>
    <w:rsid w:val="00321840"/>
    <w:rsid w:val="003221FE"/>
    <w:rsid w:val="003237DE"/>
    <w:rsid w:val="00325FF8"/>
    <w:rsid w:val="00330585"/>
    <w:rsid w:val="0033177D"/>
    <w:rsid w:val="00335461"/>
    <w:rsid w:val="003356B4"/>
    <w:rsid w:val="003359BF"/>
    <w:rsid w:val="0034181E"/>
    <w:rsid w:val="00342813"/>
    <w:rsid w:val="00347C63"/>
    <w:rsid w:val="00352013"/>
    <w:rsid w:val="003521E6"/>
    <w:rsid w:val="00355530"/>
    <w:rsid w:val="00355BBC"/>
    <w:rsid w:val="00356E27"/>
    <w:rsid w:val="00356E4A"/>
    <w:rsid w:val="00363167"/>
    <w:rsid w:val="00363BBA"/>
    <w:rsid w:val="00366323"/>
    <w:rsid w:val="003731A2"/>
    <w:rsid w:val="003738FB"/>
    <w:rsid w:val="00376502"/>
    <w:rsid w:val="00377C96"/>
    <w:rsid w:val="00382791"/>
    <w:rsid w:val="00384DE3"/>
    <w:rsid w:val="00386069"/>
    <w:rsid w:val="00390674"/>
    <w:rsid w:val="00392DF0"/>
    <w:rsid w:val="003942A8"/>
    <w:rsid w:val="003963EE"/>
    <w:rsid w:val="00397863"/>
    <w:rsid w:val="003A0821"/>
    <w:rsid w:val="003A17C8"/>
    <w:rsid w:val="003A4FDF"/>
    <w:rsid w:val="003A5208"/>
    <w:rsid w:val="003A7A5D"/>
    <w:rsid w:val="003B03BE"/>
    <w:rsid w:val="003B0A29"/>
    <w:rsid w:val="003B11BC"/>
    <w:rsid w:val="003B1BCB"/>
    <w:rsid w:val="003B46B9"/>
    <w:rsid w:val="003B5DFC"/>
    <w:rsid w:val="003B79D1"/>
    <w:rsid w:val="003C16F0"/>
    <w:rsid w:val="003C5162"/>
    <w:rsid w:val="003C60BD"/>
    <w:rsid w:val="003C6862"/>
    <w:rsid w:val="003C6EDF"/>
    <w:rsid w:val="003D1867"/>
    <w:rsid w:val="003D4CEB"/>
    <w:rsid w:val="003D5896"/>
    <w:rsid w:val="003D70B9"/>
    <w:rsid w:val="003D719C"/>
    <w:rsid w:val="003E2BD0"/>
    <w:rsid w:val="003E2F9A"/>
    <w:rsid w:val="003E4B15"/>
    <w:rsid w:val="003E59A3"/>
    <w:rsid w:val="003E603B"/>
    <w:rsid w:val="003F0EA8"/>
    <w:rsid w:val="003F2794"/>
    <w:rsid w:val="003F2DD5"/>
    <w:rsid w:val="003F35C9"/>
    <w:rsid w:val="003F3F84"/>
    <w:rsid w:val="003F4707"/>
    <w:rsid w:val="003F6E0C"/>
    <w:rsid w:val="003F6E30"/>
    <w:rsid w:val="003F7CE8"/>
    <w:rsid w:val="004016B1"/>
    <w:rsid w:val="00405A83"/>
    <w:rsid w:val="00406600"/>
    <w:rsid w:val="00406BF5"/>
    <w:rsid w:val="00411011"/>
    <w:rsid w:val="004130F1"/>
    <w:rsid w:val="004132C4"/>
    <w:rsid w:val="00414E2A"/>
    <w:rsid w:val="00417A31"/>
    <w:rsid w:val="00420E60"/>
    <w:rsid w:val="004229CC"/>
    <w:rsid w:val="00431C40"/>
    <w:rsid w:val="00435AD6"/>
    <w:rsid w:val="00441805"/>
    <w:rsid w:val="0044192A"/>
    <w:rsid w:val="00443035"/>
    <w:rsid w:val="00443491"/>
    <w:rsid w:val="00447402"/>
    <w:rsid w:val="004479C6"/>
    <w:rsid w:val="004512DF"/>
    <w:rsid w:val="00453071"/>
    <w:rsid w:val="0045755D"/>
    <w:rsid w:val="004611B2"/>
    <w:rsid w:val="00462497"/>
    <w:rsid w:val="004655DA"/>
    <w:rsid w:val="004658AF"/>
    <w:rsid w:val="00465AC3"/>
    <w:rsid w:val="00465B44"/>
    <w:rsid w:val="00466996"/>
    <w:rsid w:val="004674E8"/>
    <w:rsid w:val="00472F88"/>
    <w:rsid w:val="0047719A"/>
    <w:rsid w:val="0048043C"/>
    <w:rsid w:val="00481565"/>
    <w:rsid w:val="00485218"/>
    <w:rsid w:val="00485C82"/>
    <w:rsid w:val="0048600B"/>
    <w:rsid w:val="004903FC"/>
    <w:rsid w:val="0049534F"/>
    <w:rsid w:val="00495CA0"/>
    <w:rsid w:val="0049664D"/>
    <w:rsid w:val="004A0747"/>
    <w:rsid w:val="004A1232"/>
    <w:rsid w:val="004B3DD4"/>
    <w:rsid w:val="004B3E56"/>
    <w:rsid w:val="004B4ECE"/>
    <w:rsid w:val="004B72C8"/>
    <w:rsid w:val="004B745C"/>
    <w:rsid w:val="004B747B"/>
    <w:rsid w:val="004C2072"/>
    <w:rsid w:val="004C220E"/>
    <w:rsid w:val="004C2D69"/>
    <w:rsid w:val="004C44EF"/>
    <w:rsid w:val="004C49E0"/>
    <w:rsid w:val="004C4F85"/>
    <w:rsid w:val="004C6570"/>
    <w:rsid w:val="004D0390"/>
    <w:rsid w:val="004D2DC9"/>
    <w:rsid w:val="004D3CA7"/>
    <w:rsid w:val="004D40BD"/>
    <w:rsid w:val="004D446D"/>
    <w:rsid w:val="004D6D0E"/>
    <w:rsid w:val="004E0AC9"/>
    <w:rsid w:val="004E1428"/>
    <w:rsid w:val="004E1969"/>
    <w:rsid w:val="004E1CE4"/>
    <w:rsid w:val="004E5CBB"/>
    <w:rsid w:val="004E774D"/>
    <w:rsid w:val="004F0869"/>
    <w:rsid w:val="004F0D57"/>
    <w:rsid w:val="004F78B9"/>
    <w:rsid w:val="00500200"/>
    <w:rsid w:val="0050071A"/>
    <w:rsid w:val="00500BF5"/>
    <w:rsid w:val="00501D54"/>
    <w:rsid w:val="005053F2"/>
    <w:rsid w:val="005072DC"/>
    <w:rsid w:val="00511366"/>
    <w:rsid w:val="00511AB6"/>
    <w:rsid w:val="00514EAC"/>
    <w:rsid w:val="0051636B"/>
    <w:rsid w:val="00521083"/>
    <w:rsid w:val="0052269D"/>
    <w:rsid w:val="005229C3"/>
    <w:rsid w:val="005231DF"/>
    <w:rsid w:val="005263EF"/>
    <w:rsid w:val="00527FE6"/>
    <w:rsid w:val="005358C9"/>
    <w:rsid w:val="00540686"/>
    <w:rsid w:val="005419BD"/>
    <w:rsid w:val="00541D33"/>
    <w:rsid w:val="00542266"/>
    <w:rsid w:val="00542CC0"/>
    <w:rsid w:val="005477A4"/>
    <w:rsid w:val="0055028F"/>
    <w:rsid w:val="00550A9B"/>
    <w:rsid w:val="00553B07"/>
    <w:rsid w:val="005542D6"/>
    <w:rsid w:val="0055738D"/>
    <w:rsid w:val="00560247"/>
    <w:rsid w:val="00561448"/>
    <w:rsid w:val="0056186D"/>
    <w:rsid w:val="00561DF9"/>
    <w:rsid w:val="00561F79"/>
    <w:rsid w:val="00563948"/>
    <w:rsid w:val="00563D5B"/>
    <w:rsid w:val="005711A1"/>
    <w:rsid w:val="0057150E"/>
    <w:rsid w:val="00572570"/>
    <w:rsid w:val="00574D23"/>
    <w:rsid w:val="00574E96"/>
    <w:rsid w:val="00576BFF"/>
    <w:rsid w:val="005810CB"/>
    <w:rsid w:val="005848DA"/>
    <w:rsid w:val="00586DDF"/>
    <w:rsid w:val="005876BD"/>
    <w:rsid w:val="005878E9"/>
    <w:rsid w:val="0059043E"/>
    <w:rsid w:val="00590A39"/>
    <w:rsid w:val="00593B39"/>
    <w:rsid w:val="005969B5"/>
    <w:rsid w:val="005970B6"/>
    <w:rsid w:val="005A0408"/>
    <w:rsid w:val="005A29B3"/>
    <w:rsid w:val="005A2B38"/>
    <w:rsid w:val="005A2F27"/>
    <w:rsid w:val="005A4BC4"/>
    <w:rsid w:val="005A7164"/>
    <w:rsid w:val="005B466D"/>
    <w:rsid w:val="005B4E93"/>
    <w:rsid w:val="005B5959"/>
    <w:rsid w:val="005B6680"/>
    <w:rsid w:val="005C17FD"/>
    <w:rsid w:val="005C2CB9"/>
    <w:rsid w:val="005C48E8"/>
    <w:rsid w:val="005C609D"/>
    <w:rsid w:val="005C60B7"/>
    <w:rsid w:val="005C621A"/>
    <w:rsid w:val="005D0604"/>
    <w:rsid w:val="005D1F14"/>
    <w:rsid w:val="005D1F64"/>
    <w:rsid w:val="005D2031"/>
    <w:rsid w:val="005D2437"/>
    <w:rsid w:val="005D2A92"/>
    <w:rsid w:val="005D3807"/>
    <w:rsid w:val="005D3825"/>
    <w:rsid w:val="005D55B4"/>
    <w:rsid w:val="005D7616"/>
    <w:rsid w:val="005E0CA8"/>
    <w:rsid w:val="005E1108"/>
    <w:rsid w:val="005E1360"/>
    <w:rsid w:val="005E3610"/>
    <w:rsid w:val="005E4A1F"/>
    <w:rsid w:val="005F0652"/>
    <w:rsid w:val="005F16E2"/>
    <w:rsid w:val="005F2BAB"/>
    <w:rsid w:val="005F38F9"/>
    <w:rsid w:val="005F4CEE"/>
    <w:rsid w:val="005F6F1A"/>
    <w:rsid w:val="005F753A"/>
    <w:rsid w:val="00602DAE"/>
    <w:rsid w:val="006043EE"/>
    <w:rsid w:val="00604BC4"/>
    <w:rsid w:val="00604FFC"/>
    <w:rsid w:val="00606297"/>
    <w:rsid w:val="006067B1"/>
    <w:rsid w:val="006072F6"/>
    <w:rsid w:val="0061308B"/>
    <w:rsid w:val="00614860"/>
    <w:rsid w:val="00614C4F"/>
    <w:rsid w:val="0061758E"/>
    <w:rsid w:val="00620317"/>
    <w:rsid w:val="00620754"/>
    <w:rsid w:val="006227A7"/>
    <w:rsid w:val="006261FA"/>
    <w:rsid w:val="006320C8"/>
    <w:rsid w:val="006325C5"/>
    <w:rsid w:val="00636EEB"/>
    <w:rsid w:val="00636FFC"/>
    <w:rsid w:val="006403E7"/>
    <w:rsid w:val="00640DC5"/>
    <w:rsid w:val="00642B56"/>
    <w:rsid w:val="00644D23"/>
    <w:rsid w:val="00645311"/>
    <w:rsid w:val="00646BBD"/>
    <w:rsid w:val="0065026A"/>
    <w:rsid w:val="00653CF8"/>
    <w:rsid w:val="00655396"/>
    <w:rsid w:val="006554C7"/>
    <w:rsid w:val="00663AF2"/>
    <w:rsid w:val="006678AD"/>
    <w:rsid w:val="00671BAD"/>
    <w:rsid w:val="00675887"/>
    <w:rsid w:val="00682882"/>
    <w:rsid w:val="00685B8E"/>
    <w:rsid w:val="006875F7"/>
    <w:rsid w:val="00687BFB"/>
    <w:rsid w:val="00690443"/>
    <w:rsid w:val="006907E6"/>
    <w:rsid w:val="006922DD"/>
    <w:rsid w:val="006951A0"/>
    <w:rsid w:val="006952AB"/>
    <w:rsid w:val="006A22D1"/>
    <w:rsid w:val="006A301F"/>
    <w:rsid w:val="006A6B08"/>
    <w:rsid w:val="006B1DB6"/>
    <w:rsid w:val="006B2A90"/>
    <w:rsid w:val="006B62AB"/>
    <w:rsid w:val="006B72BA"/>
    <w:rsid w:val="006B73BF"/>
    <w:rsid w:val="006C3F8C"/>
    <w:rsid w:val="006C56C8"/>
    <w:rsid w:val="006C5863"/>
    <w:rsid w:val="006C7255"/>
    <w:rsid w:val="006C732E"/>
    <w:rsid w:val="006D22CA"/>
    <w:rsid w:val="006D541A"/>
    <w:rsid w:val="006D7A1D"/>
    <w:rsid w:val="006E56CC"/>
    <w:rsid w:val="006E641D"/>
    <w:rsid w:val="006F0588"/>
    <w:rsid w:val="006F2AD8"/>
    <w:rsid w:val="006F425A"/>
    <w:rsid w:val="006F43C0"/>
    <w:rsid w:val="006F6AC0"/>
    <w:rsid w:val="006F76F0"/>
    <w:rsid w:val="0070055E"/>
    <w:rsid w:val="00704042"/>
    <w:rsid w:val="00705CE4"/>
    <w:rsid w:val="00706554"/>
    <w:rsid w:val="007108A1"/>
    <w:rsid w:val="007108B7"/>
    <w:rsid w:val="0071248E"/>
    <w:rsid w:val="00713172"/>
    <w:rsid w:val="00713D19"/>
    <w:rsid w:val="00713F0E"/>
    <w:rsid w:val="0071534E"/>
    <w:rsid w:val="0071545A"/>
    <w:rsid w:val="007205C9"/>
    <w:rsid w:val="00720763"/>
    <w:rsid w:val="00722643"/>
    <w:rsid w:val="00723F1C"/>
    <w:rsid w:val="00724574"/>
    <w:rsid w:val="00724B9A"/>
    <w:rsid w:val="00726840"/>
    <w:rsid w:val="00732235"/>
    <w:rsid w:val="007328FA"/>
    <w:rsid w:val="00732A75"/>
    <w:rsid w:val="007402E0"/>
    <w:rsid w:val="00741F85"/>
    <w:rsid w:val="00745B9E"/>
    <w:rsid w:val="00747357"/>
    <w:rsid w:val="00750C74"/>
    <w:rsid w:val="007513AB"/>
    <w:rsid w:val="00751650"/>
    <w:rsid w:val="0075513B"/>
    <w:rsid w:val="00755C9A"/>
    <w:rsid w:val="00756905"/>
    <w:rsid w:val="00757496"/>
    <w:rsid w:val="00757E9D"/>
    <w:rsid w:val="00760713"/>
    <w:rsid w:val="007633DF"/>
    <w:rsid w:val="0076369D"/>
    <w:rsid w:val="00764410"/>
    <w:rsid w:val="007654A0"/>
    <w:rsid w:val="00770C85"/>
    <w:rsid w:val="007718DC"/>
    <w:rsid w:val="00771DE8"/>
    <w:rsid w:val="00780737"/>
    <w:rsid w:val="00782B04"/>
    <w:rsid w:val="00782E13"/>
    <w:rsid w:val="007837D9"/>
    <w:rsid w:val="00784F77"/>
    <w:rsid w:val="0078683C"/>
    <w:rsid w:val="00787FDF"/>
    <w:rsid w:val="00790DD7"/>
    <w:rsid w:val="00792715"/>
    <w:rsid w:val="0079412A"/>
    <w:rsid w:val="00795C44"/>
    <w:rsid w:val="00796813"/>
    <w:rsid w:val="007A2149"/>
    <w:rsid w:val="007A25C2"/>
    <w:rsid w:val="007A2A30"/>
    <w:rsid w:val="007A2D79"/>
    <w:rsid w:val="007A331E"/>
    <w:rsid w:val="007A50E1"/>
    <w:rsid w:val="007B36BD"/>
    <w:rsid w:val="007B3A1F"/>
    <w:rsid w:val="007B498D"/>
    <w:rsid w:val="007B514A"/>
    <w:rsid w:val="007B58A4"/>
    <w:rsid w:val="007B6F9A"/>
    <w:rsid w:val="007B716B"/>
    <w:rsid w:val="007C1BB7"/>
    <w:rsid w:val="007C1BD7"/>
    <w:rsid w:val="007C7B83"/>
    <w:rsid w:val="007D05CA"/>
    <w:rsid w:val="007D33A8"/>
    <w:rsid w:val="007D344B"/>
    <w:rsid w:val="007D41A1"/>
    <w:rsid w:val="007D4ACD"/>
    <w:rsid w:val="007D6AA6"/>
    <w:rsid w:val="007D6DE9"/>
    <w:rsid w:val="007E0621"/>
    <w:rsid w:val="007E190F"/>
    <w:rsid w:val="007E34FE"/>
    <w:rsid w:val="007E3814"/>
    <w:rsid w:val="007F194A"/>
    <w:rsid w:val="007F4D60"/>
    <w:rsid w:val="007F6908"/>
    <w:rsid w:val="007F7458"/>
    <w:rsid w:val="0080156D"/>
    <w:rsid w:val="00803BAB"/>
    <w:rsid w:val="00805CED"/>
    <w:rsid w:val="0080625A"/>
    <w:rsid w:val="00806407"/>
    <w:rsid w:val="0080662E"/>
    <w:rsid w:val="00806DA8"/>
    <w:rsid w:val="00806E70"/>
    <w:rsid w:val="00811AC5"/>
    <w:rsid w:val="00812E99"/>
    <w:rsid w:val="00813070"/>
    <w:rsid w:val="00816859"/>
    <w:rsid w:val="008220E8"/>
    <w:rsid w:val="00822593"/>
    <w:rsid w:val="008244B4"/>
    <w:rsid w:val="00825D08"/>
    <w:rsid w:val="00826549"/>
    <w:rsid w:val="00826A77"/>
    <w:rsid w:val="008310CF"/>
    <w:rsid w:val="008314E5"/>
    <w:rsid w:val="00832D6A"/>
    <w:rsid w:val="00833EA8"/>
    <w:rsid w:val="00835BD0"/>
    <w:rsid w:val="008375E3"/>
    <w:rsid w:val="008401DE"/>
    <w:rsid w:val="00842F2F"/>
    <w:rsid w:val="00844509"/>
    <w:rsid w:val="00845106"/>
    <w:rsid w:val="008461FD"/>
    <w:rsid w:val="00846599"/>
    <w:rsid w:val="008521C5"/>
    <w:rsid w:val="008537B7"/>
    <w:rsid w:val="0085537F"/>
    <w:rsid w:val="00856634"/>
    <w:rsid w:val="0085723F"/>
    <w:rsid w:val="00860CE0"/>
    <w:rsid w:val="008671D1"/>
    <w:rsid w:val="0086739F"/>
    <w:rsid w:val="008701E7"/>
    <w:rsid w:val="00870C8B"/>
    <w:rsid w:val="00870D26"/>
    <w:rsid w:val="00870D88"/>
    <w:rsid w:val="008711AC"/>
    <w:rsid w:val="00871F85"/>
    <w:rsid w:val="008731B4"/>
    <w:rsid w:val="008734DC"/>
    <w:rsid w:val="00874627"/>
    <w:rsid w:val="008751D0"/>
    <w:rsid w:val="00881E86"/>
    <w:rsid w:val="008824D6"/>
    <w:rsid w:val="008825C0"/>
    <w:rsid w:val="00882BEF"/>
    <w:rsid w:val="00884B7A"/>
    <w:rsid w:val="008870B0"/>
    <w:rsid w:val="00895433"/>
    <w:rsid w:val="00895531"/>
    <w:rsid w:val="00897207"/>
    <w:rsid w:val="008A113F"/>
    <w:rsid w:val="008A32A7"/>
    <w:rsid w:val="008A3BEC"/>
    <w:rsid w:val="008A3F46"/>
    <w:rsid w:val="008A667F"/>
    <w:rsid w:val="008A7B2A"/>
    <w:rsid w:val="008B07BF"/>
    <w:rsid w:val="008B08A5"/>
    <w:rsid w:val="008B1A32"/>
    <w:rsid w:val="008B4887"/>
    <w:rsid w:val="008B6E21"/>
    <w:rsid w:val="008B73D8"/>
    <w:rsid w:val="008B786E"/>
    <w:rsid w:val="008C021C"/>
    <w:rsid w:val="008C08B3"/>
    <w:rsid w:val="008C3C24"/>
    <w:rsid w:val="008C47E0"/>
    <w:rsid w:val="008C4EC8"/>
    <w:rsid w:val="008C567C"/>
    <w:rsid w:val="008C6099"/>
    <w:rsid w:val="008C68AD"/>
    <w:rsid w:val="008C71D2"/>
    <w:rsid w:val="008D05F8"/>
    <w:rsid w:val="008D1D46"/>
    <w:rsid w:val="008D45FD"/>
    <w:rsid w:val="008D7057"/>
    <w:rsid w:val="008E0EDA"/>
    <w:rsid w:val="008E49B3"/>
    <w:rsid w:val="008F02E7"/>
    <w:rsid w:val="008F0F8E"/>
    <w:rsid w:val="008F2A4F"/>
    <w:rsid w:val="008F4E8C"/>
    <w:rsid w:val="00901A73"/>
    <w:rsid w:val="00901C17"/>
    <w:rsid w:val="00902343"/>
    <w:rsid w:val="009035B0"/>
    <w:rsid w:val="009063D0"/>
    <w:rsid w:val="00906A49"/>
    <w:rsid w:val="0091026A"/>
    <w:rsid w:val="0091275C"/>
    <w:rsid w:val="00913653"/>
    <w:rsid w:val="00915CE7"/>
    <w:rsid w:val="00916C75"/>
    <w:rsid w:val="00917353"/>
    <w:rsid w:val="0092026B"/>
    <w:rsid w:val="009269B9"/>
    <w:rsid w:val="00930238"/>
    <w:rsid w:val="00930255"/>
    <w:rsid w:val="009310D3"/>
    <w:rsid w:val="0093250F"/>
    <w:rsid w:val="00932CDF"/>
    <w:rsid w:val="00935EF1"/>
    <w:rsid w:val="00936A57"/>
    <w:rsid w:val="00943072"/>
    <w:rsid w:val="00943745"/>
    <w:rsid w:val="00945049"/>
    <w:rsid w:val="00945C41"/>
    <w:rsid w:val="0094606A"/>
    <w:rsid w:val="00946E2B"/>
    <w:rsid w:val="009502F4"/>
    <w:rsid w:val="0095341C"/>
    <w:rsid w:val="00955A87"/>
    <w:rsid w:val="0096275C"/>
    <w:rsid w:val="0096551C"/>
    <w:rsid w:val="009658D8"/>
    <w:rsid w:val="00965A10"/>
    <w:rsid w:val="00967F50"/>
    <w:rsid w:val="009752A0"/>
    <w:rsid w:val="00982E18"/>
    <w:rsid w:val="00987D43"/>
    <w:rsid w:val="009973C8"/>
    <w:rsid w:val="009A0206"/>
    <w:rsid w:val="009A145E"/>
    <w:rsid w:val="009A1F1B"/>
    <w:rsid w:val="009A2E68"/>
    <w:rsid w:val="009A34C2"/>
    <w:rsid w:val="009A35AC"/>
    <w:rsid w:val="009A6D74"/>
    <w:rsid w:val="009A6EAB"/>
    <w:rsid w:val="009B2131"/>
    <w:rsid w:val="009B2881"/>
    <w:rsid w:val="009B3AC7"/>
    <w:rsid w:val="009B50A5"/>
    <w:rsid w:val="009B6221"/>
    <w:rsid w:val="009B6A1D"/>
    <w:rsid w:val="009B7A4B"/>
    <w:rsid w:val="009B7E2C"/>
    <w:rsid w:val="009C11ED"/>
    <w:rsid w:val="009C3538"/>
    <w:rsid w:val="009C6EFD"/>
    <w:rsid w:val="009C7A87"/>
    <w:rsid w:val="009D3BE8"/>
    <w:rsid w:val="009D3E6B"/>
    <w:rsid w:val="009D4C7E"/>
    <w:rsid w:val="009D5E69"/>
    <w:rsid w:val="009E2954"/>
    <w:rsid w:val="009E49F3"/>
    <w:rsid w:val="009E59FA"/>
    <w:rsid w:val="009E689F"/>
    <w:rsid w:val="009F4DFD"/>
    <w:rsid w:val="009F61FF"/>
    <w:rsid w:val="009F76CE"/>
    <w:rsid w:val="009F7C0B"/>
    <w:rsid w:val="00A01D2B"/>
    <w:rsid w:val="00A02C57"/>
    <w:rsid w:val="00A03340"/>
    <w:rsid w:val="00A10526"/>
    <w:rsid w:val="00A11528"/>
    <w:rsid w:val="00A136C3"/>
    <w:rsid w:val="00A140BF"/>
    <w:rsid w:val="00A16BFB"/>
    <w:rsid w:val="00A20A81"/>
    <w:rsid w:val="00A2193B"/>
    <w:rsid w:val="00A250A1"/>
    <w:rsid w:val="00A3017F"/>
    <w:rsid w:val="00A302FD"/>
    <w:rsid w:val="00A30C8A"/>
    <w:rsid w:val="00A31BC3"/>
    <w:rsid w:val="00A33AC0"/>
    <w:rsid w:val="00A344E7"/>
    <w:rsid w:val="00A357BD"/>
    <w:rsid w:val="00A36717"/>
    <w:rsid w:val="00A37031"/>
    <w:rsid w:val="00A37FC7"/>
    <w:rsid w:val="00A40260"/>
    <w:rsid w:val="00A42F8A"/>
    <w:rsid w:val="00A4364A"/>
    <w:rsid w:val="00A43897"/>
    <w:rsid w:val="00A46CD2"/>
    <w:rsid w:val="00A47F55"/>
    <w:rsid w:val="00A5202E"/>
    <w:rsid w:val="00A53EC5"/>
    <w:rsid w:val="00A54E2C"/>
    <w:rsid w:val="00A555E9"/>
    <w:rsid w:val="00A5623D"/>
    <w:rsid w:val="00A573CF"/>
    <w:rsid w:val="00A57D2C"/>
    <w:rsid w:val="00A602FF"/>
    <w:rsid w:val="00A617F3"/>
    <w:rsid w:val="00A660CB"/>
    <w:rsid w:val="00A67FE2"/>
    <w:rsid w:val="00A70DA5"/>
    <w:rsid w:val="00A71798"/>
    <w:rsid w:val="00A720D1"/>
    <w:rsid w:val="00A73255"/>
    <w:rsid w:val="00A76699"/>
    <w:rsid w:val="00A779A7"/>
    <w:rsid w:val="00A8076D"/>
    <w:rsid w:val="00A8110E"/>
    <w:rsid w:val="00A824C8"/>
    <w:rsid w:val="00A84513"/>
    <w:rsid w:val="00A91DBE"/>
    <w:rsid w:val="00A944E3"/>
    <w:rsid w:val="00A969BD"/>
    <w:rsid w:val="00A97BF8"/>
    <w:rsid w:val="00AA19EB"/>
    <w:rsid w:val="00AA3557"/>
    <w:rsid w:val="00AA66A7"/>
    <w:rsid w:val="00AB019B"/>
    <w:rsid w:val="00AB2BD1"/>
    <w:rsid w:val="00AB3EFF"/>
    <w:rsid w:val="00AB495D"/>
    <w:rsid w:val="00AB5560"/>
    <w:rsid w:val="00AB6F25"/>
    <w:rsid w:val="00AC1AA3"/>
    <w:rsid w:val="00AC1C86"/>
    <w:rsid w:val="00AC2049"/>
    <w:rsid w:val="00AC5964"/>
    <w:rsid w:val="00AC70B5"/>
    <w:rsid w:val="00AD19B9"/>
    <w:rsid w:val="00AD2E50"/>
    <w:rsid w:val="00AD2FC0"/>
    <w:rsid w:val="00AD595B"/>
    <w:rsid w:val="00AE05F4"/>
    <w:rsid w:val="00AE1EA3"/>
    <w:rsid w:val="00AE4C53"/>
    <w:rsid w:val="00AE6616"/>
    <w:rsid w:val="00AF0715"/>
    <w:rsid w:val="00AF25CB"/>
    <w:rsid w:val="00AF3814"/>
    <w:rsid w:val="00AF7A62"/>
    <w:rsid w:val="00B00DFB"/>
    <w:rsid w:val="00B01094"/>
    <w:rsid w:val="00B01485"/>
    <w:rsid w:val="00B020CB"/>
    <w:rsid w:val="00B1026D"/>
    <w:rsid w:val="00B10336"/>
    <w:rsid w:val="00B1120C"/>
    <w:rsid w:val="00B147AE"/>
    <w:rsid w:val="00B21BEE"/>
    <w:rsid w:val="00B22D22"/>
    <w:rsid w:val="00B26024"/>
    <w:rsid w:val="00B26795"/>
    <w:rsid w:val="00B27567"/>
    <w:rsid w:val="00B309B7"/>
    <w:rsid w:val="00B31B41"/>
    <w:rsid w:val="00B338A7"/>
    <w:rsid w:val="00B33B9B"/>
    <w:rsid w:val="00B3797B"/>
    <w:rsid w:val="00B411DB"/>
    <w:rsid w:val="00B437EE"/>
    <w:rsid w:val="00B43AA1"/>
    <w:rsid w:val="00B451FA"/>
    <w:rsid w:val="00B4745D"/>
    <w:rsid w:val="00B52F59"/>
    <w:rsid w:val="00B53202"/>
    <w:rsid w:val="00B5370C"/>
    <w:rsid w:val="00B559F7"/>
    <w:rsid w:val="00B56CD9"/>
    <w:rsid w:val="00B610C4"/>
    <w:rsid w:val="00B63457"/>
    <w:rsid w:val="00B66702"/>
    <w:rsid w:val="00B6753B"/>
    <w:rsid w:val="00B702BD"/>
    <w:rsid w:val="00B70FFC"/>
    <w:rsid w:val="00B7456F"/>
    <w:rsid w:val="00B74884"/>
    <w:rsid w:val="00B74AD6"/>
    <w:rsid w:val="00B757EA"/>
    <w:rsid w:val="00B77575"/>
    <w:rsid w:val="00B800B2"/>
    <w:rsid w:val="00B8238D"/>
    <w:rsid w:val="00B82F46"/>
    <w:rsid w:val="00B83A0F"/>
    <w:rsid w:val="00B83EA8"/>
    <w:rsid w:val="00B84642"/>
    <w:rsid w:val="00B854E9"/>
    <w:rsid w:val="00B9015B"/>
    <w:rsid w:val="00B91C1A"/>
    <w:rsid w:val="00B95A31"/>
    <w:rsid w:val="00B975F2"/>
    <w:rsid w:val="00BA24D3"/>
    <w:rsid w:val="00BA3989"/>
    <w:rsid w:val="00BB0987"/>
    <w:rsid w:val="00BB1C38"/>
    <w:rsid w:val="00BB48D7"/>
    <w:rsid w:val="00BB7C42"/>
    <w:rsid w:val="00BB7E3D"/>
    <w:rsid w:val="00BC0F24"/>
    <w:rsid w:val="00BC2537"/>
    <w:rsid w:val="00BC2C27"/>
    <w:rsid w:val="00BC3724"/>
    <w:rsid w:val="00BC4CE6"/>
    <w:rsid w:val="00BC57D6"/>
    <w:rsid w:val="00BC7853"/>
    <w:rsid w:val="00BD0CB8"/>
    <w:rsid w:val="00BD20A4"/>
    <w:rsid w:val="00BD36DF"/>
    <w:rsid w:val="00BD43E0"/>
    <w:rsid w:val="00BE0FE1"/>
    <w:rsid w:val="00BE2F98"/>
    <w:rsid w:val="00BE3523"/>
    <w:rsid w:val="00BE4BE7"/>
    <w:rsid w:val="00BE4D62"/>
    <w:rsid w:val="00BF0767"/>
    <w:rsid w:val="00BF1162"/>
    <w:rsid w:val="00BF1C5A"/>
    <w:rsid w:val="00BF5C47"/>
    <w:rsid w:val="00BF7F49"/>
    <w:rsid w:val="00C01EC9"/>
    <w:rsid w:val="00C071AE"/>
    <w:rsid w:val="00C11223"/>
    <w:rsid w:val="00C11DF2"/>
    <w:rsid w:val="00C12097"/>
    <w:rsid w:val="00C13D3E"/>
    <w:rsid w:val="00C14696"/>
    <w:rsid w:val="00C15D47"/>
    <w:rsid w:val="00C22459"/>
    <w:rsid w:val="00C22702"/>
    <w:rsid w:val="00C24439"/>
    <w:rsid w:val="00C27787"/>
    <w:rsid w:val="00C27975"/>
    <w:rsid w:val="00C320F1"/>
    <w:rsid w:val="00C369CE"/>
    <w:rsid w:val="00C41D31"/>
    <w:rsid w:val="00C42313"/>
    <w:rsid w:val="00C42BB9"/>
    <w:rsid w:val="00C4466D"/>
    <w:rsid w:val="00C464C2"/>
    <w:rsid w:val="00C472FE"/>
    <w:rsid w:val="00C50E8E"/>
    <w:rsid w:val="00C52045"/>
    <w:rsid w:val="00C527C0"/>
    <w:rsid w:val="00C52A21"/>
    <w:rsid w:val="00C56535"/>
    <w:rsid w:val="00C5776E"/>
    <w:rsid w:val="00C57F3E"/>
    <w:rsid w:val="00C60262"/>
    <w:rsid w:val="00C60FB7"/>
    <w:rsid w:val="00C61DB2"/>
    <w:rsid w:val="00C61F62"/>
    <w:rsid w:val="00C64DF1"/>
    <w:rsid w:val="00C671AA"/>
    <w:rsid w:val="00C71168"/>
    <w:rsid w:val="00C72559"/>
    <w:rsid w:val="00C77B5D"/>
    <w:rsid w:val="00C77CC9"/>
    <w:rsid w:val="00C77E02"/>
    <w:rsid w:val="00C84D50"/>
    <w:rsid w:val="00C85E14"/>
    <w:rsid w:val="00C860A5"/>
    <w:rsid w:val="00C907AF"/>
    <w:rsid w:val="00C92608"/>
    <w:rsid w:val="00C928D7"/>
    <w:rsid w:val="00C95681"/>
    <w:rsid w:val="00C9595C"/>
    <w:rsid w:val="00C95DFB"/>
    <w:rsid w:val="00C964BE"/>
    <w:rsid w:val="00C970F7"/>
    <w:rsid w:val="00CA1575"/>
    <w:rsid w:val="00CA2484"/>
    <w:rsid w:val="00CA3168"/>
    <w:rsid w:val="00CA4F44"/>
    <w:rsid w:val="00CA523B"/>
    <w:rsid w:val="00CA6393"/>
    <w:rsid w:val="00CA754D"/>
    <w:rsid w:val="00CB015E"/>
    <w:rsid w:val="00CB11D0"/>
    <w:rsid w:val="00CB149B"/>
    <w:rsid w:val="00CB512D"/>
    <w:rsid w:val="00CB531C"/>
    <w:rsid w:val="00CB78E4"/>
    <w:rsid w:val="00CC27A8"/>
    <w:rsid w:val="00CC2E18"/>
    <w:rsid w:val="00CC2E64"/>
    <w:rsid w:val="00CC4C71"/>
    <w:rsid w:val="00CD579F"/>
    <w:rsid w:val="00CD7939"/>
    <w:rsid w:val="00CE26FD"/>
    <w:rsid w:val="00CE29D4"/>
    <w:rsid w:val="00CE2C89"/>
    <w:rsid w:val="00CE2F1A"/>
    <w:rsid w:val="00CE4044"/>
    <w:rsid w:val="00CE6047"/>
    <w:rsid w:val="00CE7D94"/>
    <w:rsid w:val="00D07BD2"/>
    <w:rsid w:val="00D10586"/>
    <w:rsid w:val="00D123F4"/>
    <w:rsid w:val="00D1582E"/>
    <w:rsid w:val="00D160D1"/>
    <w:rsid w:val="00D1623A"/>
    <w:rsid w:val="00D17A36"/>
    <w:rsid w:val="00D17EEE"/>
    <w:rsid w:val="00D247C2"/>
    <w:rsid w:val="00D2488D"/>
    <w:rsid w:val="00D26775"/>
    <w:rsid w:val="00D30A92"/>
    <w:rsid w:val="00D30C17"/>
    <w:rsid w:val="00D35DB5"/>
    <w:rsid w:val="00D44165"/>
    <w:rsid w:val="00D4670D"/>
    <w:rsid w:val="00D46936"/>
    <w:rsid w:val="00D4775E"/>
    <w:rsid w:val="00D5091E"/>
    <w:rsid w:val="00D50A49"/>
    <w:rsid w:val="00D52484"/>
    <w:rsid w:val="00D54E1C"/>
    <w:rsid w:val="00D56FE5"/>
    <w:rsid w:val="00D61E7B"/>
    <w:rsid w:val="00D62150"/>
    <w:rsid w:val="00D631D8"/>
    <w:rsid w:val="00D639AD"/>
    <w:rsid w:val="00D64C16"/>
    <w:rsid w:val="00D70D2D"/>
    <w:rsid w:val="00D70EA8"/>
    <w:rsid w:val="00D72BC4"/>
    <w:rsid w:val="00D73C5A"/>
    <w:rsid w:val="00D74B0C"/>
    <w:rsid w:val="00D74FA4"/>
    <w:rsid w:val="00D839FB"/>
    <w:rsid w:val="00D85889"/>
    <w:rsid w:val="00D861AD"/>
    <w:rsid w:val="00D906C9"/>
    <w:rsid w:val="00D909F5"/>
    <w:rsid w:val="00D9157C"/>
    <w:rsid w:val="00D94473"/>
    <w:rsid w:val="00D94F1B"/>
    <w:rsid w:val="00D97893"/>
    <w:rsid w:val="00D97F0D"/>
    <w:rsid w:val="00DA1593"/>
    <w:rsid w:val="00DA23E9"/>
    <w:rsid w:val="00DA3154"/>
    <w:rsid w:val="00DA6C93"/>
    <w:rsid w:val="00DA6DF1"/>
    <w:rsid w:val="00DB0C63"/>
    <w:rsid w:val="00DB149F"/>
    <w:rsid w:val="00DB1B42"/>
    <w:rsid w:val="00DB2B48"/>
    <w:rsid w:val="00DB4E21"/>
    <w:rsid w:val="00DB57B8"/>
    <w:rsid w:val="00DC063B"/>
    <w:rsid w:val="00DC1112"/>
    <w:rsid w:val="00DC1CD0"/>
    <w:rsid w:val="00DC5D77"/>
    <w:rsid w:val="00DD174C"/>
    <w:rsid w:val="00DD2284"/>
    <w:rsid w:val="00DD2386"/>
    <w:rsid w:val="00DD2B5F"/>
    <w:rsid w:val="00DD47C9"/>
    <w:rsid w:val="00DD5B47"/>
    <w:rsid w:val="00DD7401"/>
    <w:rsid w:val="00DE32D0"/>
    <w:rsid w:val="00DE39B1"/>
    <w:rsid w:val="00DE587E"/>
    <w:rsid w:val="00DE64D5"/>
    <w:rsid w:val="00DF3433"/>
    <w:rsid w:val="00DF5BE4"/>
    <w:rsid w:val="00E020A4"/>
    <w:rsid w:val="00E043BE"/>
    <w:rsid w:val="00E058AF"/>
    <w:rsid w:val="00E06246"/>
    <w:rsid w:val="00E07275"/>
    <w:rsid w:val="00E10175"/>
    <w:rsid w:val="00E105ED"/>
    <w:rsid w:val="00E11B8F"/>
    <w:rsid w:val="00E11F11"/>
    <w:rsid w:val="00E127DE"/>
    <w:rsid w:val="00E1295F"/>
    <w:rsid w:val="00E134AE"/>
    <w:rsid w:val="00E14248"/>
    <w:rsid w:val="00E14BF2"/>
    <w:rsid w:val="00E1547E"/>
    <w:rsid w:val="00E16C0E"/>
    <w:rsid w:val="00E25ABB"/>
    <w:rsid w:val="00E26FCE"/>
    <w:rsid w:val="00E30C75"/>
    <w:rsid w:val="00E310BC"/>
    <w:rsid w:val="00E34367"/>
    <w:rsid w:val="00E36348"/>
    <w:rsid w:val="00E404E8"/>
    <w:rsid w:val="00E40A93"/>
    <w:rsid w:val="00E40B01"/>
    <w:rsid w:val="00E40B42"/>
    <w:rsid w:val="00E42109"/>
    <w:rsid w:val="00E42E94"/>
    <w:rsid w:val="00E44564"/>
    <w:rsid w:val="00E5040C"/>
    <w:rsid w:val="00E50600"/>
    <w:rsid w:val="00E5326E"/>
    <w:rsid w:val="00E56F2A"/>
    <w:rsid w:val="00E61443"/>
    <w:rsid w:val="00E61983"/>
    <w:rsid w:val="00E63FC2"/>
    <w:rsid w:val="00E67D08"/>
    <w:rsid w:val="00E71BAA"/>
    <w:rsid w:val="00E72B9D"/>
    <w:rsid w:val="00E738D2"/>
    <w:rsid w:val="00E742FA"/>
    <w:rsid w:val="00E74D4F"/>
    <w:rsid w:val="00E76042"/>
    <w:rsid w:val="00E77B85"/>
    <w:rsid w:val="00E81A83"/>
    <w:rsid w:val="00E82CF3"/>
    <w:rsid w:val="00E83B5D"/>
    <w:rsid w:val="00E84B43"/>
    <w:rsid w:val="00E85142"/>
    <w:rsid w:val="00E8571C"/>
    <w:rsid w:val="00E874E1"/>
    <w:rsid w:val="00E9104D"/>
    <w:rsid w:val="00E919A1"/>
    <w:rsid w:val="00E93967"/>
    <w:rsid w:val="00EA09FF"/>
    <w:rsid w:val="00EA1578"/>
    <w:rsid w:val="00EA2856"/>
    <w:rsid w:val="00EA559B"/>
    <w:rsid w:val="00EA5AEB"/>
    <w:rsid w:val="00EA72BB"/>
    <w:rsid w:val="00EA7E1E"/>
    <w:rsid w:val="00EB3BCB"/>
    <w:rsid w:val="00EC103B"/>
    <w:rsid w:val="00EC184E"/>
    <w:rsid w:val="00EC1A41"/>
    <w:rsid w:val="00EC1D27"/>
    <w:rsid w:val="00EC4827"/>
    <w:rsid w:val="00EC58A3"/>
    <w:rsid w:val="00EC721C"/>
    <w:rsid w:val="00ED02AA"/>
    <w:rsid w:val="00ED09CA"/>
    <w:rsid w:val="00ED4D09"/>
    <w:rsid w:val="00EE4A7D"/>
    <w:rsid w:val="00EE5859"/>
    <w:rsid w:val="00EE5C07"/>
    <w:rsid w:val="00EF396B"/>
    <w:rsid w:val="00EF5D66"/>
    <w:rsid w:val="00F013AD"/>
    <w:rsid w:val="00F01CCE"/>
    <w:rsid w:val="00F0224D"/>
    <w:rsid w:val="00F059AD"/>
    <w:rsid w:val="00F100CE"/>
    <w:rsid w:val="00F1118E"/>
    <w:rsid w:val="00F1149F"/>
    <w:rsid w:val="00F13200"/>
    <w:rsid w:val="00F13495"/>
    <w:rsid w:val="00F14783"/>
    <w:rsid w:val="00F20040"/>
    <w:rsid w:val="00F2043C"/>
    <w:rsid w:val="00F21C50"/>
    <w:rsid w:val="00F221F9"/>
    <w:rsid w:val="00F22F47"/>
    <w:rsid w:val="00F2339E"/>
    <w:rsid w:val="00F266B3"/>
    <w:rsid w:val="00F26ACF"/>
    <w:rsid w:val="00F3382D"/>
    <w:rsid w:val="00F3729B"/>
    <w:rsid w:val="00F375AD"/>
    <w:rsid w:val="00F37614"/>
    <w:rsid w:val="00F41B74"/>
    <w:rsid w:val="00F44F9D"/>
    <w:rsid w:val="00F517D6"/>
    <w:rsid w:val="00F52101"/>
    <w:rsid w:val="00F5351F"/>
    <w:rsid w:val="00F53995"/>
    <w:rsid w:val="00F55D49"/>
    <w:rsid w:val="00F57572"/>
    <w:rsid w:val="00F578A9"/>
    <w:rsid w:val="00F578AA"/>
    <w:rsid w:val="00F60756"/>
    <w:rsid w:val="00F609F7"/>
    <w:rsid w:val="00F61E59"/>
    <w:rsid w:val="00F63BCC"/>
    <w:rsid w:val="00F65E3F"/>
    <w:rsid w:val="00F67239"/>
    <w:rsid w:val="00F70BA0"/>
    <w:rsid w:val="00F71BF0"/>
    <w:rsid w:val="00F728EC"/>
    <w:rsid w:val="00F74264"/>
    <w:rsid w:val="00F761C0"/>
    <w:rsid w:val="00F76F97"/>
    <w:rsid w:val="00F76FCC"/>
    <w:rsid w:val="00F7728F"/>
    <w:rsid w:val="00F77379"/>
    <w:rsid w:val="00F77593"/>
    <w:rsid w:val="00F825A1"/>
    <w:rsid w:val="00F844C5"/>
    <w:rsid w:val="00F8597E"/>
    <w:rsid w:val="00F924B2"/>
    <w:rsid w:val="00F9378C"/>
    <w:rsid w:val="00F964E4"/>
    <w:rsid w:val="00FA3BB1"/>
    <w:rsid w:val="00FA508F"/>
    <w:rsid w:val="00FB0184"/>
    <w:rsid w:val="00FB4564"/>
    <w:rsid w:val="00FB4BDF"/>
    <w:rsid w:val="00FB5BD6"/>
    <w:rsid w:val="00FB754D"/>
    <w:rsid w:val="00FC1191"/>
    <w:rsid w:val="00FC1498"/>
    <w:rsid w:val="00FC1789"/>
    <w:rsid w:val="00FC27F3"/>
    <w:rsid w:val="00FC6EA8"/>
    <w:rsid w:val="00FD182A"/>
    <w:rsid w:val="00FD1CBB"/>
    <w:rsid w:val="00FD52BD"/>
    <w:rsid w:val="00FD5745"/>
    <w:rsid w:val="00FD797B"/>
    <w:rsid w:val="00FE0B60"/>
    <w:rsid w:val="00FE3FAF"/>
    <w:rsid w:val="00FE67BA"/>
    <w:rsid w:val="00FF2526"/>
    <w:rsid w:val="00FF398F"/>
    <w:rsid w:val="00FF4B88"/>
    <w:rsid w:val="00FF54A5"/>
    <w:rsid w:val="00FF5D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qFormat/>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character" w:customStyle="1" w:styleId="B1Zchn">
    <w:name w:val="B1 Zchn"/>
    <w:qFormat/>
    <w:rsid w:val="00C577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6967377">
      <w:bodyDiv w:val="1"/>
      <w:marLeft w:val="0"/>
      <w:marRight w:val="0"/>
      <w:marTop w:val="0"/>
      <w:marBottom w:val="0"/>
      <w:divBdr>
        <w:top w:val="none" w:sz="0" w:space="0" w:color="auto"/>
        <w:left w:val="none" w:sz="0" w:space="0" w:color="auto"/>
        <w:bottom w:val="none" w:sz="0" w:space="0" w:color="auto"/>
        <w:right w:val="none" w:sz="0" w:space="0" w:color="auto"/>
      </w:divBdr>
      <w:divsChild>
        <w:div w:id="643001909">
          <w:marLeft w:val="274"/>
          <w:marRight w:val="0"/>
          <w:marTop w:val="100"/>
          <w:marBottom w:val="0"/>
          <w:divBdr>
            <w:top w:val="none" w:sz="0" w:space="0" w:color="auto"/>
            <w:left w:val="none" w:sz="0" w:space="0" w:color="auto"/>
            <w:bottom w:val="none" w:sz="0" w:space="0" w:color="auto"/>
            <w:right w:val="none" w:sz="0" w:space="0" w:color="auto"/>
          </w:divBdr>
        </w:div>
        <w:div w:id="903685948">
          <w:marLeft w:val="965"/>
          <w:marRight w:val="0"/>
          <w:marTop w:val="100"/>
          <w:marBottom w:val="0"/>
          <w:divBdr>
            <w:top w:val="none" w:sz="0" w:space="0" w:color="auto"/>
            <w:left w:val="none" w:sz="0" w:space="0" w:color="auto"/>
            <w:bottom w:val="none" w:sz="0" w:space="0" w:color="auto"/>
            <w:right w:val="none" w:sz="0" w:space="0" w:color="auto"/>
          </w:divBdr>
        </w:div>
        <w:div w:id="367726880">
          <w:marLeft w:val="965"/>
          <w:marRight w:val="0"/>
          <w:marTop w:val="100"/>
          <w:marBottom w:val="0"/>
          <w:divBdr>
            <w:top w:val="none" w:sz="0" w:space="0" w:color="auto"/>
            <w:left w:val="none" w:sz="0" w:space="0" w:color="auto"/>
            <w:bottom w:val="none" w:sz="0" w:space="0" w:color="auto"/>
            <w:right w:val="none" w:sz="0" w:space="0" w:color="auto"/>
          </w:divBdr>
        </w:div>
        <w:div w:id="733240519">
          <w:marLeft w:val="965"/>
          <w:marRight w:val="0"/>
          <w:marTop w:val="100"/>
          <w:marBottom w:val="0"/>
          <w:divBdr>
            <w:top w:val="none" w:sz="0" w:space="0" w:color="auto"/>
            <w:left w:val="none" w:sz="0" w:space="0" w:color="auto"/>
            <w:bottom w:val="none" w:sz="0" w:space="0" w:color="auto"/>
            <w:right w:val="none" w:sz="0" w:space="0" w:color="auto"/>
          </w:divBdr>
        </w:div>
        <w:div w:id="1302343260">
          <w:marLeft w:val="965"/>
          <w:marRight w:val="0"/>
          <w:marTop w:val="100"/>
          <w:marBottom w:val="0"/>
          <w:divBdr>
            <w:top w:val="none" w:sz="0" w:space="0" w:color="auto"/>
            <w:left w:val="none" w:sz="0" w:space="0" w:color="auto"/>
            <w:bottom w:val="none" w:sz="0" w:space="0" w:color="auto"/>
            <w:right w:val="none" w:sz="0" w:space="0" w:color="auto"/>
          </w:divBdr>
        </w:div>
        <w:div w:id="384835011">
          <w:marLeft w:val="965"/>
          <w:marRight w:val="0"/>
          <w:marTop w:val="100"/>
          <w:marBottom w:val="0"/>
          <w:divBdr>
            <w:top w:val="none" w:sz="0" w:space="0" w:color="auto"/>
            <w:left w:val="none" w:sz="0" w:space="0" w:color="auto"/>
            <w:bottom w:val="none" w:sz="0" w:space="0" w:color="auto"/>
            <w:right w:val="none" w:sz="0" w:space="0" w:color="auto"/>
          </w:divBdr>
        </w:div>
        <w:div w:id="1998682320">
          <w:marLeft w:val="965"/>
          <w:marRight w:val="0"/>
          <w:marTop w:val="100"/>
          <w:marBottom w:val="0"/>
          <w:divBdr>
            <w:top w:val="none" w:sz="0" w:space="0" w:color="auto"/>
            <w:left w:val="none" w:sz="0" w:space="0" w:color="auto"/>
            <w:bottom w:val="none" w:sz="0" w:space="0" w:color="auto"/>
            <w:right w:val="none" w:sz="0" w:space="0" w:color="auto"/>
          </w:divBdr>
        </w:div>
        <w:div w:id="1996764756">
          <w:marLeft w:val="274"/>
          <w:marRight w:val="0"/>
          <w:marTop w:val="100"/>
          <w:marBottom w:val="0"/>
          <w:divBdr>
            <w:top w:val="none" w:sz="0" w:space="0" w:color="auto"/>
            <w:left w:val="none" w:sz="0" w:space="0" w:color="auto"/>
            <w:bottom w:val="none" w:sz="0" w:space="0" w:color="auto"/>
            <w:right w:val="none" w:sz="0" w:space="0" w:color="auto"/>
          </w:divBdr>
        </w:div>
        <w:div w:id="862327472">
          <w:marLeft w:val="965"/>
          <w:marRight w:val="0"/>
          <w:marTop w:val="100"/>
          <w:marBottom w:val="0"/>
          <w:divBdr>
            <w:top w:val="none" w:sz="0" w:space="0" w:color="auto"/>
            <w:left w:val="none" w:sz="0" w:space="0" w:color="auto"/>
            <w:bottom w:val="none" w:sz="0" w:space="0" w:color="auto"/>
            <w:right w:val="none" w:sz="0" w:space="0" w:color="auto"/>
          </w:divBdr>
        </w:div>
        <w:div w:id="447621689">
          <w:marLeft w:val="965"/>
          <w:marRight w:val="0"/>
          <w:marTop w:val="100"/>
          <w:marBottom w:val="0"/>
          <w:divBdr>
            <w:top w:val="none" w:sz="0" w:space="0" w:color="auto"/>
            <w:left w:val="none" w:sz="0" w:space="0" w:color="auto"/>
            <w:bottom w:val="none" w:sz="0" w:space="0" w:color="auto"/>
            <w:right w:val="none" w:sz="0" w:space="0" w:color="auto"/>
          </w:divBdr>
        </w:div>
        <w:div w:id="228807764">
          <w:marLeft w:val="965"/>
          <w:marRight w:val="0"/>
          <w:marTop w:val="100"/>
          <w:marBottom w:val="0"/>
          <w:divBdr>
            <w:top w:val="none" w:sz="0" w:space="0" w:color="auto"/>
            <w:left w:val="none" w:sz="0" w:space="0" w:color="auto"/>
            <w:bottom w:val="none" w:sz="0" w:space="0" w:color="auto"/>
            <w:right w:val="none" w:sz="0" w:space="0" w:color="auto"/>
          </w:divBdr>
        </w:div>
        <w:div w:id="848103149">
          <w:marLeft w:val="965"/>
          <w:marRight w:val="0"/>
          <w:marTop w:val="100"/>
          <w:marBottom w:val="0"/>
          <w:divBdr>
            <w:top w:val="none" w:sz="0" w:space="0" w:color="auto"/>
            <w:left w:val="none" w:sz="0" w:space="0" w:color="auto"/>
            <w:bottom w:val="none" w:sz="0" w:space="0" w:color="auto"/>
            <w:right w:val="none" w:sz="0" w:space="0" w:color="auto"/>
          </w:divBdr>
        </w:div>
        <w:div w:id="519666290">
          <w:marLeft w:val="965"/>
          <w:marRight w:val="0"/>
          <w:marTop w:val="100"/>
          <w:marBottom w:val="0"/>
          <w:divBdr>
            <w:top w:val="none" w:sz="0" w:space="0" w:color="auto"/>
            <w:left w:val="none" w:sz="0" w:space="0" w:color="auto"/>
            <w:bottom w:val="none" w:sz="0" w:space="0" w:color="auto"/>
            <w:right w:val="none" w:sz="0" w:space="0" w:color="auto"/>
          </w:divBdr>
        </w:div>
        <w:div w:id="1320159184">
          <w:marLeft w:val="274"/>
          <w:marRight w:val="0"/>
          <w:marTop w:val="100"/>
          <w:marBottom w:val="0"/>
          <w:divBdr>
            <w:top w:val="none" w:sz="0" w:space="0" w:color="auto"/>
            <w:left w:val="none" w:sz="0" w:space="0" w:color="auto"/>
            <w:bottom w:val="none" w:sz="0" w:space="0" w:color="auto"/>
            <w:right w:val="none" w:sz="0" w:space="0" w:color="auto"/>
          </w:divBdr>
        </w:div>
        <w:div w:id="764810768">
          <w:marLeft w:val="965"/>
          <w:marRight w:val="0"/>
          <w:marTop w:val="100"/>
          <w:marBottom w:val="0"/>
          <w:divBdr>
            <w:top w:val="none" w:sz="0" w:space="0" w:color="auto"/>
            <w:left w:val="none" w:sz="0" w:space="0" w:color="auto"/>
            <w:bottom w:val="none" w:sz="0" w:space="0" w:color="auto"/>
            <w:right w:val="none" w:sz="0" w:space="0" w:color="auto"/>
          </w:divBdr>
        </w:div>
        <w:div w:id="92476896">
          <w:marLeft w:val="965"/>
          <w:marRight w:val="0"/>
          <w:marTop w:val="100"/>
          <w:marBottom w:val="0"/>
          <w:divBdr>
            <w:top w:val="none" w:sz="0" w:space="0" w:color="auto"/>
            <w:left w:val="none" w:sz="0" w:space="0" w:color="auto"/>
            <w:bottom w:val="none" w:sz="0" w:space="0" w:color="auto"/>
            <w:right w:val="none" w:sz="0" w:space="0" w:color="auto"/>
          </w:divBdr>
        </w:div>
        <w:div w:id="589117295">
          <w:marLeft w:val="965"/>
          <w:marRight w:val="0"/>
          <w:marTop w:val="100"/>
          <w:marBottom w:val="0"/>
          <w:divBdr>
            <w:top w:val="none" w:sz="0" w:space="0" w:color="auto"/>
            <w:left w:val="none" w:sz="0" w:space="0" w:color="auto"/>
            <w:bottom w:val="none" w:sz="0" w:space="0" w:color="auto"/>
            <w:right w:val="none" w:sz="0" w:space="0" w:color="auto"/>
          </w:divBdr>
        </w:div>
        <w:div w:id="369959702">
          <w:marLeft w:val="274"/>
          <w:marRight w:val="0"/>
          <w:marTop w:val="100"/>
          <w:marBottom w:val="0"/>
          <w:divBdr>
            <w:top w:val="none" w:sz="0" w:space="0" w:color="auto"/>
            <w:left w:val="none" w:sz="0" w:space="0" w:color="auto"/>
            <w:bottom w:val="none" w:sz="0" w:space="0" w:color="auto"/>
            <w:right w:val="none" w:sz="0" w:space="0" w:color="auto"/>
          </w:divBdr>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38608746">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611819916">
      <w:bodyDiv w:val="1"/>
      <w:marLeft w:val="0"/>
      <w:marRight w:val="0"/>
      <w:marTop w:val="0"/>
      <w:marBottom w:val="0"/>
      <w:divBdr>
        <w:top w:val="none" w:sz="0" w:space="0" w:color="auto"/>
        <w:left w:val="none" w:sz="0" w:space="0" w:color="auto"/>
        <w:bottom w:val="none" w:sz="0" w:space="0" w:color="auto"/>
        <w:right w:val="none" w:sz="0" w:space="0" w:color="auto"/>
      </w:divBdr>
      <w:divsChild>
        <w:div w:id="1477991094">
          <w:marLeft w:val="274"/>
          <w:marRight w:val="0"/>
          <w:marTop w:val="100"/>
          <w:marBottom w:val="0"/>
          <w:divBdr>
            <w:top w:val="none" w:sz="0" w:space="0" w:color="auto"/>
            <w:left w:val="none" w:sz="0" w:space="0" w:color="auto"/>
            <w:bottom w:val="none" w:sz="0" w:space="0" w:color="auto"/>
            <w:right w:val="none" w:sz="0" w:space="0" w:color="auto"/>
          </w:divBdr>
        </w:div>
        <w:div w:id="1998878857">
          <w:marLeft w:val="965"/>
          <w:marRight w:val="0"/>
          <w:marTop w:val="100"/>
          <w:marBottom w:val="0"/>
          <w:divBdr>
            <w:top w:val="none" w:sz="0" w:space="0" w:color="auto"/>
            <w:left w:val="none" w:sz="0" w:space="0" w:color="auto"/>
            <w:bottom w:val="none" w:sz="0" w:space="0" w:color="auto"/>
            <w:right w:val="none" w:sz="0" w:space="0" w:color="auto"/>
          </w:divBdr>
        </w:div>
        <w:div w:id="1370960678">
          <w:marLeft w:val="965"/>
          <w:marRight w:val="0"/>
          <w:marTop w:val="100"/>
          <w:marBottom w:val="0"/>
          <w:divBdr>
            <w:top w:val="none" w:sz="0" w:space="0" w:color="auto"/>
            <w:left w:val="none" w:sz="0" w:space="0" w:color="auto"/>
            <w:bottom w:val="none" w:sz="0" w:space="0" w:color="auto"/>
            <w:right w:val="none" w:sz="0" w:space="0" w:color="auto"/>
          </w:divBdr>
        </w:div>
        <w:div w:id="1418551418">
          <w:marLeft w:val="965"/>
          <w:marRight w:val="0"/>
          <w:marTop w:val="100"/>
          <w:marBottom w:val="0"/>
          <w:divBdr>
            <w:top w:val="none" w:sz="0" w:space="0" w:color="auto"/>
            <w:left w:val="none" w:sz="0" w:space="0" w:color="auto"/>
            <w:bottom w:val="none" w:sz="0" w:space="0" w:color="auto"/>
            <w:right w:val="none" w:sz="0" w:space="0" w:color="auto"/>
          </w:divBdr>
        </w:div>
        <w:div w:id="1732001673">
          <w:marLeft w:val="965"/>
          <w:marRight w:val="0"/>
          <w:marTop w:val="100"/>
          <w:marBottom w:val="0"/>
          <w:divBdr>
            <w:top w:val="none" w:sz="0" w:space="0" w:color="auto"/>
            <w:left w:val="none" w:sz="0" w:space="0" w:color="auto"/>
            <w:bottom w:val="none" w:sz="0" w:space="0" w:color="auto"/>
            <w:right w:val="none" w:sz="0" w:space="0" w:color="auto"/>
          </w:divBdr>
        </w:div>
        <w:div w:id="893780064">
          <w:marLeft w:val="965"/>
          <w:marRight w:val="0"/>
          <w:marTop w:val="100"/>
          <w:marBottom w:val="0"/>
          <w:divBdr>
            <w:top w:val="none" w:sz="0" w:space="0" w:color="auto"/>
            <w:left w:val="none" w:sz="0" w:space="0" w:color="auto"/>
            <w:bottom w:val="none" w:sz="0" w:space="0" w:color="auto"/>
            <w:right w:val="none" w:sz="0" w:space="0" w:color="auto"/>
          </w:divBdr>
        </w:div>
        <w:div w:id="570430824">
          <w:marLeft w:val="965"/>
          <w:marRight w:val="0"/>
          <w:marTop w:val="100"/>
          <w:marBottom w:val="0"/>
          <w:divBdr>
            <w:top w:val="none" w:sz="0" w:space="0" w:color="auto"/>
            <w:left w:val="none" w:sz="0" w:space="0" w:color="auto"/>
            <w:bottom w:val="none" w:sz="0" w:space="0" w:color="auto"/>
            <w:right w:val="none" w:sz="0" w:space="0" w:color="auto"/>
          </w:divBdr>
        </w:div>
        <w:div w:id="400561927">
          <w:marLeft w:val="274"/>
          <w:marRight w:val="0"/>
          <w:marTop w:val="100"/>
          <w:marBottom w:val="0"/>
          <w:divBdr>
            <w:top w:val="none" w:sz="0" w:space="0" w:color="auto"/>
            <w:left w:val="none" w:sz="0" w:space="0" w:color="auto"/>
            <w:bottom w:val="none" w:sz="0" w:space="0" w:color="auto"/>
            <w:right w:val="none" w:sz="0" w:space="0" w:color="auto"/>
          </w:divBdr>
        </w:div>
        <w:div w:id="54277766">
          <w:marLeft w:val="965"/>
          <w:marRight w:val="0"/>
          <w:marTop w:val="100"/>
          <w:marBottom w:val="0"/>
          <w:divBdr>
            <w:top w:val="none" w:sz="0" w:space="0" w:color="auto"/>
            <w:left w:val="none" w:sz="0" w:space="0" w:color="auto"/>
            <w:bottom w:val="none" w:sz="0" w:space="0" w:color="auto"/>
            <w:right w:val="none" w:sz="0" w:space="0" w:color="auto"/>
          </w:divBdr>
        </w:div>
        <w:div w:id="257368014">
          <w:marLeft w:val="965"/>
          <w:marRight w:val="0"/>
          <w:marTop w:val="100"/>
          <w:marBottom w:val="0"/>
          <w:divBdr>
            <w:top w:val="none" w:sz="0" w:space="0" w:color="auto"/>
            <w:left w:val="none" w:sz="0" w:space="0" w:color="auto"/>
            <w:bottom w:val="none" w:sz="0" w:space="0" w:color="auto"/>
            <w:right w:val="none" w:sz="0" w:space="0" w:color="auto"/>
          </w:divBdr>
        </w:div>
        <w:div w:id="1270505680">
          <w:marLeft w:val="965"/>
          <w:marRight w:val="0"/>
          <w:marTop w:val="100"/>
          <w:marBottom w:val="0"/>
          <w:divBdr>
            <w:top w:val="none" w:sz="0" w:space="0" w:color="auto"/>
            <w:left w:val="none" w:sz="0" w:space="0" w:color="auto"/>
            <w:bottom w:val="none" w:sz="0" w:space="0" w:color="auto"/>
            <w:right w:val="none" w:sz="0" w:space="0" w:color="auto"/>
          </w:divBdr>
        </w:div>
        <w:div w:id="649793943">
          <w:marLeft w:val="965"/>
          <w:marRight w:val="0"/>
          <w:marTop w:val="100"/>
          <w:marBottom w:val="0"/>
          <w:divBdr>
            <w:top w:val="none" w:sz="0" w:space="0" w:color="auto"/>
            <w:left w:val="none" w:sz="0" w:space="0" w:color="auto"/>
            <w:bottom w:val="none" w:sz="0" w:space="0" w:color="auto"/>
            <w:right w:val="none" w:sz="0" w:space="0" w:color="auto"/>
          </w:divBdr>
        </w:div>
        <w:div w:id="2108690949">
          <w:marLeft w:val="965"/>
          <w:marRight w:val="0"/>
          <w:marTop w:val="100"/>
          <w:marBottom w:val="0"/>
          <w:divBdr>
            <w:top w:val="none" w:sz="0" w:space="0" w:color="auto"/>
            <w:left w:val="none" w:sz="0" w:space="0" w:color="auto"/>
            <w:bottom w:val="none" w:sz="0" w:space="0" w:color="auto"/>
            <w:right w:val="none" w:sz="0" w:space="0" w:color="auto"/>
          </w:divBdr>
        </w:div>
        <w:div w:id="1662155161">
          <w:marLeft w:val="274"/>
          <w:marRight w:val="0"/>
          <w:marTop w:val="100"/>
          <w:marBottom w:val="0"/>
          <w:divBdr>
            <w:top w:val="none" w:sz="0" w:space="0" w:color="auto"/>
            <w:left w:val="none" w:sz="0" w:space="0" w:color="auto"/>
            <w:bottom w:val="none" w:sz="0" w:space="0" w:color="auto"/>
            <w:right w:val="none" w:sz="0" w:space="0" w:color="auto"/>
          </w:divBdr>
        </w:div>
        <w:div w:id="1386103197">
          <w:marLeft w:val="965"/>
          <w:marRight w:val="0"/>
          <w:marTop w:val="100"/>
          <w:marBottom w:val="0"/>
          <w:divBdr>
            <w:top w:val="none" w:sz="0" w:space="0" w:color="auto"/>
            <w:left w:val="none" w:sz="0" w:space="0" w:color="auto"/>
            <w:bottom w:val="none" w:sz="0" w:space="0" w:color="auto"/>
            <w:right w:val="none" w:sz="0" w:space="0" w:color="auto"/>
          </w:divBdr>
        </w:div>
        <w:div w:id="98454964">
          <w:marLeft w:val="965"/>
          <w:marRight w:val="0"/>
          <w:marTop w:val="100"/>
          <w:marBottom w:val="0"/>
          <w:divBdr>
            <w:top w:val="none" w:sz="0" w:space="0" w:color="auto"/>
            <w:left w:val="none" w:sz="0" w:space="0" w:color="auto"/>
            <w:bottom w:val="none" w:sz="0" w:space="0" w:color="auto"/>
            <w:right w:val="none" w:sz="0" w:space="0" w:color="auto"/>
          </w:divBdr>
        </w:div>
        <w:div w:id="1801721499">
          <w:marLeft w:val="965"/>
          <w:marRight w:val="0"/>
          <w:marTop w:val="100"/>
          <w:marBottom w:val="0"/>
          <w:divBdr>
            <w:top w:val="none" w:sz="0" w:space="0" w:color="auto"/>
            <w:left w:val="none" w:sz="0" w:space="0" w:color="auto"/>
            <w:bottom w:val="none" w:sz="0" w:space="0" w:color="auto"/>
            <w:right w:val="none" w:sz="0" w:space="0" w:color="auto"/>
          </w:divBdr>
        </w:div>
        <w:div w:id="489367037">
          <w:marLeft w:val="274"/>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69350495">
      <w:bodyDiv w:val="1"/>
      <w:marLeft w:val="0"/>
      <w:marRight w:val="0"/>
      <w:marTop w:val="0"/>
      <w:marBottom w:val="0"/>
      <w:divBdr>
        <w:top w:val="none" w:sz="0" w:space="0" w:color="auto"/>
        <w:left w:val="none" w:sz="0" w:space="0" w:color="auto"/>
        <w:bottom w:val="none" w:sz="0" w:space="0" w:color="auto"/>
        <w:right w:val="none" w:sz="0" w:space="0" w:color="auto"/>
      </w:divBdr>
      <w:divsChild>
        <w:div w:id="1917089166">
          <w:marLeft w:val="0"/>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5A942-3FF0-4466-8DF6-DC1762FD6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1443</Words>
  <Characters>8230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ANKIT BHAMRI</cp:lastModifiedBy>
  <cp:revision>16</cp:revision>
  <cp:lastPrinted>2019-01-22T03:27:00Z</cp:lastPrinted>
  <dcterms:created xsi:type="dcterms:W3CDTF">2022-01-11T07:47:00Z</dcterms:created>
  <dcterms:modified xsi:type="dcterms:W3CDTF">2022-01-11T08:08:00Z</dcterms:modified>
</cp:coreProperties>
</file>