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w:t>
      </w:r>
      <w:proofErr w:type="gramStart"/>
      <w:r w:rsidR="00871C93">
        <w:rPr>
          <w:rFonts w:eastAsia="宋体"/>
          <w:sz w:val="20"/>
          <w:szCs w:val="20"/>
          <w:lang w:val="en-GB"/>
        </w:rPr>
        <w:t>an</w:t>
      </w:r>
      <w:proofErr w:type="gramEnd"/>
      <w:r w:rsidR="00871C93">
        <w:rPr>
          <w:rFonts w:eastAsia="宋体"/>
          <w:sz w:val="20"/>
          <w:szCs w:val="20"/>
          <w:lang w:val="en-GB"/>
        </w:rPr>
        <w:t xml:space="preserve">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later on,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 xml:space="preserve">Note: If this field is present, </w:t>
            </w:r>
            <w:proofErr w:type="spellStart"/>
            <w:r w:rsidRPr="001C3A8D">
              <w:rPr>
                <w:rFonts w:ascii="Arial" w:eastAsia="Yu Gothic" w:hAnsi="Arial" w:cs="Arial"/>
                <w:color w:val="FF0000"/>
                <w:sz w:val="12"/>
                <w:szCs w:val="12"/>
                <w:lang w:eastAsia="ja-JP"/>
              </w:rPr>
              <w:t>repK</w:t>
            </w:r>
            <w:proofErr w:type="spellEnd"/>
            <w:r w:rsidRPr="001C3A8D">
              <w:rPr>
                <w:rFonts w:ascii="Arial" w:eastAsia="Yu Gothic"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af4"/>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w:t>
      </w:r>
      <w:r w:rsidR="0060243B">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w:t>
            </w:r>
            <w:r w:rsidR="0060243B" w:rsidRPr="00C123E4">
              <w:rPr>
                <w:color w:val="4F81BD" w:themeColor="accent1"/>
                <w:sz w:val="20"/>
                <w:szCs w:val="20"/>
                <w:lang w:eastAsia="ja-JP"/>
              </w:rPr>
              <w:t>b</w:t>
            </w:r>
            <w:r w:rsidRPr="00C123E4">
              <w:rPr>
                <w:color w:val="4F81BD" w:themeColor="accent1"/>
                <w:sz w:val="20"/>
                <w:szCs w:val="20"/>
                <w:lang w:eastAsia="ja-JP"/>
              </w:rPr>
              <w:t>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af8"/>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B341CC2"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w:t>
      </w:r>
      <w:r w:rsidR="00D74A21">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w:t>
            </w:r>
            <w:r w:rsidR="00D74A21" w:rsidRPr="004A1CBF">
              <w:rPr>
                <w:color w:val="4F81BD" w:themeColor="accent1"/>
                <w:sz w:val="20"/>
                <w:szCs w:val="20"/>
                <w:lang w:eastAsia="ja-JP"/>
              </w:rPr>
              <w:t>b</w:t>
            </w:r>
            <w:r w:rsidRPr="004A1CBF">
              <w:rPr>
                <w:color w:val="4F81BD" w:themeColor="accent1"/>
                <w:sz w:val="20"/>
                <w:szCs w:val="20"/>
                <w:lang w:eastAsia="ja-JP"/>
              </w:rPr>
              <w:t>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w:t>
            </w:r>
            <w:r w:rsidR="00D74A21" w:rsidRPr="002D433F">
              <w:rPr>
                <w:sz w:val="20"/>
                <w:szCs w:val="20"/>
                <w:lang w:eastAsia="ja-JP"/>
              </w:rPr>
              <w: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w:t>
            </w:r>
            <w:r w:rsidR="00D74A21" w:rsidRPr="002D433F">
              <w:rPr>
                <w:sz w:val="20"/>
                <w:szCs w:val="20"/>
                <w:lang w:eastAsia="ja-JP"/>
              </w:rPr>
              <w:t>b</w:t>
            </w:r>
            <w:r w:rsidRPr="002D433F">
              <w:rPr>
                <w:sz w:val="20"/>
                <w:szCs w:val="20"/>
                <w:lang w:eastAsia="ja-JP"/>
              </w:rPr>
              <w:t>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w:t>
            </w:r>
            <w:r w:rsidR="00D74A21">
              <w:rPr>
                <w:sz w:val="20"/>
                <w:szCs w:val="20"/>
                <w:lang w:eastAsia="ja-JP"/>
              </w:rPr>
              <w:t>b</w:t>
            </w:r>
            <w:r>
              <w:rPr>
                <w:sz w:val="20"/>
                <w:szCs w:val="20"/>
                <w:lang w:eastAsia="ja-JP"/>
              </w:rPr>
              <w:t>oMS</w:t>
            </w:r>
            <w:proofErr w:type="spellEnd"/>
            <w:r>
              <w:rPr>
                <w:sz w:val="20"/>
                <w:szCs w:val="20"/>
                <w:lang w:eastAsia="ja-JP"/>
              </w:rPr>
              <w:t xml:space="preserve">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t>
            </w:r>
            <w:proofErr w:type="spellStart"/>
            <w:r w:rsidRPr="0048283D">
              <w:rPr>
                <w:rFonts w:ascii="Arial" w:eastAsia="等线"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w:t>
      </w:r>
      <w:proofErr w:type="spellStart"/>
      <w:r w:rsidR="006F2042" w:rsidRPr="009107C0">
        <w:rPr>
          <w:rFonts w:eastAsia="等线"/>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w:t>
      </w:r>
      <w:proofErr w:type="spellStart"/>
      <w:r w:rsidR="00D07BB5" w:rsidRPr="009107C0">
        <w:rPr>
          <w:rFonts w:eastAsia="等线"/>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等线"/>
          <w:i/>
          <w:iCs/>
          <w:sz w:val="20"/>
          <w:szCs w:val="20"/>
        </w:rPr>
        <w:t>PUSCH-</w:t>
      </w:r>
      <w:proofErr w:type="spellStart"/>
      <w:r w:rsidR="00215CBF" w:rsidRPr="009107C0">
        <w:rPr>
          <w:rFonts w:eastAsia="等线"/>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w:t>
            </w:r>
            <w:r w:rsidR="00D74A21">
              <w:rPr>
                <w:bCs/>
                <w:sz w:val="20"/>
                <w:szCs w:val="20"/>
                <w:lang w:val="en-GB"/>
              </w:rPr>
              <w:t>b</w:t>
            </w:r>
            <w:r>
              <w:rPr>
                <w:bCs/>
                <w:sz w:val="20"/>
                <w:szCs w:val="20"/>
                <w:lang w:val="en-GB"/>
              </w:rPr>
              <w:t>oMS</w:t>
            </w:r>
            <w:proofErr w:type="spellEnd"/>
            <w:r>
              <w:rPr>
                <w:bCs/>
                <w:sz w:val="20"/>
                <w:szCs w:val="20"/>
                <w:lang w:val="en-GB"/>
              </w:rPr>
              <w:t xml:space="preserve"> is ongoing. </w:t>
            </w:r>
          </w:p>
          <w:tbl>
            <w:tblPr>
              <w:tblStyle w:val="af4"/>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宋体"/>
                      <w:color w:val="000000"/>
                      <w:sz w:val="20"/>
                      <w:szCs w:val="20"/>
                    </w:rPr>
                  </w:pPr>
                  <w:r w:rsidRPr="006325EE">
                    <w:rPr>
                      <w:rFonts w:eastAsia="宋体"/>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r>
              <w:rPr>
                <w:rFonts w:eastAsia="宋体"/>
                <w:b/>
                <w:sz w:val="20"/>
                <w:szCs w:val="20"/>
                <w:highlight w:val="yellow"/>
                <w:lang w:val="en-GB"/>
              </w:rPr>
              <w:t>-v2</w:t>
            </w:r>
            <w:r w:rsidRPr="00452DD2">
              <w:rPr>
                <w:rFonts w:eastAsia="宋体"/>
                <w:b/>
                <w:sz w:val="20"/>
                <w:szCs w:val="20"/>
                <w:highlight w:val="yellow"/>
                <w:lang w:val="en-GB"/>
              </w:rPr>
              <w:t>:</w:t>
            </w:r>
          </w:p>
          <w:p w14:paraId="350240FF" w14:textId="2427FEA8" w:rsidR="003777B3" w:rsidRPr="009107C0" w:rsidRDefault="003777B3" w:rsidP="003777B3">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af8"/>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 xml:space="preserve">the duration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Pr>
                <w:rFonts w:eastAsia="Yu Gothic"/>
                <w:iCs/>
                <w:sz w:val="20"/>
                <w:szCs w:val="20"/>
                <w:lang w:eastAsia="ja-JP"/>
              </w:rPr>
              <w:t xml:space="preserve"> transmission</w:t>
            </w:r>
            <w:r w:rsidRPr="004F7852">
              <w:rPr>
                <w:rFonts w:eastAsia="Yu Gothic"/>
                <w:iCs/>
                <w:sz w:val="20"/>
                <w:szCs w:val="20"/>
                <w:lang w:eastAsia="ja-JP"/>
              </w:rPr>
              <w:t xml:space="preserve"> (including repetition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sidRPr="004F7852">
              <w:rPr>
                <w:rFonts w:eastAsia="Yu Gothic"/>
                <w:iCs/>
                <w:sz w:val="20"/>
                <w:szCs w:val="20"/>
                <w:lang w:eastAsia="ja-JP"/>
              </w:rPr>
              <w:t>)</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w:t>
      </w:r>
      <w:proofErr w:type="spellStart"/>
      <w:r w:rsidR="000C6886" w:rsidRPr="009107C0">
        <w:rPr>
          <w:rFonts w:eastAsia="等线"/>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w:t>
            </w:r>
            <w:r w:rsidR="00D74A21">
              <w:rPr>
                <w:rFonts w:eastAsiaTheme="minorEastAsia"/>
                <w:bCs/>
                <w:sz w:val="20"/>
                <w:szCs w:val="20"/>
                <w:lang w:val="en-GB"/>
              </w:rPr>
              <w:t>b</w:t>
            </w:r>
            <w:r>
              <w:rPr>
                <w:rFonts w:eastAsiaTheme="minorEastAsia"/>
                <w:bCs/>
                <w:sz w:val="20"/>
                <w:szCs w:val="20"/>
                <w:lang w:val="en-GB"/>
              </w:rPr>
              <w:t>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MS Mincho"/>
                <w:bCs/>
                <w:sz w:val="20"/>
                <w:szCs w:val="20"/>
                <w:lang w:val="en-GB" w:eastAsia="ja-JP"/>
              </w:rPr>
              <w:t>T</w:t>
            </w:r>
            <w:r w:rsidR="00D74A21" w:rsidRPr="006567DD">
              <w:rPr>
                <w:rFonts w:eastAsia="MS Mincho"/>
                <w:bCs/>
                <w:sz w:val="20"/>
                <w:szCs w:val="20"/>
                <w:lang w:val="en-GB" w:eastAsia="ja-JP"/>
              </w:rPr>
              <w:t>b</w:t>
            </w:r>
            <w:r w:rsidRPr="006567DD">
              <w:rPr>
                <w:rFonts w:eastAsia="MS Mincho"/>
                <w:bCs/>
                <w:sz w:val="20"/>
                <w:szCs w:val="20"/>
                <w:lang w:val="en-GB" w:eastAsia="ja-JP"/>
              </w:rPr>
              <w:t>oMS</w:t>
            </w:r>
            <w:proofErr w:type="spellEnd"/>
            <w:r w:rsidRPr="006567DD">
              <w:rPr>
                <w:rFonts w:eastAsia="MS Mincho"/>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w:t>
      </w:r>
      <w:proofErr w:type="spellStart"/>
      <w:r w:rsidR="0038744D" w:rsidRPr="009107C0">
        <w:rPr>
          <w:rFonts w:eastAsia="等线"/>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w:t>
            </w:r>
            <w:proofErr w:type="spellStart"/>
            <w:r>
              <w:rPr>
                <w:rFonts w:ascii="Arial" w:eastAsia="等线"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 bundles PUSCH DM-RS remaining in a bundling window after event(s) that violate power consistency and phase continuity requirements</w:t>
            </w:r>
            <w:r>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等线" w:hAnsi="Arial" w:cs="Arial"/>
                <w:sz w:val="12"/>
                <w:szCs w:val="12"/>
              </w:rPr>
            </w:pPr>
            <w:r w:rsidRPr="00DB26E7">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等线" w:hAnsi="Arial" w:cs="Arial"/>
                <w:i/>
                <w:iCs/>
                <w:sz w:val="12"/>
                <w:szCs w:val="12"/>
              </w:rPr>
            </w:pPr>
            <w:r>
              <w:rPr>
                <w:rFonts w:ascii="Arial" w:eastAsia="等线" w:hAnsi="Arial" w:cs="Arial"/>
                <w:i/>
                <w:iCs/>
                <w:sz w:val="12"/>
                <w:szCs w:val="12"/>
              </w:rPr>
              <w:t>PUSCH-</w:t>
            </w:r>
            <w:proofErr w:type="spellStart"/>
            <w:r>
              <w:rPr>
                <w:rFonts w:ascii="Arial" w:eastAsia="等线"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等线" w:hAnsi="Arial" w:cs="Arial"/>
                <w:sz w:val="12"/>
                <w:szCs w:val="12"/>
              </w:rPr>
            </w:pPr>
            <w:r w:rsidRPr="00DB26E7">
              <w:rPr>
                <w:rFonts w:ascii="Arial" w:eastAsia="等线"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等线"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等线" w:hAnsi="Arial" w:cs="Arial"/>
                <w:sz w:val="12"/>
                <w:szCs w:val="12"/>
              </w:rPr>
            </w:pPr>
            <w:proofErr w:type="spellStart"/>
            <w:r>
              <w:rPr>
                <w:rFonts w:ascii="Arial" w:eastAsia="等线" w:hAnsi="Arial" w:cs="Arial"/>
                <w:sz w:val="12"/>
                <w:szCs w:val="12"/>
              </w:rPr>
              <w:t>NR_cov_enh</w:t>
            </w:r>
            <w:proofErr w:type="spellEnd"/>
            <w:r>
              <w:rPr>
                <w:rFonts w:ascii="Arial" w:eastAsia="等线"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等线" w:hAnsi="Arial" w:cs="Arial"/>
                <w:sz w:val="12"/>
                <w:szCs w:val="12"/>
              </w:rPr>
            </w:pPr>
            <w:r w:rsidRPr="00DB26E7">
              <w:rPr>
                <w:rFonts w:ascii="Arial" w:eastAsia="等线" w:hAnsi="Arial" w:cs="Arial"/>
                <w:strike/>
                <w:color w:val="FF0000"/>
                <w:sz w:val="12"/>
                <w:szCs w:val="12"/>
              </w:rPr>
              <w:t>[</w:t>
            </w:r>
            <w:r w:rsidRPr="00DB26E7">
              <w:rPr>
                <w:rFonts w:ascii="Arial" w:eastAsia="等线"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等线" w:hAnsi="Arial" w:cs="Arial"/>
                <w:sz w:val="12"/>
                <w:szCs w:val="12"/>
              </w:rPr>
              <w:t xml:space="preserve"> window after event(s) that violate power </w:t>
            </w:r>
            <w:r w:rsidRPr="00DB26E7">
              <w:rPr>
                <w:rFonts w:ascii="Arial" w:eastAsia="等线" w:hAnsi="Arial" w:cs="Arial"/>
                <w:sz w:val="12"/>
                <w:szCs w:val="12"/>
              </w:rPr>
              <w:lastRenderedPageBreak/>
              <w:t>consistency and phase continuity requirements</w:t>
            </w:r>
            <w:r w:rsidRPr="00DB26E7">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等线"/>
          <w:i/>
          <w:iCs/>
          <w:sz w:val="20"/>
          <w:szCs w:val="20"/>
        </w:rPr>
        <w:t>PUSCH-</w:t>
      </w:r>
      <w:proofErr w:type="spellStart"/>
      <w:r>
        <w:rPr>
          <w:rFonts w:eastAsia="等线"/>
          <w:i/>
          <w:iCs/>
          <w:sz w:val="20"/>
          <w:szCs w:val="20"/>
        </w:rPr>
        <w:t>TimeDomainWindowLength</w:t>
      </w:r>
      <w:proofErr w:type="spellEnd"/>
      <w:r>
        <w:rPr>
          <w:rFonts w:eastAsia="等线"/>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等线"/>
          <w:iCs/>
          <w:sz w:val="20"/>
          <w:szCs w:val="20"/>
        </w:rPr>
        <w:t>, proposal 2 is updated as follows, which also incorporates PUSCH repetition type B</w:t>
      </w:r>
      <w:r>
        <w:rPr>
          <w:rFonts w:eastAsia="等线"/>
          <w:i/>
          <w:iCs/>
          <w:sz w:val="20"/>
          <w:szCs w:val="20"/>
        </w:rPr>
        <w:t>.</w:t>
      </w:r>
    </w:p>
    <w:p w14:paraId="63E35007" w14:textId="77777777" w:rsidR="00A068BB" w:rsidRDefault="00A068BB" w:rsidP="00A068BB">
      <w:pPr>
        <w:rPr>
          <w:rFonts w:eastAsia="宋体"/>
          <w:b/>
          <w:sz w:val="20"/>
          <w:szCs w:val="20"/>
          <w:highlight w:val="yellow"/>
          <w:lang w:val="en-GB"/>
        </w:rPr>
      </w:pPr>
      <w:r>
        <w:rPr>
          <w:rFonts w:eastAsia="宋体"/>
          <w:b/>
          <w:sz w:val="20"/>
          <w:szCs w:val="20"/>
          <w:highlight w:val="yellow"/>
          <w:lang w:val="en-GB"/>
        </w:rPr>
        <w:t>Proposal 2-v3:</w:t>
      </w:r>
    </w:p>
    <w:p w14:paraId="22821627"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D74A21">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宋体"/>
                <w:b/>
                <w:sz w:val="20"/>
                <w:szCs w:val="20"/>
                <w:highlight w:val="yellow"/>
                <w:lang w:val="en-GB"/>
              </w:rPr>
            </w:pPr>
            <w:r>
              <w:rPr>
                <w:rFonts w:eastAsia="宋体"/>
                <w:b/>
                <w:sz w:val="20"/>
                <w:szCs w:val="20"/>
                <w:highlight w:val="yellow"/>
                <w:lang w:val="en-GB"/>
              </w:rPr>
              <w:lastRenderedPageBreak/>
              <w:t>Proposal 2-v3:</w:t>
            </w:r>
          </w:p>
          <w:p w14:paraId="35315B4C" w14:textId="7EEE64F6" w:rsidR="00DA0000" w:rsidRDefault="00DA0000" w:rsidP="00DA0000">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宋体"/>
                <w:b/>
                <w:sz w:val="20"/>
                <w:szCs w:val="20"/>
                <w:highlight w:val="yellow"/>
                <w:lang w:val="en-GB"/>
              </w:rPr>
            </w:pPr>
            <w:r>
              <w:rPr>
                <w:rFonts w:eastAsia="宋体"/>
                <w:b/>
                <w:sz w:val="20"/>
                <w:szCs w:val="20"/>
                <w:highlight w:val="yellow"/>
                <w:lang w:val="en-GB"/>
              </w:rPr>
              <w:t>Proposal 2-v4</w:t>
            </w:r>
            <w:r w:rsidR="008F7766">
              <w:rPr>
                <w:rFonts w:eastAsia="宋体"/>
                <w:b/>
                <w:sz w:val="20"/>
                <w:szCs w:val="20"/>
                <w:highlight w:val="yellow"/>
                <w:lang w:val="en-GB"/>
              </w:rPr>
              <w:t>:</w:t>
            </w:r>
          </w:p>
          <w:p w14:paraId="48B0FC34" w14:textId="1A2FDFA3" w:rsidR="008F7766" w:rsidRDefault="008F7766" w:rsidP="008F7766">
            <w:pPr>
              <w:pStyle w:val="af8"/>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等线"/>
                <w:i/>
                <w:iCs/>
                <w:sz w:val="20"/>
                <w:szCs w:val="20"/>
              </w:rPr>
              <w:t>PUSCH-</w:t>
            </w:r>
            <w:proofErr w:type="spellStart"/>
            <w:r>
              <w:rPr>
                <w:rFonts w:eastAsia="等线"/>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w:t>
            </w:r>
            <w:proofErr w:type="spellStart"/>
            <w:r>
              <w:rPr>
                <w:rFonts w:eastAsia="等线"/>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639B5364" w14:textId="4E4E3B74" w:rsidR="008F7766" w:rsidRPr="00C0536A" w:rsidRDefault="008F7766" w:rsidP="00CB42E1">
            <w:pPr>
              <w:pStyle w:val="af8"/>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等线"/>
                <w:i/>
                <w:iCs/>
                <w:strike/>
                <w:sz w:val="20"/>
                <w:szCs w:val="20"/>
              </w:rPr>
              <w:t>PUSCH-</w:t>
            </w:r>
            <w:proofErr w:type="spellStart"/>
            <w:r w:rsidRPr="008F7766">
              <w:rPr>
                <w:rFonts w:eastAsia="等线"/>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等线"/>
                <w:i/>
                <w:iCs/>
                <w:strike/>
                <w:sz w:val="20"/>
                <w:szCs w:val="20"/>
              </w:rPr>
              <w:t>PUSCH-</w:t>
            </w:r>
            <w:proofErr w:type="spellStart"/>
            <w:r w:rsidRPr="008F7766">
              <w:rPr>
                <w:rFonts w:eastAsia="等线"/>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E25AC5"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E25AC5"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E25AC5"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lastRenderedPageBreak/>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8"/>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68D9B80C" w14:textId="77777777" w:rsidR="007B3B57" w:rsidRDefault="007B3B57" w:rsidP="002D433F">
            <w:pPr>
              <w:spacing w:after="0"/>
              <w:rPr>
                <w:color w:val="00B0F0"/>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p w14:paraId="54E01203" w14:textId="03769821" w:rsidR="00151A16" w:rsidRPr="007B3B57" w:rsidRDefault="00151A16" w:rsidP="002D433F">
            <w:pPr>
              <w:spacing w:after="0"/>
              <w:rPr>
                <w:sz w:val="20"/>
                <w:szCs w:val="20"/>
              </w:rPr>
            </w:pPr>
            <w:r>
              <w:rPr>
                <w:sz w:val="20"/>
                <w:szCs w:val="20"/>
              </w:rPr>
              <w:lastRenderedPageBreak/>
              <w:t xml:space="preserve">@FL, our preference is to include the value of 1 in value range for </w:t>
            </w:r>
            <w:r w:rsidRPr="00412C4A">
              <w:rPr>
                <w:b/>
                <w:szCs w:val="20"/>
              </w:rPr>
              <w:t>PUCCH-nrofSlots-r17</w:t>
            </w:r>
            <w:r>
              <w:rPr>
                <w:b/>
                <w:szCs w:val="20"/>
              </w:rPr>
              <w:t xml:space="preserve"> </w:t>
            </w:r>
            <w:r w:rsidRPr="00BB5187">
              <w:rPr>
                <w:sz w:val="20"/>
                <w:szCs w:val="20"/>
              </w:rPr>
              <w:t>r</w:t>
            </w:r>
            <w:r>
              <w:rPr>
                <w:sz w:val="20"/>
                <w:szCs w:val="20"/>
              </w:rPr>
              <w:t>ather than adding the note. If there is no technical concern on adding the value of 1 then what do we preclude and instead add a note.</w:t>
            </w:r>
            <w:bookmarkStart w:id="11" w:name="_GoBack"/>
            <w:bookmarkEnd w:id="11"/>
          </w:p>
        </w:tc>
      </w:tr>
    </w:tbl>
    <w:p w14:paraId="269E46A0" w14:textId="0D3355C1"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8"/>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4"/>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lastRenderedPageBreak/>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3E92C4D2" w:rsidR="00FC4F76" w:rsidRDefault="007B3B57" w:rsidP="00D17FDD">
      <w:pPr>
        <w:rPr>
          <w:b/>
          <w:bCs/>
          <w:sz w:val="20"/>
          <w:szCs w:val="20"/>
        </w:rPr>
      </w:pPr>
      <w:r>
        <w:rPr>
          <w:b/>
          <w:bCs/>
          <w:sz w:val="20"/>
          <w:szCs w:val="20"/>
          <w:highlight w:val="magenta"/>
        </w:rPr>
        <w:t xml:space="preserve">Stable </w:t>
      </w:r>
      <w:r w:rsidR="00FC4F76" w:rsidRPr="00FC4F76">
        <w:rPr>
          <w:b/>
          <w:bCs/>
          <w:sz w:val="20"/>
          <w:szCs w:val="20"/>
          <w:highlight w:val="magenta"/>
        </w:rPr>
        <w:t>FL proposal 2a</w:t>
      </w:r>
      <w:r>
        <w:rPr>
          <w:b/>
          <w:bCs/>
          <w:sz w:val="20"/>
          <w:szCs w:val="20"/>
          <w:highlight w:val="magenta"/>
        </w:rPr>
        <w:t xml:space="preserve"> for email approval</w:t>
      </w:r>
      <w:r w:rsidR="00FC4F76" w:rsidRPr="00FC4F76">
        <w:rPr>
          <w:b/>
          <w:bCs/>
          <w:sz w:val="20"/>
          <w:szCs w:val="20"/>
          <w:highlight w:val="magenta"/>
        </w:rPr>
        <w:t xml:space="preserve">: </w:t>
      </w:r>
    </w:p>
    <w:p w14:paraId="377D00D6" w14:textId="682EB397" w:rsidR="00FC4F76" w:rsidRPr="00FC4F76" w:rsidRDefault="00FC4F76" w:rsidP="00FC4F76">
      <w:pPr>
        <w:pStyle w:val="af8"/>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af8"/>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2" w:name="_Hlk87986920"/>
    </w:p>
    <w:p w14:paraId="59B2E0DE" w14:textId="3E699770" w:rsidR="00FC4F76" w:rsidRPr="00FC4F76" w:rsidRDefault="00FC4F76" w:rsidP="00FC4F76">
      <w:pPr>
        <w:pStyle w:val="a8"/>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af4"/>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lastRenderedPageBreak/>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@all,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t xml:space="preserve">@all,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r w:rsidR="00996337" w:rsidRPr="004E571B" w14:paraId="3F3E0CBC" w14:textId="77777777" w:rsidTr="00BC2B31">
        <w:tc>
          <w:tcPr>
            <w:tcW w:w="2298" w:type="dxa"/>
          </w:tcPr>
          <w:p w14:paraId="109CCD08" w14:textId="0450A3EB" w:rsidR="00996337" w:rsidRPr="00996337" w:rsidRDefault="00996337" w:rsidP="00BC2B31">
            <w:pPr>
              <w:spacing w:after="0"/>
              <w:rPr>
                <w:bCs/>
                <w:sz w:val="20"/>
                <w:szCs w:val="20"/>
              </w:rPr>
            </w:pPr>
            <w:r>
              <w:rPr>
                <w:bCs/>
                <w:sz w:val="20"/>
                <w:szCs w:val="20"/>
              </w:rPr>
              <w:t>Sharp</w:t>
            </w:r>
          </w:p>
        </w:tc>
        <w:tc>
          <w:tcPr>
            <w:tcW w:w="7438" w:type="dxa"/>
          </w:tcPr>
          <w:p w14:paraId="6E265F72" w14:textId="59537221" w:rsidR="00996337" w:rsidRDefault="00996337" w:rsidP="007960BD">
            <w:pPr>
              <w:spacing w:after="0"/>
              <w:rPr>
                <w:rFonts w:eastAsia="MS Mincho"/>
                <w:bCs/>
                <w:sz w:val="20"/>
                <w:szCs w:val="20"/>
                <w:lang w:eastAsia="ja-JP"/>
              </w:rPr>
            </w:pPr>
            <w:r>
              <w:rPr>
                <w:rFonts w:eastAsia="MS Mincho" w:hint="eastAsia"/>
                <w:bCs/>
                <w:sz w:val="20"/>
                <w:szCs w:val="20"/>
                <w:lang w:eastAsia="ja-JP"/>
              </w:rPr>
              <w:t>W</w:t>
            </w:r>
            <w:r>
              <w:rPr>
                <w:rFonts w:eastAsia="MS Mincho"/>
                <w:bCs/>
                <w:sz w:val="20"/>
                <w:szCs w:val="20"/>
                <w:lang w:eastAsia="ja-JP"/>
              </w:rPr>
              <w:t xml:space="preserve">e share the views from Intel that per-PUCCH resource/format would lead to dynamic change of DMRS bundling for PUCCH, which is not in line with </w:t>
            </w:r>
            <w:r w:rsidR="005C50B3">
              <w:rPr>
                <w:rFonts w:eastAsia="MS Mincho"/>
                <w:bCs/>
                <w:sz w:val="20"/>
                <w:szCs w:val="20"/>
                <w:lang w:eastAsia="ja-JP"/>
              </w:rPr>
              <w:t xml:space="preserve">the intention of </w:t>
            </w:r>
            <w:r w:rsidR="005C50B3">
              <w:rPr>
                <w:rFonts w:eastAsia="MS Mincho" w:hint="eastAsia"/>
                <w:bCs/>
                <w:sz w:val="20"/>
                <w:szCs w:val="20"/>
                <w:lang w:eastAsia="ja-JP"/>
              </w:rPr>
              <w:t>the</w:t>
            </w:r>
            <w:r w:rsidR="005C50B3">
              <w:rPr>
                <w:rFonts w:eastAsia="MS Mincho"/>
                <w:bCs/>
                <w:sz w:val="20"/>
                <w:szCs w:val="20"/>
                <w:lang w:eastAsia="ja-JP"/>
              </w:rPr>
              <w:t xml:space="preserve"> following </w:t>
            </w:r>
            <w:r w:rsidR="005C50B3">
              <w:rPr>
                <w:rFonts w:eastAsia="MS Mincho" w:hint="eastAsia"/>
                <w:bCs/>
                <w:sz w:val="20"/>
                <w:szCs w:val="20"/>
                <w:lang w:eastAsia="ja-JP"/>
              </w:rPr>
              <w:t>agree</w:t>
            </w:r>
            <w:r w:rsidR="005C50B3">
              <w:rPr>
                <w:rFonts w:eastAsia="MS Mincho"/>
                <w:bCs/>
                <w:sz w:val="20"/>
                <w:szCs w:val="20"/>
                <w:lang w:eastAsia="ja-JP"/>
              </w:rPr>
              <w:t>ment from RAN1#106-e</w:t>
            </w:r>
            <w:r>
              <w:rPr>
                <w:rFonts w:eastAsia="MS Mincho"/>
                <w:bCs/>
                <w:sz w:val="20"/>
                <w:szCs w:val="20"/>
                <w:lang w:eastAsia="ja-JP"/>
              </w:rPr>
              <w:t>.</w:t>
            </w:r>
          </w:p>
          <w:tbl>
            <w:tblPr>
              <w:tblStyle w:val="af4"/>
              <w:tblW w:w="0" w:type="auto"/>
              <w:tblLook w:val="04A0" w:firstRow="1" w:lastRow="0" w:firstColumn="1" w:lastColumn="0" w:noHBand="0" w:noVBand="1"/>
            </w:tblPr>
            <w:tblGrid>
              <w:gridCol w:w="7212"/>
            </w:tblGrid>
            <w:tr w:rsidR="005C50B3" w14:paraId="0A11A018" w14:textId="77777777" w:rsidTr="005C50B3">
              <w:tc>
                <w:tcPr>
                  <w:tcW w:w="7212" w:type="dxa"/>
                </w:tcPr>
                <w:p w14:paraId="61377688" w14:textId="77777777" w:rsidR="005C50B3" w:rsidRPr="005C50B3" w:rsidRDefault="005C50B3" w:rsidP="005C50B3">
                  <w:pPr>
                    <w:rPr>
                      <w:b/>
                      <w:bCs/>
                      <w:sz w:val="20"/>
                      <w:szCs w:val="20"/>
                      <w:highlight w:val="green"/>
                    </w:rPr>
                  </w:pPr>
                  <w:r w:rsidRPr="005C50B3">
                    <w:rPr>
                      <w:b/>
                      <w:bCs/>
                      <w:sz w:val="20"/>
                      <w:szCs w:val="20"/>
                      <w:highlight w:val="green"/>
                    </w:rPr>
                    <w:t xml:space="preserve">Agreement </w:t>
                  </w:r>
                </w:p>
                <w:p w14:paraId="4A6E71D4" w14:textId="27CB39FE" w:rsidR="005C50B3" w:rsidRDefault="005C50B3" w:rsidP="005C50B3">
                  <w:pPr>
                    <w:rPr>
                      <w:b/>
                      <w:bCs/>
                    </w:rPr>
                  </w:pPr>
                  <w:r w:rsidRPr="005C50B3">
                    <w:rPr>
                      <w:b/>
                      <w:bCs/>
                      <w:sz w:val="20"/>
                      <w:szCs w:val="20"/>
                    </w:rPr>
                    <w:t>Dynamic signaling to enable/disable DMRS bundling for PUCCH or PUSCH repetitions is not supported in Rel-17.</w:t>
                  </w:r>
                </w:p>
              </w:tc>
            </w:tr>
          </w:tbl>
          <w:p w14:paraId="6A725544" w14:textId="064BE938" w:rsidR="005C50B3" w:rsidRPr="005C50B3" w:rsidRDefault="005C50B3" w:rsidP="005C50B3">
            <w:pPr>
              <w:rPr>
                <w:rFonts w:eastAsiaTheme="minorEastAsia"/>
                <w:b/>
                <w:bCs/>
              </w:rPr>
            </w:pPr>
            <w:r>
              <w:rPr>
                <w:b/>
                <w:bCs/>
              </w:rPr>
              <w:t xml:space="preserve"> </w:t>
            </w:r>
            <w:r w:rsidRPr="005C50B3">
              <w:rPr>
                <w:rFonts w:eastAsia="MS Mincho"/>
                <w:bCs/>
                <w:sz w:val="20"/>
                <w:szCs w:val="20"/>
                <w:lang w:eastAsia="ja-JP"/>
              </w:rPr>
              <w:t xml:space="preserve">Besides, </w:t>
            </w:r>
            <w:r>
              <w:rPr>
                <w:rFonts w:eastAsia="MS Mincho"/>
                <w:bCs/>
                <w:sz w:val="20"/>
                <w:szCs w:val="20"/>
                <w:lang w:eastAsia="ja-JP"/>
              </w:rPr>
              <w:t>looking at the inputs in the table above, the majority prefers Option 2 to Option 3. Could we ask how this can be considered as a compromise solution?</w:t>
            </w:r>
          </w:p>
        </w:tc>
      </w:tr>
    </w:tbl>
    <w:p w14:paraId="7E6DB15F" w14:textId="77777777" w:rsidR="00FC4F76" w:rsidRDefault="00FC4F76" w:rsidP="005430DB">
      <w:pPr>
        <w:pStyle w:val="a8"/>
        <w:spacing w:before="156" w:after="0"/>
        <w:rPr>
          <w:rFonts w:ascii="Times New Roman" w:hAnsi="Times New Roman"/>
          <w:bCs/>
          <w:szCs w:val="20"/>
        </w:rPr>
      </w:pPr>
    </w:p>
    <w:p w14:paraId="2A8D9CE9" w14:textId="42F65027"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2"/>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3" w:name="_Hlk87986820"/>
      <w:r>
        <w:rPr>
          <w:b/>
          <w:bCs/>
          <w:sz w:val="20"/>
          <w:szCs w:val="20"/>
          <w:highlight w:val="magenta"/>
        </w:rPr>
        <w:lastRenderedPageBreak/>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af4"/>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宋体"/>
                <w:sz w:val="20"/>
                <w:szCs w:val="20"/>
              </w:rPr>
            </w:pPr>
            <w:r>
              <w:rPr>
                <w:rFonts w:eastAsia="宋体" w:hint="eastAsia"/>
                <w:sz w:val="20"/>
                <w:szCs w:val="20"/>
              </w:rPr>
              <w:t>W</w:t>
            </w:r>
            <w:r>
              <w:rPr>
                <w:rFonts w:eastAsia="宋体"/>
                <w:sz w:val="20"/>
                <w:szCs w:val="20"/>
              </w:rPr>
              <w:t>e prefer DMRS bundling configured per resource.</w:t>
            </w:r>
          </w:p>
          <w:p w14:paraId="5D48AE64" w14:textId="77777777" w:rsidR="00BA3BC7" w:rsidRPr="00F326DE" w:rsidRDefault="00BA3BC7" w:rsidP="002D433F">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a8"/>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w:t>
      </w:r>
      <w:proofErr w:type="spellStart"/>
      <w:r w:rsidR="00FB774A" w:rsidRPr="004E571B">
        <w:rPr>
          <w:rFonts w:ascii="Times New Roman" w:hAnsi="Times New Roman"/>
          <w:b/>
          <w:szCs w:val="20"/>
        </w:rPr>
        <w:t>TimeDomainWindowLength</w:t>
      </w:r>
      <w:proofErr w:type="spellEnd"/>
      <w:r w:rsidR="00FB774A"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lastRenderedPageBreak/>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af4"/>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宋体"/>
                <w:sz w:val="20"/>
                <w:szCs w:val="20"/>
              </w:rPr>
            </w:pPr>
            <w:r>
              <w:rPr>
                <w:rFonts w:eastAsia="宋体"/>
                <w:sz w:val="20"/>
                <w:szCs w:val="20"/>
              </w:rPr>
              <w:t xml:space="preserve">Agree with ‘nominal’.  </w:t>
            </w:r>
            <w:r w:rsidR="001349A6">
              <w:rPr>
                <w:rFonts w:eastAsia="宋体"/>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 xml:space="preserve">@all,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af4"/>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宋体"/>
                <w:sz w:val="20"/>
                <w:szCs w:val="20"/>
              </w:rPr>
            </w:pPr>
            <w:bookmarkStart w:id="14" w:name="_Hlk88134210"/>
            <w:r>
              <w:rPr>
                <w:rFonts w:eastAsia="宋体"/>
                <w:sz w:val="20"/>
                <w:szCs w:val="20"/>
              </w:rPr>
              <w:t>PUCCH-Config</w:t>
            </w:r>
            <w:bookmarkEnd w:id="14"/>
            <w:r>
              <w:rPr>
                <w:rFonts w:eastAsia="宋体"/>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a8"/>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af4"/>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10B1D2D9" w:rsidR="007B3B57" w:rsidRPr="004E571B" w:rsidRDefault="007B3B57" w:rsidP="0087419B">
            <w:pPr>
              <w:spacing w:after="0"/>
              <w:rPr>
                <w:rFonts w:eastAsiaTheme="minorEastAsia"/>
                <w:bCs/>
                <w:sz w:val="20"/>
                <w:szCs w:val="20"/>
              </w:rPr>
            </w:pPr>
          </w:p>
        </w:tc>
        <w:tc>
          <w:tcPr>
            <w:tcW w:w="7438" w:type="dxa"/>
            <w:shd w:val="clear" w:color="auto" w:fill="auto"/>
          </w:tcPr>
          <w:p w14:paraId="78A0FC93" w14:textId="09D6CE37" w:rsidR="007B3B57" w:rsidRPr="00481269" w:rsidRDefault="007B3B57" w:rsidP="0087419B">
            <w:pPr>
              <w:rPr>
                <w:rFonts w:eastAsiaTheme="minorEastAsia"/>
                <w:bCs/>
                <w:sz w:val="20"/>
                <w:szCs w:val="20"/>
                <w:lang w:val="en-GB"/>
              </w:rPr>
            </w:pP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proofErr w:type="spellStart"/>
            <w:r>
              <w:rPr>
                <w:rFonts w:ascii="Arial" w:eastAsia="等线" w:hAnsi="Arial" w:cs="Arial"/>
                <w:i/>
                <w:iCs/>
                <w:color w:val="000000"/>
                <w:sz w:val="10"/>
                <w:szCs w:val="10"/>
              </w:rPr>
              <w:lastRenderedPageBreak/>
              <w:t>NR_cov_enh</w:t>
            </w:r>
            <w:proofErr w:type="spellEnd"/>
            <w:r>
              <w:rPr>
                <w:rFonts w:ascii="Arial" w:eastAsia="等线"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lastRenderedPageBreak/>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lastRenderedPageBreak/>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8"/>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 xml:space="preserve">1) It seems a strange configuration, why </w:t>
            </w:r>
            <w:proofErr w:type="spellStart"/>
            <w:r w:rsidRPr="0094791B">
              <w:rPr>
                <w:rFonts w:eastAsia="MS Mincho" w:hint="eastAsia"/>
                <w:sz w:val="20"/>
                <w:szCs w:val="20"/>
                <w:lang w:eastAsia="ja-JP"/>
              </w:rPr>
              <w:t>gNB</w:t>
            </w:r>
            <w:proofErr w:type="spellEnd"/>
            <w:r w:rsidRPr="0094791B">
              <w:rPr>
                <w:rFonts w:eastAsia="MS Mincho" w:hint="eastAsia"/>
                <w:sz w:val="20"/>
                <w:szCs w:val="20"/>
                <w:lang w:eastAsia="ja-JP"/>
              </w:rPr>
              <w:t xml:space="preserve">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af8"/>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lastRenderedPageBreak/>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5"/>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6"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6"/>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CB13" w14:textId="77777777" w:rsidR="00E25AC5" w:rsidRDefault="00E25AC5" w:rsidP="003037E8">
      <w:pPr>
        <w:spacing w:after="0" w:line="240" w:lineRule="auto"/>
      </w:pPr>
      <w:r>
        <w:separator/>
      </w:r>
    </w:p>
  </w:endnote>
  <w:endnote w:type="continuationSeparator" w:id="0">
    <w:p w14:paraId="559A7D21" w14:textId="77777777" w:rsidR="00E25AC5" w:rsidRDefault="00E25AC5"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ahoma"/>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D359" w14:textId="77777777" w:rsidR="00E25AC5" w:rsidRDefault="00E25AC5" w:rsidP="003037E8">
      <w:pPr>
        <w:spacing w:after="0" w:line="240" w:lineRule="auto"/>
      </w:pPr>
      <w:r>
        <w:separator/>
      </w:r>
    </w:p>
  </w:footnote>
  <w:footnote w:type="continuationSeparator" w:id="0">
    <w:p w14:paraId="19805861" w14:textId="77777777" w:rsidR="00E25AC5" w:rsidRDefault="00E25AC5"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af9"/>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2">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b">
    <w:name w:val="Strong"/>
    <w:basedOn w:val="a1"/>
    <w:uiPriority w:val="22"/>
    <w:qFormat/>
    <w:rsid w:val="00A41B71"/>
    <w:rPr>
      <w:b/>
      <w:bCs/>
    </w:rPr>
  </w:style>
  <w:style w:type="character" w:styleId="afc">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3B0242-D3E4-41C9-9F62-23E4F91C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9865</Words>
  <Characters>56234</Characters>
  <Application>Microsoft Office Word</Application>
  <DocSecurity>0</DocSecurity>
  <Lines>468</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TAMRAKAR RAKESH</cp:lastModifiedBy>
  <cp:revision>2</cp:revision>
  <cp:lastPrinted>2021-04-15T03:16:00Z</cp:lastPrinted>
  <dcterms:created xsi:type="dcterms:W3CDTF">2021-11-19T02:40:00Z</dcterms:created>
  <dcterms:modified xsi:type="dcterms:W3CDTF">2021-11-19T02:40:00Z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