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7F60" w14:textId="13C38CE1"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Heading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Heading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Malgun Gothic"/>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ListParagraph"/>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ListParagraph"/>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w:t>
            </w:r>
            <w:r>
              <w:lastRenderedPageBreak/>
              <w:t xml:space="preserve">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 xml:space="preserve">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9pt;height:87.95pt;mso-width-percent:0;mso-height-percent:0;mso-width-percent:0;mso-height-percent:0" o:ole="">
                  <v:imagedata r:id="rId18" o:title=""/>
                </v:shape>
                <o:OLEObject Type="Embed" ProgID="Visio.Drawing.15" ShapeID="_x0000_i1025" DrawAspect="Content" ObjectID="_1698758781"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w:t>
            </w:r>
            <w:r>
              <w:rPr>
                <w:lang w:eastAsia="zh-CN"/>
              </w:rPr>
              <w:lastRenderedPageBreak/>
              <w:t xml:space="preserve">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D633C1">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lastRenderedPageBreak/>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lastRenderedPageBreak/>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xml:space="preserve">, Huawei, </w:t>
            </w:r>
            <w:proofErr w:type="spellStart"/>
            <w:r w:rsidR="00224E8F">
              <w:rPr>
                <w:rFonts w:eastAsia="MS Mincho"/>
                <w:lang w:val="en-US" w:eastAsia="ja-JP"/>
              </w:rPr>
              <w:t>Hisilicon</w:t>
            </w:r>
            <w:proofErr w:type="spellEnd"/>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0EA0D1"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D658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46E2D"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BB92F"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0D40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E1CFA"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373FB"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9D5DD4"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9ED3F"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7A69C"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2271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A23FA"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53B62"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7304C"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0DC3C"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8AB6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2055EA"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694A7"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7AE0E"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8DC22"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D633C1"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ListParagraph"/>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D633C1" w:rsidP="005D23CC">
            <w:pPr>
              <w:pStyle w:val="ListParagraph"/>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w:t>
            </w:r>
            <w:r w:rsidR="005D23CC" w:rsidRPr="001B28D4">
              <w:rPr>
                <w:rFonts w:eastAsia="Times New Roman"/>
                <w:color w:val="C00000"/>
              </w:rPr>
              <w:lastRenderedPageBreak/>
              <w:t>number of symbols allocated per slot of TBOMS as per the indicated/configured row of TDRA table. (This follows the logic and notation already used in 38.212)</w:t>
            </w:r>
          </w:p>
          <w:p w14:paraId="3D993702" w14:textId="58933F76" w:rsidR="00547908" w:rsidRPr="001B28D4" w:rsidRDefault="00D633C1" w:rsidP="005D23CC">
            <w:pPr>
              <w:pStyle w:val="ListParagraph"/>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D633C1" w:rsidP="005D23CC">
            <w:pPr>
              <w:pStyle w:val="ListParagraph"/>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@Qualcomm: I would avoid equations, since this is something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ListParagraph"/>
        <w:numPr>
          <w:ilvl w:val="2"/>
          <w:numId w:val="56"/>
        </w:numPr>
        <w:jc w:val="both"/>
        <w:rPr>
          <w:b/>
          <w:color w:val="4F81BD" w:themeColor="accent1"/>
          <w:highlight w:val="yellow"/>
        </w:rPr>
      </w:pPr>
      <w:r w:rsidRPr="00494F36">
        <w:rPr>
          <w:b/>
          <w:sz w:val="22"/>
          <w:szCs w:val="22"/>
          <w:highlight w:val="yellow"/>
        </w:rPr>
        <w:lastRenderedPageBreak/>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ListParagraph"/>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TableGrid8"/>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56E1728A" w:rsidR="00E41D42" w:rsidRPr="00AA1583" w:rsidRDefault="00E41D42" w:rsidP="00A80E16">
            <w:pPr>
              <w:rPr>
                <w:rFonts w:eastAsiaTheme="minorEastAsia"/>
                <w:lang w:val="en-US" w:eastAsia="zh-CN"/>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r w:rsidR="00415B1E">
              <w:rPr>
                <w:rFonts w:eastAsia="MS Mincho"/>
                <w:lang w:val="en-US" w:eastAsia="ja-JP"/>
              </w:rPr>
              <w:t>, QC(with note below)</w:t>
            </w:r>
            <w:r w:rsidR="005D0EBF">
              <w:rPr>
                <w:rFonts w:eastAsia="MS Mincho"/>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TableGrid8"/>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MS Mincho"/>
                <w:lang w:eastAsia="ja-JP"/>
              </w:rPr>
            </w:pPr>
            <w:r>
              <w:rPr>
                <w:rFonts w:eastAsia="MS Mincho"/>
                <w:lang w:eastAsia="ja-JP"/>
              </w:rPr>
              <w:t>QC</w:t>
            </w:r>
          </w:p>
        </w:tc>
        <w:tc>
          <w:tcPr>
            <w:tcW w:w="7455" w:type="dxa"/>
          </w:tcPr>
          <w:p w14:paraId="2676A58A" w14:textId="5605D8D6" w:rsidR="00E41D42" w:rsidRDefault="008A7883" w:rsidP="00A80E16">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MS Mincho"/>
                <w:lang w:eastAsia="ja-JP"/>
              </w:rPr>
            </w:pPr>
            <w:r>
              <w:rPr>
                <w:rFonts w:eastAsia="MS Mincho"/>
                <w:lang w:eastAsia="ja-JP"/>
              </w:rPr>
              <w:t>Can we add the following note:</w:t>
            </w:r>
          </w:p>
          <w:p w14:paraId="3DFA48FD" w14:textId="101B3D25" w:rsidR="00A06BA5" w:rsidRDefault="00A06BA5" w:rsidP="00BE6E36">
            <w:pPr>
              <w:pStyle w:val="ListParagraph"/>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A80E16">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lastRenderedPageBreak/>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D633C1"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FF5493">
            <w:pPr>
              <w:pStyle w:val="ListParagraph"/>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ListParagraph"/>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ListParagraph"/>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ListParagraph"/>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D633C1" w:rsidP="00FF5493">
            <w:pPr>
              <w:pStyle w:val="ListParagraph"/>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1C3BF96" w14:textId="77777777" w:rsidR="00FF5493" w:rsidRPr="001B28D4" w:rsidRDefault="00D633C1" w:rsidP="00FF5493">
            <w:pPr>
              <w:pStyle w:val="ListParagraph"/>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D633C1" w:rsidP="00FF5493">
            <w:pPr>
              <w:pStyle w:val="ListParagraph"/>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A80E16">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A80E16">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A80E16">
            <w:pPr>
              <w:jc w:val="both"/>
              <w:rPr>
                <w:rFonts w:eastAsia="MS Mincho"/>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w:t>
            </w:r>
            <w:r>
              <w:rPr>
                <w:color w:val="FF0000"/>
              </w:rPr>
              <w:lastRenderedPageBreak/>
              <w:t xml:space="preserve">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A80E16">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MS Mincho"/>
                <w:lang w:eastAsia="ja-JP"/>
              </w:rPr>
            </w:pPr>
            <w:r>
              <w:rPr>
                <w:rFonts w:eastAsia="MS Mincho" w:hint="eastAsia"/>
                <w:lang w:eastAsia="ja-JP"/>
              </w:rPr>
              <w:t>P</w:t>
            </w:r>
            <w:r>
              <w:rPr>
                <w:rFonts w:eastAsia="MS Mincho"/>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 xml:space="preserve">ption B2 is reasonable design as it equivalent to change the coding rate by multiplying alpha. The same can be achieved by intentionally set lower MCS by the gNB scheduler as the network implementation. It </w:t>
            </w:r>
            <w:r w:rsidRPr="00807374">
              <w:rPr>
                <w:lang w:val="en-US" w:eastAsia="zh-CN"/>
              </w:rPr>
              <w:lastRenderedPageBreak/>
              <w:t>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D82E22">
            <w:pPr>
              <w:jc w:val="both"/>
              <w:rPr>
                <w:lang w:eastAsia="ja-JP"/>
              </w:rPr>
            </w:pPr>
            <w:r>
              <w:rPr>
                <w:lang w:eastAsia="ja-JP"/>
              </w:rPr>
              <w:lastRenderedPageBreak/>
              <w:t>Ericsson</w:t>
            </w:r>
          </w:p>
        </w:tc>
        <w:tc>
          <w:tcPr>
            <w:tcW w:w="7455" w:type="dxa"/>
          </w:tcPr>
          <w:p w14:paraId="33EF7EE1" w14:textId="77777777" w:rsidR="009202FB" w:rsidRDefault="009202FB" w:rsidP="00D82E22">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D82E22">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Guidance from QC’s UCI/URLLC experts is also that we don’t touch UCI multiplexing, and anything related to intra-UE prioritization. If we couple TBOMS to UCI multiplexing 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w:t>
            </w:r>
            <w:r>
              <w:rPr>
                <w:lang w:val="en-US" w:eastAsia="zh-CN"/>
              </w:rPr>
              <w:lastRenderedPageBreak/>
              <w:t xml:space="preserve">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  a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r w:rsidR="00F271A7" w14:paraId="0B57A9AD" w14:textId="77777777" w:rsidTr="009202FB">
        <w:tc>
          <w:tcPr>
            <w:tcW w:w="2176" w:type="dxa"/>
          </w:tcPr>
          <w:p w14:paraId="13588F41" w14:textId="6A438F60" w:rsidR="00F271A7" w:rsidRDefault="00F271A7" w:rsidP="00F271A7">
            <w:pPr>
              <w:jc w:val="both"/>
              <w:rPr>
                <w:lang w:eastAsia="ja-JP"/>
              </w:rPr>
            </w:pPr>
            <w:r>
              <w:rPr>
                <w:rFonts w:eastAsia="MS Mincho" w:hint="eastAsia"/>
                <w:lang w:eastAsia="ja-JP"/>
              </w:rPr>
              <w:t>S</w:t>
            </w:r>
            <w:r>
              <w:rPr>
                <w:rFonts w:eastAsia="MS Mincho"/>
                <w:lang w:eastAsia="ja-JP"/>
              </w:rPr>
              <w:t>harp</w:t>
            </w:r>
          </w:p>
        </w:tc>
        <w:tc>
          <w:tcPr>
            <w:tcW w:w="7455" w:type="dxa"/>
          </w:tcPr>
          <w:p w14:paraId="3CE04A8A" w14:textId="77777777" w:rsidR="00F271A7" w:rsidRDefault="00F271A7" w:rsidP="00F271A7">
            <w:pPr>
              <w:jc w:val="both"/>
              <w:rPr>
                <w:rFonts w:eastAsia="MS Mincho"/>
                <w:lang w:val="en-US" w:eastAsia="ja-JP"/>
              </w:rPr>
            </w:pPr>
            <w:r>
              <w:rPr>
                <w:rFonts w:eastAsia="MS Mincho" w:hint="eastAsia"/>
                <w:lang w:val="en-US" w:eastAsia="ja-JP"/>
              </w:rPr>
              <w:t>W</w:t>
            </w:r>
            <w:r>
              <w:rPr>
                <w:rFonts w:eastAsia="MS Mincho"/>
                <w:lang w:val="en-US" w:eastAsia="ja-JP"/>
              </w:rPr>
              <w:t xml:space="preserve">e are OK with the proposal. </w:t>
            </w:r>
          </w:p>
          <w:p w14:paraId="477C6C68" w14:textId="3A7A04E0" w:rsidR="00F271A7" w:rsidRPr="0093250F" w:rsidRDefault="00F271A7" w:rsidP="00F271A7">
            <w:pPr>
              <w:jc w:val="both"/>
              <w:rPr>
                <w:lang w:val="en-US" w:eastAsia="zh-CN"/>
              </w:rPr>
            </w:pPr>
            <w:r>
              <w:rPr>
                <w:rFonts w:eastAsia="MS Mincho" w:hint="eastAsia"/>
                <w:lang w:val="en-US" w:eastAsia="ja-JP"/>
              </w:rPr>
              <w:t>R</w:t>
            </w:r>
            <w:r>
              <w:rPr>
                <w:rFonts w:eastAsia="MS Mincho"/>
                <w:lang w:val="en-US" w:eastAsia="ja-JP"/>
              </w:rPr>
              <w:t xml:space="preserve">egarding QC’s proposal, we slightly prefer the original Option B (i.e., Option B1). Regarding specification impact, we think QC’s proposed equations (for Option B1 and Option B2) works well in the current TS38.212. </w:t>
            </w:r>
          </w:p>
        </w:tc>
      </w:tr>
      <w:tr w:rsidR="004E2CAD" w14:paraId="2B2333FB" w14:textId="77777777" w:rsidTr="009202FB">
        <w:tc>
          <w:tcPr>
            <w:tcW w:w="2176" w:type="dxa"/>
          </w:tcPr>
          <w:p w14:paraId="433F3846" w14:textId="0929BA35" w:rsidR="004E2CAD" w:rsidRDefault="004E2CAD" w:rsidP="004E2CAD">
            <w:pPr>
              <w:jc w:val="both"/>
              <w:rPr>
                <w:rFonts w:hint="eastAsia"/>
                <w:lang w:eastAsia="ja-JP"/>
              </w:rPr>
            </w:pPr>
            <w:r>
              <w:rPr>
                <w:lang w:eastAsia="zh-CN"/>
              </w:rPr>
              <w:t>v</w:t>
            </w:r>
            <w:r>
              <w:rPr>
                <w:rFonts w:hint="eastAsia"/>
                <w:lang w:eastAsia="zh-CN"/>
              </w:rPr>
              <w:t>ivo</w:t>
            </w:r>
            <w:r>
              <w:rPr>
                <w:lang w:eastAsia="zh-CN"/>
              </w:rPr>
              <w:t>4</w:t>
            </w:r>
          </w:p>
        </w:tc>
        <w:tc>
          <w:tcPr>
            <w:tcW w:w="7455" w:type="dxa"/>
          </w:tcPr>
          <w:p w14:paraId="6B5EB3C3" w14:textId="20D92F8A" w:rsidR="004E2CAD" w:rsidRDefault="004E2CAD" w:rsidP="004E2CAD">
            <w:pPr>
              <w:jc w:val="both"/>
              <w:rPr>
                <w:rFonts w:hint="eastAsia"/>
                <w:lang w:val="en-US" w:eastAsia="ja-JP"/>
              </w:rPr>
            </w:pPr>
            <w:r>
              <w:rPr>
                <w:lang w:eastAsia="zh-CN"/>
              </w:rPr>
              <w:t xml:space="preserve">We are fine with </w:t>
            </w:r>
            <w:r>
              <w:rPr>
                <w:lang w:eastAsia="ja-JP"/>
              </w:rPr>
              <w:t xml:space="preserve">FL’s proposal 12-v3 as a compromise. Although the </w:t>
            </w:r>
            <w:proofErr w:type="spellStart"/>
            <w:r>
              <w:rPr>
                <w:lang w:eastAsia="ja-JP"/>
              </w:rPr>
              <w:t>ambuiguity</w:t>
            </w:r>
            <w:proofErr w:type="spellEnd"/>
            <w:r>
              <w:rPr>
                <w:lang w:eastAsia="ja-JP"/>
              </w:rPr>
              <w:t xml:space="preserve"> is not fully avoided, it is </w:t>
            </w:r>
            <w:r w:rsidRPr="002E12A7">
              <w:rPr>
                <w:lang w:eastAsia="ja-JP"/>
              </w:rPr>
              <w:t>alleviate</w:t>
            </w:r>
            <w:r>
              <w:rPr>
                <w:lang w:eastAsia="ja-JP"/>
              </w:rPr>
              <w:t xml:space="preserve">d due to reset after the second slot. </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Heading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lastRenderedPageBreak/>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D633C1">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D633C1">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D633C1">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D633C1">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D633C1">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lastRenderedPageBreak/>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w:t>
            </w:r>
            <w:r>
              <w:rPr>
                <w:rFonts w:hint="eastAsia"/>
                <w:lang w:eastAsia="zh-CN"/>
              </w:rPr>
              <w:lastRenderedPageBreak/>
              <w:t xml:space="preserve">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D633C1" w:rsidP="00573EFD">
      <w:pPr>
        <w:pStyle w:val="ListParagraph"/>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573EFD">
      <w:pPr>
        <w:pStyle w:val="ListParagraph"/>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D633C1" w:rsidP="00573EFD">
      <w:pPr>
        <w:pStyle w:val="ListParagraph"/>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multiplexed.</w:t>
      </w:r>
    </w:p>
    <w:p w14:paraId="0C0DF98D" w14:textId="77777777" w:rsidR="00573EFD" w:rsidRPr="00056B00" w:rsidRDefault="00573EFD" w:rsidP="00573EFD">
      <w:pPr>
        <w:pStyle w:val="ListParagraph"/>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TableGrid8"/>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2937DB1D" w:rsidR="00573EFD" w:rsidRPr="00AA1583" w:rsidRDefault="005D0EBF" w:rsidP="00A80E16">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r w:rsidR="00501823">
              <w:rPr>
                <w:rFonts w:eastAsiaTheme="minorEastAsia"/>
                <w:lang w:val="en-US" w:eastAsia="zh-CN"/>
              </w:rPr>
              <w:t>, Sharp</w:t>
            </w:r>
            <w:r w:rsidR="00454703">
              <w:rPr>
                <w:rFonts w:eastAsiaTheme="minorEastAsia"/>
                <w:lang w:val="en-US" w:eastAsia="zh-CN"/>
              </w:rPr>
              <w:t>,</w:t>
            </w:r>
            <w:r w:rsidR="00454703">
              <w:rPr>
                <w:rFonts w:eastAsia="Malgun Gothic"/>
                <w:lang w:val="en-US" w:eastAsia="ko-KR"/>
              </w:rPr>
              <w:t xml:space="preserve"> </w:t>
            </w:r>
            <w:r w:rsidR="00454703">
              <w:rPr>
                <w:rFonts w:eastAsia="Malgun Gothic"/>
                <w:lang w:val="en-US" w:eastAsia="ko-KR"/>
              </w:rPr>
              <w:t>vivo</w:t>
            </w:r>
            <w:bookmarkStart w:id="11" w:name="_GoBack"/>
            <w:bookmarkEnd w:id="11"/>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TableGrid8"/>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6D786659" w:rsidR="00573EFD" w:rsidRDefault="00AA1583" w:rsidP="00A80E16">
            <w:pPr>
              <w:jc w:val="both"/>
              <w:rPr>
                <w:lang w:eastAsia="zh-CN"/>
              </w:rPr>
            </w:pPr>
            <w:r>
              <w:rPr>
                <w:rFonts w:hint="eastAsia"/>
                <w:lang w:eastAsia="zh-CN"/>
              </w:rPr>
              <w:t>CATT</w:t>
            </w:r>
          </w:p>
        </w:tc>
        <w:tc>
          <w:tcPr>
            <w:tcW w:w="7455" w:type="dxa"/>
          </w:tcPr>
          <w:p w14:paraId="263C7539" w14:textId="098FD73E" w:rsidR="00573EFD" w:rsidRDefault="00AA1583" w:rsidP="00A80E16">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2" w:name="_Toc415085486"/>
      <w:bookmarkStart w:id="13" w:name="_Toc503902285"/>
      <w:r>
        <w:t xml:space="preserve">     </w:t>
      </w:r>
    </w:p>
    <w:p w14:paraId="6C040B70" w14:textId="1AE4B335" w:rsidR="00EB2729" w:rsidRDefault="003F7C57">
      <w:pPr>
        <w:pStyle w:val="Heading3"/>
        <w:numPr>
          <w:ilvl w:val="0"/>
          <w:numId w:val="65"/>
        </w:numPr>
        <w:ind w:left="618" w:hanging="618"/>
        <w:jc w:val="both"/>
        <w:rPr>
          <w:lang w:val="en-US"/>
        </w:rPr>
      </w:pPr>
      <w:r>
        <w:rPr>
          <w:color w:val="FF0000"/>
          <w:lang w:val="en-US"/>
        </w:rPr>
        <w:lastRenderedPageBreak/>
        <w:t>[CLOSED]</w:t>
      </w:r>
      <w:r>
        <w:rPr>
          <w:lang w:val="en-US"/>
        </w:rPr>
        <w:t xml:space="preserve"> </w:t>
      </w:r>
      <w:r w:rsidR="00904FD8">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lastRenderedPageBreak/>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w:t>
            </w:r>
            <w:r>
              <w:rPr>
                <w:b/>
                <w:bCs/>
                <w:highlight w:val="yellow"/>
                <w:lang w:eastAsia="ja-JP"/>
              </w:rPr>
              <w:lastRenderedPageBreak/>
              <w:t>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lastRenderedPageBreak/>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Heading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Heading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lastRenderedPageBreak/>
        <w:t>FL’s proposal 13</w:t>
      </w:r>
    </w:p>
    <w:tbl>
      <w:tblPr>
        <w:tblStyle w:val="TableGrid8"/>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67E1611A"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r w:rsidR="00501823">
              <w:rPr>
                <w:rFonts w:eastAsiaTheme="minorEastAsia"/>
                <w:lang w:val="en-US" w:eastAsia="zh-CN"/>
              </w:rPr>
              <w:t>, Sharp (agree with Ericsson)</w:t>
            </w:r>
            <w:r w:rsidR="00A77E44">
              <w:rPr>
                <w:rFonts w:eastAsiaTheme="minorEastAsia"/>
                <w:lang w:val="en-US" w:eastAsia="zh-CN"/>
              </w:rPr>
              <w:t xml:space="preserve">, </w:t>
            </w:r>
            <w:r w:rsidR="00A77E44">
              <w:rPr>
                <w:rFonts w:eastAsiaTheme="minorEastAsia"/>
                <w:lang w:val="en-US" w:eastAsia="zh-CN"/>
              </w:rPr>
              <w:t>vivo</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TableGrid8"/>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w:t>
      </w:r>
      <w:r>
        <w:rPr>
          <w:sz w:val="22"/>
          <w:lang w:val="en-US"/>
        </w:rPr>
        <w:lastRenderedPageBreak/>
        <w:t xml:space="preserve">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lastRenderedPageBreak/>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lastRenderedPageBreak/>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lastRenderedPageBreak/>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lastRenderedPageBreak/>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w:t>
      </w:r>
      <w:proofErr w:type="spellStart"/>
      <w:r>
        <w:rPr>
          <w:rFonts w:eastAsia="宋体"/>
          <w:b/>
          <w:bCs/>
          <w:color w:val="000000"/>
          <w:sz w:val="22"/>
          <w:szCs w:val="22"/>
          <w:highlight w:val="yellow"/>
          <w:lang w:eastAsia="zh-CN"/>
        </w:rPr>
        <w:t>gNB</w:t>
      </w:r>
      <w:proofErr w:type="spellEnd"/>
      <w:r>
        <w:rPr>
          <w:rFonts w:eastAsia="宋体"/>
          <w:b/>
          <w:bCs/>
          <w:color w:val="000000"/>
          <w:sz w:val="22"/>
          <w:szCs w:val="22"/>
          <w:highlight w:val="yellow"/>
          <w:lang w:eastAsia="zh-CN"/>
        </w:rPr>
        <w:t xml:space="preserve">,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w:t>
            </w:r>
            <w:r w:rsidRPr="00E273C6">
              <w:rPr>
                <w:b/>
                <w:bCs/>
                <w:color w:val="FF0000"/>
              </w:rPr>
              <w:lastRenderedPageBreak/>
              <w:t xml:space="preserve">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lastRenderedPageBreak/>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ListParagraph"/>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ListParagraph"/>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ListParagraph"/>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ListParagraph"/>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lastRenderedPageBreak/>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宋体"/>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TableGrid8"/>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B77898" w14:paraId="69E754EC" w14:textId="77777777" w:rsidTr="00A905D9">
        <w:tc>
          <w:tcPr>
            <w:tcW w:w="2190" w:type="dxa"/>
          </w:tcPr>
          <w:p w14:paraId="33107D5B" w14:textId="778DE8FC" w:rsidR="00B77898" w:rsidRDefault="00B77898" w:rsidP="00B77898">
            <w:pPr>
              <w:jc w:val="both"/>
            </w:pPr>
          </w:p>
        </w:tc>
        <w:tc>
          <w:tcPr>
            <w:tcW w:w="7504" w:type="dxa"/>
          </w:tcPr>
          <w:p w14:paraId="1AA5E8F9" w14:textId="58DED493" w:rsidR="00B77898" w:rsidRDefault="00B77898" w:rsidP="00B77898">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宋体"/>
          <w:bCs/>
          <w:sz w:val="22"/>
          <w:szCs w:val="22"/>
          <w:lang w:eastAsia="zh-CN"/>
        </w:rPr>
      </w:pPr>
      <w:r>
        <w:rPr>
          <w:iCs/>
          <w:sz w:val="22"/>
          <w:szCs w:val="22"/>
        </w:rPr>
        <w:lastRenderedPageBreak/>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lastRenderedPageBreak/>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lastRenderedPageBreak/>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2"/>
    <w:bookmarkEnd w:id="13"/>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lastRenderedPageBreak/>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4"/>
    </w:p>
    <w:p w14:paraId="0D1685ED" w14:textId="77777777" w:rsidR="00EB2729" w:rsidRDefault="00904FD8">
      <w:pPr>
        <w:pStyle w:val="ListParagraph"/>
        <w:numPr>
          <w:ilvl w:val="0"/>
          <w:numId w:val="88"/>
        </w:numPr>
        <w:ind w:left="567" w:hanging="567"/>
        <w:jc w:val="both"/>
        <w:rPr>
          <w:sz w:val="22"/>
          <w:szCs w:val="22"/>
          <w:lang w:eastAsia="zh-CN"/>
        </w:rPr>
      </w:pPr>
      <w:bookmarkStart w:id="1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5"/>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6"/>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lastRenderedPageBreak/>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7" w:name="_Hlk84539586"/>
            <w:r>
              <w:rPr>
                <w:b/>
                <w:bCs/>
                <w:sz w:val="22"/>
                <w:szCs w:val="22"/>
                <w:lang w:val="en-US"/>
              </w:rPr>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lastRenderedPageBreak/>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7"/>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8"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8"/>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9" w:name="_Ref86869634"/>
            <w:r>
              <w:t xml:space="preserve">Figure </w:t>
            </w:r>
            <w:r w:rsidR="00D633C1">
              <w:fldChar w:fldCharType="begin"/>
            </w:r>
            <w:r w:rsidR="00D633C1">
              <w:instrText xml:space="preserve"> SEQ Figure \* ARABIC </w:instrText>
            </w:r>
            <w:r w:rsidR="00D633C1">
              <w:fldChar w:fldCharType="separate"/>
            </w:r>
            <w:r>
              <w:t>1</w:t>
            </w:r>
            <w:r w:rsidR="00D633C1">
              <w:fldChar w:fldCharType="end"/>
            </w:r>
            <w:bookmarkEnd w:id="19"/>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0"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lastRenderedPageBreak/>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D633C1">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lastRenderedPageBreak/>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0"/>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lastRenderedPageBreak/>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lastRenderedPageBreak/>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lastRenderedPageBreak/>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lastRenderedPageBreak/>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lastRenderedPageBreak/>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D633C1">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D633C1">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D633C1">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1" w:name="PP7"/>
            <w:r>
              <w:rPr>
                <w:rFonts w:ascii="Times" w:hAnsi="Times" w:cs="Times"/>
                <w:b/>
                <w:iCs/>
                <w:szCs w:val="24"/>
                <w:lang w:val="en-US"/>
              </w:rPr>
              <w:lastRenderedPageBreak/>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D633C1">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1"/>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lastRenderedPageBreak/>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lastRenderedPageBreak/>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等线"/>
        </w:rPr>
      </w:pPr>
      <w:r>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等线"/>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2" w:name="_Hlk69477917"/>
      <w:bookmarkStart w:id="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lastRenderedPageBreak/>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2"/>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3"/>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lastRenderedPageBreak/>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lastRenderedPageBreak/>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lastRenderedPageBreak/>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等线"/>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lastRenderedPageBreak/>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lastRenderedPageBreak/>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FE1B" w14:textId="77777777" w:rsidR="00D633C1" w:rsidRDefault="00D633C1">
      <w:pPr>
        <w:spacing w:after="0" w:line="240" w:lineRule="auto"/>
      </w:pPr>
      <w:r>
        <w:separator/>
      </w:r>
    </w:p>
  </w:endnote>
  <w:endnote w:type="continuationSeparator" w:id="0">
    <w:p w14:paraId="4FE12B9E" w14:textId="77777777" w:rsidR="00D633C1" w:rsidRDefault="00D6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D813" w14:textId="77777777" w:rsidR="00D633C1" w:rsidRDefault="00D633C1">
      <w:pPr>
        <w:spacing w:after="0" w:line="240" w:lineRule="auto"/>
      </w:pPr>
      <w:r>
        <w:separator/>
      </w:r>
    </w:p>
  </w:footnote>
  <w:footnote w:type="continuationSeparator" w:id="0">
    <w:p w14:paraId="0499BA56" w14:textId="77777777" w:rsidR="00D633C1" w:rsidRDefault="00D6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D891" w14:textId="77777777" w:rsidR="00A905D9" w:rsidRDefault="00A905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492E"/>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1744"/>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70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2CAD"/>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1823"/>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77E44"/>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36"/>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33C1"/>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271A7"/>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C98BC4AA-1EEB-4040-AE36-76AC5BBC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111</Pages>
  <Words>42096</Words>
  <Characters>239950</Characters>
  <Application>Microsoft Office Word</Application>
  <DocSecurity>0</DocSecurity>
  <Lines>1999</Lines>
  <Paragraphs>562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2021-11-18T08:40:00Z</dcterms:created>
  <dcterms:modified xsi:type="dcterms:W3CDTF">2021-11-18T08:40:00Z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