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We are generally fine with the proposal. But would like to understand what is the intention for Y</w:t>
            </w:r>
            <w:r>
              <w:rPr>
                <w:vertAlign w:val="subscript"/>
                <w:lang w:eastAsia="zh-CN"/>
              </w:rPr>
              <w:t>Group2</w:t>
            </w:r>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w:t>
            </w:r>
            <w:proofErr w:type="spellStart"/>
            <w:r w:rsidRPr="00BB4E12">
              <w:rPr>
                <w:lang w:eastAsia="zh-CN"/>
              </w:rPr>
              <w:t>OptionA</w:t>
            </w:r>
            <w:proofErr w:type="spellEnd"/>
            <w:r w:rsidRPr="00BB4E12">
              <w:rPr>
                <w:lang w:eastAsia="zh-CN"/>
              </w:rPr>
              <w:t xml:space="preserve"> or Option B-rev1 and discuss which one can be acceptable and completed with minimized spec impact. </w:t>
            </w:r>
          </w:p>
          <w:p w14:paraId="22E379B3" w14:textId="77777777" w:rsidR="00D85314" w:rsidRDefault="0005540E">
            <w:pPr>
              <w:rPr>
                <w:lang w:eastAsia="zh-CN"/>
              </w:rPr>
            </w:pPr>
            <w:r w:rsidRPr="00BB4E12">
              <w:rPr>
                <w:lang w:eastAsia="zh-CN"/>
              </w:rPr>
              <w:t xml:space="preserve">In our view, the only difference of </w:t>
            </w:r>
            <w:proofErr w:type="spellStart"/>
            <w:r w:rsidRPr="00BB4E12">
              <w:rPr>
                <w:lang w:eastAsia="zh-CN"/>
              </w:rPr>
              <w:t>OptionA</w:t>
            </w:r>
            <w:proofErr w:type="spellEnd"/>
            <w:r w:rsidRPr="00BB4E12">
              <w:rPr>
                <w:lang w:eastAsia="zh-CN"/>
              </w:rPr>
              <w:t xml:space="preserve"> and Option B-rev is the handling of SS#0 adaptation due to UE mobility. To move forward, we suggest to adopt </w:t>
            </w:r>
            <w:proofErr w:type="spellStart"/>
            <w:r w:rsidRPr="00BB4E12">
              <w:rPr>
                <w:lang w:eastAsia="zh-CN"/>
              </w:rPr>
              <w:t>OptionA</w:t>
            </w:r>
            <w:proofErr w:type="spellEnd"/>
            <w:r w:rsidRPr="00BB4E12">
              <w:rPr>
                <w:lang w:eastAsia="zh-CN"/>
              </w:rPr>
              <w:t xml:space="preserve"> as a baseline and introdu</w:t>
            </w:r>
            <w:r>
              <w:rPr>
                <w:lang w:eastAsia="zh-CN"/>
              </w:rPr>
              <w:t xml:space="preserve">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to define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We strongly suggest to set</w:t>
            </w:r>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back to back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offset, and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slot n0 and slot n0+1 are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 xml:space="preserve">(refer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frame work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proofErr w:type="spellStart"/>
            <w:r>
              <w:rPr>
                <w:lang w:eastAsia="zh-CN"/>
              </w:rPr>
              <w:t>Futurewei</w:t>
            </w:r>
            <w:proofErr w:type="spellEnd"/>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 and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Certainly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and YGroup2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e.g.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1;</w:t>
      </w:r>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overlapping</w:t>
            </w:r>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proofErr w:type="spellStart"/>
            <w:r>
              <w:rPr>
                <w:lang w:eastAsia="zh-CN"/>
              </w:rPr>
              <w:t>Futurewei</w:t>
            </w:r>
            <w:proofErr w:type="spellEnd"/>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r w:rsidRPr="00BA62F3">
              <w:rPr>
                <w:lang w:eastAsia="zh-CN"/>
              </w:rPr>
              <w:t>HiSilicon</w:t>
            </w:r>
            <w:proofErr w:type="spellEnd"/>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proofErr w:type="spellStart"/>
            <w:r>
              <w:t>Futurewei</w:t>
            </w:r>
            <w:proofErr w:type="spellEnd"/>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And,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proofErr w:type="spellStart"/>
            <w:r>
              <w:t>Futurewei</w:t>
            </w:r>
            <w:proofErr w:type="spellEnd"/>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not support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proofErr w:type="spellStart"/>
            <w:r>
              <w:t>Futurewei</w:t>
            </w:r>
            <w:proofErr w:type="spellEnd"/>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Alt2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proofErr w:type="spellStart"/>
            <w:r>
              <w:t>Futurewei</w:t>
            </w:r>
            <w:proofErr w:type="spellEnd"/>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(as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proofErr w:type="spellStart"/>
            <w:r>
              <w:lastRenderedPageBreak/>
              <w:t>Futurewei</w:t>
            </w:r>
            <w:proofErr w:type="spellEnd"/>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to move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Companies are requested to comment on the following proposal (slightly modified). Please understand that this proposal is not expected to resolve all open issues and more aspects may need to be covered. It should be understood as common practice that we can and will address e.g.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our understanding of FG3-5 is: T</w:t>
            </w:r>
            <w:proofErr w:type="spellStart"/>
            <w:r w:rsidRPr="000E3724">
              <w:t>ype</w:t>
            </w:r>
            <w:proofErr w:type="spellEnd"/>
            <w:r w:rsidRPr="000E3724">
              <w:t xml:space="preserv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 xml:space="preserve">Type0 and Type0A/2-CSS with </w:t>
            </w:r>
            <w:proofErr w:type="spellStart"/>
            <w:r w:rsidR="005C5159">
              <w:rPr>
                <w:rFonts w:ascii="Times New Roman" w:hAnsi="Times New Roman"/>
                <w:color w:val="000000" w:themeColor="text1"/>
                <w:lang w:val="en-GB"/>
              </w:rPr>
              <w:t>searchSpaceId</w:t>
            </w:r>
            <w:proofErr w:type="spellEnd"/>
            <w:r w:rsidR="005C5159">
              <w:rPr>
                <w:rFonts w:ascii="Times New Roman" w:hAnsi="Times New Roman"/>
                <w:color w:val="000000" w:themeColor="text1"/>
                <w:lang w:val="en-GB"/>
              </w:rPr>
              <w:t xml:space="preserve">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w:t>
            </w:r>
            <w:proofErr w:type="spellStart"/>
            <w:r w:rsidR="00DD21E4" w:rsidRPr="009504BC">
              <w:rPr>
                <w:rFonts w:ascii="Times New Roman" w:hAnsi="Times New Roman"/>
                <w:i/>
                <w:iCs/>
                <w:color w:val="000000" w:themeColor="text1"/>
                <w:lang w:val="en-GB"/>
              </w:rPr>
              <w:t>searchSpacedId</w:t>
            </w:r>
            <w:proofErr w:type="spellEnd"/>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ListParagraph"/>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ListParagraph"/>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ListParagraph"/>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ListParagraph"/>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ListParagraph"/>
              <w:ind w:left="0"/>
              <w:rPr>
                <w:lang w:eastAsia="zh-CN"/>
              </w:rPr>
            </w:pPr>
          </w:p>
          <w:p w14:paraId="5F84E9FD" w14:textId="5364DB7F" w:rsidR="00BD0946" w:rsidRDefault="00A57E49" w:rsidP="00B04F8C">
            <w:pPr>
              <w:pStyle w:val="ListParagraph"/>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ListParagraph"/>
              <w:ind w:left="0"/>
              <w:rPr>
                <w:lang w:eastAsia="zh-CN"/>
              </w:rPr>
            </w:pPr>
          </w:p>
          <w:p w14:paraId="2A8795A0" w14:textId="28444376" w:rsidR="003F0819" w:rsidRDefault="00AD1617" w:rsidP="00B04F8C">
            <w:pPr>
              <w:pStyle w:val="ListParagraph"/>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ListParagraph"/>
              <w:numPr>
                <w:ilvl w:val="3"/>
                <w:numId w:val="16"/>
              </w:numPr>
              <w:rPr>
                <w:lang w:val="en-GB"/>
              </w:rPr>
            </w:pPr>
            <w:r>
              <w:rPr>
                <w:lang w:val="en-GB"/>
              </w:rPr>
              <w:t>A UE capable of multi-slot monitoring optionally supports</w:t>
            </w:r>
          </w:p>
          <w:p w14:paraId="26EA0F85" w14:textId="56785EAF" w:rsidR="00846D76" w:rsidRDefault="00846D76" w:rsidP="00846D76">
            <w:pPr>
              <w:pStyle w:val="ListParagraph"/>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ListParagraph"/>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ListParagraph"/>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fldSimple w:instr=" SEQ Proposal \* ARABIC ">
        <w:r>
          <w:t>3</w:t>
        </w:r>
      </w:fldSimple>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only  multi-slot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lastRenderedPageBreak/>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proofErr w:type="spellStart"/>
            <w:r>
              <w:t>Futurewei</w:t>
            </w:r>
            <w:proofErr w:type="spellEnd"/>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proofErr w:type="spellStart"/>
            <w:r w:rsidRPr="00B16408">
              <w:rPr>
                <w:i/>
                <w:sz w:val="18"/>
              </w:rPr>
              <w:t>monitoringCapabilityConfig</w:t>
            </w:r>
            <w:proofErr w:type="spellEnd"/>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proofErr w:type="spellStart"/>
            <w:r w:rsidRPr="00B16408">
              <w:rPr>
                <w:i/>
                <w:sz w:val="15"/>
              </w:rPr>
              <w:t>monitoringcapability</w:t>
            </w:r>
            <w:proofErr w:type="spellEnd"/>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proofErr w:type="spellStart"/>
            <w:r w:rsidRPr="00B16408">
              <w:rPr>
                <w:i/>
                <w:sz w:val="18"/>
              </w:rPr>
              <w:t>monitoringCapabilityConfig</w:t>
            </w:r>
            <w:proofErr w:type="spellEnd"/>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proofErr w:type="spellStart"/>
            <w:r w:rsidR="00B16408" w:rsidRPr="00B16408">
              <w:rPr>
                <w:i/>
                <w:sz w:val="20"/>
                <w:lang w:eastAsia="zh-CN"/>
              </w:rPr>
              <w:t>monitoringCapabilityConfig</w:t>
            </w:r>
            <w:proofErr w:type="spellEnd"/>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Caption"/>
              <w:jc w:val="both"/>
              <w:rPr>
                <w:b w:val="0"/>
              </w:rPr>
            </w:pPr>
            <w:r>
              <w:t xml:space="preserve">Proposal </w:t>
            </w:r>
            <w:fldSimple w:instr=" SEQ Proposal \* ARABIC ">
              <w:r>
                <w:t>3</w:t>
              </w:r>
            </w:fldSimple>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fldSimple w:instr=" SEQ Proposal \* ARABIC ">
              <w:r>
                <w:t>4</w:t>
              </w:r>
            </w:fldSimple>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Many companies have shown general support, however companies pointed out that a refinement of the wording is necessary</w:t>
      </w:r>
      <w:r w:rsidR="00161154">
        <w:t xml:space="preserve"> and it may be better to consider this after agreeing on A1-1</w:t>
      </w:r>
      <w:r w:rsidRPr="006B4E81">
        <w:t xml:space="preserve">. It is therefore suggested to continue discussion based on </w:t>
      </w:r>
      <w:proofErr w:type="spellStart"/>
      <w:r w:rsidRPr="006B4E81">
        <w:t>vivo's</w:t>
      </w:r>
      <w:proofErr w:type="spellEnd"/>
      <w:r w:rsidRPr="006B4E81">
        <w:t xml:space="preserve">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 xml:space="preserve">Companies are requested to continue the discussion based on </w:t>
      </w:r>
      <w:proofErr w:type="spellStart"/>
      <w:r w:rsidRPr="006B4E81">
        <w:rPr>
          <w:highlight w:val="yellow"/>
          <w:lang w:val="en-GB" w:eastAsia="zh-CN"/>
        </w:rPr>
        <w:t>vivo's</w:t>
      </w:r>
      <w:proofErr w:type="spellEnd"/>
      <w:r w:rsidRPr="006B4E81">
        <w:rPr>
          <w:highlight w:val="yellow"/>
          <w:lang w:val="en-GB" w:eastAsia="zh-CN"/>
        </w:rPr>
        <w:t xml:space="preserve"> updated suggestion:</w:t>
      </w:r>
    </w:p>
    <w:p w14:paraId="61CBE6F1" w14:textId="02689A06" w:rsidR="006B4E81" w:rsidRDefault="006B4E81" w:rsidP="006B4E81">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A1-3, and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lastRenderedPageBreak/>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If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multi-slot based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We support the proposal. Multi-slot monitoring should be applicable to UE at all time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proofErr w:type="spellStart"/>
            <w:r>
              <w:rPr>
                <w:lang w:eastAsia="zh-CN"/>
              </w:rPr>
              <w:t>Futurewei</w:t>
            </w:r>
            <w:proofErr w:type="spellEnd"/>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 xml:space="preserve">We think multi-slot monitoring is sufficient. Since there has been no discussion on single-slot monitoring BD/CCE budgets, it seems improbable that </w:t>
            </w:r>
            <w:r>
              <w:rPr>
                <w:rFonts w:eastAsia="Times New Roman"/>
                <w:sz w:val="20"/>
                <w:lang w:eastAsia="zh-CN"/>
              </w:rPr>
              <w:lastRenderedPageBreak/>
              <w:t>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lastRenderedPageBreak/>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Most companies are fine with only supporting multi-slot PDCCH monitoring but not single-slot PDCCH monitoring, including for UEs in RRC_IDLE. FL suggests to move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lastRenderedPageBreak/>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 xml:space="preserve">Regarding the first bullet, we are fine with this interpretation. Since single-slot PDCCH monitoring is not preferred by majority companies, most of the values in the periodicity IE are invalid. Extending the parameter of period to an integer multiple of X is a </w:t>
            </w:r>
            <w:r>
              <w:rPr>
                <w:rFonts w:hint="eastAsia"/>
                <w:lang w:eastAsia="zh-CN"/>
              </w:rPr>
              <w:lastRenderedPageBreak/>
              <w:t>straightforward way to address the SS configuration under multi-slot PDCCH monitoring.</w:t>
            </w:r>
          </w:p>
        </w:tc>
      </w:tr>
      <w:tr w:rsidR="00D85314" w14:paraId="25D35716" w14:textId="77777777">
        <w:tc>
          <w:tcPr>
            <w:tcW w:w="2405" w:type="dxa"/>
          </w:tcPr>
          <w:p w14:paraId="40DCC48D" w14:textId="77777777" w:rsidR="00D85314" w:rsidRDefault="0005540E">
            <w:r>
              <w:lastRenderedPageBreak/>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slot-group, and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lastRenderedPageBreak/>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proofErr w:type="spellStart"/>
            <w:r>
              <w:rPr>
                <w:lang w:eastAsia="zh-CN"/>
              </w:rPr>
              <w:t>Futurewei</w:t>
            </w:r>
            <w:proofErr w:type="spellEnd"/>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4" o:title=""/>
          </v:shape>
          <o:OLEObject Type="Embed" ProgID="Visio.Drawing.11" ShapeID="_x0000_i1025" DrawAspect="Content" ObjectID="_1698581157" r:id="rId15"/>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lastRenderedPageBreak/>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FL therefore suggest to continue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lastRenderedPageBreak/>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lastRenderedPageBreak/>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lastRenderedPageBreak/>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lastRenderedPageBreak/>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We agree the proposed values as baseline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to continue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(e.g.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lastRenderedPageBreak/>
              <w:t xml:space="preserve">We share same view as Ericsson it could be 25 symbols for SCS 120kHz. </w:t>
            </w: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Can we agree on the following:</w:t>
      </w:r>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This issue has been concluded outside of this email discussion,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lastRenderedPageBreak/>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lastRenderedPageBreak/>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lastRenderedPageBreak/>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to consider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lastRenderedPageBreak/>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ListParagraph"/>
        <w:spacing w:after="160"/>
        <w:ind w:left="0"/>
        <w:jc w:val="center"/>
      </w:pPr>
      <w:r>
        <w:rPr>
          <w:noProof/>
        </w:rPr>
        <w:object w:dxaOrig="10396" w:dyaOrig="3927" w14:anchorId="0C98362C">
          <v:shape id="_x0000_i1026" type="#_x0000_t75" alt="" style="width:518.65pt;height:197.25pt;mso-width-percent:0;mso-height-percent:0;mso-width-percent:0;mso-height-percent:0" o:ole="">
            <v:imagedata r:id="rId16" o:title=""/>
          </v:shape>
          <o:OLEObject Type="Embed" ProgID="Visio.Drawing.15" ShapeID="_x0000_i1026" DrawAspect="Content" ObjectID="_1698581158" r:id="rId17"/>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 xml:space="preserve">This can be discussed later after Topic A1. Furthermore, we think Group(2) SS should be prioritized over Group(1) SS if dropping is </w:t>
            </w:r>
            <w:r>
              <w:rPr>
                <w:lang w:eastAsia="zh-CN"/>
              </w:rPr>
              <w:lastRenderedPageBreak/>
              <w:t>applied.</w:t>
            </w:r>
          </w:p>
        </w:tc>
      </w:tr>
      <w:tr w:rsidR="00D85314" w14:paraId="03AE90CC" w14:textId="77777777">
        <w:tc>
          <w:tcPr>
            <w:tcW w:w="2405" w:type="dxa"/>
          </w:tcPr>
          <w:p w14:paraId="15ED7F74" w14:textId="77777777" w:rsidR="00D85314" w:rsidRDefault="0005540E">
            <w:r>
              <w:rPr>
                <w:rFonts w:hint="eastAsia"/>
                <w:lang w:eastAsia="zh-CN"/>
              </w:rPr>
              <w:lastRenderedPageBreak/>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596CEF" w14:paraId="5A3269E4" w14:textId="77777777">
        <w:tc>
          <w:tcPr>
            <w:tcW w:w="2405" w:type="dxa"/>
          </w:tcPr>
          <w:p w14:paraId="5AF58D31" w14:textId="77777777" w:rsidR="00596CEF" w:rsidRDefault="00596CEF" w:rsidP="00596CEF">
            <w:r>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to revisit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lastRenderedPageBreak/>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lastRenderedPageBreak/>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FL suggests to clarify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Given earlier discussion and present contributions, FL suggest to decide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lastRenderedPageBreak/>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Alt 3: unlimited, i.e.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lastRenderedPageBreak/>
        <w:t>Summary of first round discussion</w:t>
      </w:r>
    </w:p>
    <w:p w14:paraId="3D381DD1" w14:textId="2FE26071" w:rsidR="005408E0" w:rsidRDefault="005157C5" w:rsidP="005408E0">
      <w:r>
        <w:t>Several companies point out that the supported SCS difference could be a UE capability, while most companies think that general cross-carrier scheduling between FR1 and FR2-2 is essential. FL therefore suggests to consider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lastRenderedPageBreak/>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lastRenderedPageBreak/>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1" w:name="_Ref86676032"/>
            <w:bookmarkStart w:id="12" w:name="_Ref86678118"/>
            <w:bookmarkStart w:id="13" w:name="_Hlk62233360"/>
            <w:r>
              <w:t xml:space="preserve">Proposal </w:t>
            </w:r>
            <w:fldSimple w:instr=" SEQ Proposal \* ARABIC ">
              <w:r>
                <w:t>1</w:t>
              </w:r>
            </w:fldSimple>
            <w:bookmarkEnd w:id="11"/>
            <w:r>
              <w:t>: Consider the following options for further design of multi-slot PDCCH monitoring capability:</w:t>
            </w:r>
            <w:bookmarkEnd w:id="12"/>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3"/>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 xml:space="preserve">This option provides </w:t>
            </w:r>
            <w:r>
              <w:rPr>
                <w:rFonts w:hint="eastAsia"/>
                <w:lang w:eastAsia="zh-CN"/>
              </w:rPr>
              <w:lastRenderedPageBreak/>
              <w:t>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lastRenderedPageBreak/>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4" w:name="_Toc87014485"/>
            <w:bookmarkStart w:id="1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4"/>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8"/>
          </w:p>
          <w:bookmarkStart w:id="19" w:name="_Toc87014492"/>
          <w:p w14:paraId="57A66CC8"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7014210"/>
            <w:bookmarkStart w:id="22" w:name="_Toc87014494"/>
            <w:bookmarkEnd w:id="2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2"/>
          </w:p>
          <w:bookmarkStart w:id="23" w:name="_Toc87014495"/>
          <w:p w14:paraId="52817752"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6"/>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8" w:name="_Hlk86949635"/>
            <w:r>
              <w:t xml:space="preserve">it can be easily configured in the Y consecutive slots for USS sets </w:t>
            </w:r>
            <w:bookmarkEnd w:id="28"/>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5pt;height:109.5pt;mso-width-percent:0;mso-height-percent:0;mso-width-percent:0;mso-height-percent:0" o:ole="">
                  <v:imagedata r:id="rId21" o:title=""/>
                </v:shape>
                <o:OLEObject Type="Embed" ProgID="Visio.Drawing.15" ShapeID="_x0000_i1027" DrawAspect="Content" ObjectID="_1698581159"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0.75pt;height:170.25pt;mso-width-percent:0;mso-height-percent:0;mso-width-percent:0;mso-height-percent:0" o:ole="">
                  <v:imagedata r:id="rId23" o:title=""/>
                </v:shape>
                <o:OLEObject Type="Embed" ProgID="Visio.Drawing.15" ShapeID="_x0000_i1028" DrawAspect="Content" ObjectID="_1698581160"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At this stage, we have very limited time to solve the issues caused by floating Y or random location of Group (2) SS.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2374A4">
            <w:pPr>
              <w:pStyle w:val="ListParagraph"/>
              <w:spacing w:after="160"/>
              <w:ind w:left="0"/>
              <w:jc w:val="center"/>
              <w:rPr>
                <w:lang w:eastAsia="zh-CN"/>
              </w:rPr>
            </w:pPr>
            <w:r>
              <w:rPr>
                <w:noProof/>
              </w:rPr>
              <w:object w:dxaOrig="9395" w:dyaOrig="5005" w14:anchorId="72247AFA">
                <v:shape id="_x0000_i1029" type="#_x0000_t75" alt="" style="width:470.25pt;height:251.65pt;mso-width-percent:0;mso-height-percent:0;mso-width-percent:0;mso-height-percent:0" o:ole="">
                  <v:imagedata r:id="rId25" o:title=""/>
                </v:shape>
                <o:OLEObject Type="Embed" ProgID="Visio.Drawing.15" ShapeID="_x0000_i1029" DrawAspect="Content" ObjectID="_1698581161" r:id="rId26"/>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9" w:name="OLE_LINK7"/>
            <w:r>
              <w:rPr>
                <w:rFonts w:hint="eastAsia"/>
                <w:bCs/>
                <w:iCs/>
                <w:szCs w:val="20"/>
                <w:lang w:eastAsia="zh-CN"/>
              </w:rPr>
              <w:t>the PDCCH monitoring occasion of Group 1</w:t>
            </w:r>
            <w:bookmarkEnd w:id="29"/>
            <w:r>
              <w:rPr>
                <w:rFonts w:hint="eastAsia"/>
                <w:bCs/>
                <w:iCs/>
                <w:szCs w:val="20"/>
                <w:lang w:eastAsia="zh-CN"/>
              </w:rPr>
              <w:t xml:space="preserve"> overlaps with the PDCCH monitoring occasion of Group 2, then only one slot is used to locate the PDCCH within a slot group. In such case, the minimum of </w:t>
            </w:r>
            <w:bookmarkStart w:id="30" w:name="OLE_LINK9"/>
            <w:r>
              <w:rPr>
                <w:rFonts w:hint="eastAsia"/>
                <w:bCs/>
                <w:iCs/>
                <w:szCs w:val="20"/>
                <w:lang w:eastAsia="zh-CN"/>
              </w:rPr>
              <w:t>Y</w:t>
            </w:r>
            <w:bookmarkEnd w:id="30"/>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1"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Proposal 1: For Option B-rev1 listed in the fourth round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2374A4">
            <w:pPr>
              <w:pStyle w:val="BodyText"/>
              <w:rPr>
                <w:rFonts w:ascii="Times" w:hAnsi="Times"/>
                <w:szCs w:val="24"/>
              </w:rPr>
            </w:pPr>
            <w:r>
              <w:rPr>
                <w:noProof/>
              </w:rPr>
              <w:object w:dxaOrig="9633" w:dyaOrig="2249" w14:anchorId="66BE2FCB">
                <v:shape id="_x0000_i1030" type="#_x0000_t75" alt="" style="width:481.5pt;height:112.15pt;mso-width-percent:0;mso-height-percent:0;mso-width-percent:0;mso-height-percent:0" o:ole="">
                  <v:imagedata r:id="rId28" o:title=""/>
                </v:shape>
                <o:OLEObject Type="Embed" ProgID="Visio.Drawing.15" ShapeID="_x0000_i1030" DrawAspect="Content" ObjectID="_1698581162" r:id="rId29"/>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Y=1 is mandatory, and Y=X/2 is optional;</w:t>
            </w:r>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Support the mandatory UE capability for multi-slot PDCCH monitoring;</w:t>
            </w:r>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to configure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2" w:name="_Ref86702034"/>
            <w:r>
              <w:t xml:space="preserve">Observation </w:t>
            </w:r>
            <w:fldSimple w:instr=" SEQ Observation \* ARABIC ">
              <w:r>
                <w:t>1</w:t>
              </w:r>
            </w:fldSimple>
            <w:bookmarkEnd w:id="32"/>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3"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4" w:name="_Ref86699493"/>
            <w:bookmarkStart w:id="35" w:name="P_3"/>
            <w:bookmarkEnd w:id="33"/>
            <w:r>
              <w:t xml:space="preserve">Proposal </w:t>
            </w:r>
            <w:fldSimple w:instr=" SEQ Proposal \* ARABIC ">
              <w:r>
                <w:t>3</w:t>
              </w:r>
            </w:fldSimple>
            <w:bookmarkEnd w:id="34"/>
            <w:r>
              <w:t>: Monitoring of all Group (2) SS sets are restricted within Y</w:t>
            </w:r>
            <w:r>
              <w:rPr>
                <w:vertAlign w:val="subscript"/>
              </w:rPr>
              <w:t>Group2</w:t>
            </w:r>
            <w:r>
              <w:t xml:space="preserve"> = 1 slot within a slot group of X slots.</w:t>
            </w:r>
          </w:p>
          <w:bookmarkEnd w:id="3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6"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consecutive Y slots within a slot group of X slots. In RAN1 #106bis e meeting, </w:t>
            </w:r>
            <w:r>
              <w:lastRenderedPageBreak/>
              <w:t>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7"/>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047833E" w14:textId="77777777" w:rsidR="00D85314" w:rsidRDefault="0005540E">
            <w:pPr>
              <w:pStyle w:val="ListParagraph"/>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fldSimple w:instr=" SEQ Figure \* ARABIC ">
              <w:r>
                <w:t>4</w:t>
              </w:r>
            </w:fldSimple>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8"/>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2374A4">
              <w:rPr>
                <w:noProof/>
              </w:rPr>
              <w:object w:dxaOrig="6753" w:dyaOrig="3103" w14:anchorId="6C59643D">
                <v:shape id="_x0000_i1031" type="#_x0000_t75" alt="" style="width:337.5pt;height:155.25pt;mso-width-percent:0;mso-height-percent:0;mso-width-percent:0;mso-height-percent:0" o:ole="">
                  <v:imagedata r:id="rId14" o:title=""/>
                </v:shape>
                <o:OLEObject Type="Embed" ProgID="Visio.Drawing.11" ShapeID="_x0000_i1031" DrawAspect="Content" ObjectID="_1698581163" r:id="rId33"/>
              </w:object>
            </w:r>
          </w:p>
          <w:p w14:paraId="1EA27984" w14:textId="77777777" w:rsidR="00D85314" w:rsidRDefault="0005540E">
            <w:pPr>
              <w:pStyle w:val="Caption"/>
              <w:rPr>
                <w:b w:val="0"/>
                <w:lang w:eastAsia="zh-CN"/>
              </w:rPr>
            </w:pPr>
            <w:bookmarkStart w:id="3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39"/>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BodyText"/>
              <w:keepNext/>
              <w:jc w:val="center"/>
            </w:pPr>
            <w:r>
              <w:rPr>
                <w:noProof/>
              </w:rPr>
              <w:object w:dxaOrig="6361" w:dyaOrig="1979" w14:anchorId="057FA397">
                <v:shape id="_x0000_i1032" type="#_x0000_t75" alt="" style="width:318pt;height:99.4pt;mso-width-percent:0;mso-height-percent:0;mso-width-percent:0;mso-height-percent:0" o:ole="">
                  <v:imagedata r:id="rId34" o:title=""/>
                </v:shape>
                <o:OLEObject Type="Embed" ProgID="Visio.Drawing.11" ShapeID="_x0000_i1032" DrawAspect="Content" ObjectID="_1698581164" r:id="rId35"/>
              </w:object>
            </w:r>
          </w:p>
          <w:p w14:paraId="14A155CF" w14:textId="77777777" w:rsidR="00D85314" w:rsidRDefault="0005540E">
            <w:pPr>
              <w:pStyle w:val="Caption"/>
              <w:rPr>
                <w:b w:val="0"/>
                <w:lang w:eastAsia="zh-CN"/>
              </w:rPr>
            </w:pPr>
            <w:bookmarkStart w:id="4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0"/>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3E4646">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1" w:name="_Toc87014497"/>
            <w:r>
              <w:rPr>
                <w:rFonts w:cs="Arial"/>
                <w:szCs w:val="20"/>
                <w:lang w:eastAsia="zh-CN"/>
              </w:rPr>
              <w:t>For multi-slot PDCCH monitoring with 480/960 kHz SCS, the network configures a search space with at least</w:t>
            </w:r>
            <w:r>
              <w:rPr>
                <w:rFonts w:eastAsiaTheme="minorEastAsia"/>
              </w:rPr>
              <w:t>:</w:t>
            </w:r>
            <w:bookmarkEnd w:id="4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2" w:name="_Toc87014498"/>
            <w:r>
              <w:rPr>
                <w:rFonts w:eastAsia="Calibri" w:cs="Arial"/>
                <w:szCs w:val="20"/>
                <w:lang w:val="en-GB" w:eastAsia="ja-JP"/>
              </w:rPr>
              <w:t>periodicity in terms of X-slot groups,</w:t>
            </w:r>
            <w:bookmarkEnd w:id="4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9"/>
            <w:r>
              <w:rPr>
                <w:rFonts w:eastAsia="Calibri" w:cs="Arial"/>
                <w:szCs w:val="20"/>
                <w:lang w:val="en-GB" w:eastAsia="ja-JP"/>
              </w:rPr>
              <w:t>offset in terms of X-slot groups within the period,</w:t>
            </w:r>
            <w:bookmarkEnd w:id="4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500"/>
            <w:r>
              <w:rPr>
                <w:rFonts w:eastAsia="Calibri" w:cs="Arial"/>
                <w:szCs w:val="20"/>
                <w:lang w:val="en-GB" w:eastAsia="ja-JP"/>
              </w:rPr>
              <w:t>duration in terms of X-slot groups within the period, and</w:t>
            </w:r>
            <w:bookmarkEnd w:id="4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5" w:name="_Toc87014501"/>
            <w:r>
              <w:rPr>
                <w:rFonts w:eastAsia="Calibri" w:cs="Arial"/>
                <w:i/>
                <w:iCs/>
                <w:szCs w:val="20"/>
                <w:lang w:val="en-GB" w:eastAsia="ja-JP"/>
              </w:rPr>
              <w:t>monitoringSymbolsWithinSlot</w:t>
            </w:r>
            <w:r>
              <w:rPr>
                <w:lang w:val="en-GB" w:eastAsia="ja-JP"/>
              </w:rPr>
              <w:t>.</w:t>
            </w:r>
            <w:bookmarkEnd w:id="4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7"/>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9"/>
          </w:p>
          <w:bookmarkStart w:id="50" w:name="_Toc87014506"/>
          <w:p w14:paraId="6D46516F"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3E4646">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2"/>
          </w:p>
          <w:bookmarkStart w:id="53" w:name="_Toc87014509"/>
          <w:p w14:paraId="63D6927C" w14:textId="77777777" w:rsidR="00D85314" w:rsidRDefault="003E4646">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5" w:name="_Toc87014511"/>
            <w:r>
              <w:t>In defining a solution for Rel-17 multi-slot PDCCH monitoring, both intra- and inter-slot monitoring aspects shall be addressed jointly</w:t>
            </w:r>
            <w:r>
              <w:rPr>
                <w:rFonts w:eastAsiaTheme="minorEastAsia"/>
              </w:rPr>
              <w:t>:</w:t>
            </w:r>
            <w:bookmarkEnd w:id="5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6" w:name="_Toc87014512"/>
            <w:r>
              <w:t>In which and in how many slot(s) of a multi-slot span shall PDCCH be monitored?</w:t>
            </w:r>
            <w:bookmarkEnd w:id="5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7" w:name="_Toc87014513"/>
            <w:r>
              <w:t>In which OFDM symbols of a monitored slot shall PDCCH be monitored?</w:t>
            </w:r>
            <w:bookmarkEnd w:id="57"/>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8"/>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5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23"/>
            <w:r>
              <w:rPr>
                <w:rFonts w:cs="Arial"/>
                <w:szCs w:val="20"/>
                <w:lang w:eastAsia="zh-CN"/>
              </w:rPr>
              <w:t>For multi-slot PDCCH monitoring with 480/960 kHz SCS, configuration of Group (2) search spaces follows Rel-16 specs</w:t>
            </w:r>
            <w:r>
              <w:rPr>
                <w:lang w:eastAsia="ja-JP"/>
              </w:rPr>
              <w:t>.</w:t>
            </w:r>
            <w:bookmarkEnd w:id="6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pt;height:99.4pt;mso-width-percent:0;mso-height-percent:0;mso-width-percent:0;mso-height-percent:0" o:ole="">
                  <v:imagedata r:id="rId36" o:title=""/>
                </v:shape>
                <o:OLEObject Type="Embed" ProgID="Visio.Drawing.15" ShapeID="_x0000_i1033" DrawAspect="Content" ObjectID="_1698581165"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3" w:name="_Hlk86953216"/>
            <w:r>
              <w:t>Type0/0A/1/2 CSS sets can be configured in different positions, e.g., symbol 0 and/or symbol 7 in a slot, which is similar to FG 3-1</w:t>
            </w:r>
            <w:bookmarkEnd w:id="6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Summary 1: To make sure Group (1) SS and Group (2) SS fall into the same Y slots within a X slot group, gNB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r>
              <w:t xml:space="preserve">SearchSpace ::=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r>
              <w:rPr>
                <w:color w:val="993366"/>
              </w:rPr>
              <w:t>OPTIONAL</w:t>
            </w:r>
            <w:r>
              <w:t xml:space="preserve">,   </w:t>
            </w:r>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4" w:name="OLE_LINK2"/>
            <w:r>
              <w:rPr>
                <w:rFonts w:hint="eastAsia"/>
                <w:b/>
                <w:i/>
                <w:szCs w:val="20"/>
                <w:lang w:eastAsia="zh-CN"/>
              </w:rPr>
              <w:t>Search space set group</w:t>
            </w:r>
            <w:bookmarkEnd w:id="64"/>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pt;height:143.25pt;mso-width-percent:0;mso-height-percent:0;mso-width-percent:0;mso-height-percent:0" o:ole="">
                  <v:imagedata r:id="rId38" o:title=""/>
                </v:shape>
                <o:OLEObject Type="Embed" ProgID="Visio.Drawing.15" ShapeID="_x0000_i1034" DrawAspect="Content" ObjectID="_1698581166"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5" w:name="_Ref68624864"/>
            <w:r>
              <w:t xml:space="preserve">Figure </w:t>
            </w:r>
            <w:fldSimple w:instr=" SEQ Figure \* ARABIC ">
              <w:r>
                <w:t>1</w:t>
              </w:r>
            </w:fldSimple>
            <w:bookmarkEnd w:id="6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A recent random access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6"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7" w:name="O_2"/>
            <w:bookmarkEnd w:id="66"/>
            <w:r>
              <w:t xml:space="preserve">Observation </w:t>
            </w:r>
            <w:fldSimple w:instr=" SEQ Observation \* ARABIC ">
              <w:r>
                <w:t>2</w:t>
              </w:r>
            </w:fldSimple>
            <w:r>
              <w:t>: Monitoring two consecutive slots for Group (2) SS sets within a slot group introduces lots of challenges in the UE implementation.</w:t>
            </w:r>
          </w:p>
          <w:bookmarkEnd w:id="67"/>
          <w:p w14:paraId="4B2339E2" w14:textId="77777777" w:rsidR="00D85314" w:rsidRDefault="0005540E">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8" w:name="_Ref86684986"/>
            <w:bookmarkStart w:id="69" w:name="P_5"/>
            <w:r>
              <w:t xml:space="preserve">Proposal </w:t>
            </w:r>
            <w:fldSimple w:instr=" SEQ Proposal \* ARABIC ">
              <w:r>
                <w:t>5</w:t>
              </w:r>
            </w:fldSimple>
            <w:bookmarkEnd w:id="6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6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0"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4pt;height:60.75pt;mso-width-percent:0;mso-height-percent:0;mso-width-percent:0;mso-height-percent:0" o:ole="">
                  <v:imagedata r:id="rId43" o:title=""/>
                </v:shape>
                <o:OLEObject Type="Embed" ProgID="Visio.Drawing.15" ShapeID="_x0000_i1035" DrawAspect="Content" ObjectID="_1698581167" r:id="rId44"/>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4pt;height:60.75pt;mso-width-percent:0;mso-height-percent:0;mso-width-percent:0;mso-height-percent:0" o:ole="">
                  <v:imagedata r:id="rId45" o:title=""/>
                </v:shape>
                <o:OLEObject Type="Embed" ProgID="Visio.Drawing.15" ShapeID="_x0000_i1036" DrawAspect="Content" ObjectID="_1698581168" r:id="rId46"/>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4pt;height:60.75pt;mso-width-percent:0;mso-height-percent:0;mso-width-percent:0;mso-height-percent:0" o:ole="">
                  <v:imagedata r:id="rId47" o:title=""/>
                </v:shape>
                <o:OLEObject Type="Embed" ProgID="Visio.Drawing.15" ShapeID="_x0000_i1037" DrawAspect="Content" ObjectID="_1698581169" r:id="rId48"/>
              </w:object>
            </w:r>
          </w:p>
          <w:p w14:paraId="75145163" w14:textId="77777777" w:rsidR="00D85314" w:rsidRDefault="0005540E">
            <w:pPr>
              <w:jc w:val="center"/>
            </w:pPr>
            <w:r>
              <w:t>(c)</w:t>
            </w:r>
          </w:p>
          <w:p w14:paraId="27833AB4" w14:textId="77777777" w:rsidR="00D85314" w:rsidRDefault="0005540E">
            <w:pPr>
              <w:pStyle w:val="Caption"/>
              <w:jc w:val="center"/>
            </w:pPr>
            <w:bookmarkStart w:id="71" w:name="_Ref86706230"/>
            <w:r>
              <w:t xml:space="preserve">Figure </w:t>
            </w:r>
            <w:fldSimple w:instr=" SEQ Figure \* ARABIC ">
              <w:r>
                <w:t>1</w:t>
              </w:r>
            </w:fldSimple>
            <w:bookmarkEnd w:id="7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3"/>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25pt;mso-width-percent:0;mso-height-percent:0;mso-width-percent:0;mso-height-percent:0" o:ole="">
                  <v:imagedata r:id="rId50" o:title=""/>
                </v:shape>
                <o:OLEObject Type="Embed" ProgID="Equation.3" ShapeID="_x0000_i1038" DrawAspect="Content" ObjectID="_1698581170"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4" w:name="_Toc87014516"/>
            <w:r>
              <w:rPr>
                <w:rFonts w:cs="Arial"/>
                <w:szCs w:val="20"/>
                <w:lang w:eastAsia="zh-CN"/>
              </w:rPr>
              <w:t>For multi-slot PDCCH monitoring with 480/960 kHz SCS, the network ensures</w:t>
            </w:r>
            <w:r>
              <w:rPr>
                <w:rFonts w:eastAsiaTheme="minorEastAsia"/>
              </w:rPr>
              <w:t>:</w:t>
            </w:r>
            <w:bookmarkEnd w:id="7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6" w:name="_Toc87014518"/>
            <w:r>
              <w:rPr>
                <w:lang w:val="en-GB" w:eastAsia="ja-JP"/>
              </w:rPr>
              <w:t>PDCCH monitoring overbooking is not supported for an SCell.</w:t>
            </w:r>
            <w:bookmarkEnd w:id="7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7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0"/>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1" w:name="_Toc87014528"/>
            <w:bookmarkStart w:id="82" w:name="_Ref79163691"/>
            <w:r>
              <w:rPr>
                <w:rFonts w:eastAsiaTheme="minorEastAsia"/>
              </w:rPr>
              <w:t>RAN1 agrees to the following m</w:t>
            </w:r>
            <w:r>
              <w:t>ulti-slot PDCCH processing capability values for 480/960 kHz SCS to progress the Rel-17 specification effort:</w:t>
            </w:r>
            <w:bookmarkEnd w:id="8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2374A4">
            <w:pPr>
              <w:pStyle w:val="ListParagraph"/>
              <w:spacing w:after="160"/>
              <w:ind w:left="0"/>
              <w:jc w:val="center"/>
            </w:pPr>
            <w:r>
              <w:rPr>
                <w:noProof/>
              </w:rPr>
              <w:object w:dxaOrig="10396" w:dyaOrig="3927" w14:anchorId="56715BE1">
                <v:shape id="_x0000_i1039" type="#_x0000_t75" alt="" style="width:518.65pt;height:197.25pt;mso-width-percent:0;mso-height-percent:0;mso-width-percent:0;mso-height-percent:0" o:ole="">
                  <v:imagedata r:id="rId16" o:title=""/>
                </v:shape>
                <o:OLEObject Type="Embed" ProgID="Visio.Drawing.15" ShapeID="_x0000_i1039" DrawAspect="Content" ObjectID="_1698581171" r:id="rId55"/>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5" w:name="_Ref78227753"/>
            <w:r>
              <w:rPr>
                <w:b/>
                <w:bCs/>
              </w:rPr>
              <w:t xml:space="preserve">Table </w:t>
            </w:r>
            <w:bookmarkEnd w:id="8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4.65pt;height:17.25pt;mso-width-percent:0;mso-height-percent:0;mso-width-percent:0;mso-height-percent:0" o:ole="">
                  <v:imagedata r:id="rId56" o:title=""/>
                </v:shape>
                <o:OLEObject Type="Embed" ProgID="Equation.3" ShapeID="_x0000_i1040" DrawAspect="Content" ObjectID="_1698581172" r:id="rId5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6" w:name="_Ref78227760"/>
            <w:r>
              <w:rPr>
                <w:b/>
                <w:bCs/>
              </w:rPr>
              <w:t xml:space="preserve">Table </w:t>
            </w:r>
            <w:bookmarkEnd w:id="8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4.65pt;height:17.25pt;mso-width-percent:0;mso-height-percent:0;mso-width-percent:0;mso-height-percent:0" o:ole="">
                  <v:imagedata r:id="rId56" o:title=""/>
                </v:shape>
                <o:OLEObject Type="Embed" ProgID="Equation.3" ShapeID="_x0000_i1041" DrawAspect="Content" ObjectID="_1698581173" r:id="rId5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5pt;height:112.15pt;mso-width-percent:0;mso-height-percent:0;mso-width-percent:0;mso-height-percent:0" o:ole="">
                  <v:imagedata r:id="rId59" o:title=""/>
                </v:shape>
                <o:OLEObject Type="Embed" ProgID="Visio.Drawing.15" ShapeID="_x0000_i1042" DrawAspect="Content" ObjectID="_1698581174"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7" w:name="_Hlk79057913"/>
            <w:r>
              <w:rPr>
                <w:szCs w:val="18"/>
              </w:rPr>
              <w:t>USS in PCell and PSCell</w:t>
            </w:r>
            <w:bookmarkEnd w:id="8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8" w:name="_Toc83573326"/>
            <w:bookmarkStart w:id="89" w:name="_Toc83587356"/>
            <w:bookmarkStart w:id="90" w:name="_Toc83632382"/>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8"/>
            <w:bookmarkEnd w:id="89"/>
            <w:bookmarkEnd w:id="9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4pt;height:60.75pt;mso-width-percent:0;mso-height-percent:0;mso-width-percent:0;mso-height-percent:0" o:ole="">
                  <v:imagedata r:id="rId43" o:title=""/>
                </v:shape>
                <o:OLEObject Type="Embed" ProgID="Visio.Drawing.15" ShapeID="_x0000_i1043" DrawAspect="Content" ObjectID="_1698581175" r:id="rId61"/>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4pt;height:60.75pt;mso-width-percent:0;mso-height-percent:0;mso-width-percent:0;mso-height-percent:0" o:ole="">
                  <v:imagedata r:id="rId45" o:title=""/>
                </v:shape>
                <o:OLEObject Type="Embed" ProgID="Visio.Drawing.15" ShapeID="_x0000_i1044" DrawAspect="Content" ObjectID="_1698581176" r:id="rId62"/>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4pt;height:60.75pt;mso-width-percent:0;mso-height-percent:0;mso-width-percent:0;mso-height-percent:0" o:ole="">
                  <v:imagedata r:id="rId47" o:title=""/>
                </v:shape>
                <o:OLEObject Type="Embed" ProgID="Visio.Drawing.15" ShapeID="_x0000_i1045" DrawAspect="Content" ObjectID="_1698581177" r:id="rId63"/>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fldSimple w:instr=" SEQ Figure \* ARABIC ">
              <w:r>
                <w:t>1</w:t>
              </w:r>
            </w:fldSimple>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1" w:name="_Ref61441327"/>
            <w:bookmarkStart w:id="9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1"/>
            <w:r>
              <w:rPr>
                <w:b/>
              </w:rPr>
              <w:t>following alternatives could be considered:</w:t>
            </w:r>
            <w:bookmarkEnd w:id="9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5.75pt;height:13.9pt;mso-width-percent:0;mso-height-percent:0;mso-width-percent:0;mso-height-percent:0" o:ole="">
                  <v:imagedata r:id="rId64" o:title=""/>
                </v:shape>
                <o:OLEObject Type="Embed" ProgID="Equation.DSMT4" ShapeID="_x0000_i1046" DrawAspect="Content" ObjectID="_1698581178" r:id="rId65"/>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5.75pt;height:13.9pt;mso-width-percent:0;mso-height-percent:0;mso-width-percent:0;mso-height-percent:0" o:ole="">
                  <v:imagedata r:id="rId64" o:title=""/>
                </v:shape>
                <o:OLEObject Type="Embed" ProgID="Equation.DSMT4" ShapeID="_x0000_i1047" DrawAspect="Content" ObjectID="_1698581179" r:id="rId66"/>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4" w:name="_Ref78902377"/>
            <w:bookmarkStart w:id="95"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4"/>
          </w:p>
          <w:bookmarkEnd w:id="95"/>
          <w:p w14:paraId="58042365" w14:textId="77777777" w:rsidR="00D85314" w:rsidRDefault="00D85314">
            <w:pPr>
              <w:pStyle w:val="Caption"/>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6" w:name="_Ref68527611"/>
            <w:r>
              <w:t xml:space="preserve">Figure </w:t>
            </w:r>
            <w:fldSimple w:instr=" SEQ Figure \* ARABIC ">
              <w:r>
                <w:t>1</w:t>
              </w:r>
            </w:fldSimple>
            <w:bookmarkEnd w:id="96"/>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Caption"/>
            </w:pPr>
            <w:r>
              <w:t xml:space="preserve">  </w:t>
            </w:r>
            <w:bookmarkStart w:id="97"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7"/>
            <w:r>
              <w:t xml:space="preserve"> </w:t>
            </w:r>
          </w:p>
          <w:p w14:paraId="08CCF181" w14:textId="77777777" w:rsidR="00D85314" w:rsidRDefault="00D85314">
            <w:pPr>
              <w:pStyle w:val="ListParagraph"/>
              <w:numPr>
                <w:ilvl w:val="0"/>
                <w:numId w:val="84"/>
              </w:numPr>
              <w:snapToGrid/>
              <w:spacing w:line="240" w:lineRule="auto"/>
              <w:rPr>
                <w:lang w:val="en-GB"/>
              </w:rPr>
            </w:pPr>
            <w:bookmarkStart w:id="98" w:name="P_9"/>
          </w:p>
          <w:bookmarkEnd w:id="98"/>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022F0" w14:textId="77777777" w:rsidR="003B1745" w:rsidRDefault="003B1745" w:rsidP="00596CEF">
      <w:pPr>
        <w:spacing w:after="0" w:line="240" w:lineRule="auto"/>
      </w:pPr>
      <w:r>
        <w:separator/>
      </w:r>
    </w:p>
  </w:endnote>
  <w:endnote w:type="continuationSeparator" w:id="0">
    <w:p w14:paraId="33060D4F" w14:textId="77777777" w:rsidR="003B1745" w:rsidRDefault="003B1745" w:rsidP="00596CEF">
      <w:pPr>
        <w:spacing w:after="0" w:line="240" w:lineRule="auto"/>
      </w:pPr>
      <w:r>
        <w:continuationSeparator/>
      </w:r>
    </w:p>
  </w:endnote>
  <w:endnote w:type="continuationNotice" w:id="1">
    <w:p w14:paraId="564813AD" w14:textId="77777777" w:rsidR="003B1745" w:rsidRDefault="003B17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13A85" w14:textId="77777777" w:rsidR="003B1745" w:rsidRDefault="003B1745" w:rsidP="00596CEF">
      <w:pPr>
        <w:spacing w:after="0" w:line="240" w:lineRule="auto"/>
      </w:pPr>
      <w:r>
        <w:separator/>
      </w:r>
    </w:p>
  </w:footnote>
  <w:footnote w:type="continuationSeparator" w:id="0">
    <w:p w14:paraId="62FDEB84" w14:textId="77777777" w:rsidR="003B1745" w:rsidRDefault="003B1745" w:rsidP="00596CEF">
      <w:pPr>
        <w:spacing w:after="0" w:line="240" w:lineRule="auto"/>
      </w:pPr>
      <w:r>
        <w:continuationSeparator/>
      </w:r>
    </w:p>
  </w:footnote>
  <w:footnote w:type="continuationNotice" w:id="1">
    <w:p w14:paraId="544C4BF5" w14:textId="77777777" w:rsidR="003B1745" w:rsidRDefault="003B17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7"/>
  </w:num>
  <w:num w:numId="4">
    <w:abstractNumId w:val="80"/>
  </w:num>
  <w:num w:numId="5">
    <w:abstractNumId w:val="64"/>
  </w:num>
  <w:num w:numId="6">
    <w:abstractNumId w:val="52"/>
  </w:num>
  <w:num w:numId="7">
    <w:abstractNumId w:val="53"/>
  </w:num>
  <w:num w:numId="8">
    <w:abstractNumId w:val="94"/>
  </w:num>
  <w:num w:numId="9">
    <w:abstractNumId w:val="54"/>
  </w:num>
  <w:num w:numId="10">
    <w:abstractNumId w:val="83"/>
  </w:num>
  <w:num w:numId="11">
    <w:abstractNumId w:val="46"/>
  </w:num>
  <w:num w:numId="12">
    <w:abstractNumId w:val="31"/>
  </w:num>
  <w:num w:numId="13">
    <w:abstractNumId w:val="44"/>
  </w:num>
  <w:num w:numId="14">
    <w:abstractNumId w:val="62"/>
  </w:num>
  <w:num w:numId="15">
    <w:abstractNumId w:val="38"/>
  </w:num>
  <w:num w:numId="16">
    <w:abstractNumId w:val="88"/>
  </w:num>
  <w:num w:numId="17">
    <w:abstractNumId w:val="11"/>
  </w:num>
  <w:num w:numId="18">
    <w:abstractNumId w:val="91"/>
  </w:num>
  <w:num w:numId="19">
    <w:abstractNumId w:val="51"/>
  </w:num>
  <w:num w:numId="20">
    <w:abstractNumId w:val="16"/>
  </w:num>
  <w:num w:numId="21">
    <w:abstractNumId w:val="58"/>
  </w:num>
  <w:num w:numId="22">
    <w:abstractNumId w:val="84"/>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5"/>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2"/>
  </w:num>
  <w:num w:numId="58">
    <w:abstractNumId w:val="0"/>
  </w:num>
  <w:num w:numId="59">
    <w:abstractNumId w:val="57"/>
  </w:num>
  <w:num w:numId="60">
    <w:abstractNumId w:val="25"/>
  </w:num>
  <w:num w:numId="61">
    <w:abstractNumId w:val="55"/>
  </w:num>
  <w:num w:numId="62">
    <w:abstractNumId w:val="4"/>
  </w:num>
  <w:num w:numId="63">
    <w:abstractNumId w:val="90"/>
  </w:num>
  <w:num w:numId="64">
    <w:abstractNumId w:val="93"/>
  </w:num>
  <w:num w:numId="65">
    <w:abstractNumId w:val="36"/>
  </w:num>
  <w:num w:numId="66">
    <w:abstractNumId w:val="59"/>
  </w:num>
  <w:num w:numId="67">
    <w:abstractNumId w:val="86"/>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2"/>
  </w:num>
  <w:num w:numId="78">
    <w:abstractNumId w:val="33"/>
  </w:num>
  <w:num w:numId="79">
    <w:abstractNumId w:val="65"/>
  </w:num>
  <w:num w:numId="80">
    <w:abstractNumId w:val="81"/>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9"/>
  </w:num>
  <w:num w:numId="88">
    <w:abstractNumId w:val="8"/>
  </w:num>
  <w:num w:numId="89">
    <w:abstractNumId w:val="89"/>
  </w:num>
  <w:num w:numId="90">
    <w:abstractNumId w:val="34"/>
  </w:num>
  <w:num w:numId="91">
    <w:abstractNumId w:val="3"/>
  </w:num>
  <w:num w:numId="92">
    <w:abstractNumId w:val="61"/>
  </w:num>
  <w:num w:numId="93">
    <w:abstractNumId w:val="68"/>
  </w:num>
  <w:num w:numId="94">
    <w:abstractNumId w:val="13"/>
  </w:num>
  <w:num w:numId="95">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embedSystemFonts/>
  <w:bordersDoNotSurroundHeader/>
  <w:bordersDoNotSurroundFooter/>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png"/><Relationship Id="rId26" Type="http://schemas.openxmlformats.org/officeDocument/2006/relationships/package" Target="embeddings/Microsoft_Visio_Drawing3.vsdx"/><Relationship Id="rId39" Type="http://schemas.openxmlformats.org/officeDocument/2006/relationships/package" Target="embeddings/Microsoft_Visio_Drawing6.vsdx"/><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image" Target="media/image21.png"/><Relationship Id="rId47" Type="http://schemas.openxmlformats.org/officeDocument/2006/relationships/image" Target="media/image24.emf"/><Relationship Id="rId50" Type="http://schemas.openxmlformats.org/officeDocument/2006/relationships/image" Target="media/image26.wmf"/><Relationship Id="rId55" Type="http://schemas.openxmlformats.org/officeDocument/2006/relationships/package" Target="embeddings/Microsoft_Visio_Drawing10.vsdx"/><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5.png"/><Relationship Id="rId37" Type="http://schemas.openxmlformats.org/officeDocument/2006/relationships/package" Target="embeddings/Microsoft_Visio_Drawing5.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61" Type="http://schemas.openxmlformats.org/officeDocument/2006/relationships/package" Target="embeddings/Microsoft_Visio_Drawing12.vsdx"/><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package" Target="embeddings/Microsoft_Visio_Drawing7.vsdx"/><Relationship Id="rId52" Type="http://schemas.openxmlformats.org/officeDocument/2006/relationships/image" Target="media/image27.wmf"/><Relationship Id="rId60" Type="http://schemas.openxmlformats.org/officeDocument/2006/relationships/package" Target="embeddings/Microsoft_Visio_Drawing11.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vsd"/><Relationship Id="rId43" Type="http://schemas.openxmlformats.org/officeDocument/2006/relationships/image" Target="media/image22.emf"/><Relationship Id="rId48" Type="http://schemas.openxmlformats.org/officeDocument/2006/relationships/package" Target="embeddings/Microsoft_Visio_Drawing9.vsdx"/><Relationship Id="rId56" Type="http://schemas.openxmlformats.org/officeDocument/2006/relationships/image" Target="media/image30.wmf"/><Relationship Id="rId64" Type="http://schemas.openxmlformats.org/officeDocument/2006/relationships/image" Target="media/image32.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vsdx"/><Relationship Id="rId25" Type="http://schemas.openxmlformats.org/officeDocument/2006/relationships/image" Target="media/image10.emf"/><Relationship Id="rId33" Type="http://schemas.openxmlformats.org/officeDocument/2006/relationships/oleObject" Target="embeddings/Microsoft_Visio_2003-2010_Drawing1.vsd"/><Relationship Id="rId38" Type="http://schemas.openxmlformats.org/officeDocument/2006/relationships/image" Target="media/image18.emf"/><Relationship Id="rId46" Type="http://schemas.openxmlformats.org/officeDocument/2006/relationships/package" Target="embeddings/Microsoft_Visio_Drawing8.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5.xml><?xml version="1.0" encoding="utf-8"?>
<ds:datastoreItem xmlns:ds="http://schemas.openxmlformats.org/officeDocument/2006/customXml" ds:itemID="{855069C8-68F3-4404-9D59-641CF0B12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145</Pages>
  <Words>48638</Words>
  <Characters>277243</Characters>
  <Application>Microsoft Office Word</Application>
  <DocSecurity>0</DocSecurity>
  <Lines>2310</Lines>
  <Paragraphs>650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325231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Li, Yingyang</cp:lastModifiedBy>
  <cp:revision>3</cp:revision>
  <cp:lastPrinted>2016-08-13T07:06:00Z</cp:lastPrinted>
  <dcterms:created xsi:type="dcterms:W3CDTF">2021-11-16T07:02:00Z</dcterms:created>
  <dcterms:modified xsi:type="dcterms:W3CDTF">2021-11-16T07:19:00Z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