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198C49BB" w14:textId="643CE63E" w:rsidR="00775687" w:rsidRPr="00DA470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229DFB91" w:rsidR="00FD156D" w:rsidRPr="00DA4707" w:rsidRDefault="00FD156D" w:rsidP="00FD156D">
            <w:pPr>
              <w:snapToGrid w:val="0"/>
              <w:rPr>
                <w:sz w:val="18"/>
                <w:szCs w:val="18"/>
              </w:rPr>
            </w:pPr>
            <w:r>
              <w:rPr>
                <w:sz w:val="18"/>
                <w:szCs w:val="18"/>
              </w:rPr>
              <w:t>H</w:t>
            </w:r>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1115D9A2" w14:textId="7C14D72C" w:rsidR="008651CF" w:rsidRPr="009132CE" w:rsidRDefault="008651CF" w:rsidP="009132CE">
            <w:pPr>
              <w:rPr>
                <w:sz w:val="18"/>
                <w:szCs w:val="18"/>
              </w:rPr>
            </w:pPr>
            <w:r>
              <w:rPr>
                <w:rFonts w:hint="eastAsia"/>
                <w:sz w:val="18"/>
                <w:szCs w:val="18"/>
              </w:rPr>
              <w:t>LG: Fine to discuss</w:t>
            </w:r>
            <w:r>
              <w:rPr>
                <w:sz w:val="18"/>
                <w:szCs w:val="18"/>
              </w:rPr>
              <w:t xml:space="preserve"> this.</w:t>
            </w: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2458D1E5" w:rsidR="00FD156D" w:rsidRPr="00DA4707" w:rsidRDefault="00112D33" w:rsidP="00FD156D">
            <w:pPr>
              <w:snapToGrid w:val="0"/>
              <w:rPr>
                <w:sz w:val="18"/>
                <w:szCs w:val="18"/>
              </w:rPr>
            </w:pPr>
            <w:r>
              <w:rPr>
                <w:sz w:val="18"/>
                <w:szCs w:val="18"/>
              </w:rPr>
              <w:t>H</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Also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2E11AD71" w14:textId="04F9BEAE" w:rsidR="008651CF" w:rsidRPr="00DA4707" w:rsidRDefault="008651CF" w:rsidP="002D28AD">
            <w:pPr>
              <w:snapToGrid w:val="0"/>
              <w:jc w:val="both"/>
              <w:rPr>
                <w:sz w:val="18"/>
                <w:szCs w:val="18"/>
                <w:lang w:eastAsia="zh-CN"/>
              </w:rPr>
            </w:pPr>
            <w:r>
              <w:rPr>
                <w:rFonts w:hint="eastAsia"/>
                <w:sz w:val="18"/>
                <w:szCs w:val="18"/>
              </w:rPr>
              <w:t>LG: Fine to discuss</w:t>
            </w:r>
            <w:r>
              <w:rPr>
                <w:sz w:val="18"/>
                <w:szCs w:val="18"/>
              </w:rPr>
              <w:t xml:space="preserve"> and agree with Apple/Samsung.</w:t>
            </w: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77EBF32F" w:rsidR="00FD156D" w:rsidRPr="00DA4707" w:rsidRDefault="00FD156D" w:rsidP="00FD156D">
            <w:pPr>
              <w:snapToGrid w:val="0"/>
              <w:rPr>
                <w:sz w:val="18"/>
                <w:szCs w:val="18"/>
              </w:rPr>
            </w:pPr>
            <w:r>
              <w:rPr>
                <w:sz w:val="18"/>
                <w:szCs w:val="18"/>
              </w:rPr>
              <w:t>E</w:t>
            </w:r>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w:t>
            </w:r>
            <w:r>
              <w:rPr>
                <w:sz w:val="18"/>
                <w:szCs w:val="18"/>
              </w:rPr>
              <w:t xml:space="preserve">to </w:t>
            </w:r>
            <w:r>
              <w:rPr>
                <w:sz w:val="18"/>
                <w:szCs w:val="18"/>
              </w:rPr>
              <w:t xml:space="preserve">revise the sentence more precisely </w:t>
            </w:r>
            <w:r>
              <w:rPr>
                <w:sz w:val="18"/>
                <w:szCs w:val="18"/>
              </w:rPr>
              <w:t xml:space="preserve">rather than adopting Apple’s </w:t>
            </w:r>
            <w:r>
              <w:rPr>
                <w:sz w:val="18"/>
                <w:szCs w:val="18"/>
              </w:rPr>
              <w:t>TP, i.e.</w:t>
            </w:r>
            <w:r>
              <w:rPr>
                <w:sz w:val="18"/>
                <w:szCs w:val="18"/>
              </w:rPr>
              <w:t xml:space="preserve"> one candidate RS ID is reported for one SCell</w:t>
            </w:r>
            <w:r>
              <w:rPr>
                <w:sz w:val="18"/>
                <w:szCs w:val="18"/>
              </w:rPr>
              <w:t xml:space="preserve"> according to TS38.321</w:t>
            </w:r>
            <w:r>
              <w:rPr>
                <w:sz w:val="18"/>
                <w:szCs w:val="18"/>
              </w:rPr>
              <w:t>, e.g.</w:t>
            </w:r>
          </w:p>
          <w:p w14:paraId="7398407F" w14:textId="77777777" w:rsidR="008651CF" w:rsidRPr="008651CF" w:rsidRDefault="008651CF" w:rsidP="008651CF">
            <w:pPr>
              <w:snapToGrid w:val="0"/>
              <w:jc w:val="both"/>
              <w:rPr>
                <w:sz w:val="18"/>
                <w:szCs w:val="18"/>
              </w:rPr>
            </w:pPr>
          </w:p>
          <w:p w14:paraId="04611A11" w14:textId="32EF3AC7" w:rsidR="008651CF" w:rsidRPr="00DA4707" w:rsidRDefault="008651CF" w:rsidP="008651CF">
            <w:pPr>
              <w:snapToGrid w:val="0"/>
              <w:jc w:val="both"/>
              <w:rPr>
                <w:rFonts w:hint="eastAsia"/>
                <w:sz w:val="18"/>
                <w:szCs w:val="18"/>
              </w:rPr>
            </w:pPr>
            <w:r w:rsidRPr="00311C23">
              <w:rPr>
                <w:sz w:val="18"/>
                <w:szCs w:val="18"/>
              </w:rPr>
              <w:t>For the SCell</w:t>
            </w:r>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sz w:val="18"/>
                <w:szCs w:val="18"/>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r w:rsidRPr="00311C23">
              <w:rPr>
                <w:color w:val="FF0000"/>
                <w:sz w:val="18"/>
                <w:szCs w:val="18"/>
              </w:rPr>
              <w:t>is</w:t>
            </w:r>
            <w:r w:rsidRPr="00311C23">
              <w:rPr>
                <w:strike/>
                <w:color w:val="FF0000"/>
                <w:sz w:val="18"/>
                <w:szCs w:val="18"/>
              </w:rPr>
              <w:t>are</w:t>
            </w:r>
            <w:r w:rsidRPr="00311C23">
              <w:rPr>
                <w:sz w:val="18"/>
                <w:szCs w:val="18"/>
              </w:rPr>
              <w:t xml:space="preserve"> larger than or equal to the Q</w:t>
            </w:r>
            <w:r w:rsidRPr="00311C23">
              <w:rPr>
                <w:sz w:val="18"/>
                <w:szCs w:val="18"/>
                <w:vertAlign w:val="subscript"/>
              </w:rPr>
              <w:t>in,LR</w:t>
            </w:r>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sz w:val="18"/>
                <w:szCs w:val="18"/>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and the corresponding L1-RSRP measurement</w:t>
            </w:r>
            <w:r w:rsidRPr="00311C23">
              <w:rPr>
                <w:iCs/>
                <w:strike/>
                <w:color w:val="FF0000"/>
                <w:sz w:val="18"/>
                <w:szCs w:val="18"/>
              </w:rPr>
              <w:t>s</w:t>
            </w:r>
            <w:r w:rsidRPr="00311C23">
              <w:rPr>
                <w:iCs/>
                <w:sz w:val="18"/>
                <w:szCs w:val="18"/>
              </w:rPr>
              <w:t xml:space="preserve"> that </w:t>
            </w:r>
            <w:r w:rsidRPr="00311C23">
              <w:rPr>
                <w:iCs/>
                <w:color w:val="FF0000"/>
                <w:sz w:val="18"/>
                <w:szCs w:val="18"/>
              </w:rPr>
              <w:t>is</w:t>
            </w:r>
            <w:r w:rsidRPr="00311C23">
              <w:rPr>
                <w:iCs/>
                <w:strike/>
                <w:color w:val="FF0000"/>
                <w:sz w:val="18"/>
                <w:szCs w:val="18"/>
              </w:rPr>
              <w:t>are</w:t>
            </w:r>
            <w:r w:rsidRPr="00311C23">
              <w:rPr>
                <w:iCs/>
                <w:sz w:val="18"/>
                <w:szCs w:val="18"/>
              </w:rPr>
              <w:t xml:space="preserve"> larger than or equal to the </w:t>
            </w:r>
            <w:r w:rsidRPr="00311C23">
              <w:rPr>
                <w:sz w:val="18"/>
                <w:szCs w:val="18"/>
              </w:rPr>
              <w:t>Q</w:t>
            </w:r>
            <w:r w:rsidRPr="00311C23">
              <w:rPr>
                <w:sz w:val="18"/>
                <w:szCs w:val="18"/>
                <w:vertAlign w:val="subscript"/>
              </w:rPr>
              <w:t>in,LR</w:t>
            </w:r>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SCell</w:t>
            </w:r>
            <w:r w:rsidRPr="00311C23">
              <w:rPr>
                <w:iCs/>
                <w:sz w:val="18"/>
                <w:szCs w:val="18"/>
              </w:rPr>
              <w: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lastRenderedPageBreak/>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230BC6EF" w14:textId="5B55EFD8" w:rsidR="008651CF" w:rsidRPr="00DA4707"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6F68E4C" w14:textId="4FF2E177" w:rsidR="008651CF" w:rsidRPr="00DA4707"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non critical,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3B39F016" w14:textId="340336C8" w:rsidR="008651CF" w:rsidRPr="00DA4707"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7B7B16AA" w14:textId="4A8C674B" w:rsidR="008651CF" w:rsidRPr="00DA4707"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r w:rsidR="00BF7D3A">
              <w:rPr>
                <w:sz w:val="18"/>
                <w:szCs w:val="18"/>
              </w:rPr>
              <w:t>Or, the NW can avoid this from happening by configuring paraComb values that don’t have this issue.</w:t>
            </w:r>
          </w:p>
          <w:p w14:paraId="0D35122E" w14:textId="77777777" w:rsidR="008651CF" w:rsidRDefault="008651CF" w:rsidP="005E6932">
            <w:pPr>
              <w:snapToGrid w:val="0"/>
              <w:jc w:val="both"/>
              <w:rPr>
                <w:sz w:val="18"/>
                <w:szCs w:val="18"/>
              </w:rPr>
            </w:pPr>
          </w:p>
          <w:p w14:paraId="7FD14F8F" w14:textId="48072290" w:rsidR="008651CF" w:rsidRPr="00DA4707"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r w:rsidRPr="005B7C95">
              <w:rPr>
                <w:i/>
                <w:color w:val="FF0000"/>
                <w:sz w:val="18"/>
                <w:szCs w:val="18"/>
                <w:u w:val="single"/>
                <w:lang w:val="en-GB"/>
              </w:rPr>
              <w:t>reportQuantity</w:t>
            </w:r>
            <w:r w:rsidRPr="005B7C95">
              <w:rPr>
                <w:color w:val="FF0000"/>
                <w:sz w:val="18"/>
                <w:szCs w:val="18"/>
                <w:u w:val="single"/>
                <w:lang w:val="en-GB"/>
              </w:rPr>
              <w:t xml:space="preserve"> is set to 'cri-RI-PMI-CQI', or 'cri-RI-LI-PMI-CQI', </w:t>
            </w:r>
            <w:r w:rsidRPr="005B7C95">
              <w:rPr>
                <w:i/>
                <w:iCs/>
                <w:color w:val="FF0000"/>
                <w:sz w:val="18"/>
                <w:szCs w:val="18"/>
                <w:u w:val="single"/>
              </w:rPr>
              <w:t>codebookType</w:t>
            </w:r>
            <w:r w:rsidRPr="005B7C95">
              <w:rPr>
                <w:color w:val="FF0000"/>
                <w:sz w:val="18"/>
                <w:szCs w:val="18"/>
                <w:u w:val="single"/>
              </w:rPr>
              <w:t xml:space="preserve"> is set to </w:t>
            </w:r>
            <w:r w:rsidRPr="005B7C95">
              <w:rPr>
                <w:color w:val="FF0000"/>
                <w:sz w:val="18"/>
                <w:szCs w:val="18"/>
                <w:u w:val="single"/>
                <w:lang w:val="en-GB"/>
              </w:rPr>
              <w:t>'typeII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14283701" w:rsidR="00FB3FBB" w:rsidRPr="00DA4707" w:rsidRDefault="00FB3FBB" w:rsidP="00FB3FBB">
            <w:pPr>
              <w:snapToGrid w:val="0"/>
              <w:jc w:val="both"/>
              <w:rPr>
                <w:sz w:val="18"/>
                <w:szCs w:val="18"/>
              </w:rPr>
            </w:pPr>
            <w:r>
              <w:rPr>
                <w:sz w:val="18"/>
                <w:szCs w:val="18"/>
              </w:rPr>
              <w:t>Either N or E</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0A3AA382" w14:textId="4F13F78D" w:rsidR="002C7285" w:rsidRPr="00DA4707" w:rsidRDefault="008651CF" w:rsidP="00FB3FBB">
            <w:pPr>
              <w:snapToGrid w:val="0"/>
              <w:jc w:val="both"/>
              <w:rPr>
                <w:sz w:val="18"/>
                <w:szCs w:val="18"/>
              </w:rPr>
            </w:pPr>
            <w:r>
              <w:rPr>
                <w:sz w:val="18"/>
                <w:szCs w:val="18"/>
              </w:rPr>
              <w:t xml:space="preserve">LG: </w:t>
            </w:r>
            <w:r w:rsidRPr="00491B96">
              <w:rPr>
                <w:sz w:val="18"/>
                <w:szCs w:val="18"/>
              </w:rPr>
              <w:t>It is not essential that the design of eTypeII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lastRenderedPageBreak/>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5E93DF20" w14:textId="0B08CD1B" w:rsidR="008651CF" w:rsidRPr="00DA4707" w:rsidRDefault="008651CF" w:rsidP="00FB3FBB">
            <w:pPr>
              <w:snapToGrid w:val="0"/>
              <w:jc w:val="both"/>
              <w:rPr>
                <w:rFonts w:hint="eastAsia"/>
                <w:sz w:val="18"/>
                <w:szCs w:val="18"/>
              </w:rPr>
            </w:pPr>
            <w:r>
              <w:rPr>
                <w:sz w:val="18"/>
                <w:szCs w:val="18"/>
              </w:rPr>
              <w:t>LG: A</w:t>
            </w:r>
            <w:r>
              <w:rPr>
                <w:rFonts w:hint="eastAsia"/>
                <w:sz w:val="18"/>
                <w:szCs w:val="18"/>
              </w:rPr>
              <w:t xml:space="preserve">gree </w:t>
            </w:r>
            <w:r>
              <w:rPr>
                <w:sz w:val="18"/>
                <w:szCs w:val="18"/>
              </w:rPr>
              <w:t>with FL’s ass</w:t>
            </w:r>
            <w:bookmarkStart w:id="2" w:name="_GoBack"/>
            <w:bookmarkEnd w:id="2"/>
            <w:r>
              <w:rPr>
                <w:sz w:val="18"/>
                <w:szCs w:val="18"/>
              </w:rPr>
              <w:t>essment.</w:t>
            </w: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C34A" w14:textId="77777777" w:rsidR="00B9739F" w:rsidRDefault="00B9739F" w:rsidP="00FE429F">
      <w:r>
        <w:separator/>
      </w:r>
    </w:p>
  </w:endnote>
  <w:endnote w:type="continuationSeparator" w:id="0">
    <w:p w14:paraId="2C68F1D1" w14:textId="77777777" w:rsidR="00B9739F" w:rsidRDefault="00B9739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7B01F" w14:textId="77777777" w:rsidR="00B9739F" w:rsidRDefault="00B9739F" w:rsidP="00FE429F">
      <w:r>
        <w:separator/>
      </w:r>
    </w:p>
  </w:footnote>
  <w:footnote w:type="continuationSeparator" w:id="0">
    <w:p w14:paraId="713E4B98" w14:textId="77777777" w:rsidR="00B9739F" w:rsidRDefault="00B9739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1C058-B1CB-4AB9-84A4-1EBA2FDA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8237</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2</cp:revision>
  <dcterms:created xsi:type="dcterms:W3CDTF">2021-11-09T06:54:00Z</dcterms:created>
  <dcterms:modified xsi:type="dcterms:W3CDTF">2021-11-09T06:54:00Z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