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FD9F" w14:textId="77777777" w:rsidR="00BF5431" w:rsidRDefault="00D449BF">
      <w:pPr>
        <w:pStyle w:val="3GPPHeader"/>
        <w:tabs>
          <w:tab w:val="clear" w:pos="9639"/>
          <w:tab w:val="right" w:pos="9630"/>
        </w:tabs>
        <w:spacing w:after="0"/>
        <w:ind w:right="-603"/>
        <w:rPr>
          <w:sz w:val="20"/>
          <w:lang w:val="en-US"/>
        </w:rPr>
      </w:pPr>
      <w:r>
        <w:rPr>
          <w:sz w:val="20"/>
          <w:lang w:val="en-US"/>
        </w:rPr>
        <w:t>3GPP TSG-RAN WG1 Meeting #107-e</w:t>
      </w:r>
      <w:r>
        <w:rPr>
          <w:sz w:val="20"/>
          <w:lang w:val="en-US"/>
        </w:rPr>
        <w:tab/>
      </w:r>
      <w:proofErr w:type="spellStart"/>
      <w:r>
        <w:rPr>
          <w:sz w:val="20"/>
          <w:highlight w:val="yellow"/>
          <w:lang w:val="en-US"/>
        </w:rPr>
        <w:t>Tdoc</w:t>
      </w:r>
      <w:proofErr w:type="spellEnd"/>
      <w:r>
        <w:rPr>
          <w:sz w:val="20"/>
          <w:highlight w:val="yellow"/>
          <w:lang w:val="en-US"/>
        </w:rPr>
        <w:t xml:space="preserve"> R1-21xxxxx</w:t>
      </w:r>
    </w:p>
    <w:p w14:paraId="62AD9EC4" w14:textId="77777777" w:rsidR="00BF5431" w:rsidRDefault="00D449BF">
      <w:pPr>
        <w:pStyle w:val="3GPPHeader"/>
        <w:spacing w:after="0"/>
        <w:ind w:right="-603"/>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November,</w:t>
      </w:r>
      <w:proofErr w:type="gramEnd"/>
      <w:r>
        <w:rPr>
          <w:sz w:val="20"/>
          <w:lang w:val="en-US"/>
        </w:rPr>
        <w:t xml:space="preserve"> 2021</w:t>
      </w:r>
    </w:p>
    <w:p w14:paraId="39B0B585" w14:textId="77777777" w:rsidR="00BF5431" w:rsidRDefault="00BF5431">
      <w:pPr>
        <w:pStyle w:val="3GPPHeader"/>
        <w:spacing w:after="0"/>
        <w:ind w:right="-603"/>
        <w:rPr>
          <w:sz w:val="20"/>
          <w:lang w:val="en-US"/>
        </w:rPr>
      </w:pPr>
    </w:p>
    <w:p w14:paraId="4B3093DF" w14:textId="77777777" w:rsidR="00BF5431" w:rsidRDefault="00D449BF">
      <w:pPr>
        <w:pStyle w:val="3GPPHeader"/>
        <w:spacing w:after="0"/>
        <w:ind w:right="-603"/>
        <w:rPr>
          <w:sz w:val="20"/>
          <w:lang w:val="en-US"/>
        </w:rPr>
      </w:pPr>
      <w:bookmarkStart w:id="0" w:name="_Hlk87542329"/>
      <w:r>
        <w:rPr>
          <w:sz w:val="20"/>
          <w:lang w:val="en-US"/>
        </w:rPr>
        <w:t>Agenda Item:</w:t>
      </w:r>
      <w:r>
        <w:rPr>
          <w:sz w:val="20"/>
          <w:lang w:val="en-US"/>
        </w:rPr>
        <w:tab/>
        <w:t>7.2.2</w:t>
      </w:r>
    </w:p>
    <w:p w14:paraId="21A5A2B6" w14:textId="77777777" w:rsidR="00BF5431" w:rsidRDefault="00D449BF">
      <w:pPr>
        <w:pStyle w:val="3GPPHeader"/>
        <w:spacing w:after="0"/>
        <w:ind w:right="-603"/>
        <w:rPr>
          <w:sz w:val="20"/>
        </w:rPr>
      </w:pPr>
      <w:r>
        <w:rPr>
          <w:sz w:val="20"/>
        </w:rPr>
        <w:t>Source:</w:t>
      </w:r>
      <w:r>
        <w:rPr>
          <w:sz w:val="20"/>
        </w:rPr>
        <w:tab/>
        <w:t>Moderator (Ericsson)</w:t>
      </w:r>
    </w:p>
    <w:p w14:paraId="6A5FEBA5" w14:textId="77777777" w:rsidR="00BF5431" w:rsidRDefault="00D449BF">
      <w:pPr>
        <w:pStyle w:val="3GPPHeader"/>
        <w:tabs>
          <w:tab w:val="clear" w:pos="9639"/>
        </w:tabs>
        <w:spacing w:after="0"/>
        <w:ind w:left="1710" w:right="-63" w:hanging="1710"/>
        <w:rPr>
          <w:sz w:val="20"/>
        </w:rPr>
      </w:pPr>
      <w:r>
        <w:rPr>
          <w:sz w:val="20"/>
        </w:rPr>
        <w:t>Title:</w:t>
      </w:r>
      <w:r>
        <w:rPr>
          <w:sz w:val="20"/>
        </w:rPr>
        <w:tab/>
        <w:t>Summary of [107-e-NR-NRU-04] Email discussion/approval on UL Transmissions in Wideband Operation</w:t>
      </w:r>
    </w:p>
    <w:p w14:paraId="7CDFF660" w14:textId="77777777" w:rsidR="00BF5431" w:rsidRDefault="00D449BF">
      <w:pPr>
        <w:pStyle w:val="3GPPHeader"/>
        <w:spacing w:after="0"/>
        <w:ind w:right="-603"/>
        <w:rPr>
          <w:sz w:val="20"/>
        </w:rPr>
      </w:pPr>
      <w:r>
        <w:rPr>
          <w:sz w:val="20"/>
        </w:rPr>
        <w:t>Document for:</w:t>
      </w:r>
      <w:r>
        <w:rPr>
          <w:sz w:val="20"/>
        </w:rPr>
        <w:tab/>
        <w:t>Discussion, Decision</w:t>
      </w:r>
    </w:p>
    <w:p w14:paraId="36FBAE1F" w14:textId="77777777" w:rsidR="00BF5431" w:rsidRDefault="00D449BF">
      <w:pPr>
        <w:pStyle w:val="1"/>
        <w:ind w:right="27"/>
        <w:jc w:val="both"/>
      </w:pPr>
      <w:bookmarkStart w:id="1" w:name="_Toc5596355"/>
      <w:bookmarkStart w:id="2" w:name="_Toc1970552"/>
      <w:bookmarkStart w:id="3" w:name="_Toc5596041"/>
      <w:bookmarkStart w:id="4" w:name="_Toc535588806"/>
      <w:bookmarkStart w:id="5" w:name="_Toc8398209"/>
      <w:bookmarkStart w:id="6" w:name="_Toc8247940"/>
      <w:bookmarkStart w:id="7" w:name="_Toc17755475"/>
      <w:bookmarkStart w:id="8" w:name="_Toc5100795"/>
      <w:bookmarkStart w:id="9" w:name="_Toc21841004"/>
      <w:bookmarkStart w:id="10" w:name="_Toc24660962"/>
      <w:bookmarkStart w:id="11" w:name="_Toc22050945"/>
      <w:bookmarkStart w:id="12" w:name="_Toc32743901"/>
      <w:bookmarkStart w:id="13" w:name="_Toc21841175"/>
      <w:bookmarkEnd w:id="0"/>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053AECE" w14:textId="77777777" w:rsidR="00BF5431" w:rsidRDefault="00D449BF">
      <w:pPr>
        <w:ind w:right="27"/>
        <w:jc w:val="both"/>
        <w:rPr>
          <w:rFonts w:ascii="Arial" w:eastAsia="Calibri" w:hAnsi="Arial" w:cs="Arial"/>
          <w:lang w:val="en-US"/>
        </w:rPr>
      </w:pPr>
      <w:bookmarkStart w:id="14" w:name="_Ref178064866"/>
      <w:r>
        <w:rPr>
          <w:rFonts w:ascii="Arial" w:eastAsia="Calibri" w:hAnsi="Arial" w:cs="Arial"/>
          <w:lang w:val="en-US"/>
        </w:rPr>
        <w:t>According to the vice-chair, the following e-mail discussion thread has been allocated for Rel-16 NR-U maintenance.</w:t>
      </w:r>
    </w:p>
    <w:p w14:paraId="556602FB" w14:textId="77777777" w:rsidR="00BF5431" w:rsidRDefault="00D449BF">
      <w:pPr>
        <w:overflowPunct/>
        <w:autoSpaceDE/>
        <w:autoSpaceDN/>
        <w:adjustRightInd/>
        <w:spacing w:after="0" w:line="240" w:lineRule="auto"/>
        <w:textAlignment w:val="auto"/>
        <w:rPr>
          <w:rFonts w:ascii="Calibri" w:eastAsia="Calibri" w:hAnsi="Calibri" w:cs="Calibri"/>
          <w:sz w:val="22"/>
          <w:szCs w:val="22"/>
          <w:highlight w:val="cyan"/>
          <w:lang w:val="en-US" w:eastAsia="en-US"/>
        </w:rPr>
      </w:pPr>
      <w:bookmarkStart w:id="15" w:name="_Hlk87540736"/>
      <w:r>
        <w:rPr>
          <w:rFonts w:ascii="Calibri" w:eastAsia="Calibri" w:hAnsi="Calibri" w:cs="Calibri"/>
          <w:sz w:val="22"/>
          <w:szCs w:val="22"/>
          <w:highlight w:val="cyan"/>
          <w:lang w:val="en-US" w:eastAsia="zh-CN"/>
        </w:rPr>
        <w:t xml:space="preserve">[107-e-NR-NRU-04] Email discussion/approval on UL Transmissions in Wideband Operation </w:t>
      </w:r>
      <w:bookmarkEnd w:id="15"/>
      <w:r>
        <w:rPr>
          <w:rFonts w:ascii="Calibri" w:eastAsia="Calibri" w:hAnsi="Calibri" w:cs="Calibri"/>
          <w:sz w:val="22"/>
          <w:szCs w:val="22"/>
          <w:highlight w:val="cyan"/>
          <w:lang w:val="en-US" w:eastAsia="zh-CN"/>
        </w:rPr>
        <w:t>(Issue T6 in R1-2112461), until November 17 – Steve (Ericsson)</w:t>
      </w:r>
    </w:p>
    <w:p w14:paraId="458D319F" w14:textId="77777777" w:rsidR="00BF5431" w:rsidRDefault="00BF5431">
      <w:pPr>
        <w:ind w:right="27"/>
        <w:jc w:val="both"/>
        <w:rPr>
          <w:rFonts w:ascii="Arial" w:eastAsia="Calibri" w:hAnsi="Arial" w:cs="Arial"/>
          <w:lang w:val="en-US"/>
        </w:rPr>
      </w:pPr>
    </w:p>
    <w:p w14:paraId="54B583D1" w14:textId="77777777" w:rsidR="00BF5431" w:rsidRDefault="00D449BF">
      <w:pPr>
        <w:pStyle w:val="1"/>
        <w:ind w:right="27"/>
      </w:pPr>
      <w:r>
        <w:t>2</w:t>
      </w:r>
      <w:r>
        <w:tab/>
        <w:t>Issue Description from [1]</w:t>
      </w:r>
    </w:p>
    <w:p w14:paraId="528EC7B6" w14:textId="77777777" w:rsidR="00BF5431" w:rsidRDefault="00D449BF">
      <w:pPr>
        <w:pStyle w:val="a6"/>
      </w:pPr>
      <w:bookmarkStart w:id="16" w:name="_Toc5100812"/>
      <w:bookmarkStart w:id="17" w:name="_Toc8247956"/>
      <w:bookmarkStart w:id="18" w:name="_Toc17755492"/>
      <w:bookmarkStart w:id="19" w:name="_Toc5596060"/>
      <w:bookmarkStart w:id="20" w:name="_Toc8398224"/>
      <w:bookmarkStart w:id="21" w:name="_Toc24660993"/>
      <w:bookmarkStart w:id="22" w:name="_Toc22050970"/>
      <w:bookmarkStart w:id="23" w:name="_Toc1970570"/>
      <w:bookmarkStart w:id="24" w:name="_Toc21841200"/>
      <w:bookmarkStart w:id="25" w:name="_Toc535588825"/>
      <w:bookmarkStart w:id="26" w:name="_Toc32743906"/>
      <w:bookmarkStart w:id="27" w:name="_Toc21841029"/>
      <w:bookmarkStart w:id="28" w:name="_Toc5596374"/>
      <w:bookmarkEnd w:id="14"/>
      <w:r>
        <w:t>In [1], a correction to 37.213 is proposed to properly capture the below two agreements related to UL transmissions in wideband operation.</w:t>
      </w:r>
    </w:p>
    <w:p w14:paraId="4A906257" w14:textId="77777777" w:rsidR="00BF5431" w:rsidRDefault="00D449BF">
      <w:pPr>
        <w:pStyle w:val="a6"/>
      </w:pPr>
      <w:r>
        <w:t>This agreement was made in RAN1#98bis:</w:t>
      </w:r>
    </w:p>
    <w:p w14:paraId="2019798D" w14:textId="77777777" w:rsidR="00BF5431" w:rsidRDefault="00D449BF">
      <w:pPr>
        <w:spacing w:after="0" w:line="240" w:lineRule="auto"/>
        <w:rPr>
          <w:rFonts w:ascii="Times" w:eastAsia="바탕" w:hAnsi="Times"/>
          <w:szCs w:val="24"/>
        </w:rPr>
      </w:pPr>
      <w:r>
        <w:rPr>
          <w:rFonts w:ascii="Times" w:eastAsia="바탕" w:hAnsi="Times"/>
          <w:szCs w:val="24"/>
          <w:highlight w:val="green"/>
        </w:rPr>
        <w:t>Agreement #1:</w:t>
      </w:r>
    </w:p>
    <w:p w14:paraId="0C58D6D0" w14:textId="77777777" w:rsidR="00BF5431" w:rsidRDefault="00D449BF">
      <w:pPr>
        <w:numPr>
          <w:ilvl w:val="0"/>
          <w:numId w:val="15"/>
        </w:numPr>
        <w:overflowPunct/>
        <w:autoSpaceDE/>
        <w:autoSpaceDN/>
        <w:adjustRightInd/>
        <w:spacing w:after="0" w:line="240" w:lineRule="auto"/>
        <w:textAlignment w:val="auto"/>
        <w:rPr>
          <w:rFonts w:ascii="Times" w:eastAsia="바탕" w:hAnsi="Times"/>
          <w:szCs w:val="24"/>
        </w:rPr>
      </w:pPr>
      <w:r>
        <w:rPr>
          <w:rFonts w:ascii="Times" w:eastAsia="바탕" w:hAnsi="Times"/>
          <w:szCs w:val="24"/>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4735B311" w14:textId="77777777" w:rsidR="00BF5431" w:rsidRDefault="00D449BF">
      <w:pPr>
        <w:numPr>
          <w:ilvl w:val="0"/>
          <w:numId w:val="15"/>
        </w:numPr>
        <w:overflowPunct/>
        <w:autoSpaceDE/>
        <w:autoSpaceDN/>
        <w:adjustRightInd/>
        <w:spacing w:after="0" w:line="240" w:lineRule="auto"/>
        <w:textAlignment w:val="auto"/>
        <w:rPr>
          <w:rFonts w:ascii="Times" w:eastAsia="바탕" w:hAnsi="Times"/>
          <w:szCs w:val="24"/>
        </w:rPr>
      </w:pPr>
      <w:r>
        <w:rPr>
          <w:rFonts w:ascii="Times" w:eastAsia="바탕" w:hAnsi="Times"/>
          <w:szCs w:val="24"/>
        </w:rPr>
        <w:t xml:space="preserve">The UE is not expected to receive resource allocations in </w:t>
      </w:r>
      <w:proofErr w:type="spellStart"/>
      <w:r>
        <w:rPr>
          <w:rFonts w:ascii="Times" w:eastAsia="바탕" w:hAnsi="Times"/>
          <w:szCs w:val="24"/>
        </w:rPr>
        <w:t>discontiguous</w:t>
      </w:r>
      <w:proofErr w:type="spellEnd"/>
      <w:r>
        <w:rPr>
          <w:rFonts w:ascii="Times" w:eastAsia="바탕" w:hAnsi="Times"/>
          <w:szCs w:val="24"/>
        </w:rPr>
        <w:t xml:space="preserve"> LBT bandwidths within a wideband carrier</w:t>
      </w:r>
    </w:p>
    <w:p w14:paraId="72237448" w14:textId="77777777" w:rsidR="00BF5431" w:rsidRDefault="00BF5431">
      <w:pPr>
        <w:pStyle w:val="a6"/>
      </w:pPr>
    </w:p>
    <w:p w14:paraId="5530D794" w14:textId="77777777" w:rsidR="00BF5431" w:rsidRDefault="00D449BF">
      <w:pPr>
        <w:pStyle w:val="a6"/>
      </w:pPr>
      <w:r>
        <w:t>This agreement was made in the subsequent meeting RAN1#99:</w:t>
      </w:r>
    </w:p>
    <w:p w14:paraId="4DCB387C" w14:textId="77777777" w:rsidR="00BF5431" w:rsidRDefault="00D449BF">
      <w:pPr>
        <w:spacing w:after="0" w:line="256" w:lineRule="auto"/>
        <w:contextualSpacing/>
        <w:jc w:val="both"/>
        <w:rPr>
          <w:rFonts w:ascii="Times" w:eastAsia="바탕" w:hAnsi="Times"/>
          <w:szCs w:val="24"/>
        </w:rPr>
      </w:pPr>
      <w:r>
        <w:rPr>
          <w:rFonts w:ascii="Times" w:eastAsia="바탕" w:hAnsi="Times"/>
          <w:szCs w:val="24"/>
          <w:highlight w:val="green"/>
        </w:rPr>
        <w:t>Agreement #2:</w:t>
      </w:r>
    </w:p>
    <w:p w14:paraId="0842C039"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바탕" w:hAnsi="Times"/>
          <w:szCs w:val="24"/>
        </w:rPr>
      </w:pPr>
      <w:r>
        <w:rPr>
          <w:rFonts w:eastAsia="맑은 고딕"/>
          <w:lang w:eastAsia="ko-KR"/>
        </w:rPr>
        <w:t xml:space="preserve">The RRC parameters </w:t>
      </w:r>
      <w:r>
        <w:rPr>
          <w:rFonts w:ascii="Times" w:eastAsia="바탕" w:hAnsi="Times" w:cs="Times"/>
          <w:i/>
          <w:iCs/>
        </w:rPr>
        <w:t>intraCellGuardBandDL-r16</w:t>
      </w:r>
      <w:r>
        <w:rPr>
          <w:rFonts w:ascii="Times" w:eastAsia="바탕" w:hAnsi="Times" w:cs="Times"/>
        </w:rPr>
        <w:t xml:space="preserve"> and </w:t>
      </w:r>
      <w:r>
        <w:rPr>
          <w:rFonts w:ascii="Times" w:eastAsia="바탕" w:hAnsi="Times" w:cs="Times"/>
          <w:i/>
          <w:iCs/>
        </w:rPr>
        <w:t>intraCellGuardBandUL-r16</w:t>
      </w:r>
      <w:r>
        <w:rPr>
          <w:rFonts w:ascii="Times" w:eastAsia="바탕" w:hAnsi="Times" w:cs="Times"/>
          <w:iCs/>
        </w:rPr>
        <w:t xml:space="preserve"> </w:t>
      </w:r>
      <w:r>
        <w:rPr>
          <w:rFonts w:eastAsia="맑은 고딕"/>
          <w:lang w:eastAsia="ko-KR"/>
        </w:rPr>
        <w:t>include a mechanism to indicate that no intra-carrier guard-bands are configured</w:t>
      </w:r>
    </w:p>
    <w:p w14:paraId="03D4EFA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바탕" w:hAnsi="Times"/>
          <w:szCs w:val="24"/>
        </w:rPr>
      </w:pPr>
      <w:r>
        <w:rPr>
          <w:rFonts w:eastAsia="맑은 고딕"/>
          <w:lang w:eastAsia="ko-KR"/>
        </w:rPr>
        <w:t>Note: This configuration may be used for the case where transmission only occurs in a BWP if LBT is successful in all RB sets within the BWP</w:t>
      </w:r>
    </w:p>
    <w:p w14:paraId="1AFA7BD6" w14:textId="77777777" w:rsidR="00BF5431" w:rsidRDefault="00BF5431">
      <w:pPr>
        <w:pStyle w:val="a6"/>
      </w:pPr>
    </w:p>
    <w:p w14:paraId="166D93FE" w14:textId="77777777" w:rsidR="00BF5431" w:rsidRDefault="00D449BF">
      <w:pPr>
        <w:ind w:right="27"/>
        <w:jc w:val="both"/>
        <w:rPr>
          <w:rFonts w:ascii="Arial" w:hAnsi="Arial"/>
          <w:lang w:val="en-US" w:eastAsia="zh-CN"/>
        </w:rPr>
      </w:pPr>
      <w:r>
        <w:rPr>
          <w:rFonts w:ascii="Arial" w:hAnsi="Arial"/>
          <w:lang w:val="en-US" w:eastAsia="zh-CN"/>
        </w:rPr>
        <w:t xml:space="preserve">In Section 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a "channel" is defined as a carrier or part of a carrier (RB set) over which a channel access procedure is performed.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channel access procedures for UL multi-channel transmission(s) are specified. A multi-channel transmission can consist of an aggregation of multiple 20 MHz carriers or to a single (or multiple) wideband carrier(s) of 40/60/80 </w:t>
      </w:r>
      <w:proofErr w:type="spellStart"/>
      <w:r>
        <w:rPr>
          <w:rFonts w:ascii="Arial" w:hAnsi="Arial"/>
          <w:lang w:val="en-US" w:eastAsia="zh-CN"/>
        </w:rPr>
        <w:t>MHz.</w:t>
      </w:r>
      <w:proofErr w:type="spellEnd"/>
      <w:r>
        <w:rPr>
          <w:rFonts w:ascii="Arial" w:hAnsi="Arial"/>
          <w:lang w:val="en-US" w:eastAsia="zh-CN"/>
        </w:rPr>
        <w:t xml:space="preserve"> For the latter, a carrier consists of multiple RB sets, where LBT is performed in each RB set (referred to as the LBT bandwidth in the first agreement). Such a wideband carrier can be configured either with or without intra-cell </w:t>
      </w:r>
      <w:proofErr w:type="spellStart"/>
      <w:r>
        <w:rPr>
          <w:rFonts w:ascii="Arial" w:hAnsi="Arial"/>
          <w:lang w:val="en-US" w:eastAsia="zh-CN"/>
        </w:rPr>
        <w:t>guardband</w:t>
      </w:r>
      <w:proofErr w:type="spellEnd"/>
      <w:r>
        <w:rPr>
          <w:rFonts w:ascii="Arial" w:hAnsi="Arial"/>
          <w:lang w:val="en-US" w:eastAsia="zh-CN"/>
        </w:rPr>
        <w:t xml:space="preserve"> as specified Clause 7 of </w:t>
      </w:r>
      <w:r>
        <w:rPr>
          <w:rFonts w:ascii="Arial" w:hAnsi="Arial"/>
          <w:lang w:val="en-US" w:eastAsia="zh-CN"/>
        </w:rPr>
        <w:fldChar w:fldCharType="begin"/>
      </w:r>
      <w:r>
        <w:rPr>
          <w:rFonts w:ascii="Arial" w:hAnsi="Arial"/>
          <w:lang w:val="en-US" w:eastAsia="zh-CN"/>
        </w:rPr>
        <w:instrText xml:space="preserve"> REF _Ref86409718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[4]</w:t>
      </w:r>
      <w:r>
        <w:rPr>
          <w:rFonts w:ascii="Arial" w:hAnsi="Arial"/>
          <w:lang w:val="en-US" w:eastAsia="zh-CN"/>
        </w:rPr>
        <w:fldChar w:fldCharType="end"/>
      </w:r>
      <w:r>
        <w:rPr>
          <w:rFonts w:ascii="Arial" w:hAnsi="Arial"/>
          <w:lang w:val="en-US" w:eastAsia="zh-CN"/>
        </w:rPr>
        <w:t xml:space="preserve">. According to this same clause, a 20 MHz carrier consists of a single RB set and is not configured with intra-cell </w:t>
      </w:r>
      <w:proofErr w:type="spellStart"/>
      <w:r>
        <w:rPr>
          <w:rFonts w:ascii="Arial" w:hAnsi="Arial"/>
          <w:lang w:val="en-US" w:eastAsia="zh-CN"/>
        </w:rPr>
        <w:t>guardbands</w:t>
      </w:r>
      <w:proofErr w:type="spellEnd"/>
      <w:r>
        <w:rPr>
          <w:rFonts w:ascii="Arial" w:hAnsi="Arial"/>
          <w:lang w:val="en-US" w:eastAsia="zh-CN"/>
        </w:rPr>
        <w:t xml:space="preserve"> since there is no need to have such guards.</w:t>
      </w:r>
    </w:p>
    <w:p w14:paraId="04D3232F" w14:textId="77777777" w:rsidR="00BF5431" w:rsidRDefault="00D449BF">
      <w:pPr>
        <w:ind w:right="27"/>
        <w:jc w:val="both"/>
        <w:rPr>
          <w:rFonts w:ascii="Arial" w:hAnsi="Arial"/>
          <w:lang w:val="en-US" w:eastAsia="zh-CN"/>
        </w:rPr>
      </w:pPr>
      <w:r>
        <w:rPr>
          <w:rFonts w:ascii="Arial" w:hAnsi="Arial"/>
          <w:lang w:val="en-US" w:eastAsia="zh-CN"/>
        </w:rPr>
        <w:t xml:space="preserve">For the case of a wideband carrier, the above agreements state that an UL transmission scheduled/configured in multiple RBs can only occur if LBT is successful in all RB sets. These agreements apply both to the case of a wideband carrier with or without intra-cell </w:t>
      </w:r>
      <w:proofErr w:type="spellStart"/>
      <w:r>
        <w:rPr>
          <w:rFonts w:ascii="Arial" w:hAnsi="Arial"/>
          <w:lang w:val="en-US" w:eastAsia="zh-CN"/>
        </w:rPr>
        <w:t>guardbands</w:t>
      </w:r>
      <w:proofErr w:type="spellEnd"/>
      <w:r>
        <w:rPr>
          <w:rFonts w:ascii="Arial" w:hAnsi="Arial"/>
          <w:lang w:val="en-US" w:eastAsia="zh-CN"/>
        </w:rPr>
        <w:t>. For a 20 MHz carrier, it is implicitly understood that transmission on the carrier can occur only if LBT is successful on that carrier.</w:t>
      </w:r>
    </w:p>
    <w:p w14:paraId="32F9867C" w14:textId="77777777" w:rsidR="00BF5431" w:rsidRDefault="00D449BF">
      <w:pPr>
        <w:ind w:right="27"/>
        <w:jc w:val="both"/>
        <w:rPr>
          <w:rFonts w:ascii="Arial" w:hAnsi="Arial"/>
          <w:lang w:val="en-US" w:eastAsia="zh-CN"/>
        </w:rPr>
      </w:pPr>
      <w:r>
        <w:rPr>
          <w:rFonts w:ascii="Arial" w:hAnsi="Arial"/>
          <w:noProof/>
          <w:lang w:val="en-US" w:eastAsia="ko-KR"/>
        </w:rPr>
        <w:lastRenderedPageBreak/>
        <mc:AlternateContent>
          <mc:Choice Requires="wps">
            <w:drawing>
              <wp:anchor distT="45720" distB="45720" distL="114300" distR="114300" simplePos="0" relativeHeight="251659264" behindDoc="0" locked="0" layoutInCell="1" allowOverlap="1" wp14:anchorId="3CEB849C" wp14:editId="324B18C8">
                <wp:simplePos x="0" y="0"/>
                <wp:positionH relativeFrom="margin">
                  <wp:align>right</wp:align>
                </wp:positionH>
                <wp:positionV relativeFrom="paragraph">
                  <wp:posOffset>712470</wp:posOffset>
                </wp:positionV>
                <wp:extent cx="6090285" cy="4895850"/>
                <wp:effectExtent l="0" t="0" r="2476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285" cy="4895850"/>
                        </a:xfrm>
                        <a:prstGeom prst="rect">
                          <a:avLst/>
                        </a:prstGeom>
                        <a:solidFill>
                          <a:srgbClr val="FFFFFF"/>
                        </a:solidFill>
                        <a:ln w="9525">
                          <a:solidFill>
                            <a:srgbClr val="000000"/>
                          </a:solidFill>
                          <a:miter lim="800000"/>
                        </a:ln>
                      </wps:spPr>
                      <wps:txbx>
                        <w:txbxContent>
                          <w:p w14:paraId="3641E6BD" w14:textId="77777777" w:rsidR="00BF5431" w:rsidRDefault="00D449BF">
                            <w:pPr>
                              <w:pStyle w:val="24"/>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SimSun"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 xml:space="preserve">if a UE is configured without intra-cell guard band(s) on a UL </w:t>
                            </w:r>
                            <w:proofErr w:type="spellStart"/>
                            <w:r>
                              <w:rPr>
                                <w:rFonts w:eastAsia="Times New Roman"/>
                                <w:highlight w:val="green"/>
                              </w:rPr>
                              <w:t>bandwidthpart</w:t>
                            </w:r>
                            <w:proofErr w:type="spellEnd"/>
                            <w:r>
                              <w:rPr>
                                <w:rFonts w:eastAsia="Times New Roman"/>
                                <w:highlight w:val="green"/>
                              </w:rPr>
                              <w:t xml:space="preserve"> as described in clause 7 in [8], the UE may not transmit on a </w:t>
                            </w:r>
                            <w:proofErr w:type="gramStart"/>
                            <w:r>
                              <w:rPr>
                                <w:rFonts w:eastAsia="Times New Roman"/>
                                <w:highlight w:val="green"/>
                              </w:rPr>
                              <w:t>channel  within</w:t>
                            </w:r>
                            <w:proofErr w:type="gramEnd"/>
                            <w:r>
                              <w:rPr>
                                <w:rFonts w:eastAsia="Times New Roman"/>
                                <w:highlight w:val="green"/>
                              </w:rPr>
                              <w:t xml:space="preserve"> the bandwidth of the carrier, if the UE fails to access any of the channels of the UL </w:t>
                            </w:r>
                            <w:proofErr w:type="spellStart"/>
                            <w:r>
                              <w:rPr>
                                <w:rFonts w:eastAsia="Times New Roman"/>
                                <w:highlight w:val="green"/>
                              </w:rPr>
                              <w:t>bandwidthpart</w:t>
                            </w:r>
                            <w:proofErr w:type="spellEnd"/>
                            <w:r>
                              <w:rPr>
                                <w:rFonts w:eastAsia="Times New Roman"/>
                                <w:highlight w:val="green"/>
                              </w:rPr>
                              <w: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wps:txbx>
                      <wps:bodyPr rot="0" vert="horz" wrap="square" lIns="91440" tIns="45720" rIns="91440" bIns="45720" anchor="t" anchorCtr="0">
                        <a:noAutofit/>
                      </wps:bodyPr>
                    </wps:wsp>
                  </a:graphicData>
                </a:graphic>
              </wp:anchor>
            </w:drawing>
          </mc:Choice>
          <mc:Fallback>
            <w:pict>
              <v:shapetype w14:anchorId="3CEB849C" id="_x0000_t202" coordsize="21600,21600" o:spt="202" path="m,l,21600r21600,l21600,xe">
                <v:stroke joinstyle="miter"/>
                <v:path gradientshapeok="t" o:connecttype="rect"/>
              </v:shapetype>
              <v:shape id="Text Box 2" o:spid="_x0000_s1026" type="#_x0000_t202" style="position:absolute;left:0;text-align:left;margin-left:428.35pt;margin-top:56.1pt;width:479.55pt;height:385.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">
                <v:textbox>
                  <w:txbxContent>
                    <w:p w14:paraId="3641E6BD" w14:textId="77777777" w:rsidR="00BF5431" w:rsidRDefault="00D449BF">
                      <w:pPr>
                        <w:pStyle w:val="BodyText2"/>
                        <w:rPr>
                          <w:rFonts w:ascii="Arial" w:hAnsi="Arial" w:cs="Arial"/>
                          <w:sz w:val="22"/>
                          <w:szCs w:val="22"/>
                        </w:rPr>
                      </w:pPr>
                      <w:r>
                        <w:rPr>
                          <w:rFonts w:ascii="Arial" w:hAnsi="Arial" w:cs="Arial"/>
                          <w:sz w:val="22"/>
                          <w:szCs w:val="22"/>
                        </w:rPr>
                        <w:t>4.2.1.0.4   Channel access procedures for UL multi-channel transmission(s)</w:t>
                      </w:r>
                    </w:p>
                    <w:p w14:paraId="193DB99A" w14:textId="77777777" w:rsidR="00BF5431" w:rsidRDefault="00D449BF">
                      <w:pPr>
                        <w:spacing w:line="240" w:lineRule="auto"/>
                        <w:rPr>
                          <w:rFonts w:eastAsia="Times New Roman"/>
                        </w:rPr>
                      </w:pPr>
                      <w:r>
                        <w:rPr>
                          <w:rFonts w:eastAsia="Times New Roman"/>
                        </w:rPr>
                        <w:t xml:space="preserve">If a UE </w:t>
                      </w:r>
                    </w:p>
                    <w:p w14:paraId="700613B9"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and if Type 1 channel access procedure is indicated by the UL scheduling grants for the UL transmissions on the set of channels </w:t>
                      </w:r>
                      <m:oMath>
                        <m:r>
                          <w:rPr>
                            <w:rFonts w:ascii="Cambria Math" w:hAnsi="Cambria Math"/>
                          </w:rPr>
                          <m:t>C</m:t>
                        </m:r>
                      </m:oMath>
                      <w:r>
                        <w:rPr>
                          <w:rFonts w:eastAsia="Times New Roman"/>
                        </w:rPr>
                        <w:t xml:space="preserve">, and if the UL transmissions are scheduled to start transmissions at the same time on all channels in the set of channels </w:t>
                      </w:r>
                      <m:oMath>
                        <m:r>
                          <w:rPr>
                            <w:rFonts w:ascii="Cambria Math" w:hAnsi="Cambria Math"/>
                          </w:rPr>
                          <m:t>C</m:t>
                        </m:r>
                      </m:oMath>
                      <w:r>
                        <w:rPr>
                          <w:rFonts w:eastAsia="Times New Roman"/>
                        </w:rPr>
                        <w:t xml:space="preserve"> , or</w:t>
                      </w:r>
                    </w:p>
                    <w:p w14:paraId="342F84B0" w14:textId="77777777" w:rsidR="00BF5431" w:rsidRDefault="00D449BF">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r>
                        <w:rPr>
                          <w:rFonts w:eastAsia="Times New Roman"/>
                        </w:rPr>
                        <w:t xml:space="preserve"> with Type 1 channel access procedure, and if UL transmissions are configured to start transmissions on the same time all channels in the set of channels </w:t>
                      </w:r>
                      <m:oMath>
                        <m:r>
                          <w:rPr>
                            <w:rFonts w:ascii="Cambria Math" w:eastAsia="SimSun" w:hAnsi="Cambria Math"/>
                          </w:rPr>
                          <m:t>C</m:t>
                        </m:r>
                      </m:oMath>
                      <w:r>
                        <w:rPr>
                          <w:rFonts w:eastAsia="Times New Roman"/>
                        </w:rPr>
                        <w:t xml:space="preserve">, and </w:t>
                      </w:r>
                    </w:p>
                    <w:p w14:paraId="1E021DBF" w14:textId="77777777" w:rsidR="00BF5431" w:rsidRDefault="00D449BF">
                      <w:pPr>
                        <w:spacing w:line="240" w:lineRule="auto"/>
                        <w:rPr>
                          <w:rFonts w:eastAsia="Times New Roman"/>
                        </w:rPr>
                      </w:pPr>
                      <w:r>
                        <w:rPr>
                          <w:rFonts w:eastAsia="Times New Roman"/>
                        </w:rPr>
                        <w:t xml:space="preserve">if the channel frequencies of set of channels </w:t>
                      </w:r>
                      <m:oMath>
                        <m:r>
                          <w:rPr>
                            <w:rFonts w:ascii="Cambria Math" w:hAnsi="Cambria Math"/>
                          </w:rPr>
                          <m:t>C</m:t>
                        </m:r>
                      </m:oMath>
                      <w:r>
                        <w:rPr>
                          <w:rFonts w:eastAsia="Times New Roman"/>
                        </w:rPr>
                        <w:t xml:space="preserve"> is a subset of one of the sets of channel frequencies defined in clause 5.7.4 in [2]</w:t>
                      </w:r>
                    </w:p>
                    <w:p w14:paraId="523BD8A4" w14:textId="77777777" w:rsidR="00BF5431" w:rsidRDefault="00D449BF">
                      <w:pPr>
                        <w:spacing w:line="240" w:lineRule="auto"/>
                        <w:ind w:left="568" w:hanging="284"/>
                        <w:rPr>
                          <w:rFonts w:eastAsia="Times New Roman"/>
                        </w:rPr>
                      </w:pPr>
                      <w:r>
                        <w:rPr>
                          <w:rFonts w:eastAsia="Times New Roman"/>
                        </w:rPr>
                        <w:t>-</w:t>
                      </w:r>
                      <w:r>
                        <w:rPr>
                          <w:rFonts w:eastAsia="Times New Roman"/>
                        </w:rPr>
                        <w:tab/>
                      </w:r>
                      <w:r>
                        <w:rPr>
                          <w:rFonts w:eastAsia="Times New Roman"/>
                          <w:highlight w:val="yellow"/>
                        </w:rPr>
                        <w:t xml:space="preserve">the UE may transmit on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i</m:t>
                            </m:r>
                          </m:sub>
                        </m:sSub>
                        <m:r>
                          <w:rPr>
                            <w:rFonts w:ascii="Cambria Math" w:hAnsi="Cambria Math"/>
                            <w:highlight w:val="yellow"/>
                          </w:rPr>
                          <m:t>∈C</m:t>
                        </m:r>
                      </m:oMath>
                      <w:r>
                        <w:rPr>
                          <w:rFonts w:eastAsia="Times New Roman"/>
                          <w:highlight w:val="yellow"/>
                        </w:rPr>
                        <w:t xml:space="preserve"> using Type 2</w:t>
                      </w:r>
                      <w:r>
                        <w:rPr>
                          <w:rFonts w:eastAsia="Times New Roman"/>
                        </w:rPr>
                        <w:t xml:space="preserve"> channel access procedure as described in clause 4.2.1.2, </w:t>
                      </w:r>
                    </w:p>
                    <w:p w14:paraId="5CF2E484" w14:textId="77777777" w:rsidR="00BF5431" w:rsidRDefault="00D449BF">
                      <w:pPr>
                        <w:spacing w:line="240" w:lineRule="auto"/>
                        <w:ind w:left="851" w:hanging="284"/>
                        <w:rPr>
                          <w:rFonts w:eastAsia="Times New Roman"/>
                        </w:rPr>
                      </w:pPr>
                      <w:r>
                        <w:rPr>
                          <w:rFonts w:eastAsia="Times New Roman"/>
                        </w:rPr>
                        <w:t>-</w:t>
                      </w:r>
                      <w:r>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Pr>
                          <w:rFonts w:eastAsia="Times New Roman"/>
                        </w:rPr>
                        <w:t xml:space="preserve">, </w:t>
                      </w:r>
                      <m:oMath>
                        <m:r>
                          <w:rPr>
                            <w:rFonts w:ascii="Cambria Math" w:hAnsi="Cambria Math"/>
                          </w:rPr>
                          <m:t>i≠j</m:t>
                        </m:r>
                      </m:oMath>
                      <w:r>
                        <w:rPr>
                          <w:rFonts w:eastAsia="Times New Roman"/>
                        </w:rPr>
                        <w:t>, and</w:t>
                      </w:r>
                    </w:p>
                    <w:p w14:paraId="6D358D18" w14:textId="77777777" w:rsidR="00BF5431" w:rsidRDefault="00D449BF">
                      <w:pPr>
                        <w:spacing w:line="240" w:lineRule="auto"/>
                        <w:ind w:left="851" w:hanging="284"/>
                        <w:rPr>
                          <w:rFonts w:eastAsia="Times New Roman"/>
                        </w:rPr>
                      </w:pPr>
                      <w:r>
                        <w:rPr>
                          <w:rFonts w:eastAsia="Times New Roman"/>
                        </w:rPr>
                        <w:t>-</w:t>
                      </w:r>
                      <w:r>
                        <w:rPr>
                          <w:rFonts w:eastAsia="Times New Roman"/>
                        </w:rPr>
                        <w:tab/>
                      </w:r>
                      <w:r>
                        <w:rPr>
                          <w:rFonts w:eastAsia="Times New Roman"/>
                          <w:highlight w:val="yellow"/>
                        </w:rPr>
                        <w:t xml:space="preserve">if the UE has accessed channel </w:t>
                      </w:r>
                      <m:oMath>
                        <m:sSub>
                          <m:sSubPr>
                            <m:ctrlPr>
                              <w:rPr>
                                <w:rFonts w:ascii="Cambria Math" w:hAnsi="Cambria Math"/>
                                <w:i/>
                                <w:highlight w:val="yellow"/>
                              </w:rPr>
                            </m:ctrlPr>
                          </m:sSubPr>
                          <m:e>
                            <m:r>
                              <w:rPr>
                                <w:rFonts w:ascii="Cambria Math" w:hAnsi="Cambria Math"/>
                                <w:highlight w:val="yellow"/>
                              </w:rPr>
                              <m:t>c</m:t>
                            </m:r>
                          </m:e>
                          <m:sub>
                            <m:r>
                              <w:rPr>
                                <w:rFonts w:ascii="Cambria Math" w:hAnsi="Cambria Math"/>
                                <w:highlight w:val="yellow"/>
                              </w:rPr>
                              <m:t>j</m:t>
                            </m:r>
                          </m:sub>
                        </m:sSub>
                      </m:oMath>
                      <w:r>
                        <w:rPr>
                          <w:rFonts w:eastAsia="Times New Roman"/>
                          <w:highlight w:val="yellow"/>
                        </w:rPr>
                        <w:t xml:space="preserve"> using Type 1 channel access</w:t>
                      </w:r>
                      <w:r>
                        <w:rPr>
                          <w:rFonts w:eastAsia="Times New Roman"/>
                        </w:rPr>
                        <w:t xml:space="preserve"> procedure as described in clause 4.2.1.1, </w:t>
                      </w:r>
                    </w:p>
                    <w:p w14:paraId="3A72B633" w14:textId="77777777" w:rsidR="00BF5431" w:rsidRDefault="00D449BF">
                      <w:pPr>
                        <w:spacing w:line="240" w:lineRule="auto"/>
                        <w:ind w:left="1135" w:hanging="284"/>
                        <w:rPr>
                          <w:rFonts w:eastAsia="Times New Roman"/>
                        </w:rPr>
                      </w:pPr>
                      <w:r>
                        <w:rPr>
                          <w:rFonts w:eastAsia="Times New Roman"/>
                        </w:rPr>
                        <w:t>-</w:t>
                      </w:r>
                      <w:r>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Pr>
                          <w:rFonts w:eastAsia="Times New Roman"/>
                        </w:rPr>
                        <w:t xml:space="preserve"> is selected by the UE uniformly randomly from the set of channels </w:t>
                      </w:r>
                      <m:oMath>
                        <m:r>
                          <w:rPr>
                            <w:rFonts w:ascii="Cambria Math" w:hAnsi="Cambria Math"/>
                          </w:rPr>
                          <m:t>C</m:t>
                        </m:r>
                      </m:oMath>
                      <w:r>
                        <w:rPr>
                          <w:rFonts w:eastAsia="Times New Roman"/>
                        </w:rPr>
                        <w:t xml:space="preserve"> before performing Type 1 channel access procedure on any channel in the set of channels </w:t>
                      </w:r>
                      <m:oMath>
                        <m:r>
                          <w:rPr>
                            <w:rFonts w:ascii="Cambria Math" w:hAnsi="Cambria Math"/>
                          </w:rPr>
                          <m:t>C</m:t>
                        </m:r>
                      </m:oMath>
                      <w:r>
                        <w:rPr>
                          <w:rFonts w:eastAsia="Times New Roman"/>
                        </w:rPr>
                        <w:t>.</w:t>
                      </w:r>
                    </w:p>
                    <w:p w14:paraId="5DC48C55" w14:textId="77777777" w:rsidR="00BF5431" w:rsidRDefault="00D449BF">
                      <w:pPr>
                        <w:spacing w:line="240" w:lineRule="auto"/>
                        <w:ind w:left="851" w:hanging="284"/>
                        <w:rPr>
                          <w:rFonts w:eastAsia="Times New Roman"/>
                        </w:rPr>
                      </w:pPr>
                      <w:r>
                        <w:rPr>
                          <w:rFonts w:eastAsia="Times New Roman"/>
                          <w:highlight w:val="green"/>
                        </w:rPr>
                        <w:t>-</w:t>
                      </w:r>
                      <w:r>
                        <w:rPr>
                          <w:rFonts w:eastAsia="Times New Roman"/>
                          <w:highlight w:val="green"/>
                        </w:rPr>
                        <w:tab/>
                        <w:t xml:space="preserve">if a UE is configured without intra-cell guard band(s) on a UL </w:t>
                      </w:r>
                      <w:proofErr w:type="spellStart"/>
                      <w:r>
                        <w:rPr>
                          <w:rFonts w:eastAsia="Times New Roman"/>
                          <w:highlight w:val="green"/>
                        </w:rPr>
                        <w:t>bandwidthpart</w:t>
                      </w:r>
                      <w:proofErr w:type="spellEnd"/>
                      <w:r>
                        <w:rPr>
                          <w:rFonts w:eastAsia="Times New Roman"/>
                          <w:highlight w:val="green"/>
                        </w:rPr>
                        <w:t xml:space="preserve"> as described in clause 7 in [8], the UE may not transmit on a channel  within the bandwidth of the carrier, if the UE fails to access any of the channels of the UL </w:t>
                      </w:r>
                      <w:proofErr w:type="spellStart"/>
                      <w:r>
                        <w:rPr>
                          <w:rFonts w:eastAsia="Times New Roman"/>
                          <w:highlight w:val="green"/>
                        </w:rPr>
                        <w:t>bandwidthpart</w:t>
                      </w:r>
                      <w:proofErr w:type="spellEnd"/>
                      <w:r>
                        <w:rPr>
                          <w:rFonts w:eastAsia="Times New Roman"/>
                          <w:highlight w:val="green"/>
                        </w:rPr>
                        <w:t>.</w:t>
                      </w:r>
                    </w:p>
                    <w:p w14:paraId="58486F7F" w14:textId="77777777" w:rsidR="00BF5431" w:rsidRDefault="00D449BF">
                      <w:pPr>
                        <w:spacing w:line="240" w:lineRule="auto"/>
                        <w:ind w:left="568" w:hanging="284"/>
                        <w:rPr>
                          <w:rFonts w:eastAsia="Times New Roman"/>
                        </w:rPr>
                      </w:pPr>
                      <w:r>
                        <w:rPr>
                          <w:rFonts w:eastAsia="Times New Roman"/>
                          <w:highlight w:val="green"/>
                        </w:rPr>
                        <w:t>-</w:t>
                      </w:r>
                      <w:r>
                        <w:rPr>
                          <w:rFonts w:eastAsia="Times New Roman"/>
                          <w:highlight w:val="green"/>
                        </w:rPr>
                        <w:tab/>
                        <w:t xml:space="preserve">otherwise, the UE may not transmit on channel </w:t>
                      </w:r>
                      <m:oMath>
                        <m:sSub>
                          <m:sSubPr>
                            <m:ctrlPr>
                              <w:rPr>
                                <w:rFonts w:ascii="Cambria Math" w:hAnsi="Cambria Math"/>
                                <w:i/>
                                <w:highlight w:val="green"/>
                              </w:rPr>
                            </m:ctrlPr>
                          </m:sSubPr>
                          <m:e>
                            <m:r>
                              <w:rPr>
                                <w:rFonts w:ascii="Cambria Math" w:hAnsi="Cambria Math"/>
                                <w:highlight w:val="green"/>
                              </w:rPr>
                              <m:t>c</m:t>
                            </m:r>
                          </m:e>
                          <m:sub>
                            <m:r>
                              <w:rPr>
                                <w:rFonts w:ascii="Cambria Math" w:hAnsi="Cambria Math"/>
                                <w:highlight w:val="green"/>
                              </w:rPr>
                              <m:t>i</m:t>
                            </m:r>
                          </m:sub>
                        </m:sSub>
                        <m:r>
                          <w:rPr>
                            <w:rFonts w:ascii="Cambria Math" w:hAnsi="Cambria Math"/>
                            <w:highlight w:val="green"/>
                          </w:rPr>
                          <m:t>∈C</m:t>
                        </m:r>
                      </m:oMath>
                      <w:r>
                        <w:rPr>
                          <w:rFonts w:eastAsia="Times New Roman"/>
                          <w:highlight w:val="green"/>
                        </w:rPr>
                        <w:t xml:space="preserve"> within the bandwidth of a carrier, if the UE fails to access any of the channels, of the carrier bandwidth, on which the UE is scheduled or configured by UL resources.</w:t>
                      </w:r>
                    </w:p>
                    <w:p w14:paraId="6DEA3413" w14:textId="77777777" w:rsidR="00BF5431" w:rsidRDefault="00BF5431"/>
                  </w:txbxContent>
                </v:textbox>
                <w10:wrap type="topAndBottom" anchorx="margin"/>
              </v:shape>
            </w:pict>
          </mc:Fallback>
        </mc:AlternateContent>
      </w:r>
      <w:r>
        <w:rPr>
          <w:rFonts w:ascii="Arial" w:hAnsi="Arial"/>
          <w:lang w:val="en-US" w:eastAsia="zh-CN"/>
        </w:rPr>
        <w:t xml:space="preserve">As can be seen in Section 4.2.1.0.4 of </w:t>
      </w:r>
      <w:r>
        <w:rPr>
          <w:rFonts w:ascii="Arial" w:hAnsi="Arial"/>
          <w:lang w:val="en-US" w:eastAsia="zh-CN"/>
        </w:rPr>
        <w:fldChar w:fldCharType="begin"/>
      </w:r>
      <w:r>
        <w:rPr>
          <w:rFonts w:ascii="Arial" w:hAnsi="Arial"/>
          <w:lang w:val="en-US" w:eastAsia="zh-CN"/>
        </w:rPr>
        <w:instrText xml:space="preserve"> REF _Ref53759078 \r \h  \* MERGEFORMAT </w:instrText>
      </w:r>
      <w:r>
        <w:rPr>
          <w:rFonts w:ascii="Arial" w:hAnsi="Arial"/>
          <w:lang w:val="en-US" w:eastAsia="zh-CN"/>
        </w:rPr>
      </w:r>
      <w:r>
        <w:rPr>
          <w:rFonts w:ascii="Arial" w:hAnsi="Arial"/>
          <w:lang w:val="en-US" w:eastAsia="zh-CN"/>
        </w:rPr>
        <w:fldChar w:fldCharType="separate"/>
      </w:r>
      <w:r>
        <w:rPr>
          <w:rFonts w:ascii="Arial" w:hAnsi="Arial"/>
          <w:lang w:val="en-US" w:eastAsia="zh-CN"/>
        </w:rPr>
        <w:t>[3]</w:t>
      </w:r>
      <w:r>
        <w:rPr>
          <w:rFonts w:ascii="Arial" w:hAnsi="Arial"/>
          <w:lang w:val="en-US" w:eastAsia="zh-CN"/>
        </w:rPr>
        <w:fldChar w:fldCharType="end"/>
      </w:r>
      <w:r>
        <w:rPr>
          <w:rFonts w:ascii="Arial" w:hAnsi="Arial"/>
          <w:lang w:val="en-US" w:eastAsia="zh-CN"/>
        </w:rPr>
        <w:t xml:space="preserve"> (see yellow and green highlighted text below), the above agreements are currently captured only for the case when the UE performs a Type1 channel access procedure (Cat 4 LBT) on one channel and a Type 2 channel access procedure (Cat 2 LBT) on the remaining channels, also known as Type B multi-channel access procedure.</w:t>
      </w:r>
    </w:p>
    <w:p w14:paraId="29A916AB" w14:textId="77777777" w:rsidR="00BF5431" w:rsidRDefault="00BF5431">
      <w:pPr>
        <w:ind w:right="27"/>
        <w:jc w:val="both"/>
        <w:rPr>
          <w:rFonts w:ascii="Arial" w:hAnsi="Arial"/>
          <w:lang w:val="en-US" w:eastAsia="zh-CN"/>
        </w:rPr>
      </w:pPr>
    </w:p>
    <w:p w14:paraId="56D76CDF" w14:textId="77777777" w:rsidR="00BF5431" w:rsidRDefault="00D449BF">
      <w:pPr>
        <w:ind w:right="27"/>
        <w:jc w:val="both"/>
        <w:rPr>
          <w:rFonts w:ascii="Arial" w:hAnsi="Arial"/>
          <w:lang w:val="en-US" w:eastAsia="zh-CN"/>
        </w:rPr>
      </w:pPr>
      <w:r>
        <w:rPr>
          <w:rFonts w:ascii="Arial" w:hAnsi="Arial"/>
          <w:lang w:val="en-US" w:eastAsia="zh-CN"/>
        </w:rPr>
        <w:t xml:space="preserve">The issue is that the RAN1#98bis and RAN1#99 agreements are generic in the sense that they apply regardless of what channel access procedure is applied. In other words, the agreements apply also to the case when Type 1 channel access (CAT 4 LBT) is applied on all channels, also known as Type A multi-channel access procedure. For Type A multi-channel access procedure, there is no need to restrict the channel frequencies of the set of channels </w:t>
      </w:r>
      <m:oMath>
        <m:r>
          <w:rPr>
            <w:rFonts w:ascii="Cambria Math" w:hAnsi="Cambria Math"/>
            <w:lang w:val="en-US" w:eastAsia="zh-CN"/>
          </w:rPr>
          <m:t>C</m:t>
        </m:r>
      </m:oMath>
      <w:r>
        <w:rPr>
          <w:rFonts w:ascii="Arial" w:hAnsi="Arial"/>
          <w:lang w:val="en-US" w:eastAsia="zh-CN"/>
        </w:rPr>
        <w:t xml:space="preserve"> to be a subset of one of the sets of channel frequencies defined in clause 5.7.4 of TS 36.104 (reference [2] in the above clause) as specified currently.</w:t>
      </w:r>
    </w:p>
    <w:p w14:paraId="21787D2E" w14:textId="77777777" w:rsidR="00BF5431" w:rsidRDefault="00D449BF">
      <w:pPr>
        <w:ind w:right="27"/>
        <w:jc w:val="both"/>
        <w:rPr>
          <w:rFonts w:ascii="Arial" w:hAnsi="Arial"/>
          <w:lang w:val="en-US" w:eastAsia="zh-CN"/>
        </w:rPr>
      </w:pPr>
      <w:r>
        <w:rPr>
          <w:rFonts w:ascii="Arial" w:hAnsi="Arial"/>
          <w:lang w:val="en-US" w:eastAsia="zh-CN"/>
        </w:rPr>
        <w:t xml:space="preserve">To correct the issue, the draft CR in </w:t>
      </w:r>
      <w:r>
        <w:rPr>
          <w:rFonts w:ascii="Arial" w:hAnsi="Arial"/>
          <w:lang w:val="en-US" w:eastAsia="zh-CN"/>
        </w:rPr>
        <w:fldChar w:fldCharType="begin"/>
      </w:r>
      <w:r>
        <w:rPr>
          <w:rFonts w:ascii="Arial" w:hAnsi="Arial"/>
          <w:lang w:val="en-US" w:eastAsia="zh-CN"/>
        </w:rPr>
        <w:instrText xml:space="preserve"> REF _Ref87541890 \r \h </w:instrText>
      </w:r>
      <w:r>
        <w:rPr>
          <w:rFonts w:ascii="Arial" w:hAnsi="Arial"/>
          <w:lang w:val="en-US" w:eastAsia="zh-CN"/>
        </w:rPr>
      </w:r>
      <w:r>
        <w:rPr>
          <w:rFonts w:ascii="Arial" w:hAnsi="Arial"/>
          <w:lang w:val="en-US" w:eastAsia="zh-CN"/>
        </w:rPr>
        <w:fldChar w:fldCharType="separate"/>
      </w:r>
      <w:r>
        <w:rPr>
          <w:rFonts w:ascii="Arial" w:hAnsi="Arial"/>
          <w:lang w:val="en-US" w:eastAsia="zh-CN"/>
        </w:rPr>
        <w:t>[2]</w:t>
      </w:r>
      <w:r>
        <w:rPr>
          <w:rFonts w:ascii="Arial" w:hAnsi="Arial"/>
          <w:lang w:val="en-US" w:eastAsia="zh-CN"/>
        </w:rPr>
        <w:fldChar w:fldCharType="end"/>
      </w:r>
      <w:r>
        <w:rPr>
          <w:rFonts w:ascii="Arial" w:hAnsi="Arial"/>
          <w:lang w:val="en-US" w:eastAsia="zh-CN"/>
        </w:rPr>
        <w:t xml:space="preserve"> is proposed and is copied in Appendix A for convenience. The draft CR proposes some restructuring of Section 4.2.1.0.4 such that both green highlighted paragraphs also apply to Type A multi-channel access procedure. </w:t>
      </w:r>
    </w:p>
    <w:p w14:paraId="26672335" w14:textId="77777777" w:rsidR="00BF5431" w:rsidRDefault="00D449BF">
      <w:pPr>
        <w:pStyle w:val="21"/>
        <w:ind w:left="1350" w:hanging="1350"/>
        <w:rPr>
          <w:b/>
          <w:bCs/>
          <w:sz w:val="20"/>
        </w:rPr>
      </w:pPr>
      <w:bookmarkStart w:id="29" w:name="_Toc86732761"/>
      <w:r>
        <w:rPr>
          <w:b/>
          <w:bCs/>
          <w:sz w:val="20"/>
          <w:highlight w:val="cyan"/>
        </w:rPr>
        <w:t>Proposal 1</w:t>
      </w:r>
      <w:r>
        <w:rPr>
          <w:b/>
          <w:bCs/>
          <w:sz w:val="20"/>
          <w:highlight w:val="cyan"/>
        </w:rPr>
        <w:tab/>
      </w:r>
      <w:r>
        <w:rPr>
          <w:b/>
          <w:bCs/>
          <w:sz w:val="20"/>
          <w:highlight w:val="cyan"/>
        </w:rPr>
        <w:tab/>
        <w:t>Adopt the draft CR in [2]</w:t>
      </w:r>
      <w:bookmarkEnd w:id="29"/>
      <w:r>
        <w:rPr>
          <w:b/>
          <w:bCs/>
          <w:sz w:val="20"/>
          <w:highlight w:val="cyan"/>
        </w:rPr>
        <w:t xml:space="preserve"> (copied in Appendix A below for convenience).</w:t>
      </w:r>
    </w:p>
    <w:p w14:paraId="5DBE6565" w14:textId="77777777" w:rsidR="00BF5431" w:rsidRDefault="00D449BF">
      <w:pPr>
        <w:ind w:right="27"/>
        <w:rPr>
          <w:rFonts w:ascii="Arial" w:hAnsi="Arial"/>
          <w:lang w:val="en-US" w:eastAsia="zh-CN"/>
        </w:rPr>
      </w:pPr>
      <w:r>
        <w:rPr>
          <w:rFonts w:ascii="Arial" w:hAnsi="Arial"/>
          <w:lang w:val="en-US" w:eastAsia="zh-CN"/>
        </w:rPr>
        <w:t>Please provide you company view on Proposal #1</w:t>
      </w:r>
    </w:p>
    <w:tbl>
      <w:tblPr>
        <w:tblStyle w:val="af3"/>
        <w:tblW w:w="9085" w:type="dxa"/>
        <w:tblLayout w:type="fixed"/>
        <w:tblLook w:val="04A0" w:firstRow="1" w:lastRow="0" w:firstColumn="1" w:lastColumn="0" w:noHBand="0" w:noVBand="1"/>
      </w:tblPr>
      <w:tblGrid>
        <w:gridCol w:w="1525"/>
        <w:gridCol w:w="7560"/>
      </w:tblGrid>
      <w:tr w:rsidR="00BF5431" w14:paraId="6B24888F" w14:textId="77777777">
        <w:tc>
          <w:tcPr>
            <w:tcW w:w="1525" w:type="dxa"/>
          </w:tcPr>
          <w:p w14:paraId="6C44B5EC" w14:textId="77777777" w:rsidR="00BF5431" w:rsidRDefault="00D449BF">
            <w:pPr>
              <w:pStyle w:val="a6"/>
              <w:spacing w:after="0"/>
              <w:ind w:right="27"/>
              <w:rPr>
                <w:b/>
                <w:sz w:val="20"/>
                <w:szCs w:val="20"/>
                <w:lang w:val="de-DE"/>
              </w:rPr>
            </w:pPr>
            <w:r>
              <w:rPr>
                <w:b/>
                <w:sz w:val="20"/>
                <w:szCs w:val="20"/>
                <w:lang w:val="de-DE"/>
              </w:rPr>
              <w:t>Company</w:t>
            </w:r>
          </w:p>
        </w:tc>
        <w:tc>
          <w:tcPr>
            <w:tcW w:w="7560" w:type="dxa"/>
          </w:tcPr>
          <w:p w14:paraId="2303FD98" w14:textId="77777777" w:rsidR="00BF5431" w:rsidRDefault="00D449BF">
            <w:pPr>
              <w:pStyle w:val="a6"/>
              <w:spacing w:after="0"/>
              <w:ind w:right="27"/>
              <w:rPr>
                <w:b/>
                <w:sz w:val="20"/>
                <w:szCs w:val="20"/>
                <w:lang w:val="de-DE"/>
              </w:rPr>
            </w:pPr>
            <w:r>
              <w:rPr>
                <w:b/>
                <w:sz w:val="20"/>
                <w:szCs w:val="20"/>
                <w:lang w:val="de-DE"/>
              </w:rPr>
              <w:t>View/Position</w:t>
            </w:r>
          </w:p>
        </w:tc>
      </w:tr>
      <w:tr w:rsidR="00BF5431" w14:paraId="362C21A8" w14:textId="77777777">
        <w:tc>
          <w:tcPr>
            <w:tcW w:w="1525" w:type="dxa"/>
          </w:tcPr>
          <w:p w14:paraId="7397B5B4" w14:textId="77777777" w:rsidR="00BF5431" w:rsidRDefault="00D449BF">
            <w:pPr>
              <w:pStyle w:val="a6"/>
              <w:spacing w:after="0"/>
              <w:ind w:right="27"/>
              <w:rPr>
                <w:rFonts w:eastAsia="맑은 고딕"/>
                <w:sz w:val="20"/>
                <w:szCs w:val="20"/>
                <w:lang w:val="de-DE" w:eastAsia="ko-KR"/>
              </w:rPr>
            </w:pPr>
            <w:r>
              <w:rPr>
                <w:rFonts w:eastAsia="맑은 고딕" w:hint="eastAsia"/>
                <w:sz w:val="20"/>
                <w:szCs w:val="20"/>
                <w:lang w:val="de-DE" w:eastAsia="ko-KR"/>
              </w:rPr>
              <w:t>L</w:t>
            </w:r>
            <w:r>
              <w:rPr>
                <w:rFonts w:eastAsia="맑은 고딕"/>
                <w:sz w:val="20"/>
                <w:szCs w:val="20"/>
                <w:lang w:val="de-DE" w:eastAsia="ko-KR"/>
              </w:rPr>
              <w:t>G Electronics</w:t>
            </w:r>
          </w:p>
        </w:tc>
        <w:tc>
          <w:tcPr>
            <w:tcW w:w="7560" w:type="dxa"/>
          </w:tcPr>
          <w:p w14:paraId="1E22BFFD" w14:textId="77777777" w:rsidR="00BF5431" w:rsidRDefault="00D449BF">
            <w:pPr>
              <w:pStyle w:val="a6"/>
              <w:spacing w:after="0"/>
              <w:ind w:right="27"/>
              <w:rPr>
                <w:rFonts w:eastAsia="맑은 고딕"/>
                <w:sz w:val="20"/>
                <w:szCs w:val="20"/>
                <w:lang w:eastAsia="ko-KR"/>
              </w:rPr>
            </w:pPr>
            <w:r>
              <w:rPr>
                <w:rFonts w:eastAsia="맑은 고딕" w:hint="eastAsia"/>
                <w:sz w:val="20"/>
                <w:szCs w:val="20"/>
                <w:lang w:eastAsia="ko-KR"/>
              </w:rPr>
              <w:t>Support Proposal 1, as a co-sourcing company.</w:t>
            </w:r>
          </w:p>
        </w:tc>
      </w:tr>
      <w:tr w:rsidR="00BF5431" w14:paraId="4C070F31" w14:textId="77777777">
        <w:tc>
          <w:tcPr>
            <w:tcW w:w="1525" w:type="dxa"/>
          </w:tcPr>
          <w:p w14:paraId="5613EE37" w14:textId="77777777" w:rsidR="00BF5431" w:rsidRDefault="00D449BF">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5A6990F" w14:textId="77777777" w:rsidR="00BF5431" w:rsidRDefault="00D449BF">
            <w:pPr>
              <w:pStyle w:val="a6"/>
              <w:spacing w:after="0"/>
              <w:ind w:right="27"/>
              <w:rPr>
                <w:lang w:val="en-US"/>
              </w:rPr>
            </w:pPr>
            <w:r>
              <w:rPr>
                <w:rFonts w:hint="eastAsia"/>
                <w:sz w:val="20"/>
                <w:szCs w:val="20"/>
                <w:lang w:val="en-US"/>
              </w:rPr>
              <w:t xml:space="preserve">We understand the motivation of this </w:t>
            </w:r>
            <w:proofErr w:type="gramStart"/>
            <w:r>
              <w:rPr>
                <w:rFonts w:hint="eastAsia"/>
                <w:sz w:val="20"/>
                <w:szCs w:val="20"/>
                <w:lang w:val="en-US"/>
              </w:rPr>
              <w:t>CRs</w:t>
            </w:r>
            <w:proofErr w:type="gramEnd"/>
            <w:r>
              <w:rPr>
                <w:rFonts w:hint="eastAsia"/>
                <w:sz w:val="20"/>
                <w:szCs w:val="20"/>
                <w:lang w:val="en-US"/>
              </w:rPr>
              <w:t xml:space="preserve"> but the current draft CR seems unclear for us since we don</w:t>
            </w:r>
            <w:r>
              <w:rPr>
                <w:sz w:val="20"/>
                <w:szCs w:val="20"/>
                <w:lang w:val="en-US"/>
              </w:rPr>
              <w:t>’</w:t>
            </w:r>
            <w:r>
              <w:rPr>
                <w:rFonts w:hint="eastAsia"/>
                <w:sz w:val="20"/>
                <w:szCs w:val="20"/>
                <w:lang w:val="en-US"/>
              </w:rPr>
              <w:t xml:space="preserve">t see which part of CR explicitly reflect the previous agreements </w:t>
            </w:r>
            <w:r>
              <w:rPr>
                <w:rFonts w:hint="eastAsia"/>
                <w:sz w:val="20"/>
                <w:szCs w:val="20"/>
                <w:lang w:val="en-US"/>
              </w:rPr>
              <w:lastRenderedPageBreak/>
              <w:t>that</w:t>
            </w:r>
            <w:r>
              <w:rPr>
                <w:lang w:val="en-US"/>
              </w:rPr>
              <w:t xml:space="preserve"> apply also to the case when Type 1 channel access (CAT 4 LBT) is applied on all channels</w:t>
            </w:r>
            <w:r>
              <w:rPr>
                <w:rFonts w:hint="eastAsia"/>
                <w:lang w:val="en-US"/>
              </w:rPr>
              <w:t>. Could you please further clarify it?</w:t>
            </w:r>
          </w:p>
          <w:p w14:paraId="734AAF8F" w14:textId="77777777" w:rsidR="00BF5431" w:rsidRDefault="00BF5431">
            <w:pPr>
              <w:pStyle w:val="a6"/>
              <w:spacing w:after="0"/>
              <w:ind w:right="27"/>
              <w:rPr>
                <w:lang w:val="en-US"/>
              </w:rPr>
            </w:pPr>
          </w:p>
          <w:p w14:paraId="133DFC5C" w14:textId="77777777" w:rsidR="00BF5431" w:rsidRDefault="00D449BF">
            <w:pPr>
              <w:pStyle w:val="a6"/>
              <w:spacing w:after="0"/>
              <w:ind w:right="27"/>
              <w:rPr>
                <w:lang w:val="en-US"/>
              </w:rPr>
            </w:pPr>
            <w:r>
              <w:rPr>
                <w:rFonts w:hint="eastAsia"/>
                <w:lang w:val="en-US"/>
              </w:rPr>
              <w:t xml:space="preserve">Besides, we think the current CR is only for Rel-16 NR-U UE, not for UE before Rel-16 version. </w:t>
            </w:r>
            <w:proofErr w:type="gramStart"/>
            <w:r>
              <w:rPr>
                <w:rFonts w:hint="eastAsia"/>
                <w:lang w:val="en-US"/>
              </w:rPr>
              <w:t>So</w:t>
            </w:r>
            <w:proofErr w:type="gramEnd"/>
            <w:r>
              <w:rPr>
                <w:rFonts w:hint="eastAsia"/>
                <w:lang w:val="en-US"/>
              </w:rPr>
              <w:t xml:space="preserve"> it seems to need to further clarify or determine whether the current CR directly replaces Clause 4.2.1.0.4 of the existing spec or only adds this CR as a new paragraph in Clause 4.2.1.0.4 of the existing spec to reflect wideband operation.</w:t>
            </w:r>
          </w:p>
        </w:tc>
      </w:tr>
      <w:tr w:rsidR="00BF5431" w14:paraId="03E06921" w14:textId="77777777">
        <w:tc>
          <w:tcPr>
            <w:tcW w:w="1525" w:type="dxa"/>
          </w:tcPr>
          <w:p w14:paraId="45DEA65D" w14:textId="1D3C375F" w:rsidR="00BF5431" w:rsidRDefault="00D449BF">
            <w:pPr>
              <w:pStyle w:val="a6"/>
              <w:spacing w:after="0"/>
              <w:ind w:right="27"/>
              <w:rPr>
                <w:sz w:val="20"/>
                <w:szCs w:val="20"/>
                <w:lang w:val="de-DE"/>
              </w:rPr>
            </w:pPr>
            <w:r>
              <w:rPr>
                <w:sz w:val="20"/>
                <w:szCs w:val="20"/>
                <w:lang w:val="de-DE"/>
              </w:rPr>
              <w:lastRenderedPageBreak/>
              <w:t>Nokia, NSB</w:t>
            </w:r>
          </w:p>
        </w:tc>
        <w:tc>
          <w:tcPr>
            <w:tcW w:w="7560" w:type="dxa"/>
          </w:tcPr>
          <w:p w14:paraId="09A11647" w14:textId="20DC5601" w:rsidR="00BF5431" w:rsidRDefault="00D449BF">
            <w:pPr>
              <w:pStyle w:val="a6"/>
              <w:spacing w:after="0"/>
              <w:ind w:right="27"/>
              <w:rPr>
                <w:sz w:val="20"/>
                <w:szCs w:val="20"/>
                <w:lang w:val="de-DE"/>
              </w:rPr>
            </w:pPr>
            <w:r>
              <w:rPr>
                <w:sz w:val="20"/>
                <w:szCs w:val="20"/>
                <w:lang w:val="de-DE"/>
              </w:rPr>
              <w:t>We support the proposal as a co-sourcing company.</w:t>
            </w:r>
          </w:p>
        </w:tc>
      </w:tr>
      <w:tr w:rsidR="00BF5431" w14:paraId="1A0AD3AF" w14:textId="77777777">
        <w:tc>
          <w:tcPr>
            <w:tcW w:w="1525" w:type="dxa"/>
          </w:tcPr>
          <w:p w14:paraId="532DC777" w14:textId="023C966B" w:rsidR="00BF5431" w:rsidRPr="00C6667F" w:rsidRDefault="00C6667F">
            <w:pPr>
              <w:pStyle w:val="a6"/>
              <w:spacing w:after="0"/>
              <w:ind w:right="27"/>
              <w:rPr>
                <w:rFonts w:eastAsiaTheme="minorEastAsia"/>
                <w:sz w:val="20"/>
                <w:szCs w:val="20"/>
              </w:rPr>
            </w:pPr>
            <w:r w:rsidRPr="00C6667F">
              <w:rPr>
                <w:sz w:val="20"/>
                <w:szCs w:val="20"/>
                <w:lang w:val="de-DE"/>
              </w:rPr>
              <w:t>OPPO</w:t>
            </w:r>
          </w:p>
        </w:tc>
        <w:tc>
          <w:tcPr>
            <w:tcW w:w="7560" w:type="dxa"/>
          </w:tcPr>
          <w:p w14:paraId="07EDC9A2" w14:textId="2C2EA8DA" w:rsidR="00C6667F" w:rsidRDefault="00C6667F">
            <w:pPr>
              <w:pStyle w:val="a6"/>
              <w:spacing w:after="0"/>
              <w:ind w:right="27"/>
              <w:rPr>
                <w:rFonts w:eastAsiaTheme="minorEastAsia"/>
                <w:sz w:val="20"/>
                <w:szCs w:val="20"/>
                <w:lang w:val="de-DE"/>
              </w:rPr>
            </w:pPr>
            <w:r>
              <w:rPr>
                <w:rFonts w:eastAsiaTheme="minorEastAsia" w:hint="eastAsia"/>
                <w:sz w:val="20"/>
                <w:szCs w:val="20"/>
                <w:lang w:val="de-DE"/>
              </w:rPr>
              <w:t>W</w:t>
            </w:r>
            <w:r>
              <w:rPr>
                <w:rFonts w:eastAsiaTheme="minorEastAsia"/>
                <w:sz w:val="20"/>
                <w:szCs w:val="20"/>
                <w:lang w:val="de-DE"/>
              </w:rPr>
              <w:t xml:space="preserve">e share the same view with ZTE, the proposed CR does not explicitly reflect how Type 1 channel access is used. We propose </w:t>
            </w:r>
            <w:r w:rsidR="00232C25">
              <w:rPr>
                <w:rFonts w:eastAsiaTheme="minorEastAsia"/>
                <w:sz w:val="20"/>
                <w:szCs w:val="20"/>
                <w:lang w:val="de-DE"/>
              </w:rPr>
              <w:t xml:space="preserve">some changes </w:t>
            </w:r>
            <w:r w:rsidR="00657F23">
              <w:rPr>
                <w:rFonts w:eastAsiaTheme="minorEastAsia"/>
                <w:sz w:val="20"/>
                <w:szCs w:val="20"/>
                <w:lang w:val="de-DE"/>
              </w:rPr>
              <w:t xml:space="preserve">to make it clear, please see </w:t>
            </w:r>
            <w:r w:rsidR="00657F23" w:rsidRPr="00657F23">
              <w:rPr>
                <w:rFonts w:eastAsiaTheme="minorEastAsia"/>
                <w:sz w:val="20"/>
                <w:szCs w:val="20"/>
                <w:highlight w:val="yellow"/>
                <w:lang w:val="de-DE"/>
              </w:rPr>
              <w:t>Appendix B</w:t>
            </w:r>
            <w:r w:rsidR="00657F23">
              <w:rPr>
                <w:rFonts w:eastAsiaTheme="minorEastAsia"/>
                <w:sz w:val="20"/>
                <w:szCs w:val="20"/>
                <w:lang w:val="de-DE"/>
              </w:rPr>
              <w:t>.</w:t>
            </w:r>
          </w:p>
          <w:p w14:paraId="1E4A0E14" w14:textId="618A0BA6" w:rsidR="00C6667F" w:rsidRPr="00C6667F" w:rsidRDefault="00C6667F">
            <w:pPr>
              <w:pStyle w:val="a6"/>
              <w:spacing w:after="0"/>
              <w:ind w:right="27"/>
              <w:rPr>
                <w:rFonts w:eastAsiaTheme="minorEastAsia"/>
                <w:sz w:val="20"/>
                <w:szCs w:val="20"/>
                <w:lang w:val="de-DE"/>
              </w:rPr>
            </w:pPr>
          </w:p>
        </w:tc>
      </w:tr>
      <w:tr w:rsidR="00BE6D35" w14:paraId="35122711" w14:textId="77777777">
        <w:tc>
          <w:tcPr>
            <w:tcW w:w="1525" w:type="dxa"/>
          </w:tcPr>
          <w:p w14:paraId="6459346B" w14:textId="0B145B02" w:rsidR="00BE6D35" w:rsidRPr="00BE6D35" w:rsidRDefault="00BE6D35">
            <w:pPr>
              <w:pStyle w:val="a6"/>
              <w:spacing w:after="0"/>
              <w:ind w:right="27"/>
              <w:rPr>
                <w:sz w:val="20"/>
                <w:szCs w:val="20"/>
              </w:rPr>
            </w:pPr>
            <w:r w:rsidRPr="00BE6D35">
              <w:rPr>
                <w:sz w:val="20"/>
                <w:szCs w:val="20"/>
              </w:rPr>
              <w:t>Intel</w:t>
            </w:r>
          </w:p>
        </w:tc>
        <w:tc>
          <w:tcPr>
            <w:tcW w:w="7560" w:type="dxa"/>
          </w:tcPr>
          <w:p w14:paraId="4D3CEB0D" w14:textId="2DABF84A" w:rsidR="00BE6D35" w:rsidRPr="00BE6D35" w:rsidRDefault="00BE6D35">
            <w:pPr>
              <w:pStyle w:val="a6"/>
              <w:spacing w:after="0"/>
              <w:ind w:right="27"/>
              <w:rPr>
                <w:sz w:val="20"/>
                <w:szCs w:val="20"/>
                <w:lang w:val="de-DE"/>
              </w:rPr>
            </w:pPr>
            <w:r w:rsidRPr="00BE6D35">
              <w:rPr>
                <w:sz w:val="20"/>
                <w:szCs w:val="20"/>
                <w:lang w:val="de-DE"/>
              </w:rPr>
              <w:t xml:space="preserve">We agree with the CR in principle. However, we share same concern as ZTE and OPPO, since it is not clear which part for the revision is for </w:t>
            </w:r>
            <w:r w:rsidRPr="00BE6D35">
              <w:rPr>
                <w:sz w:val="20"/>
                <w:szCs w:val="20"/>
                <w:lang w:val="en-US"/>
              </w:rPr>
              <w:t xml:space="preserve">Type A multi-channel access procedure. It will be helpful and appreciated if the supporters can clarify it. </w:t>
            </w:r>
          </w:p>
        </w:tc>
      </w:tr>
      <w:tr w:rsidR="00DF3509" w14:paraId="3D6D805E" w14:textId="77777777">
        <w:tc>
          <w:tcPr>
            <w:tcW w:w="1525" w:type="dxa"/>
          </w:tcPr>
          <w:p w14:paraId="7635342C" w14:textId="0F5D1726" w:rsidR="00DF3509" w:rsidRPr="00BE6D35" w:rsidRDefault="00DF3509">
            <w:pPr>
              <w:pStyle w:val="a6"/>
              <w:spacing w:after="0"/>
              <w:ind w:right="27"/>
            </w:pPr>
            <w:r>
              <w:t>Samsung</w:t>
            </w:r>
          </w:p>
        </w:tc>
        <w:tc>
          <w:tcPr>
            <w:tcW w:w="7560" w:type="dxa"/>
          </w:tcPr>
          <w:p w14:paraId="721F7F8F" w14:textId="7A2A763E" w:rsidR="00DF3509" w:rsidRPr="00BE6D35" w:rsidRDefault="00DF3509">
            <w:pPr>
              <w:pStyle w:val="a6"/>
              <w:spacing w:after="0"/>
              <w:ind w:right="27"/>
              <w:rPr>
                <w:lang w:val="de-DE"/>
              </w:rPr>
            </w:pPr>
            <w:r>
              <w:rPr>
                <w:lang w:val="de-DE"/>
              </w:rPr>
              <w:t xml:space="preserve">Agree with the intention of the CR, and agree with OPPO’s further clarification. One typo in OPPO’s draft CR: the channel performing Type 1 channel access should be c_j. </w:t>
            </w:r>
          </w:p>
        </w:tc>
      </w:tr>
      <w:tr w:rsidR="00F8566D" w14:paraId="09EC501D" w14:textId="77777777">
        <w:tc>
          <w:tcPr>
            <w:tcW w:w="1525" w:type="dxa"/>
          </w:tcPr>
          <w:p w14:paraId="50DBF239" w14:textId="35C4E397" w:rsidR="00F8566D" w:rsidRPr="00F8566D" w:rsidRDefault="00F8566D">
            <w:pPr>
              <w:pStyle w:val="a6"/>
              <w:spacing w:after="0"/>
              <w:ind w:right="27"/>
              <w:rPr>
                <w:rFonts w:eastAsia="Yu Mincho"/>
                <w:lang w:eastAsia="ja-JP"/>
              </w:rPr>
            </w:pPr>
            <w:r>
              <w:rPr>
                <w:rFonts w:eastAsia="Yu Mincho"/>
                <w:lang w:eastAsia="ja-JP"/>
              </w:rPr>
              <w:t>Sharp</w:t>
            </w:r>
          </w:p>
        </w:tc>
        <w:tc>
          <w:tcPr>
            <w:tcW w:w="7560" w:type="dxa"/>
          </w:tcPr>
          <w:p w14:paraId="20E846AE" w14:textId="6789F1A4" w:rsidR="00F8566D" w:rsidRPr="00F8566D" w:rsidRDefault="00F8566D">
            <w:pPr>
              <w:pStyle w:val="a6"/>
              <w:spacing w:after="0"/>
              <w:ind w:right="27"/>
              <w:rPr>
                <w:rFonts w:eastAsia="Yu Mincho"/>
                <w:lang w:val="de-DE" w:eastAsia="ja-JP"/>
              </w:rPr>
            </w:pPr>
            <w:r>
              <w:rPr>
                <w:rFonts w:eastAsia="Yu Mincho" w:hint="eastAsia"/>
                <w:lang w:val="de-DE" w:eastAsia="ja-JP"/>
              </w:rPr>
              <w:t>W</w:t>
            </w:r>
            <w:r>
              <w:rPr>
                <w:rFonts w:eastAsia="Yu Mincho"/>
                <w:lang w:val="de-DE" w:eastAsia="ja-JP"/>
              </w:rPr>
              <w:t>e agree with the proposal in principle and also share the views from others that some more clarification on Type 1 channel access is necessary.</w:t>
            </w:r>
          </w:p>
        </w:tc>
      </w:tr>
      <w:tr w:rsidR="008106B0" w14:paraId="45D03C42" w14:textId="77777777">
        <w:tc>
          <w:tcPr>
            <w:tcW w:w="1525" w:type="dxa"/>
          </w:tcPr>
          <w:p w14:paraId="1F256170" w14:textId="0F8441D9" w:rsidR="008106B0" w:rsidRDefault="008106B0">
            <w:pPr>
              <w:pStyle w:val="a6"/>
              <w:spacing w:after="0"/>
              <w:ind w:right="27"/>
              <w:rPr>
                <w:rFonts w:eastAsia="Yu Mincho"/>
                <w:lang w:eastAsia="ja-JP"/>
              </w:rPr>
            </w:pPr>
            <w:r>
              <w:rPr>
                <w:rFonts w:eastAsia="Yu Mincho"/>
                <w:lang w:eastAsia="ja-JP"/>
              </w:rPr>
              <w:t xml:space="preserve">Huawei, </w:t>
            </w:r>
            <w:proofErr w:type="spellStart"/>
            <w:r>
              <w:rPr>
                <w:rFonts w:eastAsia="Yu Mincho"/>
                <w:lang w:eastAsia="ja-JP"/>
              </w:rPr>
              <w:t>HiSilicon</w:t>
            </w:r>
            <w:proofErr w:type="spellEnd"/>
          </w:p>
        </w:tc>
        <w:tc>
          <w:tcPr>
            <w:tcW w:w="7560" w:type="dxa"/>
          </w:tcPr>
          <w:p w14:paraId="7817D841" w14:textId="4B85A708" w:rsidR="008106B0" w:rsidRDefault="008106B0">
            <w:pPr>
              <w:pStyle w:val="a6"/>
              <w:spacing w:after="0"/>
              <w:ind w:right="27"/>
              <w:rPr>
                <w:rFonts w:eastAsia="Yu Mincho"/>
                <w:lang w:val="de-DE" w:eastAsia="ja-JP"/>
              </w:rPr>
            </w:pPr>
            <w:r>
              <w:rPr>
                <w:sz w:val="20"/>
                <w:szCs w:val="20"/>
                <w:lang w:val="de-DE"/>
              </w:rPr>
              <w:t xml:space="preserve">We support the proposal as a co-sourcing company. Nevertheless, we are also fine with adopting the further clarifying changes proposed by OPPO on the use of Type 1  </w:t>
            </w:r>
          </w:p>
        </w:tc>
      </w:tr>
      <w:tr w:rsidR="00C62C84" w:rsidRPr="00C62C84" w14:paraId="6ADEB343" w14:textId="77777777" w:rsidTr="0017137F">
        <w:tc>
          <w:tcPr>
            <w:tcW w:w="1525" w:type="dxa"/>
            <w:tcBorders>
              <w:bottom w:val="single" w:sz="4" w:space="0" w:color="auto"/>
            </w:tcBorders>
            <w:shd w:val="clear" w:color="auto" w:fill="00B0F0"/>
          </w:tcPr>
          <w:p w14:paraId="1E202FCD" w14:textId="0B18FF2C" w:rsidR="00C62C84" w:rsidRPr="00C62C84" w:rsidRDefault="00C62C84">
            <w:pPr>
              <w:pStyle w:val="a6"/>
              <w:spacing w:after="0"/>
              <w:ind w:right="27"/>
              <w:rPr>
                <w:rFonts w:eastAsia="Yu Mincho"/>
                <w:sz w:val="20"/>
                <w:lang w:eastAsia="ja-JP"/>
              </w:rPr>
            </w:pPr>
            <w:r>
              <w:rPr>
                <w:rFonts w:eastAsia="Yu Mincho"/>
                <w:sz w:val="20"/>
                <w:lang w:eastAsia="ja-JP"/>
              </w:rPr>
              <w:t>Moderator</w:t>
            </w:r>
          </w:p>
        </w:tc>
        <w:tc>
          <w:tcPr>
            <w:tcW w:w="7560" w:type="dxa"/>
          </w:tcPr>
          <w:p w14:paraId="427C2B7B" w14:textId="57A70E79" w:rsidR="00990ECA" w:rsidRDefault="000058D0">
            <w:pPr>
              <w:pStyle w:val="a6"/>
              <w:spacing w:after="0"/>
              <w:ind w:right="27"/>
              <w:rPr>
                <w:sz w:val="20"/>
                <w:lang w:val="de-DE"/>
              </w:rPr>
            </w:pPr>
            <w:r>
              <w:rPr>
                <w:sz w:val="20"/>
                <w:lang w:val="de-DE"/>
              </w:rPr>
              <w:t>@OPPO: Thank-you for the proposed change to the CR</w:t>
            </w:r>
            <w:r w:rsidR="00990ECA">
              <w:rPr>
                <w:sz w:val="20"/>
                <w:lang w:val="de-DE"/>
              </w:rPr>
              <w:t xml:space="preserve"> (Version 2 in Appendix B)</w:t>
            </w:r>
            <w:r>
              <w:rPr>
                <w:sz w:val="20"/>
                <w:lang w:val="de-DE"/>
              </w:rPr>
              <w:t xml:space="preserve">. </w:t>
            </w:r>
            <w:r w:rsidR="00990ECA">
              <w:rPr>
                <w:sz w:val="20"/>
                <w:lang w:val="de-DE"/>
              </w:rPr>
              <w:t>I agree</w:t>
            </w:r>
            <w:r>
              <w:rPr>
                <w:sz w:val="20"/>
                <w:lang w:val="de-DE"/>
              </w:rPr>
              <w:t xml:space="preserve"> that this improves clarity</w:t>
            </w:r>
            <w:r w:rsidR="00990ECA">
              <w:rPr>
                <w:sz w:val="20"/>
                <w:lang w:val="de-DE"/>
              </w:rPr>
              <w:t xml:space="preserve"> since it</w:t>
            </w:r>
            <w:r>
              <w:rPr>
                <w:sz w:val="20"/>
                <w:lang w:val="de-DE"/>
              </w:rPr>
              <w:t xml:space="preserve"> explicitly captures both Type A and Type B multi-channel access procedures.</w:t>
            </w:r>
            <w:r w:rsidR="00990ECA">
              <w:rPr>
                <w:sz w:val="20"/>
                <w:lang w:val="de-DE"/>
              </w:rPr>
              <w:t xml:space="preserve"> </w:t>
            </w:r>
            <w:r>
              <w:rPr>
                <w:sz w:val="20"/>
                <w:lang w:val="de-DE"/>
              </w:rPr>
              <w:t xml:space="preserve">However, </w:t>
            </w:r>
            <w:r w:rsidR="00990ECA">
              <w:rPr>
                <w:sz w:val="20"/>
                <w:lang w:val="de-DE"/>
              </w:rPr>
              <w:t xml:space="preserve">with this modified structure, </w:t>
            </w:r>
            <w:r>
              <w:rPr>
                <w:sz w:val="20"/>
                <w:lang w:val="de-DE"/>
              </w:rPr>
              <w:t>I believe the last two bullets should be moved up one level since they are generic</w:t>
            </w:r>
            <w:r w:rsidR="00990ECA">
              <w:rPr>
                <w:sz w:val="20"/>
                <w:lang w:val="de-DE"/>
              </w:rPr>
              <w:t xml:space="preserve"> w.r.t. to any channel access procedure. In this way, these two bullets occur at the same level </w:t>
            </w:r>
            <w:r w:rsidR="00A57165">
              <w:rPr>
                <w:sz w:val="20"/>
                <w:lang w:val="de-DE"/>
              </w:rPr>
              <w:t>with the others under the words</w:t>
            </w:r>
            <w:r w:rsidR="00990ECA">
              <w:rPr>
                <w:sz w:val="20"/>
                <w:lang w:val="de-DE"/>
              </w:rPr>
              <w:t xml:space="preserve"> "the following are applicable:". Please see Version 3 in Appendix C with this change.</w:t>
            </w:r>
          </w:p>
          <w:p w14:paraId="00B0F0C9" w14:textId="77777777" w:rsidR="000058D0" w:rsidRDefault="000058D0">
            <w:pPr>
              <w:pStyle w:val="a6"/>
              <w:spacing w:after="0"/>
              <w:ind w:right="27"/>
              <w:rPr>
                <w:sz w:val="20"/>
                <w:lang w:val="de-DE"/>
              </w:rPr>
            </w:pPr>
          </w:p>
          <w:p w14:paraId="4FED15C6" w14:textId="64891EFF" w:rsidR="000058D0" w:rsidRDefault="000058D0">
            <w:pPr>
              <w:pStyle w:val="a6"/>
              <w:spacing w:after="0"/>
              <w:ind w:right="27"/>
              <w:rPr>
                <w:sz w:val="20"/>
                <w:lang w:val="de-DE"/>
              </w:rPr>
            </w:pPr>
            <w:r>
              <w:rPr>
                <w:sz w:val="20"/>
                <w:lang w:val="de-DE"/>
              </w:rPr>
              <w:t>@ ZTE: D</w:t>
            </w:r>
            <w:r w:rsidR="00990ECA">
              <w:rPr>
                <w:sz w:val="20"/>
                <w:lang w:val="de-DE"/>
              </w:rPr>
              <w:t>o OPPO's proposed changes to the CR address you concerns (see Version 3 in Appendix C)? Regarding your question about Rel-15 vs. Rel-16. First of all, a wideband carrier with multiple RB sets is only relevant for Rel-16 as there was no such thing in Rel-15. Hence, any paragraph mentioning RB sets is only applicable to Rel-16 UEs. Secondly, the proposed CR does not change the behavior at all for the case of CA with 20 MHz carriers, hence is backwards compatible to Rel-15.</w:t>
            </w:r>
          </w:p>
          <w:p w14:paraId="3D225F39" w14:textId="77777777" w:rsidR="000058D0" w:rsidRDefault="000058D0">
            <w:pPr>
              <w:pStyle w:val="a6"/>
              <w:spacing w:after="0"/>
              <w:ind w:right="27"/>
              <w:rPr>
                <w:sz w:val="20"/>
                <w:lang w:val="de-DE"/>
              </w:rPr>
            </w:pPr>
          </w:p>
          <w:p w14:paraId="40D10296" w14:textId="57596080" w:rsidR="00A57165" w:rsidRDefault="000058D0" w:rsidP="00A57165">
            <w:pPr>
              <w:pStyle w:val="a6"/>
              <w:spacing w:after="0"/>
              <w:ind w:right="27"/>
              <w:rPr>
                <w:sz w:val="20"/>
                <w:lang w:val="de-DE"/>
              </w:rPr>
            </w:pPr>
            <w:r>
              <w:rPr>
                <w:sz w:val="20"/>
                <w:lang w:val="de-DE"/>
              </w:rPr>
              <w:t>@Samsung</w:t>
            </w:r>
            <w:r w:rsidR="007539AA">
              <w:rPr>
                <w:sz w:val="20"/>
                <w:lang w:val="de-DE"/>
              </w:rPr>
              <w:t xml:space="preserve">: Not sure I agree that that c_i should be changed to c_j in the newly added paragraph </w:t>
            </w:r>
            <w:r w:rsidR="00A57165">
              <w:rPr>
                <w:sz w:val="20"/>
                <w:lang w:val="de-DE"/>
              </w:rPr>
              <w:t xml:space="preserve">applicable to Type A multi-channel access </w:t>
            </w:r>
            <w:r w:rsidR="007539AA">
              <w:rPr>
                <w:sz w:val="20"/>
                <w:lang w:val="de-DE"/>
              </w:rPr>
              <w:t xml:space="preserve">inserted by OPPO. This new paragraph is independent from the previous </w:t>
            </w:r>
            <w:r w:rsidR="00A57165">
              <w:rPr>
                <w:sz w:val="20"/>
                <w:lang w:val="de-DE"/>
              </w:rPr>
              <w:t>paragraph applicable to</w:t>
            </w:r>
            <w:r w:rsidR="007539AA">
              <w:rPr>
                <w:sz w:val="20"/>
                <w:lang w:val="de-DE"/>
              </w:rPr>
              <w:t xml:space="preserve"> Type B channel access</w:t>
            </w:r>
            <w:r w:rsidR="00A57165">
              <w:rPr>
                <w:sz w:val="20"/>
                <w:lang w:val="de-DE"/>
              </w:rPr>
              <w:t xml:space="preserve">. </w:t>
            </w:r>
            <w:r w:rsidR="00A57165" w:rsidRPr="00A57165">
              <w:rPr>
                <w:rFonts w:cs="Arial"/>
                <w:sz w:val="20"/>
                <w:szCs w:val="20"/>
                <w:lang w:val="de-DE"/>
              </w:rPr>
              <w:t>Morevoer, for Type B, "</w:t>
            </w:r>
            <w:r w:rsidR="00A57165" w:rsidRPr="00A57165">
              <w:rPr>
                <w:rFonts w:ascii="Times New Roman" w:eastAsia="Times New Roman" w:hAnsi="Times New Roman"/>
                <w:sz w:val="20"/>
                <w:szCs w:val="20"/>
                <w:lang w:eastAsia="en-US"/>
              </w:rPr>
              <w:t xml:space="preserve">channel </w:t>
            </w:r>
            <m:oMath>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j</m:t>
                  </m:r>
                </m:sub>
              </m:sSub>
            </m:oMath>
            <w:r w:rsidR="00A57165" w:rsidRPr="00A57165">
              <w:rPr>
                <w:rFonts w:ascii="Times New Roman" w:eastAsia="Times New Roman" w:hAnsi="Times New Roman"/>
                <w:sz w:val="20"/>
                <w:szCs w:val="20"/>
                <w:lang w:eastAsia="en-US"/>
              </w:rPr>
              <w:t xml:space="preserve"> is selected by the UE uniformly randomly from the set of channels </w:t>
            </w:r>
            <m:oMath>
              <m:r>
                <w:rPr>
                  <w:rFonts w:ascii="Cambria Math" w:hAnsi="Cambria Math"/>
                  <w:sz w:val="20"/>
                  <w:szCs w:val="20"/>
                </w:rPr>
                <m:t>C</m:t>
              </m:r>
            </m:oMath>
            <w:r w:rsidR="00A57165" w:rsidRPr="00A57165">
              <w:rPr>
                <w:rFonts w:ascii="Times New Roman" w:eastAsia="Times New Roman" w:hAnsi="Times New Roman"/>
                <w:sz w:val="20"/>
                <w:szCs w:val="20"/>
                <w:lang w:eastAsia="en-US"/>
              </w:rPr>
              <w:t xml:space="preserve"> before performing Type 1 channel access procedure on any channel in the set of channels </w:t>
            </w:r>
            <m:oMath>
              <m:r>
                <w:rPr>
                  <w:rFonts w:ascii="Cambria Math" w:hAnsi="Cambria Math"/>
                  <w:sz w:val="20"/>
                  <w:szCs w:val="20"/>
                </w:rPr>
                <m:t>C</m:t>
              </m:r>
            </m:oMath>
            <w:r w:rsidR="00A57165">
              <w:rPr>
                <w:rFonts w:ascii="Times New Roman" w:eastAsia="Times New Roman" w:hAnsi="Times New Roman"/>
                <w:sz w:val="20"/>
                <w:szCs w:val="20"/>
              </w:rPr>
              <w:t>.</w:t>
            </w:r>
            <w:r w:rsidR="00A57165" w:rsidRPr="00A57165">
              <w:rPr>
                <w:rFonts w:cs="Arial"/>
                <w:sz w:val="20"/>
                <w:szCs w:val="20"/>
                <w:lang w:val="de-DE"/>
              </w:rPr>
              <w:t>"</w:t>
            </w:r>
            <w:r w:rsidR="00A57165">
              <w:rPr>
                <w:rFonts w:cs="Arial"/>
                <w:sz w:val="20"/>
                <w:szCs w:val="20"/>
                <w:lang w:val="de-DE"/>
              </w:rPr>
              <w:t xml:space="preserve"> Clearly this is not relevant for Type A multi-channel access, so the (generic) index i should be used in this case. Furthermore, if i was changed to j, then the same change would be needed for the 2nd last paragraph of the CR which applies to Rel-15 as well, so probably better not to touch that.</w:t>
            </w:r>
          </w:p>
          <w:p w14:paraId="6F0B5051" w14:textId="77777777" w:rsidR="000058D0" w:rsidRDefault="000058D0">
            <w:pPr>
              <w:pStyle w:val="a6"/>
              <w:spacing w:after="0"/>
              <w:ind w:right="27"/>
              <w:rPr>
                <w:sz w:val="20"/>
                <w:lang w:val="de-DE"/>
              </w:rPr>
            </w:pPr>
          </w:p>
          <w:p w14:paraId="53D699FF" w14:textId="62E68801" w:rsidR="000058D0" w:rsidRPr="00C62C84" w:rsidRDefault="000058D0">
            <w:pPr>
              <w:pStyle w:val="a6"/>
              <w:spacing w:after="0"/>
              <w:ind w:right="27"/>
              <w:rPr>
                <w:sz w:val="20"/>
                <w:lang w:val="de-DE"/>
              </w:rPr>
            </w:pPr>
            <w:r>
              <w:rPr>
                <w:sz w:val="20"/>
                <w:lang w:val="de-DE"/>
              </w:rPr>
              <w:t>@All</w:t>
            </w:r>
            <w:r w:rsidR="00990ECA">
              <w:rPr>
                <w:sz w:val="20"/>
                <w:lang w:val="de-DE"/>
              </w:rPr>
              <w:t>: Please check Version 3 in Appendix C in which the last two bullets are moved up one level as described above in the response to OPPO. Please respond if you have any remaining concerns.</w:t>
            </w:r>
          </w:p>
        </w:tc>
      </w:tr>
      <w:tr w:rsidR="0017137F" w:rsidRPr="00C62C84" w14:paraId="23E45B5E" w14:textId="77777777" w:rsidTr="0017137F">
        <w:tc>
          <w:tcPr>
            <w:tcW w:w="1525" w:type="dxa"/>
            <w:shd w:val="clear" w:color="auto" w:fill="FFFFFF" w:themeFill="background1"/>
          </w:tcPr>
          <w:p w14:paraId="672F8DF3" w14:textId="0A91E4D7" w:rsidR="0017137F" w:rsidRPr="0017137F" w:rsidRDefault="0017137F">
            <w:pPr>
              <w:pStyle w:val="a6"/>
              <w:spacing w:after="0"/>
              <w:ind w:right="27"/>
              <w:rPr>
                <w:rFonts w:eastAsia="맑은 고딕"/>
                <w:lang w:eastAsia="ko-KR"/>
              </w:rPr>
            </w:pPr>
            <w:r>
              <w:rPr>
                <w:rFonts w:eastAsia="맑은 고딕" w:hint="eastAsia"/>
                <w:lang w:eastAsia="ko-KR"/>
              </w:rPr>
              <w:lastRenderedPageBreak/>
              <w:t>LG Electronics</w:t>
            </w:r>
          </w:p>
        </w:tc>
        <w:tc>
          <w:tcPr>
            <w:tcW w:w="7560" w:type="dxa"/>
          </w:tcPr>
          <w:p w14:paraId="2665A129" w14:textId="1A04CEB8" w:rsidR="0017137F" w:rsidRPr="0017137F" w:rsidRDefault="0017137F">
            <w:pPr>
              <w:pStyle w:val="a6"/>
              <w:spacing w:after="0"/>
              <w:ind w:right="27"/>
              <w:rPr>
                <w:rFonts w:eastAsia="맑은 고딕"/>
                <w:lang w:val="de-DE" w:eastAsia="ko-KR"/>
              </w:rPr>
            </w:pPr>
            <w:r>
              <w:rPr>
                <w:rFonts w:eastAsia="맑은 고딕" w:hint="eastAsia"/>
                <w:lang w:val="de-DE" w:eastAsia="ko-KR"/>
              </w:rPr>
              <w:t>Support version 3 in Appendix C.</w:t>
            </w:r>
          </w:p>
        </w:tc>
      </w:tr>
      <w:tr w:rsidR="00B73EA6" w:rsidRPr="00C62C84" w14:paraId="53FF1DBB" w14:textId="77777777" w:rsidTr="0017137F">
        <w:tc>
          <w:tcPr>
            <w:tcW w:w="1525" w:type="dxa"/>
            <w:shd w:val="clear" w:color="auto" w:fill="FFFFFF" w:themeFill="background1"/>
          </w:tcPr>
          <w:p w14:paraId="10F42AB6" w14:textId="770445FD" w:rsidR="00B73EA6" w:rsidRPr="00B73EA6" w:rsidRDefault="00B73EA6">
            <w:pPr>
              <w:pStyle w:val="a6"/>
              <w:spacing w:after="0"/>
              <w:ind w:right="27"/>
              <w:rPr>
                <w:rFonts w:ascii="Times New Roman" w:eastAsia="맑은 고딕" w:hAnsi="Times New Roman"/>
                <w:lang w:eastAsia="ko-KR"/>
              </w:rPr>
            </w:pPr>
            <w:r w:rsidRPr="00B73EA6">
              <w:rPr>
                <w:rFonts w:ascii="Times New Roman" w:eastAsia="맑은 고딕" w:hAnsi="Times New Roman"/>
                <w:lang w:eastAsia="ko-KR"/>
              </w:rPr>
              <w:t>WILUS</w:t>
            </w:r>
          </w:p>
        </w:tc>
        <w:tc>
          <w:tcPr>
            <w:tcW w:w="7560" w:type="dxa"/>
          </w:tcPr>
          <w:p w14:paraId="02175406" w14:textId="5E983846" w:rsidR="00B73EA6" w:rsidRPr="00B73EA6" w:rsidRDefault="00B73EA6">
            <w:pPr>
              <w:pStyle w:val="a6"/>
              <w:spacing w:after="0"/>
              <w:ind w:right="27"/>
              <w:rPr>
                <w:rFonts w:ascii="Times New Roman" w:eastAsia="맑은 고딕" w:hAnsi="Times New Roman"/>
                <w:lang w:val="de-DE" w:eastAsia="ko-KR"/>
              </w:rPr>
            </w:pPr>
            <w:r w:rsidRPr="00B73EA6">
              <w:rPr>
                <w:rFonts w:ascii="Times New Roman" w:eastAsia="맑은 고딕" w:hAnsi="Times New Roman"/>
                <w:lang w:val="de-DE" w:eastAsia="ko-KR"/>
              </w:rPr>
              <w:t>Support version 3 in Appendix C.</w:t>
            </w:r>
          </w:p>
        </w:tc>
      </w:tr>
    </w:tbl>
    <w:p w14:paraId="2C679FD1" w14:textId="77777777" w:rsidR="00BF5431" w:rsidRDefault="00BF5431">
      <w:pPr>
        <w:pStyle w:val="a6"/>
        <w:ind w:right="27"/>
        <w:rPr>
          <w:rFonts w:cs="Arial"/>
          <w:lang w:val="en-US"/>
        </w:rPr>
      </w:pPr>
    </w:p>
    <w:p w14:paraId="1E6AD418" w14:textId="77777777" w:rsidR="00BF5431" w:rsidRDefault="00D449BF">
      <w:pPr>
        <w:pStyle w:val="1"/>
        <w:ind w:right="27"/>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035754EB" w14:textId="77777777" w:rsidR="00BF5431" w:rsidRDefault="00D449BF">
      <w:pPr>
        <w:pStyle w:val="Reference"/>
        <w:numPr>
          <w:ilvl w:val="0"/>
          <w:numId w:val="18"/>
        </w:numPr>
        <w:overflowPunct/>
        <w:autoSpaceDE/>
        <w:autoSpaceDN/>
        <w:adjustRightInd/>
        <w:textAlignment w:val="auto"/>
      </w:pPr>
      <w:bookmarkStart w:id="30" w:name="_Ref79998430"/>
      <w:r>
        <w:t>R1-2111461</w:t>
      </w:r>
      <w:bookmarkEnd w:id="30"/>
      <w:r>
        <w:t xml:space="preserve">, "UL transmissions in wideband operation," Ericsson, Nokia, NSB, LG Electronics, Qualcomm, Huawei, </w:t>
      </w:r>
      <w:proofErr w:type="spellStart"/>
      <w:r>
        <w:t>HiSilicon</w:t>
      </w:r>
      <w:proofErr w:type="spellEnd"/>
      <w:r>
        <w:t>, RAN1#107-e, November 2021</w:t>
      </w:r>
    </w:p>
    <w:p w14:paraId="486177B0" w14:textId="77777777" w:rsidR="00BF5431" w:rsidRDefault="00D449BF">
      <w:pPr>
        <w:pStyle w:val="Reference"/>
        <w:numPr>
          <w:ilvl w:val="0"/>
          <w:numId w:val="18"/>
        </w:numPr>
        <w:overflowPunct/>
        <w:autoSpaceDE/>
        <w:autoSpaceDN/>
        <w:adjustRightInd/>
        <w:textAlignment w:val="auto"/>
      </w:pPr>
      <w:bookmarkStart w:id="31" w:name="_Ref87541890"/>
      <w:r>
        <w:t xml:space="preserve">R1-2111461, "draft CR UL transmissions in wideband operation," Ericsson, Nokia, NSB, LG Electronics, Qualcomm, Huawei, </w:t>
      </w:r>
      <w:proofErr w:type="spellStart"/>
      <w:r>
        <w:t>HiSilicon</w:t>
      </w:r>
      <w:proofErr w:type="spellEnd"/>
      <w:r>
        <w:t>, RAN1#107-e, November 2021</w:t>
      </w:r>
      <w:bookmarkEnd w:id="31"/>
    </w:p>
    <w:p w14:paraId="5E397D3E" w14:textId="77777777" w:rsidR="00BF5431" w:rsidRDefault="00D449BF">
      <w:pPr>
        <w:pStyle w:val="Reference"/>
        <w:numPr>
          <w:ilvl w:val="0"/>
          <w:numId w:val="18"/>
        </w:numPr>
        <w:overflowPunct/>
        <w:autoSpaceDE/>
        <w:autoSpaceDN/>
        <w:adjustRightInd/>
        <w:textAlignment w:val="auto"/>
      </w:pPr>
      <w:bookmarkStart w:id="32" w:name="_Ref53759078"/>
      <w:bookmarkStart w:id="33" w:name="_Ref174151459"/>
      <w:bookmarkStart w:id="34" w:name="_Ref189809556"/>
      <w:r>
        <w:t>3GPP TS 37.213, "Physical layer procedures for shared spectrum channel access," v16.6.0, June 2021.</w:t>
      </w:r>
      <w:bookmarkEnd w:id="32"/>
    </w:p>
    <w:p w14:paraId="5E869959" w14:textId="77777777" w:rsidR="00BF5431" w:rsidRDefault="00D449BF">
      <w:pPr>
        <w:pStyle w:val="Reference"/>
        <w:numPr>
          <w:ilvl w:val="0"/>
          <w:numId w:val="18"/>
        </w:numPr>
        <w:overflowPunct/>
        <w:autoSpaceDE/>
        <w:autoSpaceDN/>
        <w:adjustRightInd/>
        <w:textAlignment w:val="auto"/>
      </w:pPr>
      <w:bookmarkStart w:id="35" w:name="_Ref86409718"/>
      <w:r>
        <w:t>3GPP TS 38.214, "Physical layer procedures for data," v16.7.0, September 2021.</w:t>
      </w:r>
      <w:bookmarkEnd w:id="33"/>
      <w:bookmarkEnd w:id="34"/>
      <w:bookmarkEnd w:id="35"/>
    </w:p>
    <w:p w14:paraId="6CB5E5C3" w14:textId="5B29F907" w:rsidR="00BF5431" w:rsidRDefault="00D449BF">
      <w:pPr>
        <w:pStyle w:val="1"/>
      </w:pPr>
      <w:r>
        <w:t xml:space="preserve">Appendix A – </w:t>
      </w:r>
      <w:r w:rsidR="00181A64">
        <w:t>Version 1 (</w:t>
      </w:r>
      <w:r>
        <w:t>Draft CR from [1]</w:t>
      </w:r>
      <w:r w:rsidR="00181A64">
        <w:t>)</w:t>
      </w:r>
    </w:p>
    <w:p w14:paraId="193C6267" w14:textId="77777777" w:rsidR="00BF5431" w:rsidRDefault="00D449BF">
      <w:pPr>
        <w:pStyle w:val="CRCoverPage"/>
        <w:tabs>
          <w:tab w:val="right" w:pos="9639"/>
        </w:tabs>
        <w:spacing w:after="0"/>
        <w:rPr>
          <w:rFonts w:eastAsia="MS Mincho"/>
          <w:b/>
          <w:i/>
          <w:sz w:val="28"/>
        </w:rPr>
      </w:pPr>
      <w:r>
        <w:br w:type="page"/>
      </w:r>
      <w:r>
        <w:rPr>
          <w:rFonts w:eastAsia="SimSun"/>
          <w:b/>
          <w:sz w:val="24"/>
          <w:lang w:eastAsia="en-US"/>
        </w:rPr>
        <w:lastRenderedPageBreak/>
        <w:t>3GPP TSG-RAN WG1 Meeting #107-e</w:t>
      </w:r>
      <w:r>
        <w:rPr>
          <w:rFonts w:eastAsia="SimSun"/>
          <w:b/>
          <w:i/>
          <w:sz w:val="28"/>
          <w:lang w:eastAsia="en-US"/>
        </w:rPr>
        <w:tab/>
        <w:t>R1-2111461</w:t>
      </w:r>
    </w:p>
    <w:p w14:paraId="3C97C6EF" w14:textId="77777777" w:rsidR="00BF5431" w:rsidRDefault="00D449BF">
      <w:pPr>
        <w:tabs>
          <w:tab w:val="left" w:pos="1701"/>
          <w:tab w:val="right" w:pos="9639"/>
        </w:tabs>
        <w:overflowPunct/>
        <w:autoSpaceDE/>
        <w:autoSpaceDN/>
        <w:adjustRightInd/>
        <w:spacing w:after="240"/>
        <w:jc w:val="both"/>
        <w:textAlignment w:val="auto"/>
        <w:rPr>
          <w:rFonts w:ascii="Arial" w:eastAsia="Calibri" w:hAnsi="Arial" w:cs="Arial"/>
          <w:b/>
          <w:sz w:val="24"/>
          <w:szCs w:val="22"/>
          <w:lang w:val="en-US" w:eastAsia="zh-CN"/>
        </w:rPr>
      </w:pPr>
      <w:r>
        <w:rPr>
          <w:rFonts w:ascii="Arial" w:eastAsia="Calibri" w:hAnsi="Arial" w:cs="Arial"/>
          <w:b/>
          <w:sz w:val="24"/>
          <w:szCs w:val="22"/>
          <w:lang w:val="en-US" w:eastAsia="zh-CN"/>
        </w:rPr>
        <w:t>e-Meeting, 11</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 19</w:t>
      </w:r>
      <w:r>
        <w:rPr>
          <w:rFonts w:ascii="Arial" w:eastAsia="Calibri" w:hAnsi="Arial" w:cs="Arial"/>
          <w:b/>
          <w:sz w:val="24"/>
          <w:szCs w:val="22"/>
          <w:vertAlign w:val="superscript"/>
          <w:lang w:val="en-US" w:eastAsia="zh-CN"/>
        </w:rPr>
        <w:t>th</w:t>
      </w:r>
      <w:r>
        <w:rPr>
          <w:rFonts w:ascii="Arial" w:eastAsia="Calibri" w:hAnsi="Arial" w:cs="Arial"/>
          <w:b/>
          <w:sz w:val="24"/>
          <w:szCs w:val="22"/>
          <w:lang w:val="en-US" w:eastAsia="zh-CN"/>
        </w:rPr>
        <w:t xml:space="preserve"> </w:t>
      </w:r>
      <w:proofErr w:type="gramStart"/>
      <w:r>
        <w:rPr>
          <w:rFonts w:ascii="Arial" w:eastAsia="Calibri" w:hAnsi="Arial" w:cs="Arial"/>
          <w:b/>
          <w:sz w:val="24"/>
          <w:szCs w:val="22"/>
          <w:lang w:val="en-US" w:eastAsia="zh-CN"/>
        </w:rPr>
        <w:t>November,</w:t>
      </w:r>
      <w:proofErr w:type="gramEnd"/>
      <w:r>
        <w:rPr>
          <w:rFonts w:ascii="Arial" w:eastAsia="Calibri" w:hAnsi="Arial" w:cs="Arial"/>
          <w:b/>
          <w:sz w:val="24"/>
          <w:szCs w:val="22"/>
          <w:lang w:val="en-US"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F5431" w14:paraId="10235B07" w14:textId="77777777">
        <w:tc>
          <w:tcPr>
            <w:tcW w:w="9641" w:type="dxa"/>
            <w:gridSpan w:val="9"/>
            <w:tcBorders>
              <w:top w:val="single" w:sz="4" w:space="0" w:color="auto"/>
              <w:left w:val="single" w:sz="4" w:space="0" w:color="auto"/>
              <w:right w:val="single" w:sz="4" w:space="0" w:color="auto"/>
            </w:tcBorders>
          </w:tcPr>
          <w:p w14:paraId="25B79D89" w14:textId="77777777" w:rsidR="00BF5431" w:rsidRDefault="00D449BF">
            <w:pPr>
              <w:overflowPunct/>
              <w:autoSpaceDE/>
              <w:autoSpaceDN/>
              <w:adjustRightInd/>
              <w:spacing w:after="0" w:line="240" w:lineRule="auto"/>
              <w:jc w:val="right"/>
              <w:textAlignment w:val="auto"/>
              <w:rPr>
                <w:rFonts w:ascii="Arial" w:eastAsia="SimSun" w:hAnsi="Arial"/>
                <w:i/>
                <w:lang w:eastAsia="en-US"/>
              </w:rPr>
            </w:pPr>
            <w:r>
              <w:rPr>
                <w:rFonts w:ascii="Arial" w:eastAsia="SimSun" w:hAnsi="Arial"/>
                <w:i/>
                <w:sz w:val="14"/>
                <w:lang w:eastAsia="en-US"/>
              </w:rPr>
              <w:t>CR-Form-v12.1</w:t>
            </w:r>
          </w:p>
        </w:tc>
      </w:tr>
      <w:tr w:rsidR="00BF5431" w14:paraId="2486641A" w14:textId="77777777">
        <w:tc>
          <w:tcPr>
            <w:tcW w:w="9641" w:type="dxa"/>
            <w:gridSpan w:val="9"/>
            <w:tcBorders>
              <w:left w:val="single" w:sz="4" w:space="0" w:color="auto"/>
              <w:right w:val="single" w:sz="4" w:space="0" w:color="auto"/>
            </w:tcBorders>
          </w:tcPr>
          <w:p w14:paraId="3767CF3F" w14:textId="77777777" w:rsidR="00BF5431" w:rsidRDefault="00D449BF">
            <w:pPr>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color w:val="FF0000"/>
                <w:sz w:val="32"/>
                <w:highlight w:val="yellow"/>
                <w:lang w:eastAsia="en-US"/>
              </w:rPr>
              <w:t>DRAFT</w:t>
            </w:r>
            <w:r>
              <w:rPr>
                <w:rFonts w:ascii="Arial" w:eastAsia="SimSun" w:hAnsi="Arial"/>
                <w:b/>
                <w:color w:val="FF0000"/>
                <w:sz w:val="32"/>
                <w:lang w:eastAsia="en-US"/>
              </w:rPr>
              <w:t xml:space="preserve"> </w:t>
            </w:r>
            <w:r>
              <w:rPr>
                <w:rFonts w:ascii="Arial" w:eastAsia="SimSun" w:hAnsi="Arial"/>
                <w:b/>
                <w:sz w:val="32"/>
                <w:lang w:eastAsia="en-US"/>
              </w:rPr>
              <w:t>CHANGE REQUEST</w:t>
            </w:r>
          </w:p>
        </w:tc>
      </w:tr>
      <w:tr w:rsidR="00BF5431" w14:paraId="6BF41F4E" w14:textId="77777777">
        <w:tc>
          <w:tcPr>
            <w:tcW w:w="9641" w:type="dxa"/>
            <w:gridSpan w:val="9"/>
            <w:tcBorders>
              <w:left w:val="single" w:sz="4" w:space="0" w:color="auto"/>
              <w:right w:val="single" w:sz="4" w:space="0" w:color="auto"/>
            </w:tcBorders>
          </w:tcPr>
          <w:p w14:paraId="52BB067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4D3A323E" w14:textId="77777777">
        <w:tc>
          <w:tcPr>
            <w:tcW w:w="142" w:type="dxa"/>
            <w:tcBorders>
              <w:left w:val="single" w:sz="4" w:space="0" w:color="auto"/>
            </w:tcBorders>
          </w:tcPr>
          <w:p w14:paraId="0F61DAE4" w14:textId="77777777" w:rsidR="00BF5431" w:rsidRDefault="00BF5431">
            <w:pPr>
              <w:overflowPunct/>
              <w:autoSpaceDE/>
              <w:autoSpaceDN/>
              <w:adjustRightInd/>
              <w:spacing w:after="0" w:line="240" w:lineRule="auto"/>
              <w:jc w:val="right"/>
              <w:textAlignment w:val="auto"/>
              <w:rPr>
                <w:rFonts w:ascii="Arial" w:eastAsia="SimSun" w:hAnsi="Arial"/>
                <w:lang w:eastAsia="en-US"/>
              </w:rPr>
            </w:pPr>
          </w:p>
        </w:tc>
        <w:tc>
          <w:tcPr>
            <w:tcW w:w="1559" w:type="dxa"/>
            <w:shd w:val="pct30" w:color="FFFF00" w:fill="auto"/>
          </w:tcPr>
          <w:p w14:paraId="38171181" w14:textId="77777777" w:rsidR="00BF5431" w:rsidRDefault="00D449BF">
            <w:pPr>
              <w:overflowPunct/>
              <w:autoSpaceDE/>
              <w:autoSpaceDN/>
              <w:adjustRightInd/>
              <w:spacing w:after="0" w:line="240" w:lineRule="auto"/>
              <w:jc w:val="right"/>
              <w:textAlignment w:val="auto"/>
              <w:rPr>
                <w:rFonts w:ascii="Arial" w:eastAsia="SimSun" w:hAnsi="Arial"/>
                <w:b/>
                <w:sz w:val="28"/>
                <w:lang w:eastAsia="en-US"/>
              </w:rPr>
            </w:pPr>
            <w:r>
              <w:rPr>
                <w:rFonts w:ascii="Arial" w:eastAsia="SimSun" w:hAnsi="Arial"/>
                <w:b/>
                <w:sz w:val="28"/>
                <w:lang w:eastAsia="en-US"/>
              </w:rPr>
              <w:t>37.213</w:t>
            </w:r>
          </w:p>
        </w:tc>
        <w:tc>
          <w:tcPr>
            <w:tcW w:w="709" w:type="dxa"/>
          </w:tcPr>
          <w:p w14:paraId="68074FF0" w14:textId="77777777" w:rsidR="00BF5431" w:rsidRDefault="00D449BF">
            <w:pPr>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sz w:val="28"/>
                <w:lang w:eastAsia="en-US"/>
              </w:rPr>
              <w:t>CR</w:t>
            </w:r>
          </w:p>
        </w:tc>
        <w:tc>
          <w:tcPr>
            <w:tcW w:w="1276" w:type="dxa"/>
            <w:shd w:val="pct30" w:color="FFFF00" w:fill="auto"/>
          </w:tcPr>
          <w:p w14:paraId="7B928E5D"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b/>
                <w:sz w:val="28"/>
                <w:lang w:eastAsia="en-US"/>
              </w:rPr>
              <w:t xml:space="preserve"> </w:t>
            </w:r>
            <w:proofErr w:type="spellStart"/>
            <w:r>
              <w:rPr>
                <w:rFonts w:ascii="Arial" w:eastAsia="SimSun" w:hAnsi="Arial"/>
                <w:b/>
                <w:sz w:val="28"/>
                <w:highlight w:val="yellow"/>
                <w:lang w:eastAsia="en-US"/>
              </w:rPr>
              <w:t>xxxx</w:t>
            </w:r>
            <w:proofErr w:type="spellEnd"/>
          </w:p>
        </w:tc>
        <w:tc>
          <w:tcPr>
            <w:tcW w:w="709" w:type="dxa"/>
          </w:tcPr>
          <w:p w14:paraId="406C805E" w14:textId="77777777" w:rsidR="00BF5431" w:rsidRDefault="00D449BF">
            <w:pPr>
              <w:tabs>
                <w:tab w:val="right" w:pos="625"/>
              </w:tabs>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bCs/>
                <w:sz w:val="28"/>
                <w:lang w:eastAsia="en-US"/>
              </w:rPr>
              <w:t>rev</w:t>
            </w:r>
          </w:p>
        </w:tc>
        <w:tc>
          <w:tcPr>
            <w:tcW w:w="992" w:type="dxa"/>
            <w:shd w:val="pct30" w:color="FFFF00" w:fill="auto"/>
          </w:tcPr>
          <w:p w14:paraId="1D857649" w14:textId="77777777" w:rsidR="00BF5431" w:rsidRDefault="00BF5431">
            <w:pPr>
              <w:overflowPunct/>
              <w:autoSpaceDE/>
              <w:autoSpaceDN/>
              <w:adjustRightInd/>
              <w:spacing w:after="0" w:line="240" w:lineRule="auto"/>
              <w:jc w:val="center"/>
              <w:textAlignment w:val="auto"/>
              <w:rPr>
                <w:rFonts w:ascii="Arial" w:eastAsia="SimSun" w:hAnsi="Arial"/>
                <w:b/>
                <w:lang w:eastAsia="en-US"/>
              </w:rPr>
            </w:pPr>
          </w:p>
        </w:tc>
        <w:tc>
          <w:tcPr>
            <w:tcW w:w="2410" w:type="dxa"/>
          </w:tcPr>
          <w:p w14:paraId="241783B8" w14:textId="77777777" w:rsidR="00BF5431" w:rsidRDefault="00D449BF">
            <w:pPr>
              <w:tabs>
                <w:tab w:val="right" w:pos="1825"/>
              </w:tabs>
              <w:overflowPunct/>
              <w:autoSpaceDE/>
              <w:autoSpaceDN/>
              <w:adjustRightInd/>
              <w:spacing w:after="0" w:line="240" w:lineRule="auto"/>
              <w:jc w:val="center"/>
              <w:textAlignment w:val="auto"/>
              <w:rPr>
                <w:rFonts w:ascii="Arial" w:eastAsia="SimSun" w:hAnsi="Arial"/>
                <w:lang w:eastAsia="en-US"/>
              </w:rPr>
            </w:pPr>
            <w:r>
              <w:rPr>
                <w:rFonts w:ascii="Arial" w:eastAsia="SimSun" w:hAnsi="Arial"/>
                <w:b/>
                <w:sz w:val="28"/>
                <w:szCs w:val="28"/>
                <w:lang w:eastAsia="en-US"/>
              </w:rPr>
              <w:t>Current version:</w:t>
            </w:r>
          </w:p>
        </w:tc>
        <w:tc>
          <w:tcPr>
            <w:tcW w:w="1701" w:type="dxa"/>
            <w:shd w:val="pct30" w:color="FFFF00" w:fill="auto"/>
          </w:tcPr>
          <w:p w14:paraId="35250256" w14:textId="77777777" w:rsidR="00BF5431" w:rsidRDefault="00BF5431">
            <w:pPr>
              <w:overflowPunct/>
              <w:autoSpaceDE/>
              <w:autoSpaceDN/>
              <w:adjustRightInd/>
              <w:spacing w:after="0" w:line="240" w:lineRule="auto"/>
              <w:jc w:val="center"/>
              <w:textAlignment w:val="auto"/>
              <w:rPr>
                <w:rFonts w:ascii="Arial" w:eastAsia="SimSun" w:hAnsi="Arial"/>
                <w:sz w:val="28"/>
                <w:lang w:eastAsia="en-US"/>
              </w:rPr>
            </w:pPr>
          </w:p>
        </w:tc>
        <w:tc>
          <w:tcPr>
            <w:tcW w:w="143" w:type="dxa"/>
            <w:tcBorders>
              <w:right w:val="single" w:sz="4" w:space="0" w:color="auto"/>
            </w:tcBorders>
          </w:tcPr>
          <w:p w14:paraId="67D76492"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61894EE" w14:textId="77777777">
        <w:tc>
          <w:tcPr>
            <w:tcW w:w="9641" w:type="dxa"/>
            <w:gridSpan w:val="9"/>
            <w:tcBorders>
              <w:left w:val="single" w:sz="4" w:space="0" w:color="auto"/>
              <w:right w:val="single" w:sz="4" w:space="0" w:color="auto"/>
            </w:tcBorders>
          </w:tcPr>
          <w:p w14:paraId="4CA6625E"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5E4118F" w14:textId="77777777">
        <w:tc>
          <w:tcPr>
            <w:tcW w:w="9641" w:type="dxa"/>
            <w:gridSpan w:val="9"/>
            <w:tcBorders>
              <w:top w:val="single" w:sz="4" w:space="0" w:color="auto"/>
            </w:tcBorders>
          </w:tcPr>
          <w:p w14:paraId="18162DB4" w14:textId="77777777" w:rsidR="00BF5431" w:rsidRDefault="00D449BF">
            <w:pPr>
              <w:overflowPunct/>
              <w:autoSpaceDE/>
              <w:autoSpaceDN/>
              <w:adjustRightInd/>
              <w:spacing w:after="0" w:line="240" w:lineRule="auto"/>
              <w:jc w:val="center"/>
              <w:textAlignment w:val="auto"/>
              <w:rPr>
                <w:rFonts w:ascii="Arial" w:eastAsia="SimSun" w:hAnsi="Arial" w:cs="Arial"/>
                <w:i/>
                <w:lang w:eastAsia="en-US"/>
              </w:rPr>
            </w:pPr>
            <w:r>
              <w:rPr>
                <w:rFonts w:ascii="Arial" w:eastAsia="SimSun" w:hAnsi="Arial" w:cs="Arial"/>
                <w:i/>
                <w:lang w:eastAsia="en-US"/>
              </w:rPr>
              <w:t xml:space="preserve">For </w:t>
            </w:r>
            <w:hyperlink r:id="rId13" w:anchor="_blank" w:history="1">
              <w:r>
                <w:rPr>
                  <w:rFonts w:ascii="Arial" w:eastAsia="SimSun" w:hAnsi="Arial" w:cs="Arial"/>
                  <w:b/>
                  <w:i/>
                  <w:color w:val="FF0000"/>
                  <w:u w:val="single"/>
                  <w:lang w:eastAsia="en-US"/>
                </w:rPr>
                <w:t>HE</w:t>
              </w:r>
              <w:bookmarkStart w:id="36" w:name="_Hlt497126619"/>
              <w:r>
                <w:rPr>
                  <w:rFonts w:ascii="Arial" w:eastAsia="SimSun" w:hAnsi="Arial" w:cs="Arial"/>
                  <w:b/>
                  <w:i/>
                  <w:color w:val="FF0000"/>
                  <w:u w:val="single"/>
                  <w:lang w:eastAsia="en-US"/>
                </w:rPr>
                <w:t>L</w:t>
              </w:r>
              <w:bookmarkEnd w:id="36"/>
              <w:r>
                <w:rPr>
                  <w:rFonts w:ascii="Arial" w:eastAsia="SimSun" w:hAnsi="Arial" w:cs="Arial"/>
                  <w:b/>
                  <w:i/>
                  <w:color w:val="FF0000"/>
                  <w:u w:val="single"/>
                  <w:lang w:eastAsia="en-US"/>
                </w:rPr>
                <w:t>P</w:t>
              </w:r>
            </w:hyperlink>
            <w:r>
              <w:rPr>
                <w:rFonts w:ascii="Arial" w:eastAsia="SimSun" w:hAnsi="Arial" w:cs="Arial"/>
                <w:b/>
                <w:i/>
                <w:color w:val="FF0000"/>
                <w:lang w:eastAsia="en-US"/>
              </w:rPr>
              <w:t xml:space="preserve"> </w:t>
            </w:r>
            <w:r>
              <w:rPr>
                <w:rFonts w:ascii="Arial" w:eastAsia="SimSun" w:hAnsi="Arial" w:cs="Arial"/>
                <w:i/>
                <w:lang w:eastAsia="en-US"/>
              </w:rPr>
              <w:t xml:space="preserve">on using this form: comprehensive instructions can be found at </w:t>
            </w:r>
            <w:r>
              <w:rPr>
                <w:rFonts w:ascii="Arial" w:eastAsia="SimSun" w:hAnsi="Arial" w:cs="Arial"/>
                <w:i/>
                <w:lang w:eastAsia="en-US"/>
              </w:rPr>
              <w:br/>
            </w:r>
            <w:hyperlink r:id="rId14" w:history="1">
              <w:r>
                <w:rPr>
                  <w:rFonts w:ascii="Arial" w:eastAsia="SimSun" w:hAnsi="Arial" w:cs="Arial"/>
                  <w:i/>
                  <w:color w:val="0000FF"/>
                  <w:u w:val="single"/>
                  <w:lang w:eastAsia="en-US"/>
                </w:rPr>
                <w:t>http://www.3gpp.org/Change-Requests</w:t>
              </w:r>
            </w:hyperlink>
            <w:r>
              <w:rPr>
                <w:rFonts w:ascii="Arial" w:eastAsia="SimSun" w:hAnsi="Arial" w:cs="Arial"/>
                <w:i/>
                <w:lang w:eastAsia="en-US"/>
              </w:rPr>
              <w:t>.</w:t>
            </w:r>
          </w:p>
        </w:tc>
      </w:tr>
      <w:tr w:rsidR="00BF5431" w14:paraId="57BC951F" w14:textId="77777777">
        <w:tc>
          <w:tcPr>
            <w:tcW w:w="9641" w:type="dxa"/>
            <w:gridSpan w:val="9"/>
          </w:tcPr>
          <w:p w14:paraId="39825325"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bl>
    <w:p w14:paraId="78B1A891" w14:textId="77777777" w:rsidR="00BF5431" w:rsidRDefault="00BF5431">
      <w:pPr>
        <w:overflowPunct/>
        <w:autoSpaceDE/>
        <w:autoSpaceDN/>
        <w:adjustRightInd/>
        <w:spacing w:line="240" w:lineRule="auto"/>
        <w:textAlignment w:val="auto"/>
        <w:rPr>
          <w:rFonts w:eastAsia="SimSun"/>
          <w:sz w:val="8"/>
          <w:szCs w:val="8"/>
          <w:lang w:eastAsia="en-US"/>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F5431" w14:paraId="073A2333" w14:textId="77777777">
        <w:tc>
          <w:tcPr>
            <w:tcW w:w="2835" w:type="dxa"/>
          </w:tcPr>
          <w:p w14:paraId="529CA881" w14:textId="77777777" w:rsidR="00BF5431" w:rsidRDefault="00D449BF">
            <w:pPr>
              <w:tabs>
                <w:tab w:val="right" w:pos="2751"/>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Proposed change affects:</w:t>
            </w:r>
          </w:p>
        </w:tc>
        <w:tc>
          <w:tcPr>
            <w:tcW w:w="1418" w:type="dxa"/>
          </w:tcPr>
          <w:p w14:paraId="5EF93102"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D9F2E5"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709" w:type="dxa"/>
            <w:tcBorders>
              <w:left w:val="single" w:sz="4" w:space="0" w:color="auto"/>
            </w:tcBorders>
          </w:tcPr>
          <w:p w14:paraId="7C47F482" w14:textId="77777777" w:rsidR="00BF5431" w:rsidRDefault="00D449BF">
            <w:pPr>
              <w:overflowPunct/>
              <w:autoSpaceDE/>
              <w:autoSpaceDN/>
              <w:adjustRightInd/>
              <w:spacing w:after="0" w:line="240" w:lineRule="auto"/>
              <w:jc w:val="right"/>
              <w:textAlignment w:val="auto"/>
              <w:rPr>
                <w:rFonts w:ascii="Arial" w:eastAsia="SimSun" w:hAnsi="Arial"/>
                <w:u w:val="single"/>
                <w:lang w:eastAsia="en-US"/>
              </w:rPr>
            </w:pPr>
            <w:r>
              <w:rPr>
                <w:rFonts w:ascii="Arial" w:eastAsia="SimSun"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7C1DB4"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126" w:type="dxa"/>
          </w:tcPr>
          <w:p w14:paraId="078C739C" w14:textId="77777777" w:rsidR="00BF5431" w:rsidRDefault="00D449BF">
            <w:pPr>
              <w:overflowPunct/>
              <w:autoSpaceDE/>
              <w:autoSpaceDN/>
              <w:adjustRightInd/>
              <w:spacing w:after="0" w:line="240" w:lineRule="auto"/>
              <w:jc w:val="right"/>
              <w:textAlignment w:val="auto"/>
              <w:rPr>
                <w:rFonts w:ascii="Arial" w:eastAsia="SimSun" w:hAnsi="Arial"/>
                <w:u w:val="single"/>
                <w:lang w:eastAsia="en-US"/>
              </w:rPr>
            </w:pPr>
            <w:r>
              <w:rPr>
                <w:rFonts w:ascii="Arial" w:eastAsia="SimSun"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3BECD5"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1418" w:type="dxa"/>
            <w:tcBorders>
              <w:left w:val="nil"/>
            </w:tcBorders>
          </w:tcPr>
          <w:p w14:paraId="3FF973F5"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E249E8" w14:textId="77777777" w:rsidR="00BF5431" w:rsidRDefault="00BF5431">
            <w:pPr>
              <w:overflowPunct/>
              <w:autoSpaceDE/>
              <w:autoSpaceDN/>
              <w:adjustRightInd/>
              <w:spacing w:after="0" w:line="240" w:lineRule="auto"/>
              <w:jc w:val="center"/>
              <w:textAlignment w:val="auto"/>
              <w:rPr>
                <w:rFonts w:ascii="Arial" w:eastAsia="SimSun" w:hAnsi="Arial"/>
                <w:b/>
                <w:bCs/>
                <w:caps/>
                <w:lang w:eastAsia="en-US"/>
              </w:rPr>
            </w:pPr>
          </w:p>
        </w:tc>
      </w:tr>
    </w:tbl>
    <w:p w14:paraId="5C650DCE" w14:textId="77777777" w:rsidR="00BF5431" w:rsidRDefault="00BF5431">
      <w:pPr>
        <w:overflowPunct/>
        <w:autoSpaceDE/>
        <w:autoSpaceDN/>
        <w:adjustRightInd/>
        <w:spacing w:line="240" w:lineRule="auto"/>
        <w:textAlignment w:val="auto"/>
        <w:rPr>
          <w:rFonts w:eastAsia="SimSun"/>
          <w:sz w:val="8"/>
          <w:szCs w:val="8"/>
          <w:lang w:eastAsia="en-US"/>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F5431" w14:paraId="4F997368" w14:textId="77777777">
        <w:tc>
          <w:tcPr>
            <w:tcW w:w="9640" w:type="dxa"/>
            <w:gridSpan w:val="11"/>
          </w:tcPr>
          <w:p w14:paraId="2BCF6D1B"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B39666E" w14:textId="77777777">
        <w:tc>
          <w:tcPr>
            <w:tcW w:w="1843" w:type="dxa"/>
            <w:tcBorders>
              <w:top w:val="single" w:sz="4" w:space="0" w:color="auto"/>
              <w:left w:val="single" w:sz="4" w:space="0" w:color="auto"/>
            </w:tcBorders>
          </w:tcPr>
          <w:p w14:paraId="4CED4B60"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Title:</w:t>
            </w:r>
            <w:r>
              <w:rPr>
                <w:rFonts w:ascii="Arial" w:eastAsia="SimSun" w:hAnsi="Arial"/>
                <w:b/>
                <w:i/>
                <w:lang w:eastAsia="en-US"/>
              </w:rPr>
              <w:tab/>
            </w:r>
          </w:p>
        </w:tc>
        <w:tc>
          <w:tcPr>
            <w:tcW w:w="7797" w:type="dxa"/>
            <w:gridSpan w:val="10"/>
            <w:tcBorders>
              <w:top w:val="single" w:sz="4" w:space="0" w:color="auto"/>
              <w:right w:val="single" w:sz="4" w:space="0" w:color="auto"/>
            </w:tcBorders>
            <w:shd w:val="pct30" w:color="FFFF00" w:fill="auto"/>
          </w:tcPr>
          <w:p w14:paraId="46717F9C"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UL transmissions in wideband operation</w:t>
            </w:r>
          </w:p>
        </w:tc>
      </w:tr>
      <w:tr w:rsidR="00BF5431" w14:paraId="1ECCAF4A" w14:textId="77777777">
        <w:tc>
          <w:tcPr>
            <w:tcW w:w="1843" w:type="dxa"/>
            <w:tcBorders>
              <w:left w:val="single" w:sz="4" w:space="0" w:color="auto"/>
            </w:tcBorders>
          </w:tcPr>
          <w:p w14:paraId="341B4CDF"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1660E8B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101BEC6C" w14:textId="77777777">
        <w:tc>
          <w:tcPr>
            <w:tcW w:w="1843" w:type="dxa"/>
            <w:tcBorders>
              <w:left w:val="single" w:sz="4" w:space="0" w:color="auto"/>
            </w:tcBorders>
          </w:tcPr>
          <w:p w14:paraId="2D6D788F"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Source to WG:</w:t>
            </w:r>
          </w:p>
        </w:tc>
        <w:tc>
          <w:tcPr>
            <w:tcW w:w="7797" w:type="dxa"/>
            <w:gridSpan w:val="10"/>
            <w:tcBorders>
              <w:right w:val="single" w:sz="4" w:space="0" w:color="auto"/>
            </w:tcBorders>
            <w:shd w:val="pct30" w:color="FFFF00" w:fill="auto"/>
          </w:tcPr>
          <w:p w14:paraId="5BB6D526" w14:textId="77777777" w:rsidR="00BF5431" w:rsidRDefault="00D449BF">
            <w:pPr>
              <w:overflowPunct/>
              <w:autoSpaceDE/>
              <w:autoSpaceDN/>
              <w:adjustRightInd/>
              <w:spacing w:after="0" w:line="240" w:lineRule="auto"/>
              <w:ind w:left="100"/>
              <w:textAlignment w:val="auto"/>
              <w:rPr>
                <w:rFonts w:ascii="Arial" w:eastAsia="MS Mincho" w:hAnsi="Arial"/>
              </w:rPr>
            </w:pPr>
            <w:r>
              <w:rPr>
                <w:rFonts w:ascii="Arial" w:eastAsia="SimSun" w:hAnsi="Arial"/>
                <w:lang w:eastAsia="en-US"/>
              </w:rPr>
              <w:t xml:space="preserve">Ericsson, Nokia, NSB, LG Electronics, Qualcomm, Huawei, </w:t>
            </w:r>
            <w:proofErr w:type="spellStart"/>
            <w:r>
              <w:rPr>
                <w:rFonts w:ascii="Arial" w:eastAsia="SimSun" w:hAnsi="Arial"/>
                <w:lang w:eastAsia="en-US"/>
              </w:rPr>
              <w:t>HiSilicon</w:t>
            </w:r>
            <w:proofErr w:type="spellEnd"/>
          </w:p>
        </w:tc>
      </w:tr>
      <w:tr w:rsidR="00BF5431" w14:paraId="35B3D237" w14:textId="77777777">
        <w:tc>
          <w:tcPr>
            <w:tcW w:w="1843" w:type="dxa"/>
            <w:tcBorders>
              <w:left w:val="single" w:sz="4" w:space="0" w:color="auto"/>
            </w:tcBorders>
          </w:tcPr>
          <w:p w14:paraId="1A49A801"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Source to TSG:</w:t>
            </w:r>
          </w:p>
        </w:tc>
        <w:tc>
          <w:tcPr>
            <w:tcW w:w="7797" w:type="dxa"/>
            <w:gridSpan w:val="10"/>
            <w:tcBorders>
              <w:right w:val="single" w:sz="4" w:space="0" w:color="auto"/>
            </w:tcBorders>
            <w:shd w:val="pct30" w:color="FFFF00" w:fill="auto"/>
          </w:tcPr>
          <w:p w14:paraId="16BEEDC1"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TSG RAN WG1</w:t>
            </w:r>
          </w:p>
        </w:tc>
      </w:tr>
      <w:tr w:rsidR="00BF5431" w14:paraId="6B4DF3E5" w14:textId="77777777">
        <w:tc>
          <w:tcPr>
            <w:tcW w:w="1843" w:type="dxa"/>
            <w:tcBorders>
              <w:left w:val="single" w:sz="4" w:space="0" w:color="auto"/>
            </w:tcBorders>
          </w:tcPr>
          <w:p w14:paraId="4E945E4C"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Borders>
              <w:right w:val="single" w:sz="4" w:space="0" w:color="auto"/>
            </w:tcBorders>
          </w:tcPr>
          <w:p w14:paraId="2CF26D0A"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97A205F" w14:textId="77777777">
        <w:tc>
          <w:tcPr>
            <w:tcW w:w="1843" w:type="dxa"/>
            <w:tcBorders>
              <w:left w:val="single" w:sz="4" w:space="0" w:color="auto"/>
            </w:tcBorders>
          </w:tcPr>
          <w:p w14:paraId="28927B2C"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Work item code:</w:t>
            </w:r>
          </w:p>
        </w:tc>
        <w:tc>
          <w:tcPr>
            <w:tcW w:w="3686" w:type="dxa"/>
            <w:gridSpan w:val="5"/>
            <w:shd w:val="pct30" w:color="FFFF00" w:fill="auto"/>
          </w:tcPr>
          <w:p w14:paraId="168C1EE1"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proofErr w:type="spellStart"/>
            <w:r>
              <w:rPr>
                <w:rFonts w:ascii="Arial" w:eastAsia="SimSun" w:hAnsi="Arial"/>
                <w:lang w:eastAsia="zh-CN"/>
              </w:rPr>
              <w:t>NR_unlic</w:t>
            </w:r>
            <w:proofErr w:type="spellEnd"/>
            <w:r>
              <w:rPr>
                <w:rFonts w:ascii="Arial" w:eastAsia="SimSun" w:hAnsi="Arial"/>
                <w:lang w:eastAsia="en-US"/>
              </w:rPr>
              <w:t>-Core</w:t>
            </w:r>
          </w:p>
        </w:tc>
        <w:tc>
          <w:tcPr>
            <w:tcW w:w="567" w:type="dxa"/>
            <w:tcBorders>
              <w:left w:val="nil"/>
            </w:tcBorders>
          </w:tcPr>
          <w:p w14:paraId="188953B0" w14:textId="77777777" w:rsidR="00BF5431" w:rsidRDefault="00BF5431">
            <w:pPr>
              <w:overflowPunct/>
              <w:autoSpaceDE/>
              <w:autoSpaceDN/>
              <w:adjustRightInd/>
              <w:spacing w:after="0" w:line="240" w:lineRule="auto"/>
              <w:ind w:right="100"/>
              <w:textAlignment w:val="auto"/>
              <w:rPr>
                <w:rFonts w:ascii="Arial" w:eastAsia="SimSun" w:hAnsi="Arial"/>
                <w:lang w:eastAsia="en-US"/>
              </w:rPr>
            </w:pPr>
          </w:p>
        </w:tc>
        <w:tc>
          <w:tcPr>
            <w:tcW w:w="1417" w:type="dxa"/>
            <w:gridSpan w:val="3"/>
            <w:tcBorders>
              <w:left w:val="nil"/>
            </w:tcBorders>
          </w:tcPr>
          <w:p w14:paraId="675C5862" w14:textId="77777777" w:rsidR="00BF5431" w:rsidRDefault="00D449BF">
            <w:pPr>
              <w:overflowPunct/>
              <w:autoSpaceDE/>
              <w:autoSpaceDN/>
              <w:adjustRightInd/>
              <w:spacing w:after="0" w:line="240" w:lineRule="auto"/>
              <w:jc w:val="right"/>
              <w:textAlignment w:val="auto"/>
              <w:rPr>
                <w:rFonts w:ascii="Arial" w:eastAsia="SimSun" w:hAnsi="Arial"/>
                <w:lang w:eastAsia="en-US"/>
              </w:rPr>
            </w:pPr>
            <w:r>
              <w:rPr>
                <w:rFonts w:ascii="Arial" w:eastAsia="SimSun" w:hAnsi="Arial"/>
                <w:b/>
                <w:i/>
                <w:lang w:eastAsia="en-US"/>
              </w:rPr>
              <w:t>Date:</w:t>
            </w:r>
          </w:p>
        </w:tc>
        <w:tc>
          <w:tcPr>
            <w:tcW w:w="2127" w:type="dxa"/>
            <w:tcBorders>
              <w:right w:val="single" w:sz="4" w:space="0" w:color="auto"/>
            </w:tcBorders>
            <w:shd w:val="pct30" w:color="FFFF00" w:fill="auto"/>
          </w:tcPr>
          <w:p w14:paraId="5CB79273"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2021-11-11</w:t>
            </w:r>
          </w:p>
        </w:tc>
      </w:tr>
      <w:tr w:rsidR="00BF5431" w14:paraId="52E2D400" w14:textId="77777777">
        <w:tc>
          <w:tcPr>
            <w:tcW w:w="1843" w:type="dxa"/>
            <w:tcBorders>
              <w:left w:val="single" w:sz="4" w:space="0" w:color="auto"/>
            </w:tcBorders>
          </w:tcPr>
          <w:p w14:paraId="2D3880C7"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1986" w:type="dxa"/>
            <w:gridSpan w:val="4"/>
          </w:tcPr>
          <w:p w14:paraId="6BB128D5"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2267" w:type="dxa"/>
            <w:gridSpan w:val="2"/>
          </w:tcPr>
          <w:p w14:paraId="06786BB8"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1417" w:type="dxa"/>
            <w:gridSpan w:val="3"/>
          </w:tcPr>
          <w:p w14:paraId="54C91A87"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c>
          <w:tcPr>
            <w:tcW w:w="2127" w:type="dxa"/>
            <w:tcBorders>
              <w:right w:val="single" w:sz="4" w:space="0" w:color="auto"/>
            </w:tcBorders>
          </w:tcPr>
          <w:p w14:paraId="420B9F16"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2B492A1C" w14:textId="77777777">
        <w:trPr>
          <w:cantSplit/>
        </w:trPr>
        <w:tc>
          <w:tcPr>
            <w:tcW w:w="1843" w:type="dxa"/>
            <w:tcBorders>
              <w:left w:val="single" w:sz="4" w:space="0" w:color="auto"/>
            </w:tcBorders>
          </w:tcPr>
          <w:p w14:paraId="62EBE900" w14:textId="77777777" w:rsidR="00BF5431" w:rsidRDefault="00D449BF">
            <w:pPr>
              <w:tabs>
                <w:tab w:val="right" w:pos="1759"/>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Category:</w:t>
            </w:r>
          </w:p>
        </w:tc>
        <w:tc>
          <w:tcPr>
            <w:tcW w:w="851" w:type="dxa"/>
            <w:shd w:val="pct30" w:color="FFFF00" w:fill="auto"/>
          </w:tcPr>
          <w:p w14:paraId="0F569F83" w14:textId="77777777" w:rsidR="00BF5431" w:rsidRDefault="00D449BF">
            <w:pPr>
              <w:overflowPunct/>
              <w:autoSpaceDE/>
              <w:autoSpaceDN/>
              <w:adjustRightInd/>
              <w:spacing w:after="0" w:line="240" w:lineRule="auto"/>
              <w:ind w:left="100" w:right="-609"/>
              <w:textAlignment w:val="auto"/>
              <w:rPr>
                <w:rFonts w:ascii="Arial" w:eastAsia="SimSun" w:hAnsi="Arial"/>
                <w:b/>
                <w:lang w:eastAsia="en-US"/>
              </w:rPr>
            </w:pPr>
            <w:r>
              <w:rPr>
                <w:rFonts w:ascii="Arial" w:eastAsia="SimSun" w:hAnsi="Arial"/>
                <w:b/>
                <w:lang w:eastAsia="en-US"/>
              </w:rPr>
              <w:t>F</w:t>
            </w:r>
          </w:p>
        </w:tc>
        <w:tc>
          <w:tcPr>
            <w:tcW w:w="3402" w:type="dxa"/>
            <w:gridSpan w:val="5"/>
            <w:tcBorders>
              <w:left w:val="nil"/>
            </w:tcBorders>
          </w:tcPr>
          <w:p w14:paraId="09321765" w14:textId="77777777" w:rsidR="00BF5431" w:rsidRDefault="00BF5431">
            <w:pPr>
              <w:overflowPunct/>
              <w:autoSpaceDE/>
              <w:autoSpaceDN/>
              <w:adjustRightInd/>
              <w:spacing w:after="0" w:line="240" w:lineRule="auto"/>
              <w:textAlignment w:val="auto"/>
              <w:rPr>
                <w:rFonts w:ascii="Arial" w:eastAsia="SimSun" w:hAnsi="Arial"/>
                <w:lang w:eastAsia="en-US"/>
              </w:rPr>
            </w:pPr>
          </w:p>
        </w:tc>
        <w:tc>
          <w:tcPr>
            <w:tcW w:w="1417" w:type="dxa"/>
            <w:gridSpan w:val="3"/>
            <w:tcBorders>
              <w:left w:val="nil"/>
            </w:tcBorders>
          </w:tcPr>
          <w:p w14:paraId="61B83703" w14:textId="77777777" w:rsidR="00BF5431" w:rsidRDefault="00D449BF">
            <w:pPr>
              <w:overflowPunct/>
              <w:autoSpaceDE/>
              <w:autoSpaceDN/>
              <w:adjustRightInd/>
              <w:spacing w:after="0" w:line="240" w:lineRule="auto"/>
              <w:jc w:val="right"/>
              <w:textAlignment w:val="auto"/>
              <w:rPr>
                <w:rFonts w:ascii="Arial" w:eastAsia="SimSun" w:hAnsi="Arial"/>
                <w:b/>
                <w:i/>
                <w:lang w:eastAsia="en-US"/>
              </w:rPr>
            </w:pPr>
            <w:r>
              <w:rPr>
                <w:rFonts w:ascii="Arial" w:eastAsia="SimSun" w:hAnsi="Arial"/>
                <w:b/>
                <w:i/>
                <w:lang w:eastAsia="en-US"/>
              </w:rPr>
              <w:t>Release:</w:t>
            </w:r>
          </w:p>
        </w:tc>
        <w:tc>
          <w:tcPr>
            <w:tcW w:w="2127" w:type="dxa"/>
            <w:tcBorders>
              <w:right w:val="single" w:sz="4" w:space="0" w:color="auto"/>
            </w:tcBorders>
            <w:shd w:val="pct30" w:color="FFFF00" w:fill="auto"/>
          </w:tcPr>
          <w:p w14:paraId="73234634" w14:textId="77777777" w:rsidR="00BF5431" w:rsidRDefault="00D449BF">
            <w:pPr>
              <w:overflowPunct/>
              <w:autoSpaceDE/>
              <w:autoSpaceDN/>
              <w:adjustRightInd/>
              <w:spacing w:after="0" w:line="240" w:lineRule="auto"/>
              <w:ind w:left="100"/>
              <w:textAlignment w:val="auto"/>
              <w:rPr>
                <w:rFonts w:ascii="Arial" w:eastAsia="SimSun" w:hAnsi="Arial"/>
                <w:lang w:eastAsia="en-US"/>
              </w:rPr>
            </w:pPr>
            <w:r>
              <w:rPr>
                <w:rFonts w:ascii="Arial" w:eastAsia="SimSun" w:hAnsi="Arial"/>
                <w:lang w:eastAsia="en-US"/>
              </w:rPr>
              <w:t>Rel-16</w:t>
            </w:r>
          </w:p>
        </w:tc>
      </w:tr>
      <w:tr w:rsidR="00BF5431" w14:paraId="1320024F" w14:textId="77777777">
        <w:tc>
          <w:tcPr>
            <w:tcW w:w="1843" w:type="dxa"/>
            <w:tcBorders>
              <w:left w:val="single" w:sz="4" w:space="0" w:color="auto"/>
              <w:bottom w:val="single" w:sz="4" w:space="0" w:color="auto"/>
            </w:tcBorders>
          </w:tcPr>
          <w:p w14:paraId="30E13955" w14:textId="77777777" w:rsidR="00BF5431" w:rsidRDefault="00BF5431">
            <w:pPr>
              <w:overflowPunct/>
              <w:autoSpaceDE/>
              <w:autoSpaceDN/>
              <w:adjustRightInd/>
              <w:spacing w:after="0" w:line="240" w:lineRule="auto"/>
              <w:textAlignment w:val="auto"/>
              <w:rPr>
                <w:rFonts w:ascii="Arial" w:eastAsia="SimSun" w:hAnsi="Arial"/>
                <w:b/>
                <w:i/>
                <w:lang w:eastAsia="en-US"/>
              </w:rPr>
            </w:pPr>
          </w:p>
        </w:tc>
        <w:tc>
          <w:tcPr>
            <w:tcW w:w="4677" w:type="dxa"/>
            <w:gridSpan w:val="8"/>
            <w:tcBorders>
              <w:bottom w:val="single" w:sz="4" w:space="0" w:color="auto"/>
            </w:tcBorders>
          </w:tcPr>
          <w:p w14:paraId="4B613E75" w14:textId="77777777" w:rsidR="00BF5431" w:rsidRDefault="00D449BF">
            <w:pPr>
              <w:overflowPunct/>
              <w:autoSpaceDE/>
              <w:autoSpaceDN/>
              <w:adjustRightInd/>
              <w:spacing w:after="0" w:line="240" w:lineRule="auto"/>
              <w:ind w:left="383" w:hanging="383"/>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categories:</w:t>
            </w:r>
            <w:r>
              <w:rPr>
                <w:rFonts w:ascii="Arial" w:eastAsia="SimSun" w:hAnsi="Arial"/>
                <w:b/>
                <w:i/>
                <w:sz w:val="18"/>
                <w:lang w:eastAsia="en-US"/>
              </w:rPr>
              <w:br/>
            </w:r>
            <w:proofErr w:type="gramStart"/>
            <w:r>
              <w:rPr>
                <w:rFonts w:ascii="Arial" w:eastAsia="SimSun" w:hAnsi="Arial"/>
                <w:b/>
                <w:i/>
                <w:sz w:val="18"/>
                <w:lang w:eastAsia="en-US"/>
              </w:rPr>
              <w:t>F</w:t>
            </w:r>
            <w:r>
              <w:rPr>
                <w:rFonts w:ascii="Arial" w:eastAsia="SimSun" w:hAnsi="Arial"/>
                <w:i/>
                <w:sz w:val="18"/>
                <w:lang w:eastAsia="en-US"/>
              </w:rPr>
              <w:t xml:space="preserve">  (</w:t>
            </w:r>
            <w:proofErr w:type="gramEnd"/>
            <w:r>
              <w:rPr>
                <w:rFonts w:ascii="Arial" w:eastAsia="SimSun" w:hAnsi="Arial"/>
                <w:i/>
                <w:sz w:val="18"/>
                <w:lang w:eastAsia="en-US"/>
              </w:rPr>
              <w:t>correction)</w:t>
            </w:r>
            <w:r>
              <w:rPr>
                <w:rFonts w:ascii="Arial" w:eastAsia="SimSun" w:hAnsi="Arial"/>
                <w:i/>
                <w:sz w:val="18"/>
                <w:lang w:eastAsia="en-US"/>
              </w:rPr>
              <w:br/>
            </w:r>
            <w:r>
              <w:rPr>
                <w:rFonts w:ascii="Arial" w:eastAsia="SimSun" w:hAnsi="Arial"/>
                <w:b/>
                <w:i/>
                <w:sz w:val="18"/>
                <w:lang w:eastAsia="en-US"/>
              </w:rPr>
              <w:t>A</w:t>
            </w:r>
            <w:r>
              <w:rPr>
                <w:rFonts w:ascii="Arial" w:eastAsia="SimSun" w:hAnsi="Arial"/>
                <w:i/>
                <w:sz w:val="18"/>
                <w:lang w:eastAsia="en-US"/>
              </w:rPr>
              <w:t xml:space="preserve">  (mirror corresponding to a change in an earlier </w:t>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r>
            <w:r>
              <w:rPr>
                <w:rFonts w:ascii="Arial" w:eastAsia="SimSun" w:hAnsi="Arial"/>
                <w:i/>
                <w:sz w:val="18"/>
                <w:lang w:eastAsia="en-US"/>
              </w:rPr>
              <w:tab/>
              <w:t>release)</w:t>
            </w:r>
            <w:r>
              <w:rPr>
                <w:rFonts w:ascii="Arial" w:eastAsia="SimSun" w:hAnsi="Arial"/>
                <w:i/>
                <w:sz w:val="18"/>
                <w:lang w:eastAsia="en-US"/>
              </w:rPr>
              <w:br/>
            </w:r>
            <w:r>
              <w:rPr>
                <w:rFonts w:ascii="Arial" w:eastAsia="SimSun" w:hAnsi="Arial"/>
                <w:b/>
                <w:i/>
                <w:sz w:val="18"/>
                <w:lang w:eastAsia="en-US"/>
              </w:rPr>
              <w:t>B</w:t>
            </w:r>
            <w:r>
              <w:rPr>
                <w:rFonts w:ascii="Arial" w:eastAsia="SimSun" w:hAnsi="Arial"/>
                <w:i/>
                <w:sz w:val="18"/>
                <w:lang w:eastAsia="en-US"/>
              </w:rPr>
              <w:t xml:space="preserve">  (addition of feature), </w:t>
            </w:r>
            <w:r>
              <w:rPr>
                <w:rFonts w:ascii="Arial" w:eastAsia="SimSun" w:hAnsi="Arial"/>
                <w:i/>
                <w:sz w:val="18"/>
                <w:lang w:eastAsia="en-US"/>
              </w:rPr>
              <w:br/>
            </w:r>
            <w:r>
              <w:rPr>
                <w:rFonts w:ascii="Arial" w:eastAsia="SimSun" w:hAnsi="Arial"/>
                <w:b/>
                <w:i/>
                <w:sz w:val="18"/>
                <w:lang w:eastAsia="en-US"/>
              </w:rPr>
              <w:t>C</w:t>
            </w:r>
            <w:r>
              <w:rPr>
                <w:rFonts w:ascii="Arial" w:eastAsia="SimSun" w:hAnsi="Arial"/>
                <w:i/>
                <w:sz w:val="18"/>
                <w:lang w:eastAsia="en-US"/>
              </w:rPr>
              <w:t xml:space="preserve">  (functional modification of feature)</w:t>
            </w:r>
            <w:r>
              <w:rPr>
                <w:rFonts w:ascii="Arial" w:eastAsia="SimSun" w:hAnsi="Arial"/>
                <w:i/>
                <w:sz w:val="18"/>
                <w:lang w:eastAsia="en-US"/>
              </w:rPr>
              <w:br/>
            </w:r>
            <w:r>
              <w:rPr>
                <w:rFonts w:ascii="Arial" w:eastAsia="SimSun" w:hAnsi="Arial"/>
                <w:b/>
                <w:i/>
                <w:sz w:val="18"/>
                <w:lang w:eastAsia="en-US"/>
              </w:rPr>
              <w:t>D</w:t>
            </w:r>
            <w:r>
              <w:rPr>
                <w:rFonts w:ascii="Arial" w:eastAsia="SimSun" w:hAnsi="Arial"/>
                <w:i/>
                <w:sz w:val="18"/>
                <w:lang w:eastAsia="en-US"/>
              </w:rPr>
              <w:t xml:space="preserve">  (editorial modification)</w:t>
            </w:r>
          </w:p>
          <w:p w14:paraId="6CA5DA67" w14:textId="77777777" w:rsidR="00BF5431" w:rsidRDefault="00D449BF">
            <w:pPr>
              <w:overflowPunct/>
              <w:autoSpaceDE/>
              <w:autoSpaceDN/>
              <w:adjustRightInd/>
              <w:spacing w:after="120" w:line="240" w:lineRule="auto"/>
              <w:textAlignment w:val="auto"/>
              <w:rPr>
                <w:rFonts w:ascii="Arial" w:eastAsia="SimSun" w:hAnsi="Arial"/>
                <w:lang w:eastAsia="en-US"/>
              </w:rPr>
            </w:pPr>
            <w:r>
              <w:rPr>
                <w:rFonts w:ascii="Arial" w:eastAsia="SimSun" w:hAnsi="Arial"/>
                <w:sz w:val="18"/>
                <w:lang w:eastAsia="en-US"/>
              </w:rPr>
              <w:t>Detailed explanations of the above categories can</w:t>
            </w:r>
            <w:r>
              <w:rPr>
                <w:rFonts w:ascii="Arial" w:eastAsia="SimSun" w:hAnsi="Arial"/>
                <w:sz w:val="18"/>
                <w:lang w:eastAsia="en-US"/>
              </w:rPr>
              <w:br/>
              <w:t xml:space="preserve">be found in 3GPP </w:t>
            </w:r>
            <w:hyperlink r:id="rId15" w:history="1">
              <w:r>
                <w:rPr>
                  <w:rFonts w:ascii="Arial" w:eastAsia="SimSun" w:hAnsi="Arial"/>
                  <w:color w:val="0000FF"/>
                  <w:sz w:val="18"/>
                  <w:u w:val="single"/>
                  <w:lang w:eastAsia="en-US"/>
                </w:rPr>
                <w:t>TR 21.900</w:t>
              </w:r>
            </w:hyperlink>
            <w:r>
              <w:rPr>
                <w:rFonts w:ascii="Arial" w:eastAsia="SimSun" w:hAnsi="Arial"/>
                <w:sz w:val="18"/>
                <w:lang w:eastAsia="en-US"/>
              </w:rPr>
              <w:t>.</w:t>
            </w:r>
          </w:p>
        </w:tc>
        <w:tc>
          <w:tcPr>
            <w:tcW w:w="3120" w:type="dxa"/>
            <w:gridSpan w:val="2"/>
            <w:tcBorders>
              <w:bottom w:val="single" w:sz="4" w:space="0" w:color="auto"/>
              <w:right w:val="single" w:sz="4" w:space="0" w:color="auto"/>
            </w:tcBorders>
          </w:tcPr>
          <w:p w14:paraId="31B8A1B2" w14:textId="77777777" w:rsidR="00BF5431" w:rsidRDefault="00D449BF">
            <w:pPr>
              <w:tabs>
                <w:tab w:val="left" w:pos="950"/>
              </w:tabs>
              <w:overflowPunct/>
              <w:autoSpaceDE/>
              <w:autoSpaceDN/>
              <w:adjustRightInd/>
              <w:spacing w:after="0" w:line="240" w:lineRule="auto"/>
              <w:ind w:left="241" w:hanging="241"/>
              <w:textAlignment w:val="auto"/>
              <w:rPr>
                <w:rFonts w:ascii="Arial" w:eastAsia="SimSun" w:hAnsi="Arial"/>
                <w:i/>
                <w:sz w:val="18"/>
                <w:lang w:eastAsia="en-US"/>
              </w:rPr>
            </w:pPr>
            <w:r>
              <w:rPr>
                <w:rFonts w:ascii="Arial" w:eastAsia="SimSun" w:hAnsi="Arial"/>
                <w:i/>
                <w:sz w:val="18"/>
                <w:lang w:eastAsia="en-US"/>
              </w:rPr>
              <w:t xml:space="preserve">Use </w:t>
            </w:r>
            <w:r>
              <w:rPr>
                <w:rFonts w:ascii="Arial" w:eastAsia="SimSun" w:hAnsi="Arial"/>
                <w:i/>
                <w:sz w:val="18"/>
                <w:u w:val="single"/>
                <w:lang w:eastAsia="en-US"/>
              </w:rPr>
              <w:t>one</w:t>
            </w:r>
            <w:r>
              <w:rPr>
                <w:rFonts w:ascii="Arial" w:eastAsia="SimSun" w:hAnsi="Arial"/>
                <w:i/>
                <w:sz w:val="18"/>
                <w:lang w:eastAsia="en-US"/>
              </w:rPr>
              <w:t xml:space="preserve"> of the following releases:</w:t>
            </w:r>
            <w:r>
              <w:rPr>
                <w:rFonts w:ascii="Arial" w:eastAsia="SimSun" w:hAnsi="Arial"/>
                <w:i/>
                <w:sz w:val="18"/>
                <w:lang w:eastAsia="en-US"/>
              </w:rPr>
              <w:br/>
              <w:t>Rel-8</w:t>
            </w:r>
            <w:r>
              <w:rPr>
                <w:rFonts w:ascii="Arial" w:eastAsia="SimSun" w:hAnsi="Arial"/>
                <w:i/>
                <w:sz w:val="18"/>
                <w:lang w:eastAsia="en-US"/>
              </w:rPr>
              <w:tab/>
              <w:t>(Release 8)</w:t>
            </w:r>
            <w:r>
              <w:rPr>
                <w:rFonts w:ascii="Arial" w:eastAsia="SimSun" w:hAnsi="Arial"/>
                <w:i/>
                <w:sz w:val="18"/>
                <w:lang w:eastAsia="en-US"/>
              </w:rPr>
              <w:br/>
              <w:t>Rel-9</w:t>
            </w:r>
            <w:r>
              <w:rPr>
                <w:rFonts w:ascii="Arial" w:eastAsia="SimSun" w:hAnsi="Arial"/>
                <w:i/>
                <w:sz w:val="18"/>
                <w:lang w:eastAsia="en-US"/>
              </w:rPr>
              <w:tab/>
              <w:t>(Release 9)</w:t>
            </w:r>
            <w:r>
              <w:rPr>
                <w:rFonts w:ascii="Arial" w:eastAsia="SimSun" w:hAnsi="Arial"/>
                <w:i/>
                <w:sz w:val="18"/>
                <w:lang w:eastAsia="en-US"/>
              </w:rPr>
              <w:br/>
              <w:t>Rel-10</w:t>
            </w:r>
            <w:r>
              <w:rPr>
                <w:rFonts w:ascii="Arial" w:eastAsia="SimSun" w:hAnsi="Arial"/>
                <w:i/>
                <w:sz w:val="18"/>
                <w:lang w:eastAsia="en-US"/>
              </w:rPr>
              <w:tab/>
              <w:t>(Release 10)</w:t>
            </w:r>
            <w:r>
              <w:rPr>
                <w:rFonts w:ascii="Arial" w:eastAsia="SimSun" w:hAnsi="Arial"/>
                <w:i/>
                <w:sz w:val="18"/>
                <w:lang w:eastAsia="en-US"/>
              </w:rPr>
              <w:br/>
              <w:t>Rel-11</w:t>
            </w:r>
            <w:r>
              <w:rPr>
                <w:rFonts w:ascii="Arial" w:eastAsia="SimSun" w:hAnsi="Arial"/>
                <w:i/>
                <w:sz w:val="18"/>
                <w:lang w:eastAsia="en-US"/>
              </w:rPr>
              <w:tab/>
              <w:t>(Release 11)</w:t>
            </w:r>
            <w:r>
              <w:rPr>
                <w:rFonts w:ascii="Arial" w:eastAsia="SimSun" w:hAnsi="Arial"/>
                <w:i/>
                <w:sz w:val="18"/>
                <w:lang w:eastAsia="en-US"/>
              </w:rPr>
              <w:br/>
              <w:t>…</w:t>
            </w:r>
            <w:r>
              <w:rPr>
                <w:rFonts w:ascii="Arial" w:eastAsia="SimSun" w:hAnsi="Arial"/>
                <w:i/>
                <w:sz w:val="18"/>
                <w:lang w:eastAsia="en-US"/>
              </w:rPr>
              <w:br/>
              <w:t>Rel-15</w:t>
            </w:r>
            <w:r>
              <w:rPr>
                <w:rFonts w:ascii="Arial" w:eastAsia="SimSun" w:hAnsi="Arial"/>
                <w:i/>
                <w:sz w:val="18"/>
                <w:lang w:eastAsia="en-US"/>
              </w:rPr>
              <w:tab/>
              <w:t>(Release 15)</w:t>
            </w:r>
            <w:r>
              <w:rPr>
                <w:rFonts w:ascii="Arial" w:eastAsia="SimSun" w:hAnsi="Arial"/>
                <w:i/>
                <w:sz w:val="18"/>
                <w:lang w:eastAsia="en-US"/>
              </w:rPr>
              <w:br/>
              <w:t>Rel-16</w:t>
            </w:r>
            <w:r>
              <w:rPr>
                <w:rFonts w:ascii="Arial" w:eastAsia="SimSun" w:hAnsi="Arial"/>
                <w:i/>
                <w:sz w:val="18"/>
                <w:lang w:eastAsia="en-US"/>
              </w:rPr>
              <w:tab/>
              <w:t>(Release 16)</w:t>
            </w:r>
            <w:r>
              <w:rPr>
                <w:rFonts w:ascii="Arial" w:eastAsia="SimSun" w:hAnsi="Arial"/>
                <w:i/>
                <w:sz w:val="18"/>
                <w:lang w:eastAsia="en-US"/>
              </w:rPr>
              <w:br/>
              <w:t>Rel-17</w:t>
            </w:r>
            <w:r>
              <w:rPr>
                <w:rFonts w:ascii="Arial" w:eastAsia="SimSun" w:hAnsi="Arial"/>
                <w:i/>
                <w:sz w:val="18"/>
                <w:lang w:eastAsia="en-US"/>
              </w:rPr>
              <w:tab/>
              <w:t>(Release 17)</w:t>
            </w:r>
            <w:r>
              <w:rPr>
                <w:rFonts w:ascii="Arial" w:eastAsia="SimSun" w:hAnsi="Arial"/>
                <w:i/>
                <w:sz w:val="18"/>
                <w:lang w:eastAsia="en-US"/>
              </w:rPr>
              <w:br/>
              <w:t>Rel-18</w:t>
            </w:r>
            <w:r>
              <w:rPr>
                <w:rFonts w:ascii="Arial" w:eastAsia="SimSun" w:hAnsi="Arial"/>
                <w:i/>
                <w:sz w:val="18"/>
                <w:lang w:eastAsia="en-US"/>
              </w:rPr>
              <w:tab/>
              <w:t>(Release 18)</w:t>
            </w:r>
          </w:p>
        </w:tc>
      </w:tr>
      <w:tr w:rsidR="00BF5431" w14:paraId="731811DF" w14:textId="77777777">
        <w:tc>
          <w:tcPr>
            <w:tcW w:w="1843" w:type="dxa"/>
          </w:tcPr>
          <w:p w14:paraId="4E053F9B"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7797" w:type="dxa"/>
            <w:gridSpan w:val="10"/>
          </w:tcPr>
          <w:p w14:paraId="3A65EBE9"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71536461" w14:textId="77777777">
        <w:tc>
          <w:tcPr>
            <w:tcW w:w="2694" w:type="dxa"/>
            <w:gridSpan w:val="2"/>
            <w:tcBorders>
              <w:top w:val="single" w:sz="4" w:space="0" w:color="auto"/>
              <w:left w:val="single" w:sz="4" w:space="0" w:color="auto"/>
            </w:tcBorders>
          </w:tcPr>
          <w:p w14:paraId="7D729C1B"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Reason for change:</w:t>
            </w:r>
          </w:p>
        </w:tc>
        <w:tc>
          <w:tcPr>
            <w:tcW w:w="6946" w:type="dxa"/>
            <w:gridSpan w:val="9"/>
            <w:tcBorders>
              <w:top w:val="single" w:sz="4" w:space="0" w:color="auto"/>
              <w:right w:val="single" w:sz="4" w:space="0" w:color="auto"/>
            </w:tcBorders>
            <w:shd w:val="pct30" w:color="FFFF00" w:fill="auto"/>
          </w:tcPr>
          <w:p w14:paraId="30DBC101"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below two agreements are captured in 37.213 Section 4.2.1.0.4, but only for the case when Type 1 channel access procedure (Cat 4 LBT) is applied on one channel (RB set) and Type 2 channel access procedure (Cat 2 LBT) is applied on the remaining channels (RB sets), also known as Type B multi-channel access procedure.</w:t>
            </w:r>
          </w:p>
          <w:p w14:paraId="79880D50" w14:textId="77777777" w:rsidR="00BF5431" w:rsidRDefault="00BF5431">
            <w:pPr>
              <w:overflowPunct/>
              <w:autoSpaceDE/>
              <w:autoSpaceDN/>
              <w:adjustRightInd/>
              <w:spacing w:after="0" w:line="240" w:lineRule="auto"/>
              <w:ind w:left="102"/>
              <w:textAlignment w:val="auto"/>
              <w:rPr>
                <w:rFonts w:ascii="Arial" w:eastAsia="Calibri" w:hAnsi="Arial" w:cs="Arial"/>
                <w:lang w:val="en-US" w:eastAsia="en-US"/>
              </w:rPr>
            </w:pPr>
          </w:p>
          <w:p w14:paraId="7373C0FA" w14:textId="77777777" w:rsidR="00BF5431" w:rsidRDefault="00D449BF">
            <w:pPr>
              <w:overflowPunct/>
              <w:autoSpaceDE/>
              <w:autoSpaceDN/>
              <w:adjustRightInd/>
              <w:spacing w:after="0" w:line="240" w:lineRule="auto"/>
              <w:ind w:left="102"/>
              <w:textAlignment w:val="auto"/>
              <w:rPr>
                <w:rFonts w:ascii="Arial" w:eastAsia="Calibri" w:hAnsi="Arial" w:cs="Arial"/>
                <w:lang w:val="en-US" w:eastAsia="en-US"/>
              </w:rPr>
            </w:pPr>
            <w:r>
              <w:rPr>
                <w:rFonts w:ascii="Arial" w:eastAsia="Calibri" w:hAnsi="Arial" w:cs="Arial"/>
                <w:lang w:val="en-US" w:eastAsia="en-US"/>
              </w:rPr>
              <w:t>The issue is that the agreements apply also for the case where Type 1 channel access procedure (Cat 4 LBT) is performed on all channels (RB sets), also known as Type A multi-channel access procedure. For type A multi-channel access procedure there is no need to restrict the channel frequencies to be within a subset of a set of channel frequencies defined by Clause 5.7.4 of 36.104 as specified currently.</w:t>
            </w:r>
          </w:p>
          <w:p w14:paraId="3ABF2E08" w14:textId="77777777" w:rsidR="00BF5431" w:rsidRDefault="00BF5431">
            <w:pPr>
              <w:overflowPunct/>
              <w:autoSpaceDE/>
              <w:autoSpaceDN/>
              <w:adjustRightInd/>
              <w:spacing w:after="0" w:line="240" w:lineRule="auto"/>
              <w:textAlignment w:val="auto"/>
              <w:rPr>
                <w:rFonts w:ascii="Arial" w:eastAsia="Calibri" w:hAnsi="Arial" w:cs="Arial"/>
                <w:lang w:val="en-US" w:eastAsia="en-US"/>
              </w:rPr>
            </w:pPr>
          </w:p>
          <w:p w14:paraId="5355C272" w14:textId="77777777" w:rsidR="00BF5431" w:rsidRDefault="00D449BF">
            <w:pPr>
              <w:overflowPunct/>
              <w:autoSpaceDE/>
              <w:autoSpaceDN/>
              <w:adjustRightInd/>
              <w:spacing w:after="0" w:line="240" w:lineRule="auto"/>
              <w:textAlignment w:val="auto"/>
              <w:rPr>
                <w:rFonts w:ascii="Times" w:eastAsia="바탕" w:hAnsi="Times"/>
                <w:szCs w:val="24"/>
                <w:lang w:eastAsia="en-US"/>
              </w:rPr>
            </w:pPr>
            <w:r>
              <w:rPr>
                <w:rFonts w:ascii="Times" w:eastAsia="바탕" w:hAnsi="Times"/>
                <w:szCs w:val="24"/>
                <w:highlight w:val="green"/>
                <w:lang w:eastAsia="en-US"/>
              </w:rPr>
              <w:t>Agreement #1 (RAN1#98bis):</w:t>
            </w:r>
          </w:p>
          <w:p w14:paraId="1C116B94" w14:textId="77777777" w:rsidR="00BF5431" w:rsidRDefault="00D449BF">
            <w:pPr>
              <w:numPr>
                <w:ilvl w:val="0"/>
                <w:numId w:val="15"/>
              </w:numPr>
              <w:overflowPunct/>
              <w:autoSpaceDE/>
              <w:autoSpaceDN/>
              <w:adjustRightInd/>
              <w:spacing w:after="0" w:line="240" w:lineRule="auto"/>
              <w:textAlignment w:val="auto"/>
              <w:rPr>
                <w:rFonts w:ascii="Times" w:eastAsia="바탕" w:hAnsi="Times"/>
                <w:szCs w:val="24"/>
                <w:lang w:eastAsia="en-US"/>
              </w:rPr>
            </w:pPr>
            <w:r>
              <w:rPr>
                <w:rFonts w:ascii="Times" w:eastAsia="바탕" w:hAnsi="Times"/>
                <w:szCs w:val="24"/>
                <w:lang w:eastAsia="en-US"/>
              </w:rP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6358D046" w14:textId="77777777" w:rsidR="00BF5431" w:rsidRDefault="00D449BF">
            <w:pPr>
              <w:numPr>
                <w:ilvl w:val="0"/>
                <w:numId w:val="15"/>
              </w:numPr>
              <w:overflowPunct/>
              <w:autoSpaceDE/>
              <w:autoSpaceDN/>
              <w:adjustRightInd/>
              <w:spacing w:after="0" w:line="240" w:lineRule="auto"/>
              <w:textAlignment w:val="auto"/>
              <w:rPr>
                <w:rFonts w:ascii="Times" w:eastAsia="바탕" w:hAnsi="Times"/>
                <w:szCs w:val="24"/>
                <w:lang w:eastAsia="en-US"/>
              </w:rPr>
            </w:pPr>
            <w:r>
              <w:rPr>
                <w:rFonts w:ascii="Times" w:eastAsia="바탕" w:hAnsi="Times"/>
                <w:szCs w:val="24"/>
                <w:lang w:eastAsia="en-US"/>
              </w:rPr>
              <w:t xml:space="preserve">The UE is not expected to receive resource allocations in </w:t>
            </w:r>
            <w:proofErr w:type="spellStart"/>
            <w:r>
              <w:rPr>
                <w:rFonts w:ascii="Times" w:eastAsia="바탕" w:hAnsi="Times"/>
                <w:szCs w:val="24"/>
                <w:lang w:eastAsia="en-US"/>
              </w:rPr>
              <w:t>discontiguous</w:t>
            </w:r>
            <w:proofErr w:type="spellEnd"/>
            <w:r>
              <w:rPr>
                <w:rFonts w:ascii="Times" w:eastAsia="바탕" w:hAnsi="Times"/>
                <w:szCs w:val="24"/>
                <w:lang w:eastAsia="en-US"/>
              </w:rPr>
              <w:t xml:space="preserve"> LBT bandwidths within a wideband carrier</w:t>
            </w:r>
          </w:p>
          <w:p w14:paraId="613B0085" w14:textId="77777777" w:rsidR="00BF5431" w:rsidRDefault="00BF5431">
            <w:pPr>
              <w:overflowPunct/>
              <w:autoSpaceDE/>
              <w:autoSpaceDN/>
              <w:adjustRightInd/>
              <w:spacing w:after="120"/>
              <w:jc w:val="both"/>
              <w:textAlignment w:val="auto"/>
              <w:rPr>
                <w:rFonts w:ascii="Arial" w:eastAsia="Calibri" w:hAnsi="Arial" w:cs="Arial"/>
                <w:szCs w:val="22"/>
                <w:lang w:val="en-US" w:eastAsia="zh-CN"/>
              </w:rPr>
            </w:pPr>
          </w:p>
          <w:p w14:paraId="2F8FC828" w14:textId="77777777" w:rsidR="00BF5431" w:rsidRDefault="00D449BF">
            <w:pPr>
              <w:overflowPunct/>
              <w:autoSpaceDE/>
              <w:autoSpaceDN/>
              <w:adjustRightInd/>
              <w:spacing w:after="0" w:line="256" w:lineRule="auto"/>
              <w:contextualSpacing/>
              <w:jc w:val="both"/>
              <w:textAlignment w:val="auto"/>
              <w:rPr>
                <w:rFonts w:ascii="Times" w:eastAsia="바탕" w:hAnsi="Times"/>
                <w:szCs w:val="24"/>
                <w:lang w:eastAsia="en-US"/>
              </w:rPr>
            </w:pPr>
            <w:r>
              <w:rPr>
                <w:rFonts w:ascii="Times" w:eastAsia="바탕" w:hAnsi="Times"/>
                <w:szCs w:val="24"/>
                <w:highlight w:val="green"/>
                <w:lang w:eastAsia="en-US"/>
              </w:rPr>
              <w:t>Agreement #2 (RAN1 #99):</w:t>
            </w:r>
          </w:p>
          <w:p w14:paraId="39FE7834" w14:textId="77777777" w:rsidR="00BF5431" w:rsidRDefault="00D449BF">
            <w:pPr>
              <w:numPr>
                <w:ilvl w:val="0"/>
                <w:numId w:val="16"/>
              </w:numPr>
              <w:overflowPunct/>
              <w:autoSpaceDE/>
              <w:autoSpaceDN/>
              <w:adjustRightInd/>
              <w:spacing w:after="0" w:line="256" w:lineRule="auto"/>
              <w:contextualSpacing/>
              <w:jc w:val="both"/>
              <w:textAlignment w:val="auto"/>
              <w:rPr>
                <w:rFonts w:ascii="Times" w:eastAsia="바탕" w:hAnsi="Times"/>
                <w:szCs w:val="24"/>
                <w:lang w:eastAsia="en-US"/>
              </w:rPr>
            </w:pPr>
            <w:r>
              <w:rPr>
                <w:rFonts w:eastAsia="맑은 고딕"/>
                <w:lang w:eastAsia="ko-KR"/>
              </w:rPr>
              <w:t xml:space="preserve">The RRC parameters </w:t>
            </w:r>
            <w:r>
              <w:rPr>
                <w:rFonts w:ascii="Times" w:eastAsia="바탕" w:hAnsi="Times" w:cs="Times"/>
                <w:i/>
                <w:iCs/>
                <w:lang w:eastAsia="en-US"/>
              </w:rPr>
              <w:t>intraCellGuardBandDL-r16</w:t>
            </w:r>
            <w:r>
              <w:rPr>
                <w:rFonts w:ascii="Times" w:eastAsia="바탕" w:hAnsi="Times" w:cs="Times"/>
                <w:lang w:eastAsia="en-US"/>
              </w:rPr>
              <w:t xml:space="preserve"> and </w:t>
            </w:r>
            <w:r>
              <w:rPr>
                <w:rFonts w:ascii="Times" w:eastAsia="바탕" w:hAnsi="Times" w:cs="Times"/>
                <w:i/>
                <w:iCs/>
                <w:lang w:eastAsia="en-US"/>
              </w:rPr>
              <w:t>intraCellGuardBandUL-r16</w:t>
            </w:r>
            <w:r>
              <w:rPr>
                <w:rFonts w:ascii="Times" w:eastAsia="바탕" w:hAnsi="Times" w:cs="Times"/>
                <w:iCs/>
                <w:lang w:eastAsia="en-US"/>
              </w:rPr>
              <w:t xml:space="preserve"> </w:t>
            </w:r>
            <w:r>
              <w:rPr>
                <w:rFonts w:eastAsia="맑은 고딕"/>
                <w:lang w:eastAsia="ko-KR"/>
              </w:rPr>
              <w:t>include a mechanism to indicate that no intra-carrier guard-bands are configured</w:t>
            </w:r>
          </w:p>
          <w:p w14:paraId="72563C47" w14:textId="77777777" w:rsidR="00BF5431" w:rsidRDefault="00D449BF">
            <w:pPr>
              <w:numPr>
                <w:ilvl w:val="1"/>
                <w:numId w:val="17"/>
              </w:numPr>
              <w:overflowPunct/>
              <w:autoSpaceDE/>
              <w:autoSpaceDN/>
              <w:adjustRightInd/>
              <w:spacing w:after="0" w:line="256" w:lineRule="auto"/>
              <w:contextualSpacing/>
              <w:jc w:val="both"/>
              <w:textAlignment w:val="auto"/>
              <w:rPr>
                <w:rFonts w:ascii="Times" w:eastAsia="바탕" w:hAnsi="Times"/>
                <w:szCs w:val="24"/>
                <w:lang w:eastAsia="en-US"/>
              </w:rPr>
            </w:pPr>
            <w:r>
              <w:rPr>
                <w:rFonts w:eastAsia="맑은 고딕"/>
                <w:lang w:eastAsia="ko-KR"/>
              </w:rPr>
              <w:t>Note: This configuration may be used for the case where transmission only occurs in a BWP if LBT is successful in all RB sets within the BWP</w:t>
            </w:r>
          </w:p>
        </w:tc>
      </w:tr>
      <w:tr w:rsidR="00BF5431" w14:paraId="0048F407" w14:textId="77777777">
        <w:tc>
          <w:tcPr>
            <w:tcW w:w="2694" w:type="dxa"/>
            <w:gridSpan w:val="2"/>
            <w:tcBorders>
              <w:left w:val="single" w:sz="4" w:space="0" w:color="auto"/>
            </w:tcBorders>
          </w:tcPr>
          <w:p w14:paraId="273ECF5B"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2FA5A21D" w14:textId="77777777" w:rsidR="00BF5431" w:rsidRDefault="00BF5431">
            <w:pPr>
              <w:overflowPunct/>
              <w:autoSpaceDE/>
              <w:autoSpaceDN/>
              <w:adjustRightInd/>
              <w:spacing w:after="0" w:line="240" w:lineRule="auto"/>
              <w:textAlignment w:val="auto"/>
              <w:rPr>
                <w:rFonts w:ascii="Arial" w:eastAsia="SimSun" w:hAnsi="Arial" w:cs="Arial"/>
                <w:sz w:val="8"/>
                <w:szCs w:val="8"/>
                <w:lang w:eastAsia="en-US"/>
              </w:rPr>
            </w:pPr>
          </w:p>
        </w:tc>
      </w:tr>
      <w:tr w:rsidR="00BF5431" w14:paraId="6C83B5F3" w14:textId="77777777">
        <w:tc>
          <w:tcPr>
            <w:tcW w:w="2694" w:type="dxa"/>
            <w:gridSpan w:val="2"/>
            <w:tcBorders>
              <w:left w:val="single" w:sz="4" w:space="0" w:color="auto"/>
            </w:tcBorders>
          </w:tcPr>
          <w:p w14:paraId="09C65A95"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lastRenderedPageBreak/>
              <w:t>Summary of change:</w:t>
            </w:r>
          </w:p>
        </w:tc>
        <w:tc>
          <w:tcPr>
            <w:tcW w:w="6946" w:type="dxa"/>
            <w:gridSpan w:val="9"/>
            <w:tcBorders>
              <w:right w:val="single" w:sz="4" w:space="0" w:color="auto"/>
            </w:tcBorders>
            <w:shd w:val="pct30" w:color="FFFF00" w:fill="auto"/>
          </w:tcPr>
          <w:p w14:paraId="198DB5CA" w14:textId="77777777" w:rsidR="00BF5431" w:rsidRPr="00C6667F" w:rsidRDefault="00D449BF">
            <w:pPr>
              <w:overflowPunct/>
              <w:autoSpaceDE/>
              <w:autoSpaceDN/>
              <w:adjustRightInd/>
              <w:spacing w:after="0" w:line="240" w:lineRule="auto"/>
              <w:textAlignment w:val="auto"/>
              <w:rPr>
                <w:rFonts w:ascii="Arial" w:eastAsia="SimSun" w:hAnsi="Arial" w:cs="Arial"/>
                <w:lang w:val="en-US" w:eastAsia="en-US"/>
              </w:rPr>
            </w:pPr>
            <w:r>
              <w:rPr>
                <w:rFonts w:ascii="Arial" w:eastAsia="Calibri" w:hAnsi="Arial" w:cs="Arial"/>
                <w:lang w:val="en-US" w:eastAsia="en-US"/>
              </w:rPr>
              <w:t>Clarification that multi-channel transmission on carrier(s) both with and without guard bands applies also to the case when Type 1 channel access procedure (Cat 4 LBT) is performed on all channels (RB sets), also known as Type A multi-channel access procedure.</w:t>
            </w:r>
          </w:p>
        </w:tc>
      </w:tr>
      <w:tr w:rsidR="00BF5431" w14:paraId="702B055E" w14:textId="77777777">
        <w:tc>
          <w:tcPr>
            <w:tcW w:w="2694" w:type="dxa"/>
            <w:gridSpan w:val="2"/>
            <w:tcBorders>
              <w:left w:val="single" w:sz="4" w:space="0" w:color="auto"/>
            </w:tcBorders>
          </w:tcPr>
          <w:p w14:paraId="13E82959"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4C86F327" w14:textId="77777777" w:rsidR="00BF5431" w:rsidRDefault="00BF5431">
            <w:pPr>
              <w:overflowPunct/>
              <w:autoSpaceDE/>
              <w:autoSpaceDN/>
              <w:adjustRightInd/>
              <w:spacing w:after="0" w:line="240" w:lineRule="auto"/>
              <w:textAlignment w:val="auto"/>
              <w:rPr>
                <w:rFonts w:ascii="Arial" w:eastAsia="SimSun" w:hAnsi="Arial" w:cs="Arial"/>
                <w:sz w:val="8"/>
                <w:szCs w:val="8"/>
                <w:lang w:eastAsia="en-US"/>
              </w:rPr>
            </w:pPr>
          </w:p>
        </w:tc>
      </w:tr>
      <w:tr w:rsidR="00BF5431" w14:paraId="0E6639F8" w14:textId="77777777">
        <w:tc>
          <w:tcPr>
            <w:tcW w:w="2694" w:type="dxa"/>
            <w:gridSpan w:val="2"/>
            <w:tcBorders>
              <w:left w:val="single" w:sz="4" w:space="0" w:color="auto"/>
              <w:bottom w:val="single" w:sz="4" w:space="0" w:color="auto"/>
            </w:tcBorders>
          </w:tcPr>
          <w:p w14:paraId="3D79DE0F"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Consequences if not approved:</w:t>
            </w:r>
          </w:p>
        </w:tc>
        <w:tc>
          <w:tcPr>
            <w:tcW w:w="6946" w:type="dxa"/>
            <w:gridSpan w:val="9"/>
            <w:tcBorders>
              <w:bottom w:val="single" w:sz="4" w:space="0" w:color="auto"/>
              <w:right w:val="single" w:sz="4" w:space="0" w:color="auto"/>
            </w:tcBorders>
            <w:shd w:val="pct30" w:color="FFFF00" w:fill="auto"/>
          </w:tcPr>
          <w:p w14:paraId="0748C97B" w14:textId="77777777" w:rsidR="00BF5431" w:rsidRDefault="00D449BF">
            <w:pPr>
              <w:overflowPunct/>
              <w:autoSpaceDE/>
              <w:autoSpaceDN/>
              <w:adjustRightInd/>
              <w:spacing w:after="0" w:line="240" w:lineRule="auto"/>
              <w:textAlignment w:val="auto"/>
              <w:rPr>
                <w:rFonts w:ascii="Arial" w:eastAsia="Calibri" w:hAnsi="Arial" w:cs="Arial"/>
                <w:lang w:val="en-US" w:eastAsia="en-US"/>
              </w:rPr>
            </w:pPr>
            <w:r>
              <w:rPr>
                <w:rFonts w:ascii="Arial" w:eastAsia="Calibri" w:hAnsi="Arial" w:cs="Arial"/>
                <w:lang w:val="en-US" w:eastAsia="en-US"/>
              </w:rPr>
              <w:t>Undefined UE behavior for multi-channel transmission on carrier(s) both with and without guard bands applies for the case when Type 1 channel access procedure (Cat 4 LBT) is performed on all channels (RB sets), also known as Type A multi-channel access procedure.</w:t>
            </w:r>
          </w:p>
        </w:tc>
      </w:tr>
      <w:tr w:rsidR="00BF5431" w14:paraId="5B61AA4C" w14:textId="77777777">
        <w:tc>
          <w:tcPr>
            <w:tcW w:w="2694" w:type="dxa"/>
            <w:gridSpan w:val="2"/>
          </w:tcPr>
          <w:p w14:paraId="02CAA11C"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Pr>
          <w:p w14:paraId="3293639F"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3B48E75" w14:textId="77777777">
        <w:tc>
          <w:tcPr>
            <w:tcW w:w="2694" w:type="dxa"/>
            <w:gridSpan w:val="2"/>
            <w:tcBorders>
              <w:top w:val="single" w:sz="4" w:space="0" w:color="auto"/>
              <w:left w:val="single" w:sz="4" w:space="0" w:color="auto"/>
            </w:tcBorders>
          </w:tcPr>
          <w:p w14:paraId="4CCF06CA"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Clauses affected:</w:t>
            </w:r>
          </w:p>
        </w:tc>
        <w:tc>
          <w:tcPr>
            <w:tcW w:w="6946" w:type="dxa"/>
            <w:gridSpan w:val="9"/>
            <w:tcBorders>
              <w:top w:val="single" w:sz="4" w:space="0" w:color="auto"/>
              <w:right w:val="single" w:sz="4" w:space="0" w:color="auto"/>
            </w:tcBorders>
            <w:shd w:val="pct30" w:color="FFFF00" w:fill="auto"/>
          </w:tcPr>
          <w:p w14:paraId="3D4463C7" w14:textId="77777777" w:rsidR="00BF5431" w:rsidRDefault="00D449BF">
            <w:pPr>
              <w:overflowPunct/>
              <w:autoSpaceDE/>
              <w:autoSpaceDN/>
              <w:adjustRightInd/>
              <w:spacing w:after="0" w:line="240" w:lineRule="auto"/>
              <w:ind w:left="100"/>
              <w:textAlignment w:val="auto"/>
              <w:rPr>
                <w:rFonts w:ascii="Arial" w:eastAsia="MS Mincho" w:hAnsi="Arial"/>
              </w:rPr>
            </w:pPr>
            <w:r>
              <w:rPr>
                <w:rFonts w:ascii="Arial" w:eastAsia="MS Mincho" w:hAnsi="Arial"/>
              </w:rPr>
              <w:t>4.2.1.0.4</w:t>
            </w:r>
          </w:p>
        </w:tc>
      </w:tr>
      <w:tr w:rsidR="00BF5431" w14:paraId="06E6834E" w14:textId="77777777">
        <w:tc>
          <w:tcPr>
            <w:tcW w:w="2694" w:type="dxa"/>
            <w:gridSpan w:val="2"/>
            <w:tcBorders>
              <w:left w:val="single" w:sz="4" w:space="0" w:color="auto"/>
            </w:tcBorders>
          </w:tcPr>
          <w:p w14:paraId="40C9C4B8" w14:textId="77777777" w:rsidR="00BF5431" w:rsidRDefault="00BF5431">
            <w:pPr>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right w:val="single" w:sz="4" w:space="0" w:color="auto"/>
            </w:tcBorders>
          </w:tcPr>
          <w:p w14:paraId="178C92C0"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tc>
      </w:tr>
      <w:tr w:rsidR="00BF5431" w14:paraId="032BB925" w14:textId="77777777">
        <w:tc>
          <w:tcPr>
            <w:tcW w:w="2694" w:type="dxa"/>
            <w:gridSpan w:val="2"/>
            <w:tcBorders>
              <w:left w:val="single" w:sz="4" w:space="0" w:color="auto"/>
            </w:tcBorders>
          </w:tcPr>
          <w:p w14:paraId="5447F99D" w14:textId="77777777" w:rsidR="00BF5431" w:rsidRDefault="00BF5431">
            <w:pPr>
              <w:tabs>
                <w:tab w:val="right" w:pos="2184"/>
              </w:tabs>
              <w:overflowPunct/>
              <w:autoSpaceDE/>
              <w:autoSpaceDN/>
              <w:adjustRightInd/>
              <w:spacing w:after="0" w:line="240" w:lineRule="auto"/>
              <w:textAlignment w:val="auto"/>
              <w:rPr>
                <w:rFonts w:ascii="Arial" w:eastAsia="SimSun" w:hAnsi="Arial"/>
                <w:b/>
                <w:i/>
                <w:lang w:eastAsia="en-US"/>
              </w:rPr>
            </w:pPr>
          </w:p>
        </w:tc>
        <w:tc>
          <w:tcPr>
            <w:tcW w:w="284" w:type="dxa"/>
            <w:tcBorders>
              <w:top w:val="single" w:sz="4" w:space="0" w:color="auto"/>
              <w:left w:val="single" w:sz="4" w:space="0" w:color="auto"/>
              <w:bottom w:val="single" w:sz="4" w:space="0" w:color="auto"/>
            </w:tcBorders>
          </w:tcPr>
          <w:p w14:paraId="683FD14D"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34D6BEF"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b/>
                <w:caps/>
                <w:lang w:eastAsia="en-US"/>
              </w:rPr>
              <w:t>N</w:t>
            </w:r>
          </w:p>
        </w:tc>
        <w:tc>
          <w:tcPr>
            <w:tcW w:w="2977" w:type="dxa"/>
            <w:gridSpan w:val="4"/>
          </w:tcPr>
          <w:p w14:paraId="7C329E6A" w14:textId="77777777" w:rsidR="00BF5431" w:rsidRDefault="00BF5431">
            <w:pPr>
              <w:tabs>
                <w:tab w:val="right" w:pos="2893"/>
              </w:tabs>
              <w:overflowPunct/>
              <w:autoSpaceDE/>
              <w:autoSpaceDN/>
              <w:adjustRightInd/>
              <w:spacing w:after="0" w:line="240" w:lineRule="auto"/>
              <w:textAlignment w:val="auto"/>
              <w:rPr>
                <w:rFonts w:ascii="Arial" w:eastAsia="SimSun" w:hAnsi="Arial"/>
                <w:lang w:eastAsia="en-US"/>
              </w:rPr>
            </w:pPr>
          </w:p>
        </w:tc>
        <w:tc>
          <w:tcPr>
            <w:tcW w:w="3401" w:type="dxa"/>
            <w:gridSpan w:val="3"/>
            <w:tcBorders>
              <w:right w:val="single" w:sz="4" w:space="0" w:color="auto"/>
            </w:tcBorders>
            <w:shd w:val="clear" w:color="FFFF00" w:fill="auto"/>
          </w:tcPr>
          <w:p w14:paraId="3CF44C9B" w14:textId="77777777" w:rsidR="00BF5431" w:rsidRDefault="00BF5431">
            <w:pPr>
              <w:overflowPunct/>
              <w:autoSpaceDE/>
              <w:autoSpaceDN/>
              <w:adjustRightInd/>
              <w:spacing w:after="0" w:line="240" w:lineRule="auto"/>
              <w:ind w:left="99"/>
              <w:textAlignment w:val="auto"/>
              <w:rPr>
                <w:rFonts w:ascii="Arial" w:eastAsia="SimSun" w:hAnsi="Arial"/>
                <w:lang w:eastAsia="en-US"/>
              </w:rPr>
            </w:pPr>
          </w:p>
        </w:tc>
      </w:tr>
      <w:tr w:rsidR="00BF5431" w14:paraId="5A78C6A1" w14:textId="77777777">
        <w:tc>
          <w:tcPr>
            <w:tcW w:w="2694" w:type="dxa"/>
            <w:gridSpan w:val="2"/>
            <w:tcBorders>
              <w:left w:val="single" w:sz="4" w:space="0" w:color="auto"/>
            </w:tcBorders>
          </w:tcPr>
          <w:p w14:paraId="3F6A63F5"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898B97"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D0BAE"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1175D460" w14:textId="77777777" w:rsidR="00BF5431" w:rsidRDefault="00D449BF">
            <w:pPr>
              <w:tabs>
                <w:tab w:val="right" w:pos="2893"/>
              </w:tabs>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Other core specifications</w:t>
            </w:r>
            <w:r>
              <w:rPr>
                <w:rFonts w:ascii="Arial" w:eastAsia="SimSun" w:hAnsi="Arial"/>
                <w:lang w:eastAsia="en-US"/>
              </w:rPr>
              <w:tab/>
            </w:r>
          </w:p>
        </w:tc>
        <w:tc>
          <w:tcPr>
            <w:tcW w:w="3401" w:type="dxa"/>
            <w:gridSpan w:val="3"/>
            <w:tcBorders>
              <w:right w:val="single" w:sz="4" w:space="0" w:color="auto"/>
            </w:tcBorders>
            <w:shd w:val="pct30" w:color="FFFF00" w:fill="auto"/>
          </w:tcPr>
          <w:p w14:paraId="70612942"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41A48B22" w14:textId="77777777">
        <w:tc>
          <w:tcPr>
            <w:tcW w:w="2694" w:type="dxa"/>
            <w:gridSpan w:val="2"/>
            <w:tcBorders>
              <w:left w:val="single" w:sz="4" w:space="0" w:color="auto"/>
            </w:tcBorders>
          </w:tcPr>
          <w:p w14:paraId="6668FFDA" w14:textId="77777777" w:rsidR="00BF5431" w:rsidRDefault="00D449BF">
            <w:pPr>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652C4794"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2DC7E"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4491C4E9"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Test specifications</w:t>
            </w:r>
          </w:p>
        </w:tc>
        <w:tc>
          <w:tcPr>
            <w:tcW w:w="3401" w:type="dxa"/>
            <w:gridSpan w:val="3"/>
            <w:tcBorders>
              <w:right w:val="single" w:sz="4" w:space="0" w:color="auto"/>
            </w:tcBorders>
            <w:shd w:val="pct30" w:color="FFFF00" w:fill="auto"/>
          </w:tcPr>
          <w:p w14:paraId="273BF14B"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07A8FB0A" w14:textId="77777777">
        <w:tc>
          <w:tcPr>
            <w:tcW w:w="2694" w:type="dxa"/>
            <w:gridSpan w:val="2"/>
            <w:tcBorders>
              <w:left w:val="single" w:sz="4" w:space="0" w:color="auto"/>
            </w:tcBorders>
          </w:tcPr>
          <w:p w14:paraId="607A7CBA" w14:textId="77777777" w:rsidR="00BF5431" w:rsidRDefault="00D449BF">
            <w:pPr>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w:t>
            </w:r>
            <w:proofErr w:type="gramStart"/>
            <w:r>
              <w:rPr>
                <w:rFonts w:ascii="Arial" w:eastAsia="SimSun" w:hAnsi="Arial"/>
                <w:b/>
                <w:i/>
                <w:lang w:eastAsia="en-US"/>
              </w:rPr>
              <w:t>show</w:t>
            </w:r>
            <w:proofErr w:type="gramEnd"/>
            <w:r>
              <w:rPr>
                <w:rFonts w:ascii="Arial" w:eastAsia="SimSun" w:hAnsi="Arial"/>
                <w:b/>
                <w:i/>
                <w:lang w:eastAsia="en-US"/>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560FE28E" w14:textId="77777777" w:rsidR="00BF5431" w:rsidRDefault="00BF5431">
            <w:pPr>
              <w:overflowPunct/>
              <w:autoSpaceDE/>
              <w:autoSpaceDN/>
              <w:adjustRightInd/>
              <w:spacing w:after="0" w:line="240" w:lineRule="auto"/>
              <w:jc w:val="center"/>
              <w:textAlignment w:val="auto"/>
              <w:rPr>
                <w:rFonts w:ascii="Arial" w:eastAsia="SimSun"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734C82" w14:textId="77777777" w:rsidR="00BF5431" w:rsidRDefault="00D449BF">
            <w:pPr>
              <w:overflowPunct/>
              <w:autoSpaceDE/>
              <w:autoSpaceDN/>
              <w:adjustRightInd/>
              <w:spacing w:after="0" w:line="240" w:lineRule="auto"/>
              <w:jc w:val="center"/>
              <w:textAlignment w:val="auto"/>
              <w:rPr>
                <w:rFonts w:ascii="Arial" w:eastAsia="SimSun" w:hAnsi="Arial"/>
                <w:b/>
                <w:caps/>
                <w:lang w:eastAsia="en-US"/>
              </w:rPr>
            </w:pPr>
            <w:r>
              <w:rPr>
                <w:rFonts w:ascii="Arial" w:eastAsia="SimSun" w:hAnsi="Arial" w:hint="eastAsia"/>
                <w:b/>
                <w:caps/>
                <w:lang w:eastAsia="en-US"/>
              </w:rPr>
              <w:t>X</w:t>
            </w:r>
          </w:p>
        </w:tc>
        <w:tc>
          <w:tcPr>
            <w:tcW w:w="2977" w:type="dxa"/>
            <w:gridSpan w:val="4"/>
          </w:tcPr>
          <w:p w14:paraId="744AF8C8" w14:textId="77777777" w:rsidR="00BF5431" w:rsidRDefault="00D449BF">
            <w:pPr>
              <w:overflowPunct/>
              <w:autoSpaceDE/>
              <w:autoSpaceDN/>
              <w:adjustRightInd/>
              <w:spacing w:after="0" w:line="240" w:lineRule="auto"/>
              <w:textAlignment w:val="auto"/>
              <w:rPr>
                <w:rFonts w:ascii="Arial" w:eastAsia="SimSun" w:hAnsi="Arial"/>
                <w:lang w:eastAsia="en-US"/>
              </w:rPr>
            </w:pPr>
            <w:r>
              <w:rPr>
                <w:rFonts w:ascii="Arial" w:eastAsia="SimSun" w:hAnsi="Arial"/>
                <w:lang w:eastAsia="en-US"/>
              </w:rPr>
              <w:t xml:space="preserve"> O&amp;M Specifications</w:t>
            </w:r>
          </w:p>
        </w:tc>
        <w:tc>
          <w:tcPr>
            <w:tcW w:w="3401" w:type="dxa"/>
            <w:gridSpan w:val="3"/>
            <w:tcBorders>
              <w:right w:val="single" w:sz="4" w:space="0" w:color="auto"/>
            </w:tcBorders>
            <w:shd w:val="pct30" w:color="FFFF00" w:fill="auto"/>
          </w:tcPr>
          <w:p w14:paraId="7B36FD86" w14:textId="77777777" w:rsidR="00BF5431" w:rsidRDefault="00D449BF">
            <w:pPr>
              <w:overflowPunct/>
              <w:autoSpaceDE/>
              <w:autoSpaceDN/>
              <w:adjustRightInd/>
              <w:spacing w:after="0" w:line="240" w:lineRule="auto"/>
              <w:ind w:left="99"/>
              <w:textAlignment w:val="auto"/>
              <w:rPr>
                <w:rFonts w:ascii="Arial" w:eastAsia="SimSun" w:hAnsi="Arial"/>
                <w:lang w:eastAsia="en-US"/>
              </w:rPr>
            </w:pPr>
            <w:r>
              <w:rPr>
                <w:rFonts w:ascii="Arial" w:eastAsia="SimSun" w:hAnsi="Arial"/>
                <w:lang w:eastAsia="en-US"/>
              </w:rPr>
              <w:t xml:space="preserve">TS/TR ... CR ... </w:t>
            </w:r>
          </w:p>
        </w:tc>
      </w:tr>
      <w:tr w:rsidR="00BF5431" w14:paraId="4D0B4333" w14:textId="77777777">
        <w:tc>
          <w:tcPr>
            <w:tcW w:w="2694" w:type="dxa"/>
            <w:gridSpan w:val="2"/>
            <w:tcBorders>
              <w:left w:val="single" w:sz="4" w:space="0" w:color="auto"/>
            </w:tcBorders>
          </w:tcPr>
          <w:p w14:paraId="78B35DC2" w14:textId="77777777" w:rsidR="00BF5431" w:rsidRDefault="00BF5431">
            <w:pPr>
              <w:overflowPunct/>
              <w:autoSpaceDE/>
              <w:autoSpaceDN/>
              <w:adjustRightInd/>
              <w:spacing w:after="0" w:line="240" w:lineRule="auto"/>
              <w:textAlignment w:val="auto"/>
              <w:rPr>
                <w:rFonts w:ascii="Arial" w:eastAsia="SimSun" w:hAnsi="Arial"/>
                <w:b/>
                <w:i/>
                <w:lang w:eastAsia="en-US"/>
              </w:rPr>
            </w:pPr>
          </w:p>
        </w:tc>
        <w:tc>
          <w:tcPr>
            <w:tcW w:w="6946" w:type="dxa"/>
            <w:gridSpan w:val="9"/>
            <w:tcBorders>
              <w:right w:val="single" w:sz="4" w:space="0" w:color="auto"/>
            </w:tcBorders>
          </w:tcPr>
          <w:p w14:paraId="1420E559"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3B57305B" w14:textId="77777777">
        <w:tc>
          <w:tcPr>
            <w:tcW w:w="2694" w:type="dxa"/>
            <w:gridSpan w:val="2"/>
            <w:tcBorders>
              <w:left w:val="single" w:sz="4" w:space="0" w:color="auto"/>
              <w:bottom w:val="single" w:sz="4" w:space="0" w:color="auto"/>
            </w:tcBorders>
          </w:tcPr>
          <w:p w14:paraId="441DDA63"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Other comments:</w:t>
            </w:r>
          </w:p>
        </w:tc>
        <w:tc>
          <w:tcPr>
            <w:tcW w:w="6946" w:type="dxa"/>
            <w:gridSpan w:val="9"/>
            <w:tcBorders>
              <w:bottom w:val="single" w:sz="4" w:space="0" w:color="auto"/>
              <w:right w:val="single" w:sz="4" w:space="0" w:color="auto"/>
            </w:tcBorders>
            <w:shd w:val="pct30" w:color="FFFF00" w:fill="auto"/>
          </w:tcPr>
          <w:p w14:paraId="484FE028" w14:textId="77777777" w:rsidR="00BF5431" w:rsidRDefault="00BF5431">
            <w:pPr>
              <w:overflowPunct/>
              <w:autoSpaceDE/>
              <w:autoSpaceDN/>
              <w:adjustRightInd/>
              <w:spacing w:after="0" w:line="240" w:lineRule="auto"/>
              <w:textAlignment w:val="auto"/>
              <w:rPr>
                <w:rFonts w:ascii="Arial" w:eastAsia="SimSun" w:hAnsi="Arial"/>
                <w:lang w:eastAsia="en-US"/>
              </w:rPr>
            </w:pPr>
          </w:p>
        </w:tc>
      </w:tr>
      <w:tr w:rsidR="00BF5431" w14:paraId="2C5307C3" w14:textId="77777777">
        <w:tc>
          <w:tcPr>
            <w:tcW w:w="2694" w:type="dxa"/>
            <w:gridSpan w:val="2"/>
            <w:tcBorders>
              <w:top w:val="single" w:sz="4" w:space="0" w:color="auto"/>
              <w:bottom w:val="single" w:sz="4" w:space="0" w:color="auto"/>
            </w:tcBorders>
          </w:tcPr>
          <w:p w14:paraId="1AE6D406" w14:textId="77777777" w:rsidR="00BF5431" w:rsidRDefault="00BF5431">
            <w:pPr>
              <w:tabs>
                <w:tab w:val="right" w:pos="2184"/>
              </w:tabs>
              <w:overflowPunct/>
              <w:autoSpaceDE/>
              <w:autoSpaceDN/>
              <w:adjustRightInd/>
              <w:spacing w:after="0" w:line="240" w:lineRule="auto"/>
              <w:textAlignment w:val="auto"/>
              <w:rPr>
                <w:rFonts w:ascii="Arial" w:eastAsia="SimSun" w:hAnsi="Arial"/>
                <w:b/>
                <w:i/>
                <w:sz w:val="8"/>
                <w:szCs w:val="8"/>
                <w:lang w:eastAsia="en-US"/>
              </w:rPr>
            </w:pPr>
          </w:p>
        </w:tc>
        <w:tc>
          <w:tcPr>
            <w:tcW w:w="6946" w:type="dxa"/>
            <w:gridSpan w:val="9"/>
            <w:tcBorders>
              <w:top w:val="single" w:sz="4" w:space="0" w:color="auto"/>
              <w:bottom w:val="single" w:sz="4" w:space="0" w:color="auto"/>
            </w:tcBorders>
            <w:shd w:val="solid" w:color="FFFFFF" w:fill="auto"/>
          </w:tcPr>
          <w:p w14:paraId="2460B02A" w14:textId="77777777" w:rsidR="00BF5431" w:rsidRDefault="00BF5431">
            <w:pPr>
              <w:overflowPunct/>
              <w:autoSpaceDE/>
              <w:autoSpaceDN/>
              <w:adjustRightInd/>
              <w:spacing w:after="0" w:line="240" w:lineRule="auto"/>
              <w:ind w:left="100"/>
              <w:textAlignment w:val="auto"/>
              <w:rPr>
                <w:rFonts w:ascii="Arial" w:eastAsia="SimSun" w:hAnsi="Arial"/>
                <w:sz w:val="8"/>
                <w:szCs w:val="8"/>
                <w:lang w:eastAsia="en-US"/>
              </w:rPr>
            </w:pPr>
          </w:p>
        </w:tc>
      </w:tr>
      <w:tr w:rsidR="00BF5431" w14:paraId="60D368FF" w14:textId="77777777">
        <w:tc>
          <w:tcPr>
            <w:tcW w:w="2694" w:type="dxa"/>
            <w:gridSpan w:val="2"/>
            <w:tcBorders>
              <w:top w:val="single" w:sz="4" w:space="0" w:color="auto"/>
              <w:left w:val="single" w:sz="4" w:space="0" w:color="auto"/>
              <w:bottom w:val="single" w:sz="4" w:space="0" w:color="auto"/>
            </w:tcBorders>
          </w:tcPr>
          <w:p w14:paraId="085D88C7" w14:textId="77777777" w:rsidR="00BF5431" w:rsidRDefault="00D449BF">
            <w:pPr>
              <w:tabs>
                <w:tab w:val="right" w:pos="2184"/>
              </w:tabs>
              <w:overflowPunct/>
              <w:autoSpaceDE/>
              <w:autoSpaceDN/>
              <w:adjustRightInd/>
              <w:spacing w:after="0" w:line="240" w:lineRule="auto"/>
              <w:textAlignment w:val="auto"/>
              <w:rPr>
                <w:rFonts w:ascii="Arial" w:eastAsia="SimSun" w:hAnsi="Arial"/>
                <w:b/>
                <w:i/>
                <w:lang w:eastAsia="en-US"/>
              </w:rPr>
            </w:pPr>
            <w:r>
              <w:rPr>
                <w:rFonts w:ascii="Arial" w:eastAsia="SimSun" w:hAnsi="Arial"/>
                <w:b/>
                <w:i/>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54F1F8" w14:textId="77777777" w:rsidR="00BF5431" w:rsidRDefault="00BF5431">
            <w:pPr>
              <w:overflowPunct/>
              <w:autoSpaceDE/>
              <w:autoSpaceDN/>
              <w:adjustRightInd/>
              <w:spacing w:after="0" w:line="240" w:lineRule="auto"/>
              <w:ind w:left="100"/>
              <w:textAlignment w:val="auto"/>
              <w:rPr>
                <w:rFonts w:ascii="Arial" w:eastAsia="SimSun" w:hAnsi="Arial"/>
                <w:lang w:eastAsia="en-US"/>
              </w:rPr>
            </w:pPr>
          </w:p>
        </w:tc>
      </w:tr>
    </w:tbl>
    <w:p w14:paraId="296FD76E" w14:textId="77777777" w:rsidR="00BF5431" w:rsidRDefault="00BF5431">
      <w:pPr>
        <w:overflowPunct/>
        <w:autoSpaceDE/>
        <w:autoSpaceDN/>
        <w:adjustRightInd/>
        <w:spacing w:after="0" w:line="240" w:lineRule="auto"/>
        <w:textAlignment w:val="auto"/>
        <w:rPr>
          <w:rFonts w:ascii="Arial" w:eastAsia="SimSun" w:hAnsi="Arial"/>
          <w:sz w:val="8"/>
          <w:szCs w:val="8"/>
          <w:lang w:eastAsia="en-US"/>
        </w:rPr>
      </w:pPr>
    </w:p>
    <w:p w14:paraId="42A853CE" w14:textId="77777777" w:rsidR="00BF5431" w:rsidRDefault="00BF5431">
      <w:pPr>
        <w:overflowPunct/>
        <w:autoSpaceDE/>
        <w:autoSpaceDN/>
        <w:adjustRightInd/>
        <w:spacing w:line="240" w:lineRule="auto"/>
        <w:textAlignment w:val="auto"/>
        <w:rPr>
          <w:rFonts w:eastAsia="SimSun"/>
          <w:lang w:eastAsia="en-US"/>
        </w:rPr>
        <w:sectPr w:rsidR="00BF5431">
          <w:headerReference w:type="even" r:id="rId16"/>
          <w:footnotePr>
            <w:numRestart w:val="eachSect"/>
          </w:footnotePr>
          <w:pgSz w:w="11907" w:h="16840"/>
          <w:pgMar w:top="1418" w:right="1134" w:bottom="1134" w:left="1134" w:header="680" w:footer="567" w:gutter="0"/>
          <w:cols w:space="720"/>
        </w:sectPr>
      </w:pPr>
    </w:p>
    <w:p w14:paraId="4EA3CC3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lastRenderedPageBreak/>
        <w:t>*** Unchanged text omitted ***</w:t>
      </w:r>
    </w:p>
    <w:p w14:paraId="7CDD6324" w14:textId="77777777" w:rsidR="00BF5431" w:rsidRDefault="00D449BF">
      <w:pPr>
        <w:pStyle w:val="a6"/>
        <w:ind w:left="1710" w:hanging="1710"/>
        <w:rPr>
          <w:sz w:val="22"/>
          <w:szCs w:val="22"/>
        </w:rPr>
      </w:pPr>
      <w:bookmarkStart w:id="37" w:name="_Toc51607171"/>
      <w:bookmarkStart w:id="38" w:name="_Toc35593614"/>
      <w:bookmarkStart w:id="39" w:name="_Toc74647502"/>
      <w:bookmarkStart w:id="40" w:name="_Toc28873156"/>
      <w:bookmarkStart w:id="41" w:name="_Toc44669022"/>
      <w:r>
        <w:rPr>
          <w:sz w:val="22"/>
          <w:szCs w:val="22"/>
        </w:rPr>
        <w:t>4.2.1.0.4</w:t>
      </w:r>
      <w:r>
        <w:rPr>
          <w:sz w:val="22"/>
          <w:szCs w:val="22"/>
        </w:rPr>
        <w:tab/>
        <w:t>Channel access procedures for UL multi-channel transmission(s)</w:t>
      </w:r>
      <w:bookmarkEnd w:id="37"/>
      <w:bookmarkEnd w:id="38"/>
      <w:bookmarkEnd w:id="39"/>
      <w:bookmarkEnd w:id="40"/>
      <w:bookmarkEnd w:id="41"/>
    </w:p>
    <w:p w14:paraId="54315922" w14:textId="77777777" w:rsidR="00BF5431" w:rsidRDefault="00D449BF">
      <w:pPr>
        <w:overflowPunct/>
        <w:autoSpaceDE/>
        <w:autoSpaceDN/>
        <w:adjustRightInd/>
        <w:spacing w:line="240" w:lineRule="auto"/>
        <w:textAlignment w:val="auto"/>
        <w:rPr>
          <w:rFonts w:eastAsia="Times New Roman"/>
          <w:lang w:val="en-US" w:eastAsia="en-US"/>
        </w:rPr>
      </w:pPr>
      <w:r>
        <w:rPr>
          <w:rFonts w:eastAsia="Times New Roman"/>
          <w:lang w:val="en-US" w:eastAsia="en-US"/>
        </w:rPr>
        <w:t xml:space="preserve">If a UE </w:t>
      </w:r>
    </w:p>
    <w:p w14:paraId="04354D57"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is scheduled to transmit on a set of channels </w:t>
      </w:r>
      <m:oMath>
        <m:r>
          <w:rPr>
            <w:rFonts w:ascii="Cambria Math" w:eastAsia="SimSun" w:hAnsi="Cambria Math"/>
            <w:lang w:eastAsia="en-US"/>
          </w:rPr>
          <m:t>C</m:t>
        </m:r>
      </m:oMath>
      <w:r>
        <w:rPr>
          <w:rFonts w:eastAsia="Times New Roman"/>
          <w:lang w:eastAsia="en-US"/>
        </w:rPr>
        <w:t xml:space="preserve">, </w:t>
      </w:r>
      <w:del w:id="42" w:author="Stephen Grant" w:date="2021-11-02T07:24:00Z">
        <w:r>
          <w:rPr>
            <w:rFonts w:eastAsia="Times New Roman"/>
            <w:lang w:eastAsia="en-US"/>
          </w:rPr>
          <w:delText xml:space="preserve">and if Type 1 channel access procedure is indicated by the UL scheduling grants for the UL transmissions on the set of channels </w:delText>
        </w:r>
      </w:del>
      <m:oMath>
        <m:r>
          <w:del w:id="43" w:author="Stephen Grant" w:date="2021-11-02T07:24:00Z">
            <w:rPr>
              <w:rFonts w:ascii="Cambria Math" w:eastAsia="SimSun" w:hAnsi="Cambria Math"/>
              <w:lang w:eastAsia="en-US"/>
            </w:rPr>
            <m:t>C</m:t>
          </w:del>
        </m:r>
      </m:oMath>
      <w:del w:id="44" w:author="Stephen Grant" w:date="2021-11-02T07:24:00Z">
        <w:r>
          <w:rPr>
            <w:rFonts w:eastAsia="Times New Roman"/>
            <w:lang w:eastAsia="en-US"/>
          </w:rPr>
          <w:delText xml:space="preserve">, </w:delText>
        </w:r>
      </w:del>
      <w:r>
        <w:rPr>
          <w:rFonts w:eastAsia="Times New Roman"/>
          <w:lang w:eastAsia="en-US"/>
        </w:rPr>
        <w:t xml:space="preserve">and if the UL transmissions are scheduled to start transmissions at the same time on all channels in the set of channels </w:t>
      </w:r>
      <m:oMath>
        <m:r>
          <w:rPr>
            <w:rFonts w:ascii="Cambria Math" w:eastAsia="SimSun" w:hAnsi="Cambria Math"/>
            <w:lang w:eastAsia="en-US"/>
          </w:rPr>
          <m:t>C</m:t>
        </m:r>
      </m:oMath>
      <w:del w:id="45" w:author="Stephen Grant" w:date="2021-11-02T07:25:00Z">
        <w:r>
          <w:rPr>
            <w:rFonts w:eastAsia="Times New Roman"/>
            <w:lang w:eastAsia="en-US"/>
          </w:rPr>
          <w:delText xml:space="preserve"> </w:delText>
        </w:r>
      </w:del>
      <w:r>
        <w:rPr>
          <w:rFonts w:eastAsia="Times New Roman"/>
          <w:lang w:eastAsia="en-US"/>
        </w:rPr>
        <w:t>, or</w:t>
      </w:r>
    </w:p>
    <w:p w14:paraId="0BE4A9DF"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intends to perform an uplink transmission on configured resources on the set of channels </w:t>
      </w:r>
      <m:oMath>
        <m:r>
          <w:rPr>
            <w:rFonts w:ascii="Cambria Math" w:eastAsia="SimSun" w:hAnsi="Cambria Math"/>
            <w:lang w:val="en-US" w:eastAsia="en-US"/>
          </w:rPr>
          <m:t>C</m:t>
        </m:r>
      </m:oMath>
      <w:del w:id="46" w:author="Stephen Grant" w:date="2021-11-02T07:24:00Z">
        <w:r>
          <w:rPr>
            <w:rFonts w:eastAsia="Times New Roman"/>
            <w:lang w:eastAsia="en-US"/>
          </w:rPr>
          <w:delText xml:space="preserve"> with Type 1 channel access procedure</w:delText>
        </w:r>
      </w:del>
      <w:r>
        <w:rPr>
          <w:rFonts w:eastAsia="Times New Roman"/>
          <w:lang w:eastAsia="en-US"/>
        </w:rPr>
        <w:t xml:space="preserve">, and if UL transmissions are configured to start transmissions </w:t>
      </w:r>
      <w:del w:id="47" w:author="Stephen Grant" w:date="2021-11-02T07:27:00Z">
        <w:r>
          <w:rPr>
            <w:rFonts w:eastAsia="Times New Roman"/>
            <w:lang w:eastAsia="en-US"/>
          </w:rPr>
          <w:delText xml:space="preserve">on </w:delText>
        </w:r>
      </w:del>
      <w:ins w:id="48" w:author="Stephen Grant" w:date="2021-11-02T07:27:00Z">
        <w:r>
          <w:rPr>
            <w:rFonts w:eastAsia="Times New Roman"/>
            <w:lang w:eastAsia="en-US"/>
          </w:rPr>
          <w:t xml:space="preserve">at </w:t>
        </w:r>
      </w:ins>
      <w:r>
        <w:rPr>
          <w:rFonts w:eastAsia="Times New Roman"/>
          <w:lang w:eastAsia="en-US"/>
        </w:rPr>
        <w:t xml:space="preserve">the same time </w:t>
      </w:r>
      <w:ins w:id="49" w:author="Stephen Grant" w:date="2021-11-02T07:27:00Z">
        <w:r>
          <w:rPr>
            <w:rFonts w:eastAsia="Times New Roman"/>
            <w:lang w:eastAsia="en-US"/>
          </w:rPr>
          <w:t xml:space="preserve">on </w:t>
        </w:r>
      </w:ins>
      <w:r>
        <w:rPr>
          <w:rFonts w:eastAsia="Times New Roman"/>
          <w:lang w:eastAsia="en-US"/>
        </w:rPr>
        <w:t xml:space="preserve">all channels in the set of channels </w:t>
      </w:r>
      <m:oMath>
        <m:r>
          <w:rPr>
            <w:rFonts w:ascii="Cambria Math" w:eastAsia="SimSun" w:hAnsi="Cambria Math"/>
            <w:lang w:val="en-US" w:eastAsia="en-US"/>
          </w:rPr>
          <m:t>C</m:t>
        </m:r>
      </m:oMath>
      <w:r>
        <w:rPr>
          <w:rFonts w:eastAsia="Times New Roman"/>
          <w:lang w:eastAsia="en-US"/>
        </w:rPr>
        <w:t>,</w:t>
      </w:r>
      <w:del w:id="50" w:author="Stephen Grant" w:date="2021-11-02T07:25:00Z">
        <w:r>
          <w:rPr>
            <w:rFonts w:eastAsia="Times New Roman"/>
            <w:lang w:eastAsia="en-US"/>
          </w:rPr>
          <w:delText xml:space="preserve"> and </w:delText>
        </w:r>
      </w:del>
    </w:p>
    <w:p w14:paraId="5E558A61" w14:textId="77777777" w:rsidR="00BF5431" w:rsidRDefault="00D449BF">
      <w:pPr>
        <w:overflowPunct/>
        <w:autoSpaceDE/>
        <w:autoSpaceDN/>
        <w:adjustRightInd/>
        <w:spacing w:line="240" w:lineRule="auto"/>
        <w:textAlignment w:val="auto"/>
        <w:rPr>
          <w:rFonts w:eastAsia="Times New Roman"/>
          <w:lang w:val="en-US" w:eastAsia="en-US"/>
        </w:rPr>
      </w:pPr>
      <w:ins w:id="51" w:author="Stephen Grant" w:date="2021-11-02T07:28:00Z">
        <w:r>
          <w:rPr>
            <w:rFonts w:eastAsia="Times New Roman"/>
            <w:lang w:val="en-US" w:eastAsia="en-US"/>
          </w:rPr>
          <w:t>the following are applicable:</w:t>
        </w:r>
      </w:ins>
      <w:del w:id="52" w:author="Stephen Grant" w:date="2021-11-02T07:28:00Z">
        <w:r>
          <w:rPr>
            <w:rFonts w:eastAsia="Times New Roman"/>
            <w:lang w:val="en-US" w:eastAsia="en-US"/>
          </w:rPr>
          <w:delText xml:space="preserve">if the channel frequencies of set of channels </w:delText>
        </w:r>
      </w:del>
      <m:oMath>
        <m:r>
          <w:del w:id="53" w:author="Stephen Grant" w:date="2021-11-02T07:28:00Z">
            <w:rPr>
              <w:rFonts w:ascii="Cambria Math" w:eastAsia="SimSun" w:hAnsi="Cambria Math"/>
              <w:lang w:eastAsia="en-US"/>
            </w:rPr>
            <m:t>C</m:t>
          </w:del>
        </m:r>
      </m:oMath>
      <w:del w:id="54" w:author="Stephen Grant" w:date="2021-11-02T07:28:00Z">
        <w:r>
          <w:rPr>
            <w:rFonts w:eastAsia="Times New Roman"/>
            <w:lang w:val="en-US" w:eastAsia="en-US"/>
          </w:rPr>
          <w:delText xml:space="preserve"> is a subset of one of the sets of channel frequencies defined in clause 5.7.4 in [2]</w:delText>
        </w:r>
      </w:del>
    </w:p>
    <w:p w14:paraId="12AA9830" w14:textId="77777777" w:rsidR="00BF5431" w:rsidRDefault="00D449BF">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ins w:id="55" w:author="Stephen Grant" w:date="2021-11-02T07:28:00Z">
        <w:r>
          <w:rPr>
            <w:rFonts w:eastAsia="Times New Roman"/>
            <w:lang w:eastAsia="en-US"/>
          </w:rPr>
          <w:t xml:space="preserve">if Type 1 channel access </w:t>
        </w:r>
      </w:ins>
      <w:ins w:id="56" w:author="Stephen Grant" w:date="2021-11-02T07:29:00Z">
        <w:r>
          <w:rPr>
            <w:rFonts w:eastAsia="Times New Roman"/>
            <w:lang w:eastAsia="en-US"/>
          </w:rPr>
          <w:t>procedure is indicated or intended for the scheduled or configured UL transmissions, respectively</w:t>
        </w:r>
      </w:ins>
      <w:ins w:id="57" w:author="Stephen Grant" w:date="2021-11-02T07:30:00Z">
        <w:r>
          <w:rPr>
            <w:rFonts w:eastAsia="Times New Roman"/>
            <w:lang w:val="en-US" w:eastAsia="en-US"/>
          </w:rPr>
          <w:t xml:space="preserve">, </w:t>
        </w:r>
      </w:ins>
      <w:ins w:id="58" w:author="Stephen Grant" w:date="2021-11-02T07:50:00Z">
        <w:r>
          <w:rPr>
            <w:rFonts w:eastAsia="Times New Roman"/>
            <w:lang w:val="en-US" w:eastAsia="en-US"/>
          </w:rPr>
          <w:t xml:space="preserve">to be transmitted </w:t>
        </w:r>
      </w:ins>
      <w:ins w:id="59" w:author="Stephen Grant" w:date="2021-11-02T07:49:00Z">
        <w:r>
          <w:rPr>
            <w:rFonts w:eastAsia="Times New Roman"/>
            <w:lang w:val="en-US" w:eastAsia="en-US"/>
          </w:rPr>
          <w:t xml:space="preserve">on the set of </w:t>
        </w:r>
        <w:r>
          <w:rPr>
            <w:rFonts w:eastAsia="Times New Roman"/>
            <w:lang w:eastAsia="en-US"/>
          </w:rPr>
          <w:t xml:space="preserve">channels </w:t>
        </w:r>
      </w:ins>
      <m:oMath>
        <m:r>
          <w:ins w:id="60" w:author="Stephen Grant" w:date="2021-11-02T07:49:00Z">
            <w:rPr>
              <w:rFonts w:ascii="Cambria Math" w:eastAsia="SimSun" w:hAnsi="Cambria Math"/>
              <w:lang w:val="en-US" w:eastAsia="en-US"/>
            </w:rPr>
            <m:t>C</m:t>
          </w:ins>
        </m:r>
      </m:oMath>
      <w:ins w:id="61" w:author="Stephen Grant" w:date="2021-11-02T07:50:00Z">
        <w:r>
          <w:rPr>
            <w:rFonts w:eastAsia="Times New Roman"/>
            <w:lang w:val="en-US" w:eastAsia="en-US"/>
          </w:rPr>
          <w:t>,</w:t>
        </w:r>
      </w:ins>
      <w:ins w:id="62" w:author="Stephen Grant" w:date="2021-11-02T07:49:00Z">
        <w:r>
          <w:rPr>
            <w:rFonts w:eastAsia="Times New Roman"/>
            <w:lang w:val="en-US" w:eastAsia="en-US"/>
          </w:rPr>
          <w:t xml:space="preserve"> </w:t>
        </w:r>
      </w:ins>
      <w:ins w:id="63" w:author="Stephen Grant" w:date="2021-11-02T07:30:00Z">
        <w:r>
          <w:rPr>
            <w:rFonts w:eastAsia="Times New Roman"/>
            <w:lang w:val="en-US" w:eastAsia="en-US"/>
          </w:rPr>
          <w:t>and if</w:t>
        </w:r>
      </w:ins>
      <w:ins w:id="64" w:author="Stephen Grant" w:date="2021-11-02T07:31:00Z">
        <w:r>
          <w:rPr>
            <w:rFonts w:eastAsia="Times New Roman"/>
            <w:lang w:val="en-US" w:eastAsia="en-US"/>
          </w:rPr>
          <w:t xml:space="preserve"> the </w:t>
        </w:r>
      </w:ins>
      <w:ins w:id="65" w:author="Stephen Grant" w:date="2021-11-02T07:33:00Z">
        <w:r>
          <w:rPr>
            <w:rFonts w:eastAsia="Times New Roman"/>
            <w:lang w:val="en-US" w:eastAsia="en-US"/>
          </w:rPr>
          <w:t xml:space="preserve">channel frequencies of the set of </w:t>
        </w:r>
      </w:ins>
      <w:ins w:id="66" w:author="Stephen Grant" w:date="2021-11-02T07:34:00Z">
        <w:r>
          <w:rPr>
            <w:rFonts w:eastAsia="Times New Roman"/>
            <w:lang w:eastAsia="en-US"/>
          </w:rPr>
          <w:t xml:space="preserve">channels </w:t>
        </w:r>
      </w:ins>
      <m:oMath>
        <m:r>
          <w:ins w:id="67" w:author="Stephen Grant" w:date="2021-11-02T07:34:00Z">
            <w:rPr>
              <w:rFonts w:ascii="Cambria Math" w:eastAsia="SimSun" w:hAnsi="Cambria Math"/>
              <w:lang w:val="en-US" w:eastAsia="en-US"/>
            </w:rPr>
            <m:t>C</m:t>
          </w:ins>
        </m:r>
      </m:oMath>
      <w:ins w:id="68" w:author="Stephen Grant" w:date="2021-11-02T07:34:00Z">
        <w:r>
          <w:rPr>
            <w:rFonts w:eastAsia="Times New Roman"/>
            <w:lang w:val="en-US" w:eastAsia="en-US"/>
          </w:rPr>
          <w:t xml:space="preserve"> is a subset of one of the sets of channel frequencies defined in Clause 5.7.4 of [2],</w:t>
        </w:r>
      </w:ins>
      <w:ins w:id="69" w:author="Stephen Grant" w:date="2021-11-02T07:30:00Z">
        <w:r>
          <w:rPr>
            <w:rFonts w:eastAsia="Times New Roman"/>
            <w:lang w:val="en-US" w:eastAsia="en-US"/>
          </w:rPr>
          <w:t xml:space="preserve"> </w:t>
        </w:r>
      </w:ins>
      <w:r>
        <w:rPr>
          <w:rFonts w:eastAsia="Times New Roman"/>
          <w:lang w:eastAsia="en-US"/>
        </w:rPr>
        <w:t xml:space="preserve">the UE may transmit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∈C</m:t>
        </m:r>
      </m:oMath>
      <w:r>
        <w:rPr>
          <w:rFonts w:eastAsia="Times New Roman"/>
          <w:lang w:eastAsia="en-US"/>
        </w:rPr>
        <w:t xml:space="preserve"> using Type 2 channel access procedure as described in clause 4.2.1.2, </w:t>
      </w:r>
    </w:p>
    <w:p w14:paraId="359D20F6"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Type 2 channel access procedure is performed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 xml:space="preserve"> </m:t>
        </m:r>
      </m:oMath>
      <w:r>
        <w:rPr>
          <w:rFonts w:eastAsia="Times New Roman"/>
          <w:lang w:eastAsia="en-US"/>
        </w:rPr>
        <w:t xml:space="preserve">immediately before the UE transmission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r>
          <w:rPr>
            <w:rFonts w:ascii="Cambria Math" w:eastAsia="SimSun" w:hAnsi="Cambria Math"/>
            <w:lang w:eastAsia="en-US"/>
          </w:rPr>
          <m:t>∈C</m:t>
        </m:r>
      </m:oMath>
      <w:r>
        <w:rPr>
          <w:rFonts w:eastAsia="Times New Roman"/>
          <w:lang w:eastAsia="en-US"/>
        </w:rPr>
        <w:t xml:space="preserve">, </w:t>
      </w:r>
      <m:oMath>
        <m:r>
          <w:rPr>
            <w:rFonts w:ascii="Cambria Math" w:eastAsia="SimSun" w:hAnsi="Cambria Math"/>
            <w:lang w:eastAsia="en-US"/>
          </w:rPr>
          <m:t>i≠j</m:t>
        </m:r>
      </m:oMath>
      <w:r>
        <w:rPr>
          <w:rFonts w:eastAsia="Times New Roman"/>
          <w:lang w:eastAsia="en-US"/>
        </w:rPr>
        <w:t>, and</w:t>
      </w:r>
    </w:p>
    <w:p w14:paraId="680647B2" w14:textId="77777777" w:rsidR="00BF5431" w:rsidRDefault="00D449BF">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t xml:space="preserve">if the UE has accessed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oMath>
      <w:r>
        <w:rPr>
          <w:rFonts w:eastAsia="Times New Roman"/>
          <w:lang w:eastAsia="en-US"/>
        </w:rPr>
        <w:t xml:space="preserve"> using Type 1 channel access procedure as described in clause 4.2.1.1, </w:t>
      </w:r>
    </w:p>
    <w:p w14:paraId="53F958B2" w14:textId="77777777" w:rsidR="00BF5431" w:rsidRDefault="00D449BF">
      <w:pPr>
        <w:overflowPunct/>
        <w:autoSpaceDE/>
        <w:autoSpaceDN/>
        <w:adjustRightInd/>
        <w:spacing w:line="240" w:lineRule="auto"/>
        <w:ind w:left="1135" w:hanging="284"/>
        <w:textAlignment w:val="auto"/>
        <w:rPr>
          <w:rFonts w:eastAsia="Times New Roman"/>
          <w:lang w:eastAsia="en-US"/>
        </w:rPr>
      </w:pPr>
      <w:r>
        <w:rPr>
          <w:rFonts w:eastAsia="Times New Roman"/>
          <w:lang w:eastAsia="en-US"/>
        </w:rPr>
        <w:t>-</w:t>
      </w:r>
      <w:r>
        <w:rPr>
          <w:rFonts w:eastAsia="Times New Roman"/>
          <w:lang w:eastAsia="en-US"/>
        </w:rPr>
        <w:tab/>
        <w:t xml:space="preserve">where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j</m:t>
            </m:r>
          </m:sub>
        </m:sSub>
      </m:oMath>
      <w:r>
        <w:rPr>
          <w:rFonts w:eastAsia="Times New Roman"/>
          <w:lang w:eastAsia="en-US"/>
        </w:rPr>
        <w:t xml:space="preserve"> is selected by the UE uniformly randomly from the set of channels </w:t>
      </w:r>
      <m:oMath>
        <m:r>
          <w:rPr>
            <w:rFonts w:ascii="Cambria Math" w:eastAsia="SimSun" w:hAnsi="Cambria Math"/>
            <w:lang w:eastAsia="en-US"/>
          </w:rPr>
          <m:t>C</m:t>
        </m:r>
      </m:oMath>
      <w:r>
        <w:rPr>
          <w:rFonts w:eastAsia="Times New Roman"/>
          <w:lang w:eastAsia="en-US"/>
        </w:rPr>
        <w:t xml:space="preserve"> before performing Type 1 channel access procedure on any channel in the set of channels </w:t>
      </w:r>
      <m:oMath>
        <m:r>
          <w:rPr>
            <w:rFonts w:ascii="Cambria Math" w:eastAsia="SimSun" w:hAnsi="Cambria Math"/>
            <w:lang w:eastAsia="en-US"/>
          </w:rPr>
          <m:t>C</m:t>
        </m:r>
      </m:oMath>
      <w:r>
        <w:rPr>
          <w:rFonts w:eastAsia="Times New Roman"/>
          <w:lang w:eastAsia="en-US"/>
        </w:rPr>
        <w:t>.</w:t>
      </w:r>
    </w:p>
    <w:p w14:paraId="1FCC871F" w14:textId="77777777" w:rsidR="00BF5431" w:rsidRDefault="00D449BF">
      <w:pPr>
        <w:overflowPunct/>
        <w:autoSpaceDE/>
        <w:autoSpaceDN/>
        <w:adjustRightInd/>
        <w:spacing w:line="240" w:lineRule="auto"/>
        <w:ind w:left="851" w:hanging="284"/>
        <w:textAlignment w:val="auto"/>
        <w:rPr>
          <w:del w:id="70" w:author="Stephen Grant" w:date="2021-11-02T07:38:00Z"/>
          <w:rFonts w:eastAsia="Times New Roman"/>
          <w:lang w:eastAsia="en-US"/>
        </w:rPr>
      </w:pPr>
      <w:del w:id="71" w:author="Stephen Grant" w:date="2021-11-02T07:38:00Z">
        <w:r>
          <w:rPr>
            <w:rFonts w:eastAsia="Times New Roman"/>
            <w:lang w:eastAsia="en-US"/>
          </w:rPr>
          <w:delText>-</w:delText>
        </w:r>
        <w:r>
          <w:rPr>
            <w:rFonts w:eastAsia="Times New Roman"/>
            <w:lang w:eastAsia="en-US"/>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687DAB" w14:textId="77777777" w:rsidR="00BF5431" w:rsidRDefault="00D449BF">
      <w:pPr>
        <w:overflowPunct/>
        <w:autoSpaceDE/>
        <w:autoSpaceDN/>
        <w:adjustRightInd/>
        <w:spacing w:line="240" w:lineRule="auto"/>
        <w:ind w:left="568" w:hanging="284"/>
        <w:textAlignment w:val="auto"/>
        <w:rPr>
          <w:ins w:id="72" w:author="Stephen Grant" w:date="2021-11-02T07:37:00Z"/>
          <w:rFonts w:eastAsia="Times New Roman"/>
          <w:lang w:eastAsia="en-US"/>
        </w:rPr>
      </w:pPr>
      <w:r>
        <w:rPr>
          <w:rFonts w:eastAsia="Times New Roman"/>
          <w:lang w:eastAsia="en-US"/>
        </w:rPr>
        <w:t>-</w:t>
      </w:r>
      <w:r>
        <w:rPr>
          <w:rFonts w:eastAsia="Times New Roman"/>
          <w:lang w:eastAsia="en-US"/>
        </w:rPr>
        <w:tab/>
      </w:r>
      <w:del w:id="73" w:author="Stephen Grant" w:date="2021-11-02T07:37:00Z">
        <w:r>
          <w:rPr>
            <w:rFonts w:eastAsia="Times New Roman"/>
            <w:lang w:eastAsia="en-US"/>
          </w:rPr>
          <w:delText xml:space="preserve">otherwise, </w:delText>
        </w:r>
      </w:del>
      <w:r>
        <w:rPr>
          <w:rFonts w:eastAsia="Times New Roman"/>
          <w:lang w:eastAsia="en-US"/>
        </w:rPr>
        <w:t xml:space="preserve">the UE may not transmit on channel </w:t>
      </w:r>
      <m:oMath>
        <m:sSub>
          <m:sSubPr>
            <m:ctrlPr>
              <w:rPr>
                <w:rFonts w:ascii="Cambria Math" w:eastAsia="SimSun" w:hAnsi="Cambria Math"/>
                <w:i/>
                <w:lang w:eastAsia="en-US"/>
              </w:rPr>
            </m:ctrlPr>
          </m:sSubPr>
          <m:e>
            <m:r>
              <w:rPr>
                <w:rFonts w:ascii="Cambria Math" w:eastAsia="SimSun" w:hAnsi="Cambria Math"/>
                <w:lang w:eastAsia="en-US"/>
              </w:rPr>
              <m:t>c</m:t>
            </m:r>
          </m:e>
          <m:sub>
            <m:r>
              <w:rPr>
                <w:rFonts w:ascii="Cambria Math" w:eastAsia="SimSun" w:hAnsi="Cambria Math"/>
                <w:lang w:eastAsia="en-US"/>
              </w:rPr>
              <m:t>i</m:t>
            </m:r>
          </m:sub>
        </m:sSub>
        <m:r>
          <w:rPr>
            <w:rFonts w:ascii="Cambria Math" w:eastAsia="SimSun" w:hAnsi="Cambria Math"/>
            <w:lang w:eastAsia="en-US"/>
          </w:rPr>
          <m:t>∈C</m:t>
        </m:r>
      </m:oMath>
      <w:r>
        <w:rPr>
          <w:rFonts w:eastAsia="Times New Roman"/>
          <w:lang w:eastAsia="en-US"/>
        </w:rPr>
        <w:t xml:space="preserve"> within the bandwidth of a carrier</w:t>
      </w:r>
      <w:del w:id="74" w:author="Stephen Grant" w:date="2021-11-02T07:22:00Z">
        <w:r>
          <w:rPr>
            <w:rFonts w:eastAsia="Times New Roman"/>
            <w:lang w:eastAsia="en-US"/>
          </w:rPr>
          <w:delText>,</w:delText>
        </w:r>
      </w:del>
      <w:r>
        <w:rPr>
          <w:rFonts w:eastAsia="Times New Roman"/>
          <w:lang w:eastAsia="en-US"/>
        </w:rPr>
        <w:t xml:space="preserve"> if the UE fails to access any of the channels</w:t>
      </w:r>
      <w:del w:id="75" w:author="Stephen Grant" w:date="2021-11-02T07:22:00Z">
        <w:r>
          <w:rPr>
            <w:rFonts w:eastAsia="Times New Roman"/>
            <w:lang w:eastAsia="en-US"/>
          </w:rPr>
          <w:delText>,</w:delText>
        </w:r>
      </w:del>
      <w:r>
        <w:rPr>
          <w:rFonts w:eastAsia="Times New Roman"/>
          <w:lang w:eastAsia="en-US"/>
        </w:rPr>
        <w:t xml:space="preserve"> of the carrier bandwidth</w:t>
      </w:r>
      <w:del w:id="76" w:author="Stephen Grant" w:date="2021-11-02T07:22:00Z">
        <w:r>
          <w:rPr>
            <w:rFonts w:eastAsia="Times New Roman"/>
            <w:lang w:eastAsia="en-US"/>
          </w:rPr>
          <w:delText>,</w:delText>
        </w:r>
      </w:del>
      <w:r>
        <w:rPr>
          <w:rFonts w:eastAsia="Times New Roman"/>
          <w:lang w:eastAsia="en-US"/>
        </w:rPr>
        <w:t xml:space="preserve"> on which the UE is scheduled or configured </w:t>
      </w:r>
      <w:del w:id="77" w:author="Stephen Grant" w:date="2021-11-02T07:41:00Z">
        <w:r>
          <w:rPr>
            <w:rFonts w:eastAsia="Times New Roman"/>
            <w:lang w:eastAsia="en-US"/>
          </w:rPr>
          <w:delText xml:space="preserve">by </w:delText>
        </w:r>
      </w:del>
      <w:ins w:id="78" w:author="Stephen Grant" w:date="2021-11-02T07:41:00Z">
        <w:r>
          <w:rPr>
            <w:rFonts w:eastAsia="Times New Roman"/>
            <w:lang w:eastAsia="en-US"/>
          </w:rPr>
          <w:t xml:space="preserve">with </w:t>
        </w:r>
      </w:ins>
      <w:r>
        <w:rPr>
          <w:rFonts w:eastAsia="Times New Roman"/>
          <w:lang w:eastAsia="en-US"/>
        </w:rPr>
        <w:t>UL resources.</w:t>
      </w:r>
    </w:p>
    <w:p w14:paraId="37A9AE96" w14:textId="77777777" w:rsidR="00BF5431" w:rsidRDefault="00D449BF">
      <w:pPr>
        <w:overflowPunct/>
        <w:autoSpaceDE/>
        <w:autoSpaceDN/>
        <w:adjustRightInd/>
        <w:spacing w:line="240" w:lineRule="auto"/>
        <w:ind w:left="568" w:hanging="284"/>
        <w:textAlignment w:val="auto"/>
        <w:rPr>
          <w:rFonts w:eastAsia="Times New Roman"/>
          <w:lang w:eastAsia="en-US"/>
        </w:rPr>
      </w:pPr>
      <w:ins w:id="79" w:author="Stephen Grant" w:date="2021-11-02T07:37:00Z">
        <w:r>
          <w:rPr>
            <w:rFonts w:eastAsia="Times New Roman"/>
            <w:lang w:eastAsia="en-US"/>
          </w:rPr>
          <w:t xml:space="preserve">- </w:t>
        </w:r>
        <w:r>
          <w:rPr>
            <w:rFonts w:eastAsia="Times New Roman"/>
            <w:lang w:eastAsia="en-US"/>
          </w:rPr>
          <w:tab/>
        </w:r>
      </w:ins>
      <w:ins w:id="80" w:author="Stephen Grant" w:date="2021-11-02T07:38:00Z">
        <w:r>
          <w:rPr>
            <w:rFonts w:eastAsia="Times New Roman"/>
            <w:lang w:eastAsia="en-US"/>
          </w:rPr>
          <w:t>the UE may not transmit on a channel within the bandwidth of a carrier if the UE is configured without intra-cell guard band(s) on a</w:t>
        </w:r>
      </w:ins>
      <w:ins w:id="81" w:author="Stephen Grant" w:date="2021-11-02T07:39:00Z">
        <w:r>
          <w:rPr>
            <w:rFonts w:eastAsia="Times New Roman"/>
            <w:lang w:eastAsia="en-US"/>
          </w:rPr>
          <w:t>n</w:t>
        </w:r>
      </w:ins>
      <w:ins w:id="82" w:author="Stephen Grant" w:date="2021-11-02T07:38:00Z">
        <w:r>
          <w:rPr>
            <w:rFonts w:eastAsia="Times New Roman"/>
            <w:lang w:eastAsia="en-US"/>
          </w:rPr>
          <w:t xml:space="preserve"> UL bandwidth</w:t>
        </w:r>
      </w:ins>
      <w:ins w:id="83" w:author="Stephen Grant" w:date="2021-11-02T07:39:00Z">
        <w:r>
          <w:rPr>
            <w:rFonts w:eastAsia="Times New Roman"/>
            <w:lang w:eastAsia="en-US"/>
          </w:rPr>
          <w:t xml:space="preserve"> </w:t>
        </w:r>
      </w:ins>
      <w:ins w:id="84" w:author="Stephen Grant" w:date="2021-11-02T07:38:00Z">
        <w:r>
          <w:rPr>
            <w:rFonts w:eastAsia="Times New Roman"/>
            <w:lang w:eastAsia="en-US"/>
          </w:rPr>
          <w:t xml:space="preserve">part as described in clause 7 </w:t>
        </w:r>
      </w:ins>
      <w:ins w:id="85" w:author="Stephen Grant" w:date="2021-11-02T07:39:00Z">
        <w:r>
          <w:rPr>
            <w:rFonts w:eastAsia="Times New Roman"/>
            <w:lang w:eastAsia="en-US"/>
          </w:rPr>
          <w:t>of</w:t>
        </w:r>
      </w:ins>
      <w:ins w:id="86" w:author="Stephen Grant" w:date="2021-11-02T07:38:00Z">
        <w:r>
          <w:rPr>
            <w:rFonts w:eastAsia="Times New Roman"/>
            <w:lang w:eastAsia="en-US"/>
          </w:rPr>
          <w:t xml:space="preserve"> [8] and if the UE fails to access any of the channels of the UL bandwidth</w:t>
        </w:r>
      </w:ins>
      <w:ins w:id="87" w:author="Stephen Grant" w:date="2021-11-02T07:39:00Z">
        <w:r>
          <w:rPr>
            <w:rFonts w:eastAsia="Times New Roman"/>
            <w:lang w:eastAsia="en-US"/>
          </w:rPr>
          <w:t xml:space="preserve"> pa</w:t>
        </w:r>
      </w:ins>
      <w:ins w:id="88" w:author="Stephen Grant" w:date="2021-11-02T07:40:00Z">
        <w:r>
          <w:rPr>
            <w:rFonts w:eastAsia="Times New Roman"/>
            <w:lang w:eastAsia="en-US"/>
          </w:rPr>
          <w:t>rt.</w:t>
        </w:r>
      </w:ins>
    </w:p>
    <w:p w14:paraId="039B8371" w14:textId="77777777" w:rsidR="00BF5431" w:rsidRDefault="00D449BF">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000E3C74" w14:textId="77777777" w:rsidR="00BF5431" w:rsidRDefault="00BF5431">
      <w:pPr>
        <w:overflowPunct/>
        <w:autoSpaceDE/>
        <w:autoSpaceDN/>
        <w:adjustRightInd/>
        <w:spacing w:line="240" w:lineRule="auto"/>
        <w:textAlignment w:val="auto"/>
        <w:rPr>
          <w:rFonts w:eastAsia="SimSun"/>
          <w:lang w:eastAsia="en-US"/>
        </w:rPr>
      </w:pPr>
    </w:p>
    <w:p w14:paraId="3228F8CA" w14:textId="00535116" w:rsidR="00657F23" w:rsidRDefault="00657F23" w:rsidP="00657F23">
      <w:pPr>
        <w:pStyle w:val="1"/>
      </w:pPr>
      <w:r>
        <w:t xml:space="preserve">Appendix B – </w:t>
      </w:r>
      <w:r w:rsidR="00181A64">
        <w:t>Version 2 (P</w:t>
      </w:r>
      <w:r>
        <w:t>roposal from OPPO</w:t>
      </w:r>
      <w:r w:rsidR="00181A64">
        <w:t>)</w:t>
      </w:r>
    </w:p>
    <w:p w14:paraId="6A6D0C4C"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747DB325" w14:textId="77777777" w:rsidR="00C01C7D" w:rsidRDefault="00C01C7D" w:rsidP="00C01C7D">
      <w:pPr>
        <w:pStyle w:val="a6"/>
        <w:ind w:left="1710" w:hanging="1710"/>
        <w:rPr>
          <w:sz w:val="22"/>
          <w:szCs w:val="22"/>
        </w:rPr>
      </w:pPr>
      <w:r>
        <w:rPr>
          <w:sz w:val="22"/>
          <w:szCs w:val="22"/>
        </w:rPr>
        <w:t>4.2.1.0.4</w:t>
      </w:r>
      <w:r>
        <w:rPr>
          <w:sz w:val="22"/>
          <w:szCs w:val="22"/>
        </w:rPr>
        <w:tab/>
        <w:t>Channel access procedures for UL multi-channel transmission(s)</w:t>
      </w:r>
    </w:p>
    <w:p w14:paraId="0D330497" w14:textId="77777777" w:rsidR="00C01C7D" w:rsidRDefault="00C01C7D" w:rsidP="00C01C7D">
      <w:pPr>
        <w:spacing w:line="240" w:lineRule="auto"/>
        <w:rPr>
          <w:rFonts w:eastAsia="Times New Roman"/>
        </w:rPr>
      </w:pPr>
      <w:r>
        <w:rPr>
          <w:rFonts w:eastAsia="Times New Roman"/>
        </w:rPr>
        <w:t xml:space="preserve">If a UE </w:t>
      </w:r>
    </w:p>
    <w:p w14:paraId="7943BD63"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is scheduled to transmit on a set of channels </w:t>
      </w:r>
      <m:oMath>
        <m:r>
          <w:rPr>
            <w:rFonts w:ascii="Cambria Math" w:hAnsi="Cambria Math"/>
          </w:rPr>
          <m:t>C</m:t>
        </m:r>
      </m:oMath>
      <w:r>
        <w:rPr>
          <w:rFonts w:eastAsia="Times New Roman"/>
        </w:rPr>
        <w:t xml:space="preserve">, </w:t>
      </w:r>
      <w:del w:id="89" w:author="Zuomin Wu" w:date="2021-11-12T19:37:00Z">
        <w:r w:rsidDel="00427350">
          <w:rPr>
            <w:rFonts w:eastAsia="Times New Roman"/>
          </w:rPr>
          <w:delText xml:space="preserve">and if Type 1 channel access procedure is indicated by the UL scheduling grants for the UL transmissions on the set of channels </w:delText>
        </w:r>
      </w:del>
      <m:oMath>
        <m:r>
          <w:del w:id="90" w:author="Zuomin Wu" w:date="2021-11-12T19:37:00Z">
            <w:rPr>
              <w:rFonts w:ascii="Cambria Math" w:hAnsi="Cambria Math"/>
            </w:rPr>
            <m:t>C</m:t>
          </w:del>
        </m:r>
      </m:oMath>
      <w:del w:id="91" w:author="Zuomin Wu" w:date="2021-11-12T19:37:00Z">
        <w:r w:rsidDel="00427350">
          <w:rPr>
            <w:rFonts w:eastAsia="Times New Roman"/>
          </w:rPr>
          <w:delText xml:space="preserve">, </w:delText>
        </w:r>
      </w:del>
      <w:r>
        <w:rPr>
          <w:rFonts w:eastAsia="Times New Roman"/>
        </w:rPr>
        <w:t xml:space="preserve">and if the UL transmissions are scheduled to start transmissions at the same time on all channels in the set of channels </w:t>
      </w:r>
      <m:oMath>
        <m:r>
          <w:rPr>
            <w:rFonts w:ascii="Cambria Math" w:hAnsi="Cambria Math"/>
          </w:rPr>
          <m:t>C</m:t>
        </m:r>
      </m:oMath>
      <w:del w:id="92" w:author="Zuomin Wu" w:date="2021-11-12T19:37:00Z">
        <w:r w:rsidDel="00427350">
          <w:rPr>
            <w:rFonts w:eastAsia="Times New Roman"/>
          </w:rPr>
          <w:delText xml:space="preserve"> </w:delText>
        </w:r>
      </w:del>
      <w:r>
        <w:rPr>
          <w:rFonts w:eastAsia="Times New Roman"/>
        </w:rPr>
        <w:t>, or</w:t>
      </w:r>
    </w:p>
    <w:p w14:paraId="36C5896F" w14:textId="77777777" w:rsidR="00C01C7D" w:rsidRDefault="00C01C7D" w:rsidP="00C01C7D">
      <w:pPr>
        <w:spacing w:line="240" w:lineRule="auto"/>
        <w:ind w:left="568" w:hanging="284"/>
        <w:rPr>
          <w:rFonts w:eastAsia="Times New Roman"/>
        </w:rPr>
      </w:pPr>
      <w:r>
        <w:rPr>
          <w:rFonts w:eastAsia="Times New Roman"/>
        </w:rPr>
        <w:t>-</w:t>
      </w:r>
      <w:r>
        <w:rPr>
          <w:rFonts w:eastAsia="Times New Roman"/>
        </w:rPr>
        <w:tab/>
        <w:t xml:space="preserve">intends to perform an uplink transmission on configured resources on the set of channels </w:t>
      </w:r>
      <m:oMath>
        <m:r>
          <w:rPr>
            <w:rFonts w:ascii="Cambria Math" w:eastAsia="SimSun" w:hAnsi="Cambria Math"/>
          </w:rPr>
          <m:t>C</m:t>
        </m:r>
      </m:oMath>
      <w:del w:id="93" w:author="Zuomin Wu" w:date="2021-11-12T19:38:00Z">
        <w:r w:rsidDel="00427350">
          <w:rPr>
            <w:rFonts w:eastAsia="Times New Roman"/>
          </w:rPr>
          <w:delText xml:space="preserve"> with Type 1 channel access procedure</w:delText>
        </w:r>
      </w:del>
      <w:r>
        <w:rPr>
          <w:rFonts w:eastAsia="Times New Roman"/>
        </w:rPr>
        <w:t xml:space="preserve">, and if UL transmissions are configured to start transmissions </w:t>
      </w:r>
      <w:del w:id="94" w:author="Zuomin Wu" w:date="2021-11-12T19:38:00Z">
        <w:r w:rsidDel="00427350">
          <w:rPr>
            <w:rFonts w:eastAsia="Times New Roman"/>
          </w:rPr>
          <w:delText>on</w:delText>
        </w:r>
      </w:del>
      <w:ins w:id="95" w:author="Zuomin Wu" w:date="2021-11-12T19:38:00Z">
        <w:r>
          <w:rPr>
            <w:rFonts w:eastAsia="Times New Roman"/>
          </w:rPr>
          <w:t>at</w:t>
        </w:r>
      </w:ins>
      <w:r>
        <w:rPr>
          <w:rFonts w:eastAsia="Times New Roman"/>
        </w:rPr>
        <w:t xml:space="preserve"> the same time </w:t>
      </w:r>
      <w:ins w:id="96" w:author="Zuomin Wu" w:date="2021-11-12T19:38:00Z">
        <w:r>
          <w:rPr>
            <w:rFonts w:eastAsia="Times New Roman"/>
          </w:rPr>
          <w:t xml:space="preserve">on </w:t>
        </w:r>
      </w:ins>
      <w:r>
        <w:rPr>
          <w:rFonts w:eastAsia="Times New Roman"/>
        </w:rPr>
        <w:t xml:space="preserve">all channels in the set of channels </w:t>
      </w:r>
      <m:oMath>
        <m:r>
          <w:rPr>
            <w:rFonts w:ascii="Cambria Math" w:eastAsia="SimSun" w:hAnsi="Cambria Math"/>
          </w:rPr>
          <m:t>C</m:t>
        </m:r>
      </m:oMath>
      <w:r>
        <w:rPr>
          <w:rFonts w:eastAsia="Times New Roman"/>
        </w:rPr>
        <w:t>,</w:t>
      </w:r>
      <w:del w:id="97" w:author="Zuomin Wu" w:date="2021-11-12T19:38:00Z">
        <w:r w:rsidDel="00427350">
          <w:rPr>
            <w:rFonts w:eastAsia="Times New Roman"/>
          </w:rPr>
          <w:delText xml:space="preserve"> and</w:delText>
        </w:r>
      </w:del>
      <w:r>
        <w:rPr>
          <w:rFonts w:eastAsia="Times New Roman"/>
        </w:rPr>
        <w:t xml:space="preserve"> </w:t>
      </w:r>
    </w:p>
    <w:p w14:paraId="53363493" w14:textId="77777777" w:rsidR="00C01C7D" w:rsidRDefault="00C01C7D" w:rsidP="00C01C7D">
      <w:pPr>
        <w:spacing w:line="240" w:lineRule="auto"/>
        <w:rPr>
          <w:rFonts w:eastAsia="Times New Roman"/>
        </w:rPr>
      </w:pPr>
      <w:ins w:id="98" w:author="Zuomin Wu" w:date="2021-11-12T19:38:00Z">
        <w:r>
          <w:rPr>
            <w:rFonts w:eastAsia="Times New Roman"/>
          </w:rPr>
          <w:lastRenderedPageBreak/>
          <w:t xml:space="preserve">the </w:t>
        </w:r>
      </w:ins>
      <w:ins w:id="99" w:author="Zuomin Wu" w:date="2021-11-12T19:39:00Z">
        <w:r>
          <w:rPr>
            <w:rFonts w:eastAsia="Times New Roman"/>
          </w:rPr>
          <w:t xml:space="preserve">following are applicable: </w:t>
        </w:r>
      </w:ins>
      <w:del w:id="100" w:author="Zuomin Wu" w:date="2021-11-12T19:49:00Z">
        <w:r w:rsidDel="0039434D">
          <w:rPr>
            <w:rFonts w:eastAsia="Times New Roman"/>
          </w:rPr>
          <w:delText xml:space="preserve">if the channel frequencies of set of channels </w:delText>
        </w:r>
      </w:del>
      <m:oMath>
        <m:r>
          <w:del w:id="101" w:author="Zuomin Wu" w:date="2021-11-12T19:49:00Z">
            <w:rPr>
              <w:rFonts w:ascii="Cambria Math" w:hAnsi="Cambria Math"/>
            </w:rPr>
            <m:t>C</m:t>
          </w:del>
        </m:r>
      </m:oMath>
      <w:del w:id="102" w:author="Zuomin Wu" w:date="2021-11-12T19:49:00Z">
        <w:r w:rsidDel="0039434D">
          <w:rPr>
            <w:rFonts w:eastAsia="Times New Roman"/>
          </w:rPr>
          <w:delText xml:space="preserve"> is a subset of one of the sets of channel frequencies defined in clause 5.7.4 in [2]</w:delText>
        </w:r>
      </w:del>
    </w:p>
    <w:p w14:paraId="618BCFA8" w14:textId="77777777" w:rsidR="00C01C7D" w:rsidRDefault="00C01C7D" w:rsidP="00C01C7D">
      <w:pPr>
        <w:ind w:left="568" w:hanging="284"/>
        <w:rPr>
          <w:ins w:id="103" w:author="Zuomin Wu" w:date="2021-11-12T19:49:00Z"/>
          <w:rFonts w:eastAsia="Times New Roman"/>
        </w:rPr>
      </w:pPr>
      <w:ins w:id="104" w:author="Zuomin Wu" w:date="2021-11-12T19:49:00Z">
        <w:r>
          <w:rPr>
            <w:rFonts w:eastAsia="Times New Roman"/>
          </w:rPr>
          <w:t>-</w:t>
        </w:r>
        <w:r>
          <w:rPr>
            <w:rFonts w:eastAsia="Times New Roman"/>
          </w:rPr>
          <w:tab/>
        </w:r>
        <w:r w:rsidRPr="0085159D">
          <w:rPr>
            <w:rFonts w:eastAsia="Times New Roman"/>
          </w:rPr>
          <w:t>if Type 1 channel access procedure is indicated or intended for the scheduled or configured UL transmissions, respectively</w:t>
        </w:r>
        <w:r w:rsidRPr="0085159D">
          <w:rPr>
            <w:rFonts w:eastAsia="Times New Roman"/>
            <w:lang w:val="en-US"/>
          </w:rPr>
          <w:t xml:space="preserve">, to be transmitted on the set of </w:t>
        </w:r>
        <w:r w:rsidRPr="0085159D">
          <w:rPr>
            <w:rFonts w:eastAsia="Times New Roman"/>
          </w:rPr>
          <w:t xml:space="preserve">channels </w:t>
        </w:r>
      </w:ins>
      <m:oMath>
        <m:r>
          <w:ins w:id="105" w:author="Zuomin Wu" w:date="2021-11-12T19:49:00Z">
            <w:rPr>
              <w:rFonts w:ascii="Cambria Math" w:eastAsia="SimSun" w:hAnsi="Cambria Math"/>
              <w:lang w:val="en-US"/>
            </w:rPr>
            <m:t>C</m:t>
          </w:ins>
        </m:r>
      </m:oMath>
      <w:ins w:id="106" w:author="Zuomin Wu" w:date="2021-11-12T19:49:00Z">
        <w:r w:rsidRPr="0085159D">
          <w:rPr>
            <w:rFonts w:eastAsia="Times New Roman"/>
            <w:lang w:val="en-US"/>
          </w:rPr>
          <w:t>,</w:t>
        </w:r>
      </w:ins>
    </w:p>
    <w:p w14:paraId="4BAA3B38" w14:textId="77777777" w:rsidR="00C01C7D" w:rsidRPr="00427350" w:rsidRDefault="00C01C7D" w:rsidP="0067180F">
      <w:pPr>
        <w:spacing w:line="240" w:lineRule="auto"/>
        <w:ind w:left="851" w:hanging="284"/>
        <w:rPr>
          <w:rFonts w:eastAsia="Times New Roman"/>
        </w:rPr>
      </w:pPr>
      <w:r>
        <w:rPr>
          <w:rFonts w:eastAsia="Times New Roman"/>
        </w:rPr>
        <w:t>-</w:t>
      </w:r>
      <w:r>
        <w:rPr>
          <w:rFonts w:eastAsia="Times New Roman"/>
        </w:rPr>
        <w:tab/>
      </w:r>
      <w:r w:rsidRPr="00427350">
        <w:rPr>
          <w:rFonts w:eastAsia="Times New Roman"/>
        </w:rPr>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using Type 2 channel access procedure as described in clause 4.2.1.2, </w:t>
      </w:r>
    </w:p>
    <w:p w14:paraId="5CAEAF5B" w14:textId="77777777" w:rsidR="00C01C7D" w:rsidRDefault="00C01C7D" w:rsidP="0067180F">
      <w:pPr>
        <w:ind w:left="1135" w:hanging="284"/>
        <w:rPr>
          <w:ins w:id="107" w:author="Zuomin Wu" w:date="2021-11-12T19:48:00Z"/>
          <w:rFonts w:eastAsia="Times New Roman"/>
        </w:rPr>
      </w:pPr>
      <w:ins w:id="108" w:author="Zuomin Wu" w:date="2021-11-12T19:48:00Z">
        <w:r w:rsidRPr="00427350">
          <w:rPr>
            <w:rFonts w:eastAsia="Times New Roman"/>
          </w:rPr>
          <w:t>-</w:t>
        </w:r>
        <w:r w:rsidRPr="00427350">
          <w:rPr>
            <w:rFonts w:eastAsia="Times New Roman"/>
          </w:rPr>
          <w:tab/>
        </w:r>
        <w:r>
          <w:rPr>
            <w:rFonts w:eastAsia="Times New Roman"/>
          </w:rPr>
          <w:t xml:space="preserve">if the channel frequencies of set of channels </w:t>
        </w:r>
      </w:ins>
      <m:oMath>
        <m:r>
          <w:ins w:id="109" w:author="Zuomin Wu" w:date="2021-11-12T19:48:00Z">
            <w:rPr>
              <w:rFonts w:ascii="Cambria Math" w:hAnsi="Cambria Math"/>
            </w:rPr>
            <m:t>C</m:t>
          </w:ins>
        </m:r>
      </m:oMath>
      <w:ins w:id="110" w:author="Zuomin Wu" w:date="2021-11-12T19:48:00Z">
        <w:r>
          <w:rPr>
            <w:rFonts w:eastAsia="Times New Roman"/>
          </w:rPr>
          <w:t xml:space="preserve"> is a subset of one of the sets of channel frequencies defined in clause 5.7.4 in [2], and</w:t>
        </w:r>
      </w:ins>
    </w:p>
    <w:p w14:paraId="348A11FF"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427350">
        <w:rPr>
          <w:rFonts w:eastAsia="Times New Roman"/>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427350">
        <w:rPr>
          <w:rFonts w:eastAsia="Times New Roman"/>
        </w:rPr>
        <w:t xml:space="preserve">, </w:t>
      </w:r>
      <m:oMath>
        <m:r>
          <w:rPr>
            <w:rFonts w:ascii="Cambria Math" w:hAnsi="Cambria Math"/>
          </w:rPr>
          <m:t>i≠j</m:t>
        </m:r>
      </m:oMath>
      <w:r w:rsidRPr="00427350">
        <w:rPr>
          <w:rFonts w:eastAsia="Times New Roman"/>
        </w:rPr>
        <w:t>, and</w:t>
      </w:r>
    </w:p>
    <w:p w14:paraId="2FE1389B" w14:textId="77777777" w:rsidR="00C01C7D" w:rsidRPr="00427350" w:rsidRDefault="00C01C7D" w:rsidP="0067180F">
      <w:pPr>
        <w:spacing w:line="240" w:lineRule="auto"/>
        <w:ind w:left="1135" w:hanging="284"/>
        <w:rPr>
          <w:rFonts w:eastAsia="Times New Roman"/>
        </w:rPr>
      </w:pPr>
      <w:r w:rsidRPr="00427350">
        <w:rPr>
          <w:rFonts w:eastAsia="Times New Roman"/>
        </w:rPr>
        <w:t>-</w:t>
      </w:r>
      <w:r w:rsidRPr="00427350">
        <w:rPr>
          <w:rFonts w:eastAsia="Times New Roman"/>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using Type 1 channel access procedure as described in clause 4.2.1.1, </w:t>
      </w:r>
    </w:p>
    <w:p w14:paraId="6E456B65" w14:textId="77777777" w:rsidR="00C01C7D" w:rsidRPr="00427350" w:rsidRDefault="00C01C7D" w:rsidP="0067180F">
      <w:pPr>
        <w:spacing w:line="240" w:lineRule="auto"/>
        <w:ind w:left="1418" w:hanging="284"/>
        <w:rPr>
          <w:rFonts w:eastAsia="Times New Roman"/>
        </w:rPr>
      </w:pPr>
      <w:r w:rsidRPr="00427350">
        <w:rPr>
          <w:rFonts w:eastAsia="Times New Roman"/>
        </w:rPr>
        <w:t>-</w:t>
      </w:r>
      <w:r w:rsidRPr="00427350">
        <w:rPr>
          <w:rFonts w:eastAsia="Times New Roman"/>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27350">
        <w:rPr>
          <w:rFonts w:eastAsia="Times New Roman"/>
        </w:rPr>
        <w:t xml:space="preserve"> is selected by the UE uniformly randomly from the set of channels </w:t>
      </w:r>
      <m:oMath>
        <m:r>
          <w:rPr>
            <w:rFonts w:ascii="Cambria Math" w:hAnsi="Cambria Math"/>
          </w:rPr>
          <m:t>C</m:t>
        </m:r>
      </m:oMath>
      <w:r w:rsidRPr="00427350">
        <w:rPr>
          <w:rFonts w:eastAsia="Times New Roman"/>
        </w:rPr>
        <w:t xml:space="preserve"> before performing Type 1 channel access procedure on any ch</w:t>
      </w:r>
      <w:proofErr w:type="spellStart"/>
      <w:r w:rsidRPr="00427350">
        <w:rPr>
          <w:rFonts w:eastAsia="Times New Roman"/>
        </w:rPr>
        <w:t>annel</w:t>
      </w:r>
      <w:proofErr w:type="spellEnd"/>
      <w:r w:rsidRPr="00427350">
        <w:rPr>
          <w:rFonts w:eastAsia="Times New Roman"/>
        </w:rPr>
        <w:t xml:space="preserve"> in the set of channels </w:t>
      </w:r>
      <m:oMath>
        <m:r>
          <w:rPr>
            <w:rFonts w:ascii="Cambria Math" w:hAnsi="Cambria Math"/>
          </w:rPr>
          <m:t>C</m:t>
        </m:r>
      </m:oMath>
      <w:r w:rsidRPr="00427350">
        <w:rPr>
          <w:rFonts w:eastAsia="Times New Roman"/>
        </w:rPr>
        <w:t>.</w:t>
      </w:r>
    </w:p>
    <w:p w14:paraId="783600C4" w14:textId="77777777" w:rsidR="00C01C7D" w:rsidRDefault="00C01C7D" w:rsidP="00C01C7D">
      <w:pPr>
        <w:ind w:left="851" w:hanging="284"/>
        <w:rPr>
          <w:ins w:id="111" w:author="Zuomin Wu" w:date="2021-11-12T19:52:00Z"/>
          <w:rFonts w:eastAsia="Times New Roman"/>
        </w:rPr>
      </w:pPr>
      <w:ins w:id="112" w:author="Zuomin Wu" w:date="2021-11-12T19:52:00Z">
        <w:r>
          <w:rPr>
            <w:rFonts w:eastAsia="Times New Roman"/>
          </w:rPr>
          <w:t>-</w:t>
        </w:r>
        <w:r>
          <w:rPr>
            <w:rFonts w:eastAsia="Times New Roman"/>
          </w:rPr>
          <w:tab/>
          <w:t xml:space="preserve">the </w:t>
        </w:r>
        <w:r w:rsidRPr="0085159D">
          <w:rPr>
            <w:rFonts w:eastAsia="Times New Roman"/>
          </w:rPr>
          <w:t xml:space="preserve">UE may transmit on channel </w:t>
        </w:r>
      </w:ins>
      <m:oMath>
        <m:sSub>
          <m:sSubPr>
            <m:ctrlPr>
              <w:ins w:id="113" w:author="Zuomin Wu" w:date="2021-11-12T19:52:00Z">
                <w:rPr>
                  <w:rFonts w:ascii="Cambria Math" w:hAnsi="Cambria Math"/>
                  <w:i/>
                </w:rPr>
              </w:ins>
            </m:ctrlPr>
          </m:sSubPr>
          <m:e>
            <m:r>
              <w:ins w:id="114" w:author="Zuomin Wu" w:date="2021-11-12T19:52:00Z">
                <w:rPr>
                  <w:rFonts w:ascii="Cambria Math" w:hAnsi="Cambria Math"/>
                </w:rPr>
                <m:t>c</m:t>
              </w:ins>
            </m:r>
          </m:e>
          <m:sub>
            <m:r>
              <w:ins w:id="115" w:author="Zuomin Wu" w:date="2021-11-12T19:52:00Z">
                <w:rPr>
                  <w:rFonts w:ascii="Cambria Math" w:hAnsi="Cambria Math"/>
                </w:rPr>
                <m:t>i</m:t>
              </w:ins>
            </m:r>
          </m:sub>
        </m:sSub>
        <m:r>
          <w:ins w:id="116" w:author="Zuomin Wu" w:date="2021-11-12T19:52:00Z">
            <w:rPr>
              <w:rFonts w:ascii="Cambria Math" w:hAnsi="Cambria Math"/>
            </w:rPr>
            <m:t>∈C</m:t>
          </w:ins>
        </m:r>
      </m:oMath>
      <w:ins w:id="117" w:author="Zuomin Wu" w:date="2021-11-12T19:52:00Z">
        <w:r w:rsidRPr="0085159D">
          <w:rPr>
            <w:rFonts w:eastAsia="Times New Roman"/>
          </w:rPr>
          <w:t xml:space="preserve"> using Type 1 channel access procedure as described in clause 4.2.1.1</w:t>
        </w:r>
      </w:ins>
    </w:p>
    <w:p w14:paraId="4AC861CE" w14:textId="77777777" w:rsidR="00C01C7D" w:rsidRPr="00427350" w:rsidDel="00F7287D" w:rsidRDefault="00C01C7D" w:rsidP="00C01C7D">
      <w:pPr>
        <w:spacing w:line="240" w:lineRule="auto"/>
        <w:ind w:left="851" w:hanging="284"/>
        <w:rPr>
          <w:del w:id="118" w:author="Zuomin Wu" w:date="2021-11-12T19:55:00Z"/>
          <w:rFonts w:eastAsia="Times New Roman"/>
        </w:rPr>
      </w:pPr>
      <w:del w:id="119" w:author="Zuomin Wu" w:date="2021-11-12T19:55:00Z">
        <w:r w:rsidRPr="00427350" w:rsidDel="00F7287D">
          <w:rPr>
            <w:rFonts w:eastAsia="Times New Roman"/>
          </w:rPr>
          <w:delText>-</w:delText>
        </w:r>
        <w:r w:rsidRPr="00427350" w:rsidDel="00F7287D">
          <w:rPr>
            <w:rFonts w:eastAsia="Times New Roman"/>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45CE665" w14:textId="77777777" w:rsidR="00C01C7D" w:rsidRDefault="00C01C7D" w:rsidP="00C01C7D">
      <w:pPr>
        <w:ind w:left="851" w:hanging="284"/>
        <w:rPr>
          <w:ins w:id="120" w:author="Zuomin Wu" w:date="2021-11-12T19:55:00Z"/>
          <w:rFonts w:eastAsia="Times New Roman"/>
        </w:rPr>
      </w:pPr>
      <w:r w:rsidRPr="00427350">
        <w:rPr>
          <w:rFonts w:eastAsia="Times New Roman"/>
        </w:rPr>
        <w:t>-</w:t>
      </w:r>
      <w:r w:rsidRPr="00427350">
        <w:rPr>
          <w:rFonts w:eastAsia="Times New Roman"/>
        </w:rPr>
        <w:tab/>
      </w:r>
      <w:del w:id="121" w:author="Zuomin Wu" w:date="2021-11-12T19:54:00Z">
        <w:r w:rsidRPr="00427350" w:rsidDel="00F7287D">
          <w:rPr>
            <w:rFonts w:eastAsia="Times New Roman"/>
          </w:rPr>
          <w:delText xml:space="preserve">otherwise, </w:delText>
        </w:r>
      </w:del>
      <w:r w:rsidRPr="00427350">
        <w:rPr>
          <w:rFonts w:eastAsia="Times New Roman"/>
        </w:rPr>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427350">
        <w:rPr>
          <w:rFonts w:eastAsia="Times New Roman"/>
        </w:rPr>
        <w:t xml:space="preserve"> within the bandwidth of a carrier, if the UE fails to a</w:t>
      </w:r>
      <w:proofErr w:type="spellStart"/>
      <w:r w:rsidRPr="00427350">
        <w:rPr>
          <w:rFonts w:eastAsia="Times New Roman"/>
        </w:rPr>
        <w:t>ccess</w:t>
      </w:r>
      <w:proofErr w:type="spellEnd"/>
      <w:r w:rsidRPr="00427350">
        <w:rPr>
          <w:rFonts w:eastAsia="Times New Roman"/>
        </w:rPr>
        <w:t xml:space="preserve"> any of the channels</w:t>
      </w:r>
      <w:del w:id="122" w:author="Zuomin Wu" w:date="2021-11-12T19:54:00Z">
        <w:r w:rsidRPr="00427350" w:rsidDel="00F7287D">
          <w:rPr>
            <w:rFonts w:eastAsia="Times New Roman"/>
          </w:rPr>
          <w:delText>,</w:delText>
        </w:r>
      </w:del>
      <w:r w:rsidRPr="00427350">
        <w:rPr>
          <w:rFonts w:eastAsia="Times New Roman"/>
        </w:rPr>
        <w:t xml:space="preserve"> of the carrier bandwidth</w:t>
      </w:r>
      <w:del w:id="123" w:author="Zuomin Wu" w:date="2021-11-12T19:54:00Z">
        <w:r w:rsidRPr="00427350" w:rsidDel="00F7287D">
          <w:rPr>
            <w:rFonts w:eastAsia="Times New Roman"/>
          </w:rPr>
          <w:delText>,</w:delText>
        </w:r>
      </w:del>
      <w:r w:rsidRPr="00427350">
        <w:rPr>
          <w:rFonts w:eastAsia="Times New Roman"/>
        </w:rPr>
        <w:t xml:space="preserve"> on which the UE is scheduled or configured </w:t>
      </w:r>
      <w:del w:id="124" w:author="Zuomin Wu" w:date="2021-11-12T19:55:00Z">
        <w:r w:rsidRPr="00427350" w:rsidDel="00F7287D">
          <w:rPr>
            <w:rFonts w:eastAsia="Times New Roman"/>
          </w:rPr>
          <w:delText xml:space="preserve">by </w:delText>
        </w:r>
      </w:del>
      <w:ins w:id="125" w:author="Zuomin Wu" w:date="2021-11-12T19:55:00Z">
        <w:r>
          <w:rPr>
            <w:rFonts w:eastAsia="Times New Roman"/>
          </w:rPr>
          <w:t xml:space="preserve">with </w:t>
        </w:r>
      </w:ins>
      <w:r w:rsidRPr="00427350">
        <w:rPr>
          <w:rFonts w:eastAsia="Times New Roman"/>
        </w:rPr>
        <w:t>UL resources.</w:t>
      </w:r>
    </w:p>
    <w:p w14:paraId="7AFF59E6" w14:textId="77777777" w:rsidR="00C01C7D" w:rsidRDefault="00C01C7D" w:rsidP="0067180F">
      <w:pPr>
        <w:spacing w:line="240" w:lineRule="auto"/>
        <w:ind w:left="851" w:hanging="284"/>
        <w:rPr>
          <w:rFonts w:eastAsia="Times New Roman"/>
        </w:rPr>
      </w:pPr>
      <w:ins w:id="126" w:author="Zuomin Wu" w:date="2021-11-12T19:55:00Z">
        <w:r w:rsidRPr="00427350">
          <w:rPr>
            <w:rFonts w:eastAsia="Times New Roman"/>
          </w:rPr>
          <w:t>-</w:t>
        </w:r>
        <w:r w:rsidRPr="00427350">
          <w:rPr>
            <w:rFonts w:eastAsia="Times New Roman"/>
          </w:rPr>
          <w:tab/>
        </w:r>
        <w:r>
          <w:rPr>
            <w:rFonts w:eastAsia="Times New Roman"/>
          </w:rPr>
          <w:t xml:space="preserve">the UE may not </w:t>
        </w:r>
        <w:r w:rsidRPr="005077DD">
          <w:rPr>
            <w:rFonts w:eastAsia="Times New Roman"/>
          </w:rPr>
          <w:t>transmit on a channel within the bandwidth of a carrier if the UE is configured without intra-cell guard band(s) on a</w:t>
        </w:r>
        <w:r>
          <w:rPr>
            <w:rFonts w:eastAsia="Times New Roman"/>
          </w:rPr>
          <w:t>n</w:t>
        </w:r>
        <w:r w:rsidRPr="005077DD">
          <w:rPr>
            <w:rFonts w:eastAsia="Times New Roman"/>
          </w:rPr>
          <w:t xml:space="preserve"> UL bandwidth</w:t>
        </w:r>
        <w:r>
          <w:rPr>
            <w:rFonts w:eastAsia="Times New Roman"/>
          </w:rPr>
          <w:t xml:space="preserve"> </w:t>
        </w:r>
        <w:r w:rsidRPr="005077DD">
          <w:rPr>
            <w:rFonts w:eastAsia="Times New Roman"/>
          </w:rPr>
          <w:t xml:space="preserve">part as described in clause 7 </w:t>
        </w:r>
        <w:r>
          <w:rPr>
            <w:rFonts w:eastAsia="Times New Roman"/>
          </w:rPr>
          <w:t>of</w:t>
        </w:r>
        <w:r w:rsidRPr="005077DD">
          <w:rPr>
            <w:rFonts w:eastAsia="Times New Roman"/>
          </w:rPr>
          <w:t xml:space="preserve"> [8] and if the UE fails to access any of the channels of the UL bandwidth</w:t>
        </w:r>
        <w:r>
          <w:rPr>
            <w:rFonts w:eastAsia="Times New Roman"/>
          </w:rPr>
          <w:t xml:space="preserve"> part.</w:t>
        </w:r>
      </w:ins>
    </w:p>
    <w:p w14:paraId="02E0CFBE" w14:textId="77777777" w:rsidR="00C01C7D" w:rsidRDefault="00C01C7D" w:rsidP="00C01C7D">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3128C903" w14:textId="77777777" w:rsidR="00C01C7D" w:rsidRPr="00427350" w:rsidRDefault="00C01C7D" w:rsidP="00C01C7D">
      <w:pPr>
        <w:rPr>
          <w:noProof/>
        </w:rPr>
      </w:pPr>
    </w:p>
    <w:p w14:paraId="04B446B2" w14:textId="77777777" w:rsidR="00C01C7D" w:rsidRDefault="00C01C7D" w:rsidP="00C01C7D">
      <w:pPr>
        <w:rPr>
          <w:noProof/>
        </w:rPr>
      </w:pPr>
    </w:p>
    <w:p w14:paraId="173296D5" w14:textId="0AD116B7" w:rsidR="00657F23" w:rsidRPr="00C01C7D" w:rsidRDefault="00657F23">
      <w:pPr>
        <w:rPr>
          <w:rFonts w:eastAsia="Yu Mincho"/>
        </w:rPr>
      </w:pPr>
    </w:p>
    <w:p w14:paraId="126119D7" w14:textId="77777777" w:rsidR="00657F23" w:rsidRPr="00657F23" w:rsidRDefault="00657F23">
      <w:pPr>
        <w:rPr>
          <w:rFonts w:eastAsia="Yu Mincho"/>
        </w:rPr>
      </w:pPr>
    </w:p>
    <w:p w14:paraId="3ED3C236" w14:textId="226C86C4" w:rsidR="00181A64" w:rsidRDefault="00181A64">
      <w:pPr>
        <w:pStyle w:val="1"/>
      </w:pPr>
      <w:r>
        <w:t>Appendix C – Version 3 (</w:t>
      </w:r>
      <w:proofErr w:type="spellStart"/>
      <w:r>
        <w:t>Ammendment</w:t>
      </w:r>
      <w:proofErr w:type="spellEnd"/>
      <w:r>
        <w:t xml:space="preserve"> to OPPO's Proposal)</w:t>
      </w:r>
    </w:p>
    <w:p w14:paraId="6957C821" w14:textId="23486C70" w:rsidR="00181A64" w:rsidRDefault="00181A64" w:rsidP="00181A64">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3AD5D798" w14:textId="77777777" w:rsidR="00181A64" w:rsidRPr="00181A64" w:rsidRDefault="00181A64" w:rsidP="00181A64">
      <w:pPr>
        <w:rPr>
          <w:rFonts w:ascii="Arial" w:hAnsi="Arial" w:cs="Arial"/>
          <w:sz w:val="22"/>
          <w:szCs w:val="22"/>
          <w:lang w:eastAsia="en-US"/>
        </w:rPr>
      </w:pPr>
      <w:r w:rsidRPr="00181A64">
        <w:rPr>
          <w:rFonts w:ascii="Arial" w:hAnsi="Arial" w:cs="Arial"/>
          <w:sz w:val="22"/>
          <w:szCs w:val="22"/>
          <w:lang w:eastAsia="en-US"/>
        </w:rPr>
        <w:t>4.2.1.0.4</w:t>
      </w:r>
      <w:r w:rsidRPr="00181A64">
        <w:rPr>
          <w:rFonts w:ascii="Arial" w:hAnsi="Arial" w:cs="Arial"/>
          <w:sz w:val="22"/>
          <w:szCs w:val="22"/>
          <w:lang w:eastAsia="en-US"/>
        </w:rPr>
        <w:tab/>
        <w:t>Channel access procedures for UL multi-channel transmission(s)</w:t>
      </w:r>
    </w:p>
    <w:p w14:paraId="38BCC0B4" w14:textId="77777777" w:rsidR="00181A64" w:rsidRPr="00181A64" w:rsidRDefault="00181A64" w:rsidP="00181A64">
      <w:pPr>
        <w:overflowPunct/>
        <w:autoSpaceDE/>
        <w:autoSpaceDN/>
        <w:adjustRightInd/>
        <w:spacing w:line="240" w:lineRule="auto"/>
        <w:textAlignment w:val="auto"/>
        <w:rPr>
          <w:rFonts w:eastAsia="Times New Roman"/>
          <w:lang w:val="en-US" w:eastAsia="en-US"/>
        </w:rPr>
      </w:pPr>
      <w:r w:rsidRPr="00181A64">
        <w:rPr>
          <w:rFonts w:eastAsia="Times New Roman"/>
          <w:lang w:val="en-US" w:eastAsia="en-US"/>
        </w:rPr>
        <w:t xml:space="preserve">If a UE </w:t>
      </w:r>
    </w:p>
    <w:p w14:paraId="3C39951A" w14:textId="19C6148F" w:rsidR="00181A64" w:rsidRPr="00181A64" w:rsidRDefault="00181A64" w:rsidP="00181A64">
      <w:pPr>
        <w:overflowPunct/>
        <w:autoSpaceDE/>
        <w:autoSpaceDN/>
        <w:adjustRightInd/>
        <w:spacing w:line="240" w:lineRule="auto"/>
        <w:ind w:left="568" w:hanging="284"/>
        <w:textAlignment w:val="auto"/>
        <w:rPr>
          <w:rFonts w:eastAsia="Times New Roman"/>
          <w:lang w:eastAsia="en-US"/>
        </w:rPr>
      </w:pPr>
      <w:r w:rsidRPr="00181A64">
        <w:rPr>
          <w:rFonts w:eastAsia="Times New Roman"/>
          <w:lang w:eastAsia="en-US"/>
        </w:rPr>
        <w:t>-</w:t>
      </w:r>
      <w:r w:rsidRPr="00181A64">
        <w:rPr>
          <w:rFonts w:eastAsia="Times New Roman"/>
          <w:lang w:eastAsia="en-US"/>
        </w:rPr>
        <w:tab/>
        <w:t xml:space="preserve">is scheduled to transmit on a set of channels </w:t>
      </w:r>
      <m:oMath>
        <m:r>
          <w:rPr>
            <w:rFonts w:ascii="Cambria Math" w:hAnsi="Cambria Math"/>
          </w:rPr>
          <m:t>C</m:t>
        </m:r>
      </m:oMath>
      <w:r w:rsidRPr="00181A64">
        <w:rPr>
          <w:rFonts w:eastAsia="Times New Roman"/>
          <w:lang w:eastAsia="en-US"/>
        </w:rPr>
        <w:t xml:space="preserve">, </w:t>
      </w:r>
      <w:del w:id="127" w:author="Stephen Grant" w:date="2021-11-13T07:46:00Z">
        <w:r w:rsidRPr="00181A64" w:rsidDel="00A75739">
          <w:rPr>
            <w:rFonts w:eastAsia="Times New Roman"/>
            <w:lang w:eastAsia="en-US"/>
          </w:rPr>
          <w:delText xml:space="preserve">and if Type 1 channel access procedure is indicated by the UL scheduling grants for the UL transmissions on the set of channels </w:delText>
        </w:r>
      </w:del>
      <m:oMath>
        <m:r>
          <w:del w:id="128" w:author="Stephen Grant" w:date="2021-11-13T07:46:00Z">
            <w:rPr>
              <w:rFonts w:ascii="Cambria Math" w:hAnsi="Cambria Math"/>
            </w:rPr>
            <m:t>C</m:t>
          </w:del>
        </m:r>
      </m:oMath>
      <w:del w:id="129" w:author="Stephen Grant" w:date="2021-11-13T07:46:00Z">
        <w:r w:rsidRPr="00181A64" w:rsidDel="00A75739">
          <w:rPr>
            <w:rFonts w:eastAsia="Times New Roman"/>
            <w:lang w:eastAsia="en-US"/>
          </w:rPr>
          <w:delText xml:space="preserve">, </w:delText>
        </w:r>
      </w:del>
      <w:r w:rsidRPr="00181A64">
        <w:rPr>
          <w:rFonts w:eastAsia="Times New Roman"/>
          <w:lang w:eastAsia="en-US"/>
        </w:rPr>
        <w:t xml:space="preserve">and if the UL transmissions are scheduled to start transmissions at the same time on all channels in the set of channels </w:t>
      </w:r>
      <m:oMath>
        <m:r>
          <w:rPr>
            <w:rFonts w:ascii="Cambria Math" w:hAnsi="Cambria Math"/>
          </w:rPr>
          <m:t>C</m:t>
        </m:r>
      </m:oMath>
      <w:del w:id="130" w:author="Stephen Grant" w:date="2021-11-13T07:47:00Z">
        <w:r w:rsidRPr="00181A64" w:rsidDel="00A75739">
          <w:rPr>
            <w:rFonts w:eastAsia="Times New Roman"/>
            <w:lang w:eastAsia="en-US"/>
          </w:rPr>
          <w:delText xml:space="preserve"> </w:delText>
        </w:r>
      </w:del>
      <w:r w:rsidRPr="00181A64">
        <w:rPr>
          <w:rFonts w:eastAsia="Times New Roman"/>
          <w:lang w:eastAsia="en-US"/>
        </w:rPr>
        <w:t>, or</w:t>
      </w:r>
    </w:p>
    <w:p w14:paraId="0819ECE0" w14:textId="3A7BEDA5" w:rsidR="00181A64" w:rsidRPr="00181A64" w:rsidRDefault="00181A64" w:rsidP="00181A64">
      <w:pPr>
        <w:overflowPunct/>
        <w:autoSpaceDE/>
        <w:autoSpaceDN/>
        <w:adjustRightInd/>
        <w:spacing w:line="240" w:lineRule="auto"/>
        <w:ind w:left="568" w:hanging="284"/>
        <w:textAlignment w:val="auto"/>
        <w:rPr>
          <w:rFonts w:eastAsia="Times New Roman"/>
          <w:lang w:eastAsia="en-US"/>
        </w:rPr>
      </w:pPr>
      <w:r w:rsidRPr="00181A64">
        <w:rPr>
          <w:rFonts w:eastAsia="Times New Roman"/>
          <w:lang w:eastAsia="en-US"/>
        </w:rPr>
        <w:lastRenderedPageBreak/>
        <w:t>-</w:t>
      </w:r>
      <w:r w:rsidRPr="00181A64">
        <w:rPr>
          <w:rFonts w:eastAsia="Times New Roman"/>
          <w:lang w:eastAsia="en-US"/>
        </w:rPr>
        <w:tab/>
        <w:t xml:space="preserve">intends to perform an uplink transmission on configured resources on the set of channels </w:t>
      </w:r>
      <w:bookmarkStart w:id="131" w:name="_Hlk87683299"/>
      <m:oMath>
        <m:r>
          <w:rPr>
            <w:rFonts w:ascii="Cambria Math" w:eastAsia="SimSun" w:hAnsi="Cambria Math"/>
            <w:lang w:val="en-US"/>
          </w:rPr>
          <m:t>C</m:t>
        </m:r>
      </m:oMath>
      <w:bookmarkEnd w:id="131"/>
      <w:del w:id="132" w:author="Stephen Grant" w:date="2021-11-13T07:47:00Z">
        <w:r w:rsidRPr="00181A64" w:rsidDel="00A75739">
          <w:rPr>
            <w:rFonts w:eastAsia="Times New Roman"/>
            <w:lang w:eastAsia="en-US"/>
          </w:rPr>
          <w:delText xml:space="preserve"> with Type 1 channel access procedure</w:delText>
        </w:r>
      </w:del>
      <w:r w:rsidRPr="00181A64">
        <w:rPr>
          <w:rFonts w:eastAsia="Times New Roman"/>
          <w:lang w:eastAsia="en-US"/>
        </w:rPr>
        <w:t xml:space="preserve">, and if UL transmissions are configured to start transmissions </w:t>
      </w:r>
      <w:del w:id="133" w:author="Stephen Grant" w:date="2021-11-13T07:48:00Z">
        <w:r w:rsidRPr="00181A64" w:rsidDel="00A75739">
          <w:rPr>
            <w:rFonts w:eastAsia="Times New Roman"/>
            <w:lang w:eastAsia="en-US"/>
          </w:rPr>
          <w:delText xml:space="preserve">on </w:delText>
        </w:r>
      </w:del>
      <w:ins w:id="134" w:author="Stephen Grant" w:date="2021-11-13T07:48:00Z">
        <w:r w:rsidR="00A75739">
          <w:rPr>
            <w:rFonts w:eastAsia="Times New Roman"/>
            <w:lang w:eastAsia="en-US"/>
          </w:rPr>
          <w:t>at</w:t>
        </w:r>
        <w:r w:rsidR="00A75739" w:rsidRPr="00181A64">
          <w:rPr>
            <w:rFonts w:eastAsia="Times New Roman"/>
            <w:lang w:eastAsia="en-US"/>
          </w:rPr>
          <w:t xml:space="preserve"> </w:t>
        </w:r>
      </w:ins>
      <w:r w:rsidRPr="00181A64">
        <w:rPr>
          <w:rFonts w:eastAsia="Times New Roman"/>
          <w:lang w:eastAsia="en-US"/>
        </w:rPr>
        <w:t xml:space="preserve">the same time </w:t>
      </w:r>
      <w:ins w:id="135" w:author="Stephen Grant" w:date="2021-11-13T07:48:00Z">
        <w:r w:rsidR="00A75739">
          <w:rPr>
            <w:rFonts w:eastAsia="Times New Roman"/>
            <w:lang w:eastAsia="en-US"/>
          </w:rPr>
          <w:t xml:space="preserve">on </w:t>
        </w:r>
      </w:ins>
      <w:r w:rsidRPr="00181A64">
        <w:rPr>
          <w:rFonts w:eastAsia="Times New Roman"/>
          <w:lang w:eastAsia="en-US"/>
        </w:rPr>
        <w:t xml:space="preserve">all channels in the set of channels </w:t>
      </w:r>
      <m:oMath>
        <m:r>
          <w:rPr>
            <w:rFonts w:ascii="Cambria Math" w:eastAsia="SimSun" w:hAnsi="Cambria Math"/>
            <w:lang w:val="en-US"/>
          </w:rPr>
          <m:t>C</m:t>
        </m:r>
      </m:oMath>
      <w:r w:rsidRPr="00181A64">
        <w:rPr>
          <w:rFonts w:eastAsia="Times New Roman"/>
          <w:lang w:eastAsia="en-US"/>
        </w:rPr>
        <w:t>,</w:t>
      </w:r>
      <w:del w:id="136" w:author="Stephen Grant" w:date="2021-11-13T07:48:00Z">
        <w:r w:rsidRPr="00181A64" w:rsidDel="00A75739">
          <w:rPr>
            <w:rFonts w:eastAsia="Times New Roman"/>
            <w:lang w:eastAsia="en-US"/>
          </w:rPr>
          <w:delText xml:space="preserve"> and</w:delText>
        </w:r>
      </w:del>
      <w:r w:rsidRPr="00181A64">
        <w:rPr>
          <w:rFonts w:eastAsia="Times New Roman"/>
          <w:lang w:eastAsia="en-US"/>
        </w:rPr>
        <w:t xml:space="preserve"> </w:t>
      </w:r>
    </w:p>
    <w:p w14:paraId="65A10C76" w14:textId="64773D5E" w:rsidR="00181A64" w:rsidRPr="00181A64" w:rsidRDefault="00A75739" w:rsidP="00181A64">
      <w:pPr>
        <w:overflowPunct/>
        <w:autoSpaceDE/>
        <w:autoSpaceDN/>
        <w:adjustRightInd/>
        <w:spacing w:line="240" w:lineRule="auto"/>
        <w:textAlignment w:val="auto"/>
        <w:rPr>
          <w:rFonts w:eastAsia="Times New Roman"/>
          <w:lang w:val="en-US" w:eastAsia="en-US"/>
        </w:rPr>
      </w:pPr>
      <w:ins w:id="137" w:author="Stephen Grant" w:date="2021-11-13T07:49:00Z">
        <w:r>
          <w:rPr>
            <w:rFonts w:eastAsia="Times New Roman"/>
            <w:lang w:val="en-US" w:eastAsia="en-US"/>
          </w:rPr>
          <w:t>t</w:t>
        </w:r>
      </w:ins>
      <w:ins w:id="138" w:author="Stephen Grant" w:date="2021-11-13T07:48:00Z">
        <w:r>
          <w:rPr>
            <w:rFonts w:eastAsia="Times New Roman"/>
            <w:lang w:val="en-US" w:eastAsia="en-US"/>
          </w:rPr>
          <w:t>he following is applicable</w:t>
        </w:r>
      </w:ins>
      <w:ins w:id="139" w:author="Stephen Grant" w:date="2021-11-13T07:49:00Z">
        <w:r>
          <w:rPr>
            <w:rFonts w:eastAsia="Times New Roman"/>
            <w:lang w:val="en-US" w:eastAsia="en-US"/>
          </w:rPr>
          <w:t xml:space="preserve">: </w:t>
        </w:r>
      </w:ins>
      <w:del w:id="140" w:author="Stephen Grant" w:date="2021-11-13T07:49:00Z">
        <w:r w:rsidR="00181A64" w:rsidRPr="00181A64" w:rsidDel="00A75739">
          <w:rPr>
            <w:rFonts w:eastAsia="Times New Roman"/>
            <w:lang w:val="en-US" w:eastAsia="en-US"/>
          </w:rPr>
          <w:delText xml:space="preserve">if the channel frequencies of set of channels </w:delText>
        </w:r>
      </w:del>
      <m:oMath>
        <m:r>
          <w:del w:id="141" w:author="Stephen Grant" w:date="2021-11-13T07:49:00Z">
            <w:rPr>
              <w:rFonts w:ascii="Cambria Math" w:hAnsi="Cambria Math"/>
            </w:rPr>
            <m:t>C</m:t>
          </w:del>
        </m:r>
      </m:oMath>
      <w:del w:id="142" w:author="Stephen Grant" w:date="2021-11-13T07:49:00Z">
        <w:r w:rsidR="00181A64" w:rsidRPr="00181A64" w:rsidDel="00A75739">
          <w:rPr>
            <w:rFonts w:eastAsia="Times New Roman"/>
            <w:lang w:val="en-US" w:eastAsia="en-US"/>
          </w:rPr>
          <w:delText xml:space="preserve"> is a subset of one of the sets of channel frequencies defined in clause 5.7.4 in [2]</w:delText>
        </w:r>
      </w:del>
    </w:p>
    <w:p w14:paraId="64A6BF55" w14:textId="6B3D67F3" w:rsidR="00A75739" w:rsidRDefault="00A75739" w:rsidP="00181A64">
      <w:pPr>
        <w:overflowPunct/>
        <w:autoSpaceDE/>
        <w:autoSpaceDN/>
        <w:adjustRightInd/>
        <w:spacing w:line="240" w:lineRule="auto"/>
        <w:ind w:left="568" w:hanging="284"/>
        <w:textAlignment w:val="auto"/>
        <w:rPr>
          <w:ins w:id="143" w:author="Stephen Grant" w:date="2021-11-13T07:49:00Z"/>
          <w:rFonts w:eastAsia="Times New Roman"/>
          <w:lang w:eastAsia="en-US"/>
        </w:rPr>
      </w:pPr>
      <w:ins w:id="144" w:author="Stephen Grant" w:date="2021-11-13T07:49:00Z">
        <w:r>
          <w:rPr>
            <w:rFonts w:eastAsia="Times New Roman"/>
            <w:lang w:eastAsia="en-US"/>
          </w:rPr>
          <w:t>-</w:t>
        </w:r>
        <w:r>
          <w:rPr>
            <w:rFonts w:eastAsia="Times New Roman"/>
            <w:lang w:eastAsia="en-US"/>
          </w:rPr>
          <w:tab/>
          <w:t>if</w:t>
        </w:r>
      </w:ins>
      <w:ins w:id="145" w:author="Stephen Grant" w:date="2021-11-13T07:50:00Z">
        <w:r>
          <w:rPr>
            <w:rFonts w:eastAsia="Times New Roman"/>
            <w:lang w:eastAsia="en-US"/>
          </w:rPr>
          <w:t xml:space="preserve"> Type 1 channel access procedure is indicated or intended</w:t>
        </w:r>
      </w:ins>
      <w:ins w:id="146" w:author="Stephen Grant" w:date="2021-11-13T07:51:00Z">
        <w:r>
          <w:rPr>
            <w:rFonts w:eastAsia="Times New Roman"/>
            <w:lang w:eastAsia="en-US"/>
          </w:rPr>
          <w:t xml:space="preserve"> for the scheduled or configured UL transmissions, respectively, to be transmitted on the set of channels </w:t>
        </w:r>
      </w:ins>
      <m:oMath>
        <m:r>
          <w:ins w:id="147" w:author="Stephen Grant" w:date="2021-11-13T07:51:00Z">
            <w:rPr>
              <w:rFonts w:ascii="Cambria Math" w:eastAsia="SimSun" w:hAnsi="Cambria Math"/>
              <w:lang w:val="en-US"/>
            </w:rPr>
            <m:t>C</m:t>
          </w:ins>
        </m:r>
      </m:oMath>
      <w:ins w:id="148" w:author="Stephen Grant" w:date="2021-11-13T07:51:00Z">
        <w:r>
          <w:rPr>
            <w:rFonts w:eastAsia="Times New Roman"/>
            <w:lang w:val="en-US"/>
          </w:rPr>
          <w:t>,</w:t>
        </w:r>
      </w:ins>
    </w:p>
    <w:p w14:paraId="260FF832" w14:textId="77777777" w:rsidR="00A25538" w:rsidRDefault="00181A64" w:rsidP="00ED2B7E">
      <w:pPr>
        <w:overflowPunct/>
        <w:autoSpaceDE/>
        <w:autoSpaceDN/>
        <w:adjustRightInd/>
        <w:spacing w:line="240" w:lineRule="auto"/>
        <w:ind w:left="851" w:hanging="284"/>
        <w:textAlignment w:val="auto"/>
        <w:rPr>
          <w:ins w:id="149" w:author="Stephen Grant" w:date="2021-11-13T08:09:00Z"/>
          <w:rFonts w:eastAsia="Times New Roman"/>
          <w:lang w:eastAsia="en-US"/>
        </w:rPr>
      </w:pPr>
      <w:r w:rsidRPr="00181A64">
        <w:rPr>
          <w:rFonts w:eastAsia="Times New Roman"/>
          <w:lang w:eastAsia="en-US"/>
        </w:rPr>
        <w:t>-</w:t>
      </w:r>
      <w:r w:rsidRPr="00181A64">
        <w:rPr>
          <w:rFonts w:eastAsia="Times New Roman"/>
          <w:lang w:eastAsia="en-US"/>
        </w:rP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181A64">
        <w:rPr>
          <w:rFonts w:eastAsia="Times New Roman"/>
          <w:lang w:eastAsia="en-US"/>
        </w:rPr>
        <w:t xml:space="preserve"> using Type 2 channel access procedure as described in clause 4.2.1.2,</w:t>
      </w:r>
    </w:p>
    <w:p w14:paraId="6E6808D2" w14:textId="2D1BB887" w:rsidR="00181A64" w:rsidRPr="00181A64" w:rsidRDefault="00A25538">
      <w:pPr>
        <w:overflowPunct/>
        <w:autoSpaceDE/>
        <w:autoSpaceDN/>
        <w:adjustRightInd/>
        <w:spacing w:line="240" w:lineRule="auto"/>
        <w:ind w:left="1134" w:hanging="284"/>
        <w:textAlignment w:val="auto"/>
        <w:rPr>
          <w:rFonts w:eastAsia="Times New Roman"/>
          <w:lang w:eastAsia="en-US"/>
        </w:rPr>
        <w:pPrChange w:id="150" w:author="Stephen Grant" w:date="2021-11-13T08:10:00Z">
          <w:pPr>
            <w:overflowPunct/>
            <w:autoSpaceDE/>
            <w:autoSpaceDN/>
            <w:adjustRightInd/>
            <w:spacing w:line="240" w:lineRule="auto"/>
            <w:ind w:left="568" w:hanging="284"/>
            <w:textAlignment w:val="auto"/>
          </w:pPr>
        </w:pPrChange>
      </w:pPr>
      <w:ins w:id="151" w:author="Stephen Grant" w:date="2021-11-13T08:09:00Z">
        <w:r>
          <w:rPr>
            <w:rFonts w:eastAsia="Times New Roman"/>
            <w:lang w:eastAsia="en-US"/>
          </w:rPr>
          <w:t>-</w:t>
        </w:r>
        <w:r>
          <w:rPr>
            <w:rFonts w:eastAsia="Times New Roman"/>
            <w:lang w:eastAsia="en-US"/>
          </w:rPr>
          <w:tab/>
        </w:r>
      </w:ins>
      <w:ins w:id="152" w:author="Stephen Grant" w:date="2021-11-13T08:10:00Z">
        <w:r>
          <w:rPr>
            <w:rFonts w:eastAsia="Times New Roman"/>
            <w:lang w:eastAsia="en-US"/>
          </w:rPr>
          <w:t xml:space="preserve">if the channel frequencies of the set of channels </w:t>
        </w:r>
      </w:ins>
      <m:oMath>
        <m:r>
          <w:ins w:id="153" w:author="Stephen Grant" w:date="2021-11-13T08:20:00Z">
            <w:rPr>
              <w:rFonts w:ascii="Cambria Math" w:eastAsia="SimSun" w:hAnsi="Cambria Math"/>
              <w:lang w:val="en-US"/>
            </w:rPr>
            <m:t>C</m:t>
          </w:ins>
        </m:r>
      </m:oMath>
      <w:ins w:id="154" w:author="Stephen Grant" w:date="2021-11-13T08:10:00Z">
        <w:r>
          <w:rPr>
            <w:rFonts w:eastAsia="Times New Roman"/>
            <w:lang w:eastAsia="en-US"/>
          </w:rPr>
          <w:t xml:space="preserve"> is a subset of the sets of channel frequencies defined in clause 5.7.4 in [2], and</w:t>
        </w:r>
      </w:ins>
      <w:r w:rsidR="00181A64" w:rsidRPr="00181A64">
        <w:rPr>
          <w:rFonts w:eastAsia="Times New Roman"/>
          <w:lang w:eastAsia="en-US"/>
        </w:rPr>
        <w:t xml:space="preserve"> </w:t>
      </w:r>
    </w:p>
    <w:p w14:paraId="28274718" w14:textId="5B07B3D8" w:rsidR="00181A64" w:rsidRPr="00181A64" w:rsidRDefault="00181A64">
      <w:pPr>
        <w:overflowPunct/>
        <w:autoSpaceDE/>
        <w:autoSpaceDN/>
        <w:adjustRightInd/>
        <w:spacing w:line="240" w:lineRule="auto"/>
        <w:ind w:left="1134" w:hanging="284"/>
        <w:textAlignment w:val="auto"/>
        <w:rPr>
          <w:rFonts w:eastAsia="Times New Roman"/>
          <w:lang w:eastAsia="en-US"/>
        </w:rPr>
        <w:pPrChange w:id="155" w:author="Stephen Grant" w:date="2021-11-13T07:59:00Z">
          <w:pPr>
            <w:overflowPunct/>
            <w:autoSpaceDE/>
            <w:autoSpaceDN/>
            <w:adjustRightInd/>
            <w:spacing w:line="240" w:lineRule="auto"/>
            <w:ind w:left="851" w:hanging="284"/>
            <w:textAlignment w:val="auto"/>
          </w:pPr>
        </w:pPrChange>
      </w:pPr>
      <w:r w:rsidRPr="00181A64">
        <w:rPr>
          <w:rFonts w:eastAsia="Times New Roman"/>
          <w:lang w:eastAsia="en-US"/>
        </w:rPr>
        <w:t>-</w:t>
      </w:r>
      <w:r w:rsidRPr="00181A64">
        <w:rPr>
          <w:rFonts w:eastAsia="Times New Roman"/>
          <w:lang w:eastAsia="en-US"/>
        </w:rP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rsidRPr="00181A64">
        <w:rPr>
          <w:rFonts w:eastAsia="Times New Roman"/>
          <w:lang w:eastAsia="en-US"/>
        </w:rP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rsidRPr="00181A64">
        <w:rPr>
          <w:rFonts w:eastAsia="Times New Roman"/>
          <w:lang w:eastAsia="en-US"/>
        </w:rPr>
        <w:t xml:space="preserve">, </w:t>
      </w:r>
      <m:oMath>
        <m:r>
          <w:rPr>
            <w:rFonts w:ascii="Cambria Math" w:hAnsi="Cambria Math"/>
          </w:rPr>
          <m:t>i≠j</m:t>
        </m:r>
      </m:oMath>
      <w:r w:rsidRPr="00181A64">
        <w:rPr>
          <w:rFonts w:eastAsia="Times New Roman"/>
          <w:lang w:eastAsia="en-US"/>
        </w:rPr>
        <w:t>, and</w:t>
      </w:r>
    </w:p>
    <w:p w14:paraId="05DF1F4A" w14:textId="2BCE003A" w:rsidR="00181A64" w:rsidRPr="00181A64" w:rsidRDefault="00181A64">
      <w:pPr>
        <w:overflowPunct/>
        <w:autoSpaceDE/>
        <w:autoSpaceDN/>
        <w:adjustRightInd/>
        <w:spacing w:line="240" w:lineRule="auto"/>
        <w:ind w:left="1134" w:hanging="284"/>
        <w:textAlignment w:val="auto"/>
        <w:rPr>
          <w:rFonts w:eastAsia="Times New Roman"/>
          <w:lang w:eastAsia="en-US"/>
        </w:rPr>
        <w:pPrChange w:id="156" w:author="Stephen Grant" w:date="2021-11-13T07:59:00Z">
          <w:pPr>
            <w:overflowPunct/>
            <w:autoSpaceDE/>
            <w:autoSpaceDN/>
            <w:adjustRightInd/>
            <w:spacing w:line="240" w:lineRule="auto"/>
            <w:ind w:left="851" w:hanging="284"/>
            <w:textAlignment w:val="auto"/>
          </w:pPr>
        </w:pPrChange>
      </w:pPr>
      <w:r w:rsidRPr="00181A64">
        <w:rPr>
          <w:rFonts w:eastAsia="Times New Roman"/>
          <w:lang w:eastAsia="en-US"/>
        </w:rPr>
        <w:t>-</w:t>
      </w:r>
      <w:r w:rsidRPr="00181A64">
        <w:rPr>
          <w:rFonts w:eastAsia="Times New Roman"/>
          <w:lang w:eastAsia="en-US"/>
        </w:rP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81A64">
        <w:rPr>
          <w:rFonts w:eastAsia="Times New Roman"/>
          <w:lang w:eastAsia="en-US"/>
        </w:rPr>
        <w:t xml:space="preserve"> using Type 1 channel access procedure as described in clause 4.2.1.1, </w:t>
      </w:r>
    </w:p>
    <w:p w14:paraId="5BC01CDE" w14:textId="3F6188D3" w:rsidR="00181A64" w:rsidRPr="00181A64" w:rsidRDefault="00181A64">
      <w:pPr>
        <w:overflowPunct/>
        <w:autoSpaceDE/>
        <w:autoSpaceDN/>
        <w:adjustRightInd/>
        <w:spacing w:line="240" w:lineRule="auto"/>
        <w:ind w:left="1418" w:hanging="284"/>
        <w:textAlignment w:val="auto"/>
        <w:rPr>
          <w:rFonts w:eastAsia="Times New Roman"/>
          <w:lang w:eastAsia="en-US"/>
        </w:rPr>
        <w:pPrChange w:id="157" w:author="Stephen Grant" w:date="2021-11-13T07:59:00Z">
          <w:pPr>
            <w:overflowPunct/>
            <w:autoSpaceDE/>
            <w:autoSpaceDN/>
            <w:adjustRightInd/>
            <w:spacing w:line="240" w:lineRule="auto"/>
            <w:ind w:left="1135" w:hanging="284"/>
            <w:textAlignment w:val="auto"/>
          </w:pPr>
        </w:pPrChange>
      </w:pPr>
      <w:r w:rsidRPr="00181A64">
        <w:rPr>
          <w:rFonts w:eastAsia="Times New Roman"/>
          <w:lang w:eastAsia="en-US"/>
        </w:rPr>
        <w:t>-</w:t>
      </w:r>
      <w:r w:rsidRPr="00181A64">
        <w:rPr>
          <w:rFonts w:eastAsia="Times New Roman"/>
          <w:lang w:eastAsia="en-US"/>
        </w:rP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181A64">
        <w:rPr>
          <w:rFonts w:eastAsia="Times New Roman"/>
          <w:lang w:eastAsia="en-US"/>
        </w:rPr>
        <w:t xml:space="preserve"> is selected by the UE uniformly rand</w:t>
      </w:r>
      <w:proofErr w:type="spellStart"/>
      <w:r w:rsidRPr="00181A64">
        <w:rPr>
          <w:rFonts w:eastAsia="Times New Roman"/>
          <w:lang w:eastAsia="en-US"/>
        </w:rPr>
        <w:t>omly</w:t>
      </w:r>
      <w:proofErr w:type="spellEnd"/>
      <w:r w:rsidRPr="00181A64">
        <w:rPr>
          <w:rFonts w:eastAsia="Times New Roman"/>
          <w:lang w:eastAsia="en-US"/>
        </w:rPr>
        <w:t xml:space="preserve"> from the set of channels </w:t>
      </w:r>
      <m:oMath>
        <m:r>
          <w:rPr>
            <w:rFonts w:ascii="Cambria Math" w:hAnsi="Cambria Math"/>
          </w:rPr>
          <m:t>C</m:t>
        </m:r>
      </m:oMath>
      <w:r w:rsidRPr="00181A64">
        <w:rPr>
          <w:rFonts w:eastAsia="Times New Roman"/>
          <w:lang w:eastAsia="en-US"/>
        </w:rPr>
        <w:t xml:space="preserve"> before performing Type 1 channel access procedure on any channel in the set of channels </w:t>
      </w:r>
      <m:oMath>
        <m:r>
          <w:rPr>
            <w:rFonts w:ascii="Cambria Math" w:hAnsi="Cambria Math"/>
          </w:rPr>
          <m:t>C</m:t>
        </m:r>
      </m:oMath>
      <w:r w:rsidRPr="00181A64">
        <w:rPr>
          <w:rFonts w:eastAsia="Times New Roman"/>
          <w:lang w:eastAsia="en-US"/>
        </w:rPr>
        <w:t>.</w:t>
      </w:r>
    </w:p>
    <w:p w14:paraId="74205952" w14:textId="18D94D3A" w:rsidR="00181A64" w:rsidRPr="00181A64" w:rsidDel="00ED2B7E" w:rsidRDefault="00181A64">
      <w:pPr>
        <w:overflowPunct/>
        <w:autoSpaceDE/>
        <w:autoSpaceDN/>
        <w:adjustRightInd/>
        <w:spacing w:line="240" w:lineRule="auto"/>
        <w:ind w:left="1134" w:hanging="284"/>
        <w:textAlignment w:val="auto"/>
        <w:rPr>
          <w:del w:id="158" w:author="Stephen Grant" w:date="2021-11-13T07:58:00Z"/>
          <w:rFonts w:eastAsia="Times New Roman"/>
          <w:lang w:eastAsia="en-US"/>
        </w:rPr>
        <w:pPrChange w:id="159" w:author="Stephen Grant" w:date="2021-11-13T07:59:00Z">
          <w:pPr>
            <w:overflowPunct/>
            <w:autoSpaceDE/>
            <w:autoSpaceDN/>
            <w:adjustRightInd/>
            <w:spacing w:line="240" w:lineRule="auto"/>
            <w:ind w:left="851" w:hanging="284"/>
            <w:textAlignment w:val="auto"/>
          </w:pPr>
        </w:pPrChange>
      </w:pPr>
      <w:del w:id="160" w:author="Stephen Grant" w:date="2021-11-13T07:58:00Z">
        <w:r w:rsidRPr="00181A64" w:rsidDel="00ED2B7E">
          <w:rPr>
            <w:rFonts w:eastAsia="Times New Roman"/>
            <w:lang w:eastAsia="en-US"/>
          </w:rPr>
          <w:delText>-</w:delText>
        </w:r>
        <w:r w:rsidRPr="00181A64" w:rsidDel="00ED2B7E">
          <w:rPr>
            <w:rFonts w:eastAsia="Times New Roman"/>
            <w:lang w:eastAsia="en-US"/>
          </w:rPr>
          <w:tab/>
          <w:delText>if a UE is configured without intra-cell guard band(s) on a UL bandwidthpart as described in clause 7 in [8], the UE may not transmit on a channel  within the bandwidth of the carrier, if the UE fails to access any of the channels of the UL bandwidthpart.</w:delText>
        </w:r>
      </w:del>
    </w:p>
    <w:p w14:paraId="01721E54" w14:textId="6CBE3A77" w:rsidR="00ED2B7E" w:rsidRDefault="00ED2B7E">
      <w:pPr>
        <w:overflowPunct/>
        <w:autoSpaceDE/>
        <w:autoSpaceDN/>
        <w:adjustRightInd/>
        <w:spacing w:line="240" w:lineRule="auto"/>
        <w:ind w:left="851" w:hanging="284"/>
        <w:textAlignment w:val="auto"/>
        <w:rPr>
          <w:ins w:id="161" w:author="Stephen Grant" w:date="2021-11-13T07:58:00Z"/>
          <w:rFonts w:eastAsia="Times New Roman"/>
          <w:lang w:eastAsia="en-US"/>
        </w:rPr>
        <w:pPrChange w:id="162" w:author="Stephen Grant" w:date="2021-11-13T07:59:00Z">
          <w:pPr>
            <w:overflowPunct/>
            <w:autoSpaceDE/>
            <w:autoSpaceDN/>
            <w:adjustRightInd/>
            <w:spacing w:line="240" w:lineRule="auto"/>
            <w:ind w:left="568" w:hanging="284"/>
            <w:textAlignment w:val="auto"/>
          </w:pPr>
        </w:pPrChange>
      </w:pPr>
      <w:ins w:id="163" w:author="Stephen Grant" w:date="2021-11-13T07:58:00Z">
        <w:r>
          <w:rPr>
            <w:rFonts w:eastAsia="Times New Roman"/>
            <w:lang w:eastAsia="en-US"/>
          </w:rPr>
          <w:t>-</w:t>
        </w:r>
        <w:r>
          <w:rPr>
            <w:rFonts w:eastAsia="Times New Roman"/>
            <w:lang w:eastAsia="en-US"/>
          </w:rPr>
          <w:tab/>
          <w:t xml:space="preserve">the UE may transmit on channel </w:t>
        </w:r>
      </w:ins>
      <m:oMath>
        <m:sSub>
          <m:sSubPr>
            <m:ctrlPr>
              <w:ins w:id="164" w:author="Stephen Grant" w:date="2021-11-13T07:59:00Z">
                <w:rPr>
                  <w:rFonts w:ascii="Cambria Math" w:hAnsi="Cambria Math"/>
                  <w:i/>
                </w:rPr>
              </w:ins>
            </m:ctrlPr>
          </m:sSubPr>
          <m:e>
            <m:r>
              <w:ins w:id="165" w:author="Stephen Grant" w:date="2021-11-13T07:59:00Z">
                <w:rPr>
                  <w:rFonts w:ascii="Cambria Math" w:hAnsi="Cambria Math"/>
                </w:rPr>
                <m:t>c</m:t>
              </w:ins>
            </m:r>
          </m:e>
          <m:sub>
            <m:r>
              <w:ins w:id="166" w:author="Stephen Grant" w:date="2021-11-13T08:21:00Z">
                <w:rPr>
                  <w:rFonts w:ascii="Cambria Math" w:hAnsi="Cambria Math"/>
                </w:rPr>
                <m:t>i</m:t>
              </w:ins>
            </m:r>
          </m:sub>
        </m:sSub>
        <m:r>
          <w:ins w:id="167" w:author="Stephen Grant" w:date="2021-11-13T07:59:00Z">
            <w:rPr>
              <w:rFonts w:ascii="Cambria Math" w:hAnsi="Cambria Math"/>
            </w:rPr>
            <m:t>∈C</m:t>
          </w:ins>
        </m:r>
      </m:oMath>
      <w:ins w:id="168" w:author="Stephen Grant" w:date="2021-11-13T07:59:00Z">
        <w:r w:rsidRPr="00181A64">
          <w:rPr>
            <w:rFonts w:eastAsia="Times New Roman"/>
            <w:lang w:eastAsia="en-US"/>
          </w:rPr>
          <w:t xml:space="preserve"> using Type </w:t>
        </w:r>
        <w:r>
          <w:rPr>
            <w:rFonts w:eastAsia="Times New Roman"/>
            <w:lang w:eastAsia="en-US"/>
          </w:rPr>
          <w:t>1</w:t>
        </w:r>
        <w:r w:rsidRPr="00181A64">
          <w:rPr>
            <w:rFonts w:eastAsia="Times New Roman"/>
            <w:lang w:eastAsia="en-US"/>
          </w:rPr>
          <w:t xml:space="preserve"> channel access procedure as described in clause 4.2.1.</w:t>
        </w:r>
        <w:r>
          <w:rPr>
            <w:rFonts w:eastAsia="Times New Roman"/>
            <w:lang w:eastAsia="en-US"/>
          </w:rPr>
          <w:t>1</w:t>
        </w:r>
      </w:ins>
    </w:p>
    <w:p w14:paraId="2C74DCF4" w14:textId="63745873" w:rsidR="00181A64" w:rsidRDefault="00181A64" w:rsidP="00181A64">
      <w:pPr>
        <w:overflowPunct/>
        <w:autoSpaceDE/>
        <w:autoSpaceDN/>
        <w:adjustRightInd/>
        <w:spacing w:line="240" w:lineRule="auto"/>
        <w:ind w:left="568" w:hanging="284"/>
        <w:textAlignment w:val="auto"/>
        <w:rPr>
          <w:ins w:id="169" w:author="Stephen Grant" w:date="2021-11-13T07:53:00Z"/>
          <w:rFonts w:eastAsia="Times New Roman"/>
          <w:lang w:eastAsia="en-US"/>
        </w:rPr>
      </w:pPr>
      <w:r w:rsidRPr="00181A64">
        <w:rPr>
          <w:rFonts w:eastAsia="Times New Roman"/>
          <w:lang w:eastAsia="en-US"/>
        </w:rPr>
        <w:t>-</w:t>
      </w:r>
      <w:r w:rsidRPr="00181A64">
        <w:rPr>
          <w:rFonts w:eastAsia="Times New Roman"/>
          <w:lang w:eastAsia="en-US"/>
        </w:rPr>
        <w:tab/>
      </w:r>
      <w:del w:id="170" w:author="Stephen Grant" w:date="2021-11-13T07:53:00Z">
        <w:r w:rsidRPr="00181A64" w:rsidDel="00A75739">
          <w:rPr>
            <w:rFonts w:eastAsia="Times New Roman"/>
            <w:lang w:eastAsia="en-US"/>
          </w:rPr>
          <w:delText xml:space="preserve">otherwise, </w:delText>
        </w:r>
      </w:del>
      <w:r w:rsidRPr="00181A64">
        <w:rPr>
          <w:rFonts w:eastAsia="Times New Roman"/>
          <w:lang w:eastAsia="en-US"/>
        </w:rPr>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rsidRPr="00181A64">
        <w:rPr>
          <w:rFonts w:eastAsia="Times New Roman"/>
          <w:lang w:eastAsia="en-US"/>
        </w:rPr>
        <w:t xml:space="preserve"> within the bandwidth of a carrier, if the UE fails to access any of the channels, of the carrier bandwidth, on which the UE is scheduled or configured </w:t>
      </w:r>
      <w:del w:id="171" w:author="Stephen Grant" w:date="2021-11-13T07:53:00Z">
        <w:r w:rsidRPr="00181A64" w:rsidDel="00A75739">
          <w:rPr>
            <w:rFonts w:eastAsia="Times New Roman"/>
            <w:lang w:eastAsia="en-US"/>
          </w:rPr>
          <w:delText xml:space="preserve">by </w:delText>
        </w:r>
      </w:del>
      <w:ins w:id="172" w:author="Stephen Grant" w:date="2021-11-13T07:53:00Z">
        <w:r w:rsidR="00A75739">
          <w:rPr>
            <w:rFonts w:eastAsia="Times New Roman"/>
            <w:lang w:eastAsia="en-US"/>
          </w:rPr>
          <w:t>with</w:t>
        </w:r>
        <w:r w:rsidR="00A75739" w:rsidRPr="00181A64">
          <w:rPr>
            <w:rFonts w:eastAsia="Times New Roman"/>
            <w:lang w:eastAsia="en-US"/>
          </w:rPr>
          <w:t xml:space="preserve"> </w:t>
        </w:r>
      </w:ins>
      <w:r w:rsidRPr="00181A64">
        <w:rPr>
          <w:rFonts w:eastAsia="Times New Roman"/>
          <w:lang w:eastAsia="en-US"/>
        </w:rPr>
        <w:t>UL resources.</w:t>
      </w:r>
    </w:p>
    <w:p w14:paraId="5A6AB3A4" w14:textId="5CCBC5DD" w:rsidR="00A75739" w:rsidRPr="00181A64" w:rsidRDefault="00A75739" w:rsidP="00ED2B7E">
      <w:pPr>
        <w:overflowPunct/>
        <w:autoSpaceDE/>
        <w:autoSpaceDN/>
        <w:adjustRightInd/>
        <w:spacing w:line="240" w:lineRule="auto"/>
        <w:ind w:left="568" w:hanging="284"/>
        <w:textAlignment w:val="auto"/>
        <w:rPr>
          <w:rFonts w:eastAsia="Times New Roman"/>
          <w:lang w:eastAsia="en-US"/>
        </w:rPr>
      </w:pPr>
      <w:ins w:id="173" w:author="Stephen Grant" w:date="2021-11-13T07:53:00Z">
        <w:r>
          <w:rPr>
            <w:rFonts w:eastAsia="Times New Roman"/>
            <w:lang w:eastAsia="en-US"/>
          </w:rPr>
          <w:t>-</w:t>
        </w:r>
        <w:r>
          <w:rPr>
            <w:rFonts w:eastAsia="Times New Roman"/>
            <w:lang w:eastAsia="en-US"/>
          </w:rPr>
          <w:tab/>
          <w:t>the UE may not transmit on a channel within the bandwidth of a carrier if</w:t>
        </w:r>
      </w:ins>
      <w:ins w:id="174" w:author="Stephen Grant" w:date="2021-11-13T07:56:00Z">
        <w:r w:rsidR="00ED2B7E">
          <w:rPr>
            <w:rFonts w:eastAsia="Times New Roman"/>
            <w:lang w:eastAsia="en-US"/>
          </w:rPr>
          <w:t xml:space="preserve"> </w:t>
        </w:r>
      </w:ins>
      <w:ins w:id="175" w:author="Stephen Grant" w:date="2021-11-13T07:53:00Z">
        <w:r>
          <w:rPr>
            <w:rFonts w:eastAsia="Times New Roman"/>
            <w:lang w:eastAsia="en-US"/>
          </w:rPr>
          <w:t>the UE is configured without intra-cell guard band(s)</w:t>
        </w:r>
      </w:ins>
      <w:ins w:id="176" w:author="Stephen Grant" w:date="2021-11-13T07:54:00Z">
        <w:r>
          <w:rPr>
            <w:rFonts w:eastAsia="Times New Roman"/>
            <w:lang w:eastAsia="en-US"/>
          </w:rPr>
          <w:t xml:space="preserve"> on an UL bandwidth part as described in clause 7 of [8]</w:t>
        </w:r>
      </w:ins>
      <w:ins w:id="177" w:author="Stephen Grant" w:date="2021-11-13T07:56:00Z">
        <w:r w:rsidR="00ED2B7E">
          <w:rPr>
            <w:rFonts w:eastAsia="Times New Roman"/>
            <w:lang w:eastAsia="en-US"/>
          </w:rPr>
          <w:t>,</w:t>
        </w:r>
      </w:ins>
      <w:ins w:id="178" w:author="Stephen Grant" w:date="2021-11-13T07:54:00Z">
        <w:r>
          <w:rPr>
            <w:rFonts w:eastAsia="Times New Roman"/>
            <w:lang w:eastAsia="en-US"/>
          </w:rPr>
          <w:t xml:space="preserve"> and</w:t>
        </w:r>
      </w:ins>
      <w:ins w:id="179" w:author="Stephen Grant" w:date="2021-11-13T07:56:00Z">
        <w:r w:rsidR="00ED2B7E">
          <w:rPr>
            <w:rFonts w:eastAsia="Times New Roman"/>
            <w:lang w:eastAsia="en-US"/>
          </w:rPr>
          <w:tab/>
        </w:r>
      </w:ins>
      <w:ins w:id="180" w:author="Stephen Grant" w:date="2021-11-13T07:54:00Z">
        <w:r>
          <w:rPr>
            <w:rFonts w:eastAsia="Times New Roman"/>
            <w:lang w:eastAsia="en-US"/>
          </w:rPr>
          <w:t>the UE fails to access any of the channels of the UL bandwidth part.</w:t>
        </w:r>
      </w:ins>
    </w:p>
    <w:p w14:paraId="202F980A" w14:textId="77777777" w:rsidR="00181A64" w:rsidRDefault="00181A64" w:rsidP="00181A64">
      <w:pPr>
        <w:overflowPunct/>
        <w:autoSpaceDE/>
        <w:autoSpaceDN/>
        <w:adjustRightInd/>
        <w:spacing w:after="120"/>
        <w:jc w:val="center"/>
        <w:textAlignment w:val="auto"/>
        <w:rPr>
          <w:rFonts w:ascii="Arial" w:eastAsia="Calibri" w:hAnsi="Arial" w:cs="Arial"/>
          <w:color w:val="FF0000"/>
          <w:lang w:val="en-US" w:eastAsia="zh-CN"/>
        </w:rPr>
      </w:pPr>
      <w:r>
        <w:rPr>
          <w:rFonts w:ascii="Arial" w:eastAsia="Calibri" w:hAnsi="Arial" w:cs="Arial"/>
          <w:color w:val="FF0000"/>
          <w:lang w:val="en-US" w:eastAsia="zh-CN"/>
        </w:rPr>
        <w:t>*** Unchanged text omitted ***</w:t>
      </w:r>
    </w:p>
    <w:p w14:paraId="387AE04D" w14:textId="77777777" w:rsidR="00181A64" w:rsidRPr="00181A64" w:rsidRDefault="00181A64" w:rsidP="00181A64"/>
    <w:sectPr w:rsidR="00181A64" w:rsidRPr="00181A64">
      <w:headerReference w:type="even" r:id="rId17"/>
      <w:footerReference w:type="default" r:id="rId1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127E" w14:textId="77777777" w:rsidR="003263AA" w:rsidRDefault="003263AA">
      <w:pPr>
        <w:spacing w:after="0" w:line="240" w:lineRule="auto"/>
      </w:pPr>
      <w:r>
        <w:separator/>
      </w:r>
    </w:p>
  </w:endnote>
  <w:endnote w:type="continuationSeparator" w:id="0">
    <w:p w14:paraId="6EEC0B63" w14:textId="77777777" w:rsidR="003263AA" w:rsidRDefault="0032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EA44" w14:textId="3EF2C14A" w:rsidR="00BF5431" w:rsidRDefault="00D449B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7137F">
      <w:rPr>
        <w:rStyle w:val="af5"/>
        <w:noProof/>
      </w:rPr>
      <w:t>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7137F">
      <w:rPr>
        <w:rStyle w:val="af5"/>
        <w:noProof/>
      </w:rPr>
      <w:t>9</w:t>
    </w:r>
    <w:r>
      <w:rPr>
        <w:rStyle w:val="af5"/>
      </w:rPr>
      <w:fldChar w:fldCharType="end"/>
    </w:r>
    <w:r>
      <w:rPr>
        <w:rStyle w:val="af5"/>
      </w:rPr>
      <w:tab/>
    </w:r>
  </w:p>
  <w:p w14:paraId="00850FD8" w14:textId="77777777" w:rsidR="00BF5431" w:rsidRDefault="00BF54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7D221" w14:textId="77777777" w:rsidR="003263AA" w:rsidRDefault="003263AA">
      <w:pPr>
        <w:spacing w:after="0" w:line="240" w:lineRule="auto"/>
      </w:pPr>
      <w:r>
        <w:separator/>
      </w:r>
    </w:p>
  </w:footnote>
  <w:footnote w:type="continuationSeparator" w:id="0">
    <w:p w14:paraId="5B904743" w14:textId="77777777" w:rsidR="003263AA" w:rsidRDefault="00326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9AAA" w14:textId="77777777" w:rsidR="00BF5431" w:rsidRDefault="00D449B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2E85" w14:textId="77777777" w:rsidR="00BF5431" w:rsidRDefault="00D449BF">
    <w:r>
      <w:t xml:space="preserve">Page </w:t>
    </w:r>
    <w:r>
      <w:fldChar w:fldCharType="begin"/>
    </w:r>
    <w:r>
      <w:instrText>PAGE</w:instrText>
    </w:r>
    <w:r>
      <w:fldChar w:fldCharType="separate"/>
    </w:r>
    <w:r>
      <w:t>4</w:t>
    </w:r>
    <w:r>
      <w:fldChar w:fldCharType="end"/>
    </w:r>
    <w:r>
      <w:br/>
      <w:t>Draft prETS 300 ???: Month YYYY</w:t>
    </w:r>
  </w:p>
  <w:p w14:paraId="2FC85C97" w14:textId="77777777" w:rsidR="00BF5431" w:rsidRDefault="00BF54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6"/>
  </w:num>
  <w:num w:numId="3">
    <w:abstractNumId w:val="1"/>
  </w:num>
  <w:num w:numId="4">
    <w:abstractNumId w:val="4"/>
  </w:num>
  <w:num w:numId="5">
    <w:abstractNumId w:val="3"/>
  </w:num>
  <w:num w:numId="6">
    <w:abstractNumId w:val="11"/>
  </w:num>
  <w:num w:numId="7">
    <w:abstractNumId w:val="0"/>
  </w:num>
  <w:num w:numId="8">
    <w:abstractNumId w:val="13"/>
  </w:num>
  <w:num w:numId="9">
    <w:abstractNumId w:val="5"/>
  </w:num>
  <w:num w:numId="10">
    <w:abstractNumId w:val="8"/>
  </w:num>
  <w:num w:numId="11">
    <w:abstractNumId w:val="7"/>
  </w:num>
  <w:num w:numId="12">
    <w:abstractNumId w:val="9"/>
  </w:num>
  <w:num w:numId="13">
    <w:abstractNumId w:val="10"/>
  </w:num>
  <w:num w:numId="14">
    <w:abstractNumId w:val="15"/>
  </w:num>
  <w:num w:numId="15">
    <w:abstractNumId w:val="14"/>
  </w:num>
  <w:num w:numId="16">
    <w:abstractNumId w:val="2"/>
  </w:num>
  <w:num w:numId="17">
    <w:abstractNumId w:val="16"/>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Grant">
    <w15:presenceInfo w15:providerId="None" w15:userId="Stephen Grant"/>
  </w15:person>
  <w15:person w15:author="Zuomin Wu">
    <w15:presenceInfo w15:providerId="None" w15:userId="Zuom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8D0"/>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3CB"/>
    <w:rsid w:val="00024BCE"/>
    <w:rsid w:val="0002564D"/>
    <w:rsid w:val="00025A54"/>
    <w:rsid w:val="00025ECA"/>
    <w:rsid w:val="00026735"/>
    <w:rsid w:val="000270A2"/>
    <w:rsid w:val="00027BDA"/>
    <w:rsid w:val="00027F91"/>
    <w:rsid w:val="000302B9"/>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46CB2"/>
    <w:rsid w:val="00050DAC"/>
    <w:rsid w:val="0005254D"/>
    <w:rsid w:val="00052A07"/>
    <w:rsid w:val="00052EA3"/>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697E"/>
    <w:rsid w:val="00077E5F"/>
    <w:rsid w:val="0008036A"/>
    <w:rsid w:val="0008154E"/>
    <w:rsid w:val="00081AE6"/>
    <w:rsid w:val="00084FEF"/>
    <w:rsid w:val="000855EB"/>
    <w:rsid w:val="00085B52"/>
    <w:rsid w:val="00086079"/>
    <w:rsid w:val="000863D9"/>
    <w:rsid w:val="000866F2"/>
    <w:rsid w:val="00086936"/>
    <w:rsid w:val="00087B20"/>
    <w:rsid w:val="00087E07"/>
    <w:rsid w:val="0009009F"/>
    <w:rsid w:val="0009121A"/>
    <w:rsid w:val="00091557"/>
    <w:rsid w:val="000916C2"/>
    <w:rsid w:val="000924C1"/>
    <w:rsid w:val="000924F0"/>
    <w:rsid w:val="00093474"/>
    <w:rsid w:val="00093478"/>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44EA"/>
    <w:rsid w:val="001551B5"/>
    <w:rsid w:val="00155CA7"/>
    <w:rsid w:val="0015640C"/>
    <w:rsid w:val="00156461"/>
    <w:rsid w:val="00157FA4"/>
    <w:rsid w:val="00161476"/>
    <w:rsid w:val="00161B01"/>
    <w:rsid w:val="00164B28"/>
    <w:rsid w:val="001659C1"/>
    <w:rsid w:val="001663AF"/>
    <w:rsid w:val="00166E7D"/>
    <w:rsid w:val="00167991"/>
    <w:rsid w:val="00170DD8"/>
    <w:rsid w:val="0017137F"/>
    <w:rsid w:val="00172A6D"/>
    <w:rsid w:val="00173A8E"/>
    <w:rsid w:val="00174A29"/>
    <w:rsid w:val="00174F9A"/>
    <w:rsid w:val="0017502C"/>
    <w:rsid w:val="001757EF"/>
    <w:rsid w:val="001763DE"/>
    <w:rsid w:val="00176EDA"/>
    <w:rsid w:val="001775FC"/>
    <w:rsid w:val="00180A47"/>
    <w:rsid w:val="00180A5D"/>
    <w:rsid w:val="0018143F"/>
    <w:rsid w:val="00181A64"/>
    <w:rsid w:val="00181FF8"/>
    <w:rsid w:val="001824FE"/>
    <w:rsid w:val="00184C0C"/>
    <w:rsid w:val="0018628B"/>
    <w:rsid w:val="001877EF"/>
    <w:rsid w:val="00190073"/>
    <w:rsid w:val="00190AC1"/>
    <w:rsid w:val="001913BD"/>
    <w:rsid w:val="001932A4"/>
    <w:rsid w:val="0019341A"/>
    <w:rsid w:val="001956BC"/>
    <w:rsid w:val="00195EF2"/>
    <w:rsid w:val="00197DF9"/>
    <w:rsid w:val="00197EA4"/>
    <w:rsid w:val="001A1578"/>
    <w:rsid w:val="001A1987"/>
    <w:rsid w:val="001A2564"/>
    <w:rsid w:val="001A275C"/>
    <w:rsid w:val="001A3673"/>
    <w:rsid w:val="001A49C8"/>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25"/>
    <w:rsid w:val="00232C65"/>
    <w:rsid w:val="00235632"/>
    <w:rsid w:val="00235872"/>
    <w:rsid w:val="00240B00"/>
    <w:rsid w:val="00241559"/>
    <w:rsid w:val="002415E9"/>
    <w:rsid w:val="00241B50"/>
    <w:rsid w:val="002420A4"/>
    <w:rsid w:val="002424C8"/>
    <w:rsid w:val="0024271E"/>
    <w:rsid w:val="002435B3"/>
    <w:rsid w:val="002435B4"/>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5CF"/>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3AA"/>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67D9D"/>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462"/>
    <w:rsid w:val="003A0B3B"/>
    <w:rsid w:val="003A2223"/>
    <w:rsid w:val="003A2268"/>
    <w:rsid w:val="003A2A0F"/>
    <w:rsid w:val="003A3AF6"/>
    <w:rsid w:val="003A3E00"/>
    <w:rsid w:val="003A40E1"/>
    <w:rsid w:val="003A4156"/>
    <w:rsid w:val="003A45A1"/>
    <w:rsid w:val="003A4645"/>
    <w:rsid w:val="003A4CA4"/>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5D8E"/>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DD4"/>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2A1F"/>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46B9"/>
    <w:rsid w:val="00576B6D"/>
    <w:rsid w:val="00580DEE"/>
    <w:rsid w:val="005818FC"/>
    <w:rsid w:val="00581C27"/>
    <w:rsid w:val="00582809"/>
    <w:rsid w:val="00584305"/>
    <w:rsid w:val="00584A61"/>
    <w:rsid w:val="00586EDF"/>
    <w:rsid w:val="0058798C"/>
    <w:rsid w:val="005900FA"/>
    <w:rsid w:val="00592AAB"/>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6FD8"/>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07B4D"/>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57F23"/>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180F"/>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40F"/>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4AC"/>
    <w:rsid w:val="006F0547"/>
    <w:rsid w:val="006F059C"/>
    <w:rsid w:val="006F082E"/>
    <w:rsid w:val="006F0E01"/>
    <w:rsid w:val="006F1B70"/>
    <w:rsid w:val="006F2BCA"/>
    <w:rsid w:val="006F3178"/>
    <w:rsid w:val="006F341D"/>
    <w:rsid w:val="006F3CDE"/>
    <w:rsid w:val="006F3EFB"/>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1260"/>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06C"/>
    <w:rsid w:val="007426A7"/>
    <w:rsid w:val="0074360F"/>
    <w:rsid w:val="007445A0"/>
    <w:rsid w:val="0074524B"/>
    <w:rsid w:val="00745522"/>
    <w:rsid w:val="00746D2B"/>
    <w:rsid w:val="00747D8B"/>
    <w:rsid w:val="00751228"/>
    <w:rsid w:val="0075167E"/>
    <w:rsid w:val="0075322A"/>
    <w:rsid w:val="007539A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793"/>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06B0"/>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3097"/>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314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1F7C"/>
    <w:rsid w:val="008B3D93"/>
    <w:rsid w:val="008B51A0"/>
    <w:rsid w:val="008B592A"/>
    <w:rsid w:val="008B64BC"/>
    <w:rsid w:val="008B7B5C"/>
    <w:rsid w:val="008B7B89"/>
    <w:rsid w:val="008C0018"/>
    <w:rsid w:val="008C0C99"/>
    <w:rsid w:val="008C0DF4"/>
    <w:rsid w:val="008C0E21"/>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727"/>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3AB0"/>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7F9"/>
    <w:rsid w:val="00985C8A"/>
    <w:rsid w:val="00986D66"/>
    <w:rsid w:val="00987B57"/>
    <w:rsid w:val="00990522"/>
    <w:rsid w:val="00990630"/>
    <w:rsid w:val="00990ECA"/>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5538"/>
    <w:rsid w:val="00A264A9"/>
    <w:rsid w:val="00A2651C"/>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4777"/>
    <w:rsid w:val="00A455D1"/>
    <w:rsid w:val="00A45B74"/>
    <w:rsid w:val="00A473FB"/>
    <w:rsid w:val="00A50E0B"/>
    <w:rsid w:val="00A50EF3"/>
    <w:rsid w:val="00A5198B"/>
    <w:rsid w:val="00A5205D"/>
    <w:rsid w:val="00A52CB6"/>
    <w:rsid w:val="00A52E1D"/>
    <w:rsid w:val="00A53520"/>
    <w:rsid w:val="00A57165"/>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739"/>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B7E"/>
    <w:rsid w:val="00AC3DB1"/>
    <w:rsid w:val="00AC49FB"/>
    <w:rsid w:val="00AC532E"/>
    <w:rsid w:val="00AC56BE"/>
    <w:rsid w:val="00AC58A3"/>
    <w:rsid w:val="00AC5A10"/>
    <w:rsid w:val="00AC60E1"/>
    <w:rsid w:val="00AC6FEC"/>
    <w:rsid w:val="00AC700F"/>
    <w:rsid w:val="00AC728E"/>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C9D"/>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07A22"/>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165"/>
    <w:rsid w:val="00B548B7"/>
    <w:rsid w:val="00B54AB4"/>
    <w:rsid w:val="00B54E28"/>
    <w:rsid w:val="00B56BEE"/>
    <w:rsid w:val="00B600DD"/>
    <w:rsid w:val="00B6097E"/>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3EA6"/>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1A30"/>
    <w:rsid w:val="00BB2A25"/>
    <w:rsid w:val="00BB2E2E"/>
    <w:rsid w:val="00BB2EDD"/>
    <w:rsid w:val="00BB3069"/>
    <w:rsid w:val="00BB3E0F"/>
    <w:rsid w:val="00BB4595"/>
    <w:rsid w:val="00BB51E9"/>
    <w:rsid w:val="00BB5554"/>
    <w:rsid w:val="00BB591B"/>
    <w:rsid w:val="00BB5A49"/>
    <w:rsid w:val="00BB68ED"/>
    <w:rsid w:val="00BB7B45"/>
    <w:rsid w:val="00BC010B"/>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D35"/>
    <w:rsid w:val="00BE6F6E"/>
    <w:rsid w:val="00BE73BD"/>
    <w:rsid w:val="00BE7406"/>
    <w:rsid w:val="00BE7603"/>
    <w:rsid w:val="00BF1484"/>
    <w:rsid w:val="00BF3279"/>
    <w:rsid w:val="00BF3F60"/>
    <w:rsid w:val="00BF4A45"/>
    <w:rsid w:val="00BF4AF7"/>
    <w:rsid w:val="00BF4E8F"/>
    <w:rsid w:val="00BF4F35"/>
    <w:rsid w:val="00BF5431"/>
    <w:rsid w:val="00BF5E5D"/>
    <w:rsid w:val="00BF63FB"/>
    <w:rsid w:val="00BF74C7"/>
    <w:rsid w:val="00BF7A4C"/>
    <w:rsid w:val="00C00572"/>
    <w:rsid w:val="00C00AD4"/>
    <w:rsid w:val="00C013D5"/>
    <w:rsid w:val="00C015F1"/>
    <w:rsid w:val="00C01C7D"/>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0E2"/>
    <w:rsid w:val="00C2532D"/>
    <w:rsid w:val="00C25C8F"/>
    <w:rsid w:val="00C26DD9"/>
    <w:rsid w:val="00C279B5"/>
    <w:rsid w:val="00C27B0E"/>
    <w:rsid w:val="00C27C45"/>
    <w:rsid w:val="00C30054"/>
    <w:rsid w:val="00C307F1"/>
    <w:rsid w:val="00C30AC6"/>
    <w:rsid w:val="00C318F2"/>
    <w:rsid w:val="00C31F21"/>
    <w:rsid w:val="00C3340C"/>
    <w:rsid w:val="00C34430"/>
    <w:rsid w:val="00C3679F"/>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C84"/>
    <w:rsid w:val="00C62E3A"/>
    <w:rsid w:val="00C63211"/>
    <w:rsid w:val="00C641CF"/>
    <w:rsid w:val="00C64672"/>
    <w:rsid w:val="00C65C04"/>
    <w:rsid w:val="00C65EAB"/>
    <w:rsid w:val="00C6667F"/>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0459"/>
    <w:rsid w:val="00C81568"/>
    <w:rsid w:val="00C82811"/>
    <w:rsid w:val="00C82D8C"/>
    <w:rsid w:val="00C82DD6"/>
    <w:rsid w:val="00C83110"/>
    <w:rsid w:val="00C83295"/>
    <w:rsid w:val="00C856DF"/>
    <w:rsid w:val="00C85A1C"/>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2E2A"/>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5E59"/>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2E50"/>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9BF"/>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67EDF"/>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170"/>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509"/>
    <w:rsid w:val="00DF37A0"/>
    <w:rsid w:val="00DF3AA6"/>
    <w:rsid w:val="00DF492C"/>
    <w:rsid w:val="00DF4FD0"/>
    <w:rsid w:val="00DF6746"/>
    <w:rsid w:val="00DF6F7B"/>
    <w:rsid w:val="00DF7564"/>
    <w:rsid w:val="00DF7F4B"/>
    <w:rsid w:val="00E00AED"/>
    <w:rsid w:val="00E018DF"/>
    <w:rsid w:val="00E0224C"/>
    <w:rsid w:val="00E0345C"/>
    <w:rsid w:val="00E039A1"/>
    <w:rsid w:val="00E06421"/>
    <w:rsid w:val="00E077DB"/>
    <w:rsid w:val="00E110E7"/>
    <w:rsid w:val="00E11B20"/>
    <w:rsid w:val="00E11CCA"/>
    <w:rsid w:val="00E123E7"/>
    <w:rsid w:val="00E1423D"/>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47ED8"/>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9A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2B7E"/>
    <w:rsid w:val="00ED36F3"/>
    <w:rsid w:val="00ED37D4"/>
    <w:rsid w:val="00ED3CB9"/>
    <w:rsid w:val="00ED44DD"/>
    <w:rsid w:val="00ED4CC5"/>
    <w:rsid w:val="00ED6DC9"/>
    <w:rsid w:val="00EE247F"/>
    <w:rsid w:val="00EE270E"/>
    <w:rsid w:val="00EE30F1"/>
    <w:rsid w:val="00EE3630"/>
    <w:rsid w:val="00EE3FC4"/>
    <w:rsid w:val="00EE47F8"/>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56E"/>
    <w:rsid w:val="00EF77EB"/>
    <w:rsid w:val="00F00585"/>
    <w:rsid w:val="00F00A36"/>
    <w:rsid w:val="00F01228"/>
    <w:rsid w:val="00F01C85"/>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7BC"/>
    <w:rsid w:val="00F36A6A"/>
    <w:rsid w:val="00F40A01"/>
    <w:rsid w:val="00F40C7F"/>
    <w:rsid w:val="00F40F0C"/>
    <w:rsid w:val="00F41054"/>
    <w:rsid w:val="00F4119C"/>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66D"/>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4C39"/>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5B614C"/>
    <w:rsid w:val="05D77F62"/>
    <w:rsid w:val="061C031A"/>
    <w:rsid w:val="069F3BB2"/>
    <w:rsid w:val="081442AA"/>
    <w:rsid w:val="082427C4"/>
    <w:rsid w:val="08DD52DA"/>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175AE0"/>
    <w:rsid w:val="101E2B45"/>
    <w:rsid w:val="10271A69"/>
    <w:rsid w:val="103E598E"/>
    <w:rsid w:val="10FD4CAE"/>
    <w:rsid w:val="11731682"/>
    <w:rsid w:val="11E90811"/>
    <w:rsid w:val="142C0204"/>
    <w:rsid w:val="158011EC"/>
    <w:rsid w:val="15C60135"/>
    <w:rsid w:val="161B1B28"/>
    <w:rsid w:val="163F6617"/>
    <w:rsid w:val="1658582F"/>
    <w:rsid w:val="16BA09DC"/>
    <w:rsid w:val="16CE2898"/>
    <w:rsid w:val="182B0D5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AA72966"/>
    <w:rsid w:val="2C0E542D"/>
    <w:rsid w:val="2C25632C"/>
    <w:rsid w:val="2C740A46"/>
    <w:rsid w:val="2C822208"/>
    <w:rsid w:val="2D143726"/>
    <w:rsid w:val="2DC01D0A"/>
    <w:rsid w:val="2DCD6E66"/>
    <w:rsid w:val="2DEB2415"/>
    <w:rsid w:val="2F7E2BD1"/>
    <w:rsid w:val="2FAB3205"/>
    <w:rsid w:val="2FB47575"/>
    <w:rsid w:val="306E5790"/>
    <w:rsid w:val="30BC765C"/>
    <w:rsid w:val="317D0561"/>
    <w:rsid w:val="31FE41EA"/>
    <w:rsid w:val="323A007A"/>
    <w:rsid w:val="332F7EBB"/>
    <w:rsid w:val="338E24C5"/>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AF574E2"/>
    <w:rsid w:val="4B0E0B5A"/>
    <w:rsid w:val="4BB5259E"/>
    <w:rsid w:val="4C16459A"/>
    <w:rsid w:val="4D0F4ED9"/>
    <w:rsid w:val="4EE81C19"/>
    <w:rsid w:val="4FE670CF"/>
    <w:rsid w:val="50662B66"/>
    <w:rsid w:val="519D3B3D"/>
    <w:rsid w:val="537921CC"/>
    <w:rsid w:val="53BF1945"/>
    <w:rsid w:val="54C607F0"/>
    <w:rsid w:val="55013F68"/>
    <w:rsid w:val="55337938"/>
    <w:rsid w:val="55A300A9"/>
    <w:rsid w:val="56387B39"/>
    <w:rsid w:val="58BA7DB6"/>
    <w:rsid w:val="59603FD5"/>
    <w:rsid w:val="5B7D3B25"/>
    <w:rsid w:val="5BAB3848"/>
    <w:rsid w:val="5F1C2C47"/>
    <w:rsid w:val="5F3D079A"/>
    <w:rsid w:val="5F486736"/>
    <w:rsid w:val="5F9C4CCE"/>
    <w:rsid w:val="5FAD24EF"/>
    <w:rsid w:val="5FC76482"/>
    <w:rsid w:val="6095CDD4"/>
    <w:rsid w:val="60AF629C"/>
    <w:rsid w:val="6147393A"/>
    <w:rsid w:val="61A30572"/>
    <w:rsid w:val="63F32DB2"/>
    <w:rsid w:val="643809B4"/>
    <w:rsid w:val="65B974D9"/>
    <w:rsid w:val="66C86CD3"/>
    <w:rsid w:val="67DD6843"/>
    <w:rsid w:val="692B27C7"/>
    <w:rsid w:val="6A36777C"/>
    <w:rsid w:val="6B0C0F51"/>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3B5AB4"/>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1CE027"/>
  <w15:docId w15:val="{216D7DAD-C83A-474B-B340-4337A43A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Body Text 2"/>
    <w:basedOn w:val="a1"/>
    <w:link w:val="2Char0"/>
    <w:qFormat/>
    <w:pPr>
      <w:spacing w:after="120" w:line="480" w:lineRule="auto"/>
    </w:pPr>
  </w:style>
  <w:style w:type="paragraph" w:styleId="25">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6">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uiPriority w:val="35"/>
    <w:qFormat/>
    <w:locked/>
    <w:rPr>
      <w:rFonts w:ascii="Times New Roman" w:hAnsi="Times New Roman"/>
      <w:b/>
      <w:lang w:val="en-GB" w:eastAsia="en-GB"/>
    </w:rPr>
  </w:style>
  <w:style w:type="character" w:styleId="afc">
    <w:name w:val="Placeholder Text"/>
    <w:basedOn w:val="a2"/>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a1"/>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B3Char">
    <w:name w:val="B3 Char"/>
    <w:basedOn w:val="a2"/>
    <w:qFormat/>
    <w:rPr>
      <w:rFonts w:ascii="Times New Roman" w:eastAsia="Times New Roman" w:hAnsi="Times New Roman"/>
      <w:lang w:val="en-GB" w:eastAsia="en-GB"/>
    </w:rPr>
  </w:style>
  <w:style w:type="table" w:customStyle="1" w:styleId="TableGrid1">
    <w:name w:val="Table Grid1"/>
    <w:basedOn w:val="a3"/>
    <w:qFormat/>
    <w:pPr>
      <w:spacing w:after="0" w:line="240" w:lineRule="auto"/>
    </w:pPr>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0">
    <w:name w:val="본문 2 Char"/>
    <w:basedOn w:val="a2"/>
    <w:link w:val="24"/>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F44B7-1504-4E9F-8EEB-F6BAF79A23CF}">
  <ds:schemaRefs>
    <ds:schemaRef ds:uri="http://schemas.openxmlformats.org/officeDocument/2006/bibliography"/>
  </ds:schemaRefs>
</ds:datastoreItem>
</file>

<file path=customXml/itemProps5.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9</Pages>
  <Words>3015</Words>
  <Characters>17190</Characters>
  <Application>Microsoft Office Word</Application>
  <DocSecurity>0</DocSecurity>
  <Lines>143</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Noh Minseok</cp:lastModifiedBy>
  <cp:revision>2</cp:revision>
  <cp:lastPrinted>2008-01-30T21:09:00Z</cp:lastPrinted>
  <dcterms:created xsi:type="dcterms:W3CDTF">2021-11-16T02:56:00Z</dcterms:created>
  <dcterms:modified xsi:type="dcterms:W3CDTF">2021-11-16T02:56:00Z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