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9812D" w14:textId="792E9B54" w:rsidR="00186997" w:rsidRPr="006E28C2" w:rsidRDefault="00186997" w:rsidP="00CD5593">
      <w:pPr>
        <w:tabs>
          <w:tab w:val="center" w:pos="4536"/>
          <w:tab w:val="right" w:pos="8280"/>
          <w:tab w:val="right" w:pos="9639"/>
        </w:tabs>
        <w:wordWrap/>
        <w:ind w:right="2"/>
        <w:rPr>
          <w:rFonts w:ascii="Times New Roman" w:hAnsi="Times New Roman"/>
          <w:b/>
          <w:bCs/>
          <w:sz w:val="28"/>
        </w:rPr>
      </w:pPr>
      <w:r w:rsidRPr="006E28C2">
        <w:rPr>
          <w:rFonts w:ascii="Times New Roman" w:hAnsi="Times New Roman"/>
          <w:b/>
          <w:bCs/>
          <w:sz w:val="28"/>
        </w:rPr>
        <w:t>3GPP TSG RAN WG1 #10</w:t>
      </w:r>
      <w:r w:rsidR="00984E85">
        <w:rPr>
          <w:rFonts w:ascii="Times New Roman" w:hAnsi="Times New Roman"/>
          <w:b/>
          <w:bCs/>
          <w:sz w:val="28"/>
        </w:rPr>
        <w:t>7</w:t>
      </w:r>
      <w:r w:rsidRPr="006E28C2">
        <w:rPr>
          <w:rFonts w:ascii="Times New Roman" w:hAnsi="Times New Roman"/>
          <w:b/>
          <w:bCs/>
          <w:sz w:val="28"/>
        </w:rPr>
        <w:t>-e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0C7C3A">
        <w:rPr>
          <w:rFonts w:ascii="Times New Roman" w:hAnsi="Times New Roman"/>
          <w:b/>
          <w:bCs/>
          <w:sz w:val="28"/>
        </w:rPr>
        <w:t>R1-</w:t>
      </w:r>
      <w:r w:rsidR="00AB0C9E" w:rsidRPr="00AB0C9E">
        <w:rPr>
          <w:rFonts w:ascii="Times New Roman" w:hAnsi="Times New Roman"/>
          <w:b/>
          <w:bCs/>
          <w:sz w:val="28"/>
        </w:rPr>
        <w:t>21</w:t>
      </w:r>
      <w:r w:rsidR="00E8293C" w:rsidRPr="00E8293C">
        <w:rPr>
          <w:rFonts w:ascii="Times New Roman" w:hAnsi="Times New Roman"/>
          <w:b/>
          <w:bCs/>
          <w:sz w:val="28"/>
        </w:rPr>
        <w:t>12392</w:t>
      </w:r>
    </w:p>
    <w:p w14:paraId="5D8D67B3" w14:textId="30B10ED7" w:rsidR="00186997" w:rsidRPr="006E28C2" w:rsidRDefault="00186997" w:rsidP="00CD5593">
      <w:pPr>
        <w:tabs>
          <w:tab w:val="center" w:pos="4536"/>
          <w:tab w:val="right" w:pos="9072"/>
        </w:tabs>
        <w:wordWrap/>
        <w:rPr>
          <w:rFonts w:ascii="Times New Roman" w:eastAsia="MS Mincho" w:hAnsi="Times New Roman"/>
          <w:b/>
          <w:bCs/>
          <w:sz w:val="28"/>
          <w:lang w:eastAsia="ja-JP"/>
        </w:rPr>
      </w:pPr>
      <w:r w:rsidRPr="006E28C2">
        <w:rPr>
          <w:rFonts w:ascii="Times New Roman" w:eastAsia="MS Mincho" w:hAnsi="Times New Roman"/>
          <w:b/>
          <w:bCs/>
          <w:sz w:val="28"/>
          <w:lang w:eastAsia="ja-JP"/>
        </w:rPr>
        <w:t xml:space="preserve">e-Meeting, </w:t>
      </w:r>
      <w:r w:rsidR="00984E85">
        <w:rPr>
          <w:rFonts w:ascii="Times New Roman" w:eastAsia="MS Mincho" w:hAnsi="Times New Roman"/>
          <w:b/>
          <w:bCs/>
          <w:sz w:val="28"/>
          <w:lang w:val="en-GB" w:eastAsia="ja-JP"/>
        </w:rPr>
        <w:t>November</w:t>
      </w:r>
      <w:r w:rsidR="007160EA" w:rsidRPr="007160EA">
        <w:rPr>
          <w:rFonts w:ascii="Times New Roman" w:eastAsia="MS Mincho" w:hAnsi="Times New Roman"/>
          <w:b/>
          <w:bCs/>
          <w:sz w:val="28"/>
          <w:lang w:val="en-GB" w:eastAsia="ja-JP"/>
        </w:rPr>
        <w:t xml:space="preserve"> 1</w:t>
      </w:r>
      <w:r w:rsidR="00B83F06">
        <w:rPr>
          <w:rFonts w:ascii="Times New Roman" w:eastAsia="MS Mincho" w:hAnsi="Times New Roman"/>
          <w:b/>
          <w:bCs/>
          <w:sz w:val="28"/>
          <w:lang w:val="en-GB" w:eastAsia="ja-JP"/>
        </w:rPr>
        <w:t>1</w:t>
      </w:r>
      <w:r w:rsidR="007160EA" w:rsidRPr="007160EA">
        <w:rPr>
          <w:rFonts w:ascii="Times New Roman" w:eastAsia="MS Mincho" w:hAnsi="Times New Roman"/>
          <w:b/>
          <w:bCs/>
          <w:sz w:val="28"/>
          <w:vertAlign w:val="superscript"/>
          <w:lang w:val="en-GB" w:eastAsia="ja-JP"/>
        </w:rPr>
        <w:t>th</w:t>
      </w:r>
      <w:r w:rsidR="007160EA" w:rsidRPr="007160EA">
        <w:rPr>
          <w:rFonts w:ascii="Times New Roman" w:eastAsia="MS Mincho" w:hAnsi="Times New Roman"/>
          <w:b/>
          <w:bCs/>
          <w:sz w:val="28"/>
          <w:lang w:val="en-GB" w:eastAsia="ja-JP"/>
        </w:rPr>
        <w:t xml:space="preserve"> – </w:t>
      </w:r>
      <w:r w:rsidR="00B83F06">
        <w:rPr>
          <w:rFonts w:ascii="Times New Roman" w:eastAsia="MS Mincho" w:hAnsi="Times New Roman"/>
          <w:b/>
          <w:bCs/>
          <w:sz w:val="28"/>
          <w:lang w:val="en-GB" w:eastAsia="ja-JP"/>
        </w:rPr>
        <w:t>19</w:t>
      </w:r>
      <w:r w:rsidR="007160EA" w:rsidRPr="007160EA">
        <w:rPr>
          <w:rFonts w:ascii="Times New Roman" w:eastAsia="MS Mincho" w:hAnsi="Times New Roman"/>
          <w:b/>
          <w:bCs/>
          <w:sz w:val="28"/>
          <w:vertAlign w:val="superscript"/>
          <w:lang w:val="en-GB" w:eastAsia="ja-JP"/>
        </w:rPr>
        <w:t>th</w:t>
      </w:r>
      <w:r w:rsidR="007160EA" w:rsidRPr="007160EA">
        <w:rPr>
          <w:rFonts w:ascii="Times New Roman" w:eastAsia="MS Mincho" w:hAnsi="Times New Roman"/>
          <w:b/>
          <w:bCs/>
          <w:sz w:val="28"/>
          <w:lang w:val="en-GB" w:eastAsia="ja-JP"/>
        </w:rPr>
        <w:t>, 2021</w:t>
      </w:r>
    </w:p>
    <w:p w14:paraId="00612618" w14:textId="77777777" w:rsidR="00473A70" w:rsidRPr="008B6F35" w:rsidRDefault="00473A70" w:rsidP="00CD5593">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29FF1254" w14:textId="77777777" w:rsidR="00473A70" w:rsidRPr="008B6F35" w:rsidRDefault="00473A70" w:rsidP="00CD5593">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7882DBB5" w:rsidR="00473A70" w:rsidRPr="008B6F35" w:rsidRDefault="00473A70" w:rsidP="00CD559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t xml:space="preserve">Discussion on </w:t>
      </w:r>
      <w:r w:rsidR="00984E85">
        <w:rPr>
          <w:rFonts w:ascii="Times New Roman" w:eastAsia="MS Mincho" w:hAnsi="Times New Roman"/>
          <w:b/>
          <w:kern w:val="0"/>
          <w:sz w:val="24"/>
          <w:szCs w:val="20"/>
          <w:lang w:val="en-GB" w:eastAsia="en-US"/>
        </w:rPr>
        <w:t>PUCCH enhancements for coverage enhancement</w:t>
      </w:r>
    </w:p>
    <w:p w14:paraId="6FE3A7FF" w14:textId="09DAA0A3" w:rsidR="00473A70" w:rsidRPr="008B6F35" w:rsidRDefault="00473A70" w:rsidP="00CD559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sidR="00984E85">
        <w:rPr>
          <w:rFonts w:ascii="Times New Roman" w:hAnsi="Times New Roman"/>
          <w:b/>
          <w:kern w:val="0"/>
          <w:sz w:val="24"/>
          <w:szCs w:val="20"/>
        </w:rPr>
        <w:t>2</w:t>
      </w:r>
    </w:p>
    <w:p w14:paraId="0BB0D076" w14:textId="77777777" w:rsidR="00473A70" w:rsidRPr="008B6F35" w:rsidRDefault="00473A70" w:rsidP="00CD5593">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CD559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A436E5" w:rsidRDefault="00473A70" w:rsidP="00CD5593">
      <w:pPr>
        <w:pStyle w:val="1"/>
        <w:spacing w:line="276" w:lineRule="auto"/>
        <w:jc w:val="both"/>
        <w:rPr>
          <w:rFonts w:ascii="Times New Roman" w:hAnsi="Times New Roman"/>
          <w:sz w:val="28"/>
          <w:szCs w:val="22"/>
        </w:rPr>
      </w:pPr>
      <w:r w:rsidRPr="00A436E5">
        <w:rPr>
          <w:rFonts w:ascii="Times New Roman" w:hAnsi="Times New Roman"/>
          <w:sz w:val="28"/>
          <w:szCs w:val="22"/>
        </w:rPr>
        <w:t>Introduction</w:t>
      </w:r>
    </w:p>
    <w:p w14:paraId="01FC1EF2" w14:textId="7B5BECDB" w:rsidR="00AC7DFE" w:rsidRPr="008B6F35" w:rsidRDefault="00AC7DFE" w:rsidP="00CD5593">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the RAN1#10</w:t>
      </w:r>
      <w:r w:rsidR="00B83F06">
        <w:rPr>
          <w:rFonts w:ascii="Times New Roman" w:hAnsi="Times New Roman"/>
          <w:kern w:val="0"/>
          <w:sz w:val="22"/>
        </w:rPr>
        <w:t>6</w:t>
      </w:r>
      <w:r w:rsidR="00984E85">
        <w:rPr>
          <w:rFonts w:ascii="Times New Roman" w:hAnsi="Times New Roman"/>
          <w:kern w:val="0"/>
          <w:sz w:val="22"/>
        </w:rPr>
        <w:t>b</w:t>
      </w:r>
      <w:r>
        <w:rPr>
          <w:rFonts w:ascii="Times New Roman" w:hAnsi="Times New Roman"/>
          <w:kern w:val="0"/>
          <w:sz w:val="22"/>
        </w:rPr>
        <w:t>-e meeting, the following agreement</w:t>
      </w:r>
      <w:r w:rsidR="00840F3A">
        <w:rPr>
          <w:rFonts w:ascii="Times New Roman" w:hAnsi="Times New Roman"/>
          <w:kern w:val="0"/>
          <w:sz w:val="22"/>
        </w:rPr>
        <w:t xml:space="preserve"> </w:t>
      </w:r>
      <w:r w:rsidR="00FD5E62">
        <w:rPr>
          <w:rFonts w:ascii="Times New Roman" w:hAnsi="Times New Roman"/>
          <w:kern w:val="0"/>
          <w:sz w:val="22"/>
        </w:rPr>
        <w:t>was</w:t>
      </w:r>
      <w:r>
        <w:rPr>
          <w:rFonts w:ascii="Times New Roman" w:hAnsi="Times New Roman"/>
          <w:kern w:val="0"/>
          <w:sz w:val="22"/>
        </w:rPr>
        <w:t xml:space="preserve"> made on </w:t>
      </w:r>
      <w:r w:rsidR="00984E85">
        <w:rPr>
          <w:rFonts w:ascii="Times New Roman" w:hAnsi="Times New Roman"/>
          <w:kern w:val="0"/>
          <w:sz w:val="22"/>
        </w:rPr>
        <w:t>PUCCH enhancements for coverage enhancement</w:t>
      </w:r>
      <w:r w:rsidRPr="008B6F35">
        <w:rPr>
          <w:rFonts w:ascii="Times New Roman" w:hAnsi="Times New Roman"/>
          <w:kern w:val="0"/>
          <w:sz w:val="22"/>
        </w:rPr>
        <w:t xml:space="preserve"> [1].</w:t>
      </w:r>
    </w:p>
    <w:tbl>
      <w:tblPr>
        <w:tblStyle w:val="a4"/>
        <w:tblW w:w="0" w:type="auto"/>
        <w:tblLook w:val="04A0" w:firstRow="1" w:lastRow="0" w:firstColumn="1" w:lastColumn="0" w:noHBand="0" w:noVBand="1"/>
      </w:tblPr>
      <w:tblGrid>
        <w:gridCol w:w="9736"/>
      </w:tblGrid>
      <w:tr w:rsidR="00016988" w:rsidRPr="008B6F35" w14:paraId="1C5FFB81" w14:textId="77777777" w:rsidTr="00497E3F">
        <w:tc>
          <w:tcPr>
            <w:tcW w:w="9736" w:type="dxa"/>
          </w:tcPr>
          <w:p w14:paraId="6BD83F36" w14:textId="613442CA" w:rsidR="00E013F4" w:rsidRPr="00CD5593" w:rsidRDefault="00E013F4" w:rsidP="00CD5593">
            <w:pPr>
              <w:widowControl/>
              <w:wordWrap/>
              <w:autoSpaceDE/>
              <w:autoSpaceDN/>
              <w:rPr>
                <w:rFonts w:ascii="Times New Roman" w:eastAsia="바탕" w:hAnsi="Times New Roman"/>
                <w:i/>
                <w:iCs/>
                <w:highlight w:val="green"/>
                <w:u w:val="single"/>
                <w:lang w:val="en-GB" w:eastAsia="zh-CN"/>
              </w:rPr>
            </w:pPr>
            <w:r w:rsidRPr="00CD5593">
              <w:rPr>
                <w:rFonts w:ascii="Times New Roman" w:eastAsia="바탕" w:hAnsi="Times New Roman"/>
                <w:i/>
                <w:iCs/>
                <w:highlight w:val="green"/>
                <w:u w:val="single"/>
                <w:lang w:val="en-GB" w:eastAsia="zh-CN"/>
              </w:rPr>
              <w:t>Agreement</w:t>
            </w:r>
            <w:r w:rsidR="00546DE7" w:rsidRPr="00CD5593">
              <w:rPr>
                <w:rFonts w:ascii="Times New Roman" w:eastAsia="바탕" w:hAnsi="Times New Roman"/>
                <w:i/>
                <w:iCs/>
                <w:highlight w:val="green"/>
                <w:u w:val="single"/>
                <w:lang w:val="en-GB" w:eastAsia="zh-CN"/>
              </w:rPr>
              <w:t xml:space="preserve"> at RAN1#10</w:t>
            </w:r>
            <w:r w:rsidR="00B83F06">
              <w:rPr>
                <w:rFonts w:ascii="Times New Roman" w:eastAsia="바탕" w:hAnsi="Times New Roman"/>
                <w:i/>
                <w:iCs/>
                <w:highlight w:val="green"/>
                <w:u w:val="single"/>
                <w:lang w:val="en-GB" w:eastAsia="zh-CN"/>
              </w:rPr>
              <w:t>6</w:t>
            </w:r>
            <w:r w:rsidR="00FD5E62">
              <w:rPr>
                <w:rFonts w:ascii="Times New Roman" w:eastAsia="바탕" w:hAnsi="Times New Roman"/>
                <w:i/>
                <w:iCs/>
                <w:highlight w:val="green"/>
                <w:u w:val="single"/>
                <w:lang w:val="en-GB" w:eastAsia="zh-CN"/>
              </w:rPr>
              <w:t>b</w:t>
            </w:r>
            <w:r w:rsidR="00546DE7" w:rsidRPr="00CD5593">
              <w:rPr>
                <w:rFonts w:ascii="Times New Roman" w:eastAsia="바탕" w:hAnsi="Times New Roman"/>
                <w:i/>
                <w:iCs/>
                <w:highlight w:val="green"/>
                <w:u w:val="single"/>
                <w:lang w:val="en-GB" w:eastAsia="zh-CN"/>
              </w:rPr>
              <w:t>-e</w:t>
            </w:r>
            <w:r w:rsidRPr="00CD5593">
              <w:rPr>
                <w:rFonts w:ascii="Times New Roman" w:eastAsia="바탕" w:hAnsi="Times New Roman"/>
                <w:i/>
                <w:iCs/>
                <w:highlight w:val="green"/>
                <w:u w:val="single"/>
                <w:lang w:val="en-GB" w:eastAsia="zh-CN"/>
              </w:rPr>
              <w:t>:</w:t>
            </w:r>
          </w:p>
          <w:p w14:paraId="380CFD43" w14:textId="77777777" w:rsidR="00A567AC" w:rsidRPr="00A567AC" w:rsidRDefault="00A567AC" w:rsidP="00A567AC">
            <w:pPr>
              <w:wordWrap/>
              <w:rPr>
                <w:rFonts w:ascii="Times New Roman" w:eastAsia="바탕" w:hAnsi="Times New Roman"/>
                <w:i/>
                <w:iCs/>
              </w:rPr>
            </w:pPr>
            <w:r w:rsidRPr="00A567AC">
              <w:rPr>
                <w:rFonts w:ascii="Times New Roman" w:hAnsi="Times New Roman"/>
                <w:i/>
                <w:iCs/>
              </w:rPr>
              <w:t>For the interaction between inter-slot frequency hopping and DMRS bundling for PUCCH/PUSCH repetitions, a UE performs the “hopping intervals determination”, “configured TDW determination”, and “actual TDW determination” in a sequential ordering. One option of the following options is to be selected.</w:t>
            </w:r>
          </w:p>
          <w:p w14:paraId="655CCFE0" w14:textId="77777777" w:rsidR="00A567AC" w:rsidRPr="00A567AC" w:rsidRDefault="00A567AC" w:rsidP="00A567AC">
            <w:pPr>
              <w:pStyle w:val="aa"/>
              <w:widowControl/>
              <w:numPr>
                <w:ilvl w:val="0"/>
                <w:numId w:val="40"/>
              </w:numPr>
              <w:wordWrap/>
              <w:overflowPunct w:val="0"/>
              <w:adjustRightInd w:val="0"/>
              <w:ind w:leftChars="0"/>
              <w:contextualSpacing/>
              <w:rPr>
                <w:rFonts w:ascii="Times New Roman" w:hAnsi="Times New Roman"/>
                <w:i/>
                <w:iCs/>
              </w:rPr>
            </w:pPr>
            <w:r w:rsidRPr="00A567AC">
              <w:rPr>
                <w:rFonts w:ascii="Times New Roman" w:hAnsi="Times New Roman"/>
                <w:i/>
                <w:iCs/>
              </w:rPr>
              <w:t>Option 1: “hopping intervals determination” -&gt; “configured TDW determination” -&gt; “actual TDW determination”</w:t>
            </w:r>
          </w:p>
          <w:p w14:paraId="349FAABA" w14:textId="77777777" w:rsidR="00A567AC" w:rsidRPr="00A567AC" w:rsidRDefault="00A567AC" w:rsidP="00A567AC">
            <w:pPr>
              <w:pStyle w:val="aa"/>
              <w:widowControl/>
              <w:numPr>
                <w:ilvl w:val="0"/>
                <w:numId w:val="40"/>
              </w:numPr>
              <w:wordWrap/>
              <w:overflowPunct w:val="0"/>
              <w:adjustRightInd w:val="0"/>
              <w:ind w:leftChars="0"/>
              <w:contextualSpacing/>
              <w:rPr>
                <w:rFonts w:ascii="Times New Roman" w:hAnsi="Times New Roman"/>
                <w:i/>
                <w:iCs/>
              </w:rPr>
            </w:pPr>
            <w:r w:rsidRPr="00A567AC">
              <w:rPr>
                <w:rFonts w:ascii="Times New Roman" w:hAnsi="Times New Roman"/>
                <w:i/>
                <w:iCs/>
              </w:rPr>
              <w:t>Option 2: “configured TDW determination” -&gt; “hopping intervals determination” -&gt; “actual TDW determination”</w:t>
            </w:r>
          </w:p>
          <w:p w14:paraId="6C65800D" w14:textId="77777777" w:rsidR="00A567AC" w:rsidRPr="00A567AC" w:rsidRDefault="00A567AC" w:rsidP="00A567AC">
            <w:pPr>
              <w:pStyle w:val="aa"/>
              <w:widowControl/>
              <w:numPr>
                <w:ilvl w:val="0"/>
                <w:numId w:val="40"/>
              </w:numPr>
              <w:wordWrap/>
              <w:overflowPunct w:val="0"/>
              <w:adjustRightInd w:val="0"/>
              <w:ind w:leftChars="0"/>
              <w:contextualSpacing/>
              <w:rPr>
                <w:rFonts w:ascii="Times New Roman" w:hAnsi="Times New Roman"/>
                <w:i/>
                <w:iCs/>
              </w:rPr>
            </w:pPr>
            <w:r w:rsidRPr="00A567AC">
              <w:rPr>
                <w:rFonts w:ascii="Times New Roman" w:hAnsi="Times New Roman"/>
                <w:i/>
                <w:iCs/>
              </w:rPr>
              <w:t>Option 4: “configured TDW determination” -&gt; “actual TDW determination” and “hopping intervals determination”</w:t>
            </w:r>
          </w:p>
          <w:p w14:paraId="4B3A7324" w14:textId="0F960FA3" w:rsidR="001D2291" w:rsidRPr="00A567AC" w:rsidRDefault="00A567AC" w:rsidP="00A567AC">
            <w:pPr>
              <w:wordWrap/>
            </w:pPr>
            <w:r w:rsidRPr="00A567AC">
              <w:rPr>
                <w:rFonts w:ascii="Times New Roman" w:hAnsi="Times New Roman"/>
                <w:i/>
                <w:iCs/>
              </w:rPr>
              <w:t>Note: option 1 and 2 assume a hopping interval can be different than an actual TDW. Option 4 assumes a hopping interval is the same as an actual TDW.</w:t>
            </w:r>
            <w:r>
              <w:t xml:space="preserve"> </w:t>
            </w:r>
          </w:p>
        </w:tc>
      </w:tr>
    </w:tbl>
    <w:p w14:paraId="27294431" w14:textId="20EBFB8E" w:rsidR="00186997" w:rsidRDefault="00473A70" w:rsidP="00CD5593">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this contribution, we provide our views on </w:t>
      </w:r>
      <w:r w:rsidR="00984E85">
        <w:rPr>
          <w:rFonts w:ascii="Times New Roman" w:hAnsi="Times New Roman"/>
          <w:kern w:val="0"/>
          <w:sz w:val="22"/>
        </w:rPr>
        <w:t>PUCCH enhancements for coverage enhancement</w:t>
      </w:r>
      <w:r w:rsidRPr="008B6F35">
        <w:rPr>
          <w:rFonts w:ascii="Times New Roman" w:hAnsi="Times New Roman"/>
          <w:kern w:val="0"/>
          <w:sz w:val="22"/>
        </w:rPr>
        <w:t>.</w:t>
      </w:r>
    </w:p>
    <w:p w14:paraId="71B577E4" w14:textId="1A80C7EE" w:rsidR="00186997" w:rsidRDefault="00186997" w:rsidP="00CD5593">
      <w:pPr>
        <w:widowControl/>
        <w:wordWrap/>
        <w:autoSpaceDE/>
        <w:autoSpaceDN/>
        <w:spacing w:after="160" w:line="276" w:lineRule="auto"/>
        <w:rPr>
          <w:rFonts w:ascii="Times New Roman" w:hAnsi="Times New Roman"/>
          <w:kern w:val="0"/>
          <w:sz w:val="22"/>
        </w:rPr>
      </w:pPr>
    </w:p>
    <w:p w14:paraId="7529E291" w14:textId="1A75AF63" w:rsidR="00473A70" w:rsidRPr="00A436E5" w:rsidRDefault="00473A70" w:rsidP="00CD5593">
      <w:pPr>
        <w:pStyle w:val="1"/>
        <w:spacing w:line="276" w:lineRule="auto"/>
        <w:jc w:val="both"/>
        <w:rPr>
          <w:rFonts w:ascii="Times New Roman" w:hAnsi="Times New Roman"/>
          <w:sz w:val="28"/>
          <w:szCs w:val="22"/>
        </w:rPr>
      </w:pPr>
      <w:bookmarkStart w:id="0" w:name="_Hlk61859955"/>
      <w:bookmarkStart w:id="1" w:name="OLE_LINK69"/>
      <w:r w:rsidRPr="00A436E5">
        <w:rPr>
          <w:rFonts w:ascii="Times New Roman" w:hAnsi="Times New Roman"/>
          <w:sz w:val="28"/>
          <w:szCs w:val="22"/>
        </w:rPr>
        <w:t xml:space="preserve">Discussion on </w:t>
      </w:r>
      <w:r w:rsidR="00984E85">
        <w:rPr>
          <w:rFonts w:ascii="Times New Roman" w:hAnsi="Times New Roman"/>
          <w:sz w:val="28"/>
          <w:szCs w:val="22"/>
        </w:rPr>
        <w:t>PUCCH enhancements for coverage enhancement</w:t>
      </w:r>
    </w:p>
    <w:bookmarkEnd w:id="0"/>
    <w:bookmarkEnd w:id="1"/>
    <w:p w14:paraId="0A106A67" w14:textId="2CFEB0EA" w:rsidR="009B5EEE" w:rsidRPr="007339F5" w:rsidRDefault="009B5EEE" w:rsidP="00CD5593">
      <w:pPr>
        <w:pStyle w:val="a0"/>
        <w:spacing w:line="276" w:lineRule="auto"/>
        <w:jc w:val="both"/>
        <w:rPr>
          <w:rFonts w:eastAsiaTheme="minorEastAsia"/>
          <w:i/>
          <w:iCs/>
          <w:sz w:val="24"/>
          <w:szCs w:val="24"/>
          <w:u w:val="single"/>
          <w:lang w:eastAsia="ko-KR"/>
        </w:rPr>
      </w:pPr>
      <w:r>
        <w:rPr>
          <w:b/>
          <w:bCs/>
          <w:i/>
          <w:iCs/>
          <w:sz w:val="24"/>
          <w:szCs w:val="24"/>
          <w:u w:val="single"/>
        </w:rPr>
        <w:t>Inter-slot frequency hopping with inter-slot bundling</w:t>
      </w:r>
      <w:r w:rsidRPr="007339F5">
        <w:rPr>
          <w:b/>
          <w:bCs/>
          <w:i/>
          <w:iCs/>
          <w:sz w:val="24"/>
          <w:szCs w:val="24"/>
          <w:u w:val="single"/>
        </w:rPr>
        <w:t>.</w:t>
      </w:r>
    </w:p>
    <w:p w14:paraId="31B0DF54" w14:textId="5773D701" w:rsidR="00AF445E" w:rsidRDefault="00AF445E" w:rsidP="00CD5593">
      <w:pPr>
        <w:pStyle w:val="a0"/>
        <w:spacing w:line="276" w:lineRule="auto"/>
        <w:ind w:firstLineChars="71" w:firstLine="156"/>
        <w:jc w:val="both"/>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n the RAN1#106b-e meeting, it was agreed to select one of three options (Option 1, 2 and 4) for the interaction between inter-slot frequency hopping and DMRS bundling for PUCCH/PUSCH repetitions. Three options include a sequential order for a UE to perform “hopping interval determination”, “configured TDW determination”, and “actual TDW determination”.</w:t>
      </w:r>
      <w:r w:rsidR="00FD1237">
        <w:rPr>
          <w:rFonts w:eastAsiaTheme="minorEastAsia"/>
          <w:sz w:val="22"/>
          <w:szCs w:val="22"/>
          <w:lang w:eastAsia="ko-KR"/>
        </w:rPr>
        <w:t xml:space="preserve"> Both Option 1 and 2 assume a hopping interval can be different than an actual TDW, while Option 4 assumes a hopping interval is the same as an actual TDW.</w:t>
      </w:r>
    </w:p>
    <w:p w14:paraId="120C14E9" w14:textId="16CFD95E" w:rsidR="00FD1237" w:rsidRDefault="00A22053" w:rsidP="00E4079B">
      <w:pPr>
        <w:pStyle w:val="a0"/>
        <w:spacing w:before="240" w:line="276" w:lineRule="auto"/>
        <w:ind w:firstLineChars="71" w:firstLine="156"/>
        <w:jc w:val="both"/>
        <w:rPr>
          <w:rFonts w:eastAsiaTheme="minorEastAsia"/>
          <w:sz w:val="22"/>
          <w:szCs w:val="22"/>
          <w:lang w:eastAsia="ko-KR"/>
        </w:rPr>
      </w:pPr>
      <w:r>
        <w:rPr>
          <w:rFonts w:eastAsiaTheme="minorEastAsia"/>
          <w:noProof/>
          <w:sz w:val="22"/>
          <w:szCs w:val="22"/>
          <w:lang w:eastAsia="ko-KR"/>
        </w:rPr>
        <w:lastRenderedPageBreak/>
        <w:drawing>
          <wp:inline distT="0" distB="0" distL="0" distR="0" wp14:anchorId="6F183059" wp14:editId="1D939F5F">
            <wp:extent cx="6144692" cy="242686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37057" cy="2463347"/>
                    </a:xfrm>
                    <a:prstGeom prst="rect">
                      <a:avLst/>
                    </a:prstGeom>
                    <a:noFill/>
                  </pic:spPr>
                </pic:pic>
              </a:graphicData>
            </a:graphic>
          </wp:inline>
        </w:drawing>
      </w:r>
    </w:p>
    <w:p w14:paraId="090C66C3" w14:textId="48893AC9" w:rsidR="00FD1237" w:rsidRPr="00455980" w:rsidRDefault="00FD1237" w:rsidP="00FD1237">
      <w:pPr>
        <w:pStyle w:val="a9"/>
        <w:wordWrap/>
        <w:spacing w:line="276" w:lineRule="auto"/>
        <w:jc w:val="center"/>
        <w:rPr>
          <w:rFonts w:ascii="Times New Roman" w:hAnsi="Times New Roman"/>
          <w:b w:val="0"/>
          <w:bCs w:val="0"/>
        </w:rPr>
      </w:pPr>
      <w:r w:rsidRPr="003B4FA4">
        <w:rPr>
          <w:rFonts w:ascii="Times New Roman" w:hAnsi="Times New Roman"/>
          <w:b w:val="0"/>
          <w:bCs w:val="0"/>
          <w:sz w:val="22"/>
          <w:szCs w:val="22"/>
        </w:rPr>
        <w:t xml:space="preserve">Figure </w:t>
      </w:r>
      <w:r w:rsidRPr="003B4FA4">
        <w:rPr>
          <w:rFonts w:ascii="Times New Roman" w:hAnsi="Times New Roman"/>
          <w:b w:val="0"/>
          <w:bCs w:val="0"/>
          <w:sz w:val="22"/>
          <w:szCs w:val="22"/>
        </w:rPr>
        <w:fldChar w:fldCharType="begin"/>
      </w:r>
      <w:r w:rsidRPr="003B4FA4">
        <w:rPr>
          <w:rFonts w:ascii="Times New Roman" w:hAnsi="Times New Roman"/>
          <w:b w:val="0"/>
          <w:bCs w:val="0"/>
          <w:sz w:val="22"/>
          <w:szCs w:val="22"/>
        </w:rPr>
        <w:instrText xml:space="preserve"> SEQ Figure \* ARABIC </w:instrText>
      </w:r>
      <w:r w:rsidRPr="003B4FA4">
        <w:rPr>
          <w:rFonts w:ascii="Times New Roman" w:hAnsi="Times New Roman"/>
          <w:b w:val="0"/>
          <w:bCs w:val="0"/>
          <w:sz w:val="22"/>
          <w:szCs w:val="22"/>
        </w:rPr>
        <w:fldChar w:fldCharType="separate"/>
      </w:r>
      <w:r w:rsidRPr="003B4FA4">
        <w:rPr>
          <w:rFonts w:ascii="Times New Roman" w:hAnsi="Times New Roman"/>
          <w:b w:val="0"/>
          <w:bCs w:val="0"/>
          <w:sz w:val="22"/>
          <w:szCs w:val="22"/>
        </w:rPr>
        <w:t>1</w:t>
      </w:r>
      <w:r w:rsidRPr="003B4FA4">
        <w:rPr>
          <w:rFonts w:ascii="Times New Roman" w:hAnsi="Times New Roman"/>
          <w:b w:val="0"/>
          <w:bCs w:val="0"/>
          <w:sz w:val="22"/>
          <w:szCs w:val="22"/>
        </w:rPr>
        <w:fldChar w:fldCharType="end"/>
      </w:r>
      <w:r w:rsidRPr="003B4FA4">
        <w:rPr>
          <w:rFonts w:ascii="Times New Roman" w:hAnsi="Times New Roman"/>
          <w:b w:val="0"/>
          <w:bCs w:val="0"/>
          <w:sz w:val="22"/>
          <w:szCs w:val="22"/>
        </w:rPr>
        <w:t xml:space="preserve">. </w:t>
      </w:r>
      <w:r>
        <w:rPr>
          <w:rFonts w:ascii="Times New Roman" w:hAnsi="Times New Roman"/>
          <w:b w:val="0"/>
          <w:bCs w:val="0"/>
          <w:sz w:val="22"/>
          <w:szCs w:val="22"/>
        </w:rPr>
        <w:t>Hopping interval</w:t>
      </w:r>
      <w:r w:rsidRPr="003B4FA4">
        <w:rPr>
          <w:rFonts w:ascii="Times New Roman" w:hAnsi="Times New Roman"/>
          <w:b w:val="0"/>
          <w:bCs w:val="0"/>
          <w:sz w:val="22"/>
          <w:szCs w:val="22"/>
        </w:rPr>
        <w:t xml:space="preserve"> determination </w:t>
      </w:r>
      <w:r>
        <w:rPr>
          <w:rFonts w:ascii="Times New Roman" w:hAnsi="Times New Roman"/>
          <w:b w:val="0"/>
          <w:bCs w:val="0"/>
          <w:sz w:val="22"/>
          <w:szCs w:val="22"/>
        </w:rPr>
        <w:t>options.</w:t>
      </w:r>
    </w:p>
    <w:p w14:paraId="567C812A" w14:textId="6A2AE32C" w:rsidR="00FD1237" w:rsidRDefault="00FD1237" w:rsidP="00FD1237">
      <w:pPr>
        <w:pStyle w:val="a0"/>
        <w:spacing w:before="240" w:line="276" w:lineRule="auto"/>
        <w:jc w:val="both"/>
        <w:rPr>
          <w:rFonts w:eastAsiaTheme="minorEastAsia"/>
          <w:sz w:val="22"/>
          <w:szCs w:val="22"/>
          <w:lang w:eastAsia="ko-KR"/>
        </w:rPr>
      </w:pPr>
      <w:r>
        <w:rPr>
          <w:rFonts w:eastAsiaTheme="minorEastAsia" w:hint="eastAsia"/>
          <w:sz w:val="22"/>
          <w:szCs w:val="22"/>
          <w:lang w:val="en-US" w:eastAsia="ko-KR"/>
        </w:rPr>
        <w:t>I</w:t>
      </w:r>
      <w:r>
        <w:rPr>
          <w:rFonts w:eastAsiaTheme="minorEastAsia"/>
          <w:sz w:val="22"/>
          <w:szCs w:val="22"/>
          <w:lang w:val="en-US" w:eastAsia="ko-KR"/>
        </w:rPr>
        <w:t xml:space="preserve">n </w:t>
      </w:r>
      <w:r w:rsidRPr="003B4FA4">
        <w:rPr>
          <w:sz w:val="22"/>
          <w:szCs w:val="22"/>
        </w:rPr>
        <w:t xml:space="preserve">Figure </w:t>
      </w:r>
      <w:r w:rsidRPr="003B4FA4">
        <w:rPr>
          <w:b/>
          <w:bCs/>
          <w:sz w:val="22"/>
          <w:szCs w:val="22"/>
        </w:rPr>
        <w:fldChar w:fldCharType="begin"/>
      </w:r>
      <w:r w:rsidRPr="003B4FA4">
        <w:rPr>
          <w:sz w:val="22"/>
          <w:szCs w:val="22"/>
        </w:rPr>
        <w:instrText xml:space="preserve"> SEQ Figure \* ARABIC </w:instrText>
      </w:r>
      <w:r w:rsidRPr="003B4FA4">
        <w:rPr>
          <w:b/>
          <w:bCs/>
          <w:sz w:val="22"/>
          <w:szCs w:val="22"/>
        </w:rPr>
        <w:fldChar w:fldCharType="separate"/>
      </w:r>
      <w:r w:rsidRPr="003B4FA4">
        <w:rPr>
          <w:sz w:val="22"/>
          <w:szCs w:val="22"/>
        </w:rPr>
        <w:t>1</w:t>
      </w:r>
      <w:r w:rsidRPr="003B4FA4">
        <w:rPr>
          <w:b/>
          <w:bCs/>
          <w:sz w:val="22"/>
          <w:szCs w:val="22"/>
        </w:rPr>
        <w:fldChar w:fldCharType="end"/>
      </w:r>
      <w:r w:rsidRPr="00FD1237">
        <w:rPr>
          <w:sz w:val="22"/>
          <w:szCs w:val="22"/>
        </w:rPr>
        <w:t xml:space="preserve">, </w:t>
      </w:r>
      <w:r>
        <w:rPr>
          <w:rFonts w:eastAsiaTheme="minorEastAsia"/>
          <w:sz w:val="22"/>
          <w:szCs w:val="22"/>
          <w:lang w:eastAsia="ko-KR"/>
        </w:rPr>
        <w:t xml:space="preserve">DDDSU </w:t>
      </w:r>
      <w:r w:rsidR="00401652">
        <w:rPr>
          <w:rFonts w:eastAsiaTheme="minorEastAsia"/>
          <w:sz w:val="22"/>
          <w:szCs w:val="22"/>
          <w:lang w:eastAsia="ko-KR"/>
        </w:rPr>
        <w:t xml:space="preserve">of </w:t>
      </w:r>
      <w:r>
        <w:rPr>
          <w:rFonts w:eastAsiaTheme="minorEastAsia"/>
          <w:sz w:val="22"/>
          <w:szCs w:val="22"/>
          <w:lang w:eastAsia="ko-KR"/>
        </w:rPr>
        <w:t>TDD configuration is illustrated as an example. In the figure</w:t>
      </w:r>
      <w:r w:rsidR="00401652">
        <w:rPr>
          <w:rFonts w:eastAsiaTheme="minorEastAsia"/>
          <w:sz w:val="22"/>
          <w:szCs w:val="22"/>
          <w:lang w:eastAsia="ko-KR"/>
        </w:rPr>
        <w:t xml:space="preserve"> 1</w:t>
      </w:r>
      <w:r>
        <w:rPr>
          <w:rFonts w:eastAsiaTheme="minorEastAsia"/>
          <w:sz w:val="22"/>
          <w:szCs w:val="22"/>
          <w:lang w:eastAsia="ko-KR"/>
        </w:rPr>
        <w:t>, the value 0 means mapping to the 1</w:t>
      </w:r>
      <w:r w:rsidRPr="00457D9C">
        <w:rPr>
          <w:rFonts w:eastAsiaTheme="minorEastAsia"/>
          <w:sz w:val="22"/>
          <w:szCs w:val="22"/>
          <w:vertAlign w:val="superscript"/>
          <w:lang w:eastAsia="ko-KR"/>
        </w:rPr>
        <w:t>st</w:t>
      </w:r>
      <w:r>
        <w:rPr>
          <w:rFonts w:eastAsiaTheme="minorEastAsia"/>
          <w:sz w:val="22"/>
          <w:szCs w:val="22"/>
          <w:lang w:eastAsia="ko-KR"/>
        </w:rPr>
        <w:t xml:space="preserve"> frequency hop and 1 means mapping to the 2</w:t>
      </w:r>
      <w:r w:rsidRPr="00457D9C">
        <w:rPr>
          <w:rFonts w:eastAsiaTheme="minorEastAsia"/>
          <w:sz w:val="22"/>
          <w:szCs w:val="22"/>
          <w:vertAlign w:val="superscript"/>
          <w:lang w:eastAsia="ko-KR"/>
        </w:rPr>
        <w:t>nd</w:t>
      </w:r>
      <w:r>
        <w:rPr>
          <w:rFonts w:eastAsiaTheme="minorEastAsia"/>
          <w:sz w:val="22"/>
          <w:szCs w:val="22"/>
          <w:lang w:eastAsia="ko-KR"/>
        </w:rPr>
        <w:t xml:space="preserve"> frequency hop in that slot. It is assumed that the UE is configured as</w:t>
      </w:r>
      <w:r w:rsidRPr="00C11709">
        <w:rPr>
          <w:rFonts w:eastAsiaTheme="minorEastAsia"/>
          <w:sz w:val="22"/>
          <w:szCs w:val="22"/>
          <w:lang w:eastAsia="ko-KR"/>
        </w:rPr>
        <w:t xml:space="preserve"> </w:t>
      </w:r>
      <w:r>
        <w:rPr>
          <w:rFonts w:eastAsiaTheme="minorEastAsia"/>
          <w:i/>
          <w:iCs/>
          <w:sz w:val="22"/>
          <w:szCs w:val="22"/>
          <w:lang w:eastAsia="ko-KR"/>
        </w:rPr>
        <w:t>L</w:t>
      </w:r>
      <w:r w:rsidRPr="000F1A7D">
        <w:rPr>
          <w:rFonts w:eastAsiaTheme="minorEastAsia"/>
          <w:sz w:val="22"/>
          <w:szCs w:val="22"/>
          <w:lang w:eastAsia="ko-KR"/>
        </w:rPr>
        <w:t>=2 and</w:t>
      </w:r>
      <w:r w:rsidR="00BB38C3">
        <w:rPr>
          <w:rFonts w:eastAsiaTheme="minorEastAsia"/>
          <w:sz w:val="22"/>
          <w:szCs w:val="22"/>
          <w:lang w:eastAsia="ko-KR"/>
        </w:rPr>
        <w:t xml:space="preserve"> indicated as</w:t>
      </w:r>
      <w:r w:rsidRPr="000F1A7D">
        <w:rPr>
          <w:rFonts w:eastAsiaTheme="minorEastAsia"/>
          <w:sz w:val="22"/>
          <w:szCs w:val="22"/>
          <w:lang w:eastAsia="ko-KR"/>
        </w:rPr>
        <w:t xml:space="preserve"> </w:t>
      </w:r>
      <w:r w:rsidRPr="00FD3D4B">
        <w:rPr>
          <w:rFonts w:eastAsiaTheme="minorEastAsia"/>
          <w:i/>
          <w:iCs/>
          <w:sz w:val="22"/>
          <w:szCs w:val="22"/>
          <w:lang w:eastAsia="ko-KR"/>
        </w:rPr>
        <w:t>K</w:t>
      </w:r>
      <w:r>
        <w:rPr>
          <w:rFonts w:eastAsiaTheme="minorEastAsia"/>
          <w:sz w:val="22"/>
          <w:szCs w:val="22"/>
          <w:lang w:eastAsia="ko-KR"/>
        </w:rPr>
        <w:t>=</w:t>
      </w:r>
      <w:r w:rsidR="00A22053">
        <w:rPr>
          <w:rFonts w:eastAsiaTheme="minorEastAsia"/>
          <w:sz w:val="22"/>
          <w:szCs w:val="22"/>
          <w:lang w:eastAsia="ko-KR"/>
        </w:rPr>
        <w:t>16</w:t>
      </w:r>
      <w:r w:rsidR="00BB38C3">
        <w:rPr>
          <w:rFonts w:eastAsiaTheme="minorEastAsia"/>
          <w:sz w:val="22"/>
          <w:szCs w:val="22"/>
          <w:lang w:eastAsia="ko-KR"/>
        </w:rPr>
        <w:t xml:space="preserve">, where </w:t>
      </w:r>
      <w:r w:rsidR="00BB38C3" w:rsidRPr="00BB38C3">
        <w:rPr>
          <w:rFonts w:eastAsiaTheme="minorEastAsia"/>
          <w:i/>
          <w:iCs/>
          <w:sz w:val="22"/>
          <w:szCs w:val="22"/>
          <w:lang w:eastAsia="ko-KR"/>
        </w:rPr>
        <w:t>L</w:t>
      </w:r>
      <w:r w:rsidR="00BB38C3">
        <w:rPr>
          <w:rFonts w:eastAsiaTheme="minorEastAsia"/>
          <w:sz w:val="22"/>
          <w:szCs w:val="22"/>
          <w:lang w:eastAsia="ko-KR"/>
        </w:rPr>
        <w:t xml:space="preserve"> is the length of configured TDW and </w:t>
      </w:r>
      <w:r w:rsidR="00BB38C3" w:rsidRPr="00BB38C3">
        <w:rPr>
          <w:rFonts w:eastAsiaTheme="minorEastAsia"/>
          <w:i/>
          <w:iCs/>
          <w:sz w:val="22"/>
          <w:szCs w:val="22"/>
          <w:lang w:eastAsia="ko-KR"/>
        </w:rPr>
        <w:t>K</w:t>
      </w:r>
      <w:r w:rsidR="00BB38C3">
        <w:rPr>
          <w:rFonts w:eastAsiaTheme="minorEastAsia"/>
          <w:sz w:val="22"/>
          <w:szCs w:val="22"/>
          <w:lang w:eastAsia="ko-KR"/>
        </w:rPr>
        <w:t xml:space="preserve"> is the number of repetitions for PUSCH transmission. Also, it is assumed that </w:t>
      </w:r>
      <w:proofErr w:type="spellStart"/>
      <w:r w:rsidR="00BB38C3" w:rsidRPr="00BB38C3">
        <w:rPr>
          <w:rFonts w:eastAsiaTheme="minorEastAsia"/>
          <w:i/>
          <w:iCs/>
          <w:sz w:val="22"/>
          <w:szCs w:val="22"/>
          <w:lang w:eastAsia="ko-KR"/>
        </w:rPr>
        <w:t>AvailableSlotCounting</w:t>
      </w:r>
      <w:proofErr w:type="spellEnd"/>
      <w:r w:rsidR="00401652" w:rsidRPr="00C941AC">
        <w:rPr>
          <w:rFonts w:eastAsiaTheme="minorEastAsia"/>
          <w:sz w:val="22"/>
          <w:szCs w:val="22"/>
          <w:lang w:eastAsia="ko-KR"/>
        </w:rPr>
        <w:t xml:space="preserve"> in Rel-17</w:t>
      </w:r>
      <w:r w:rsidR="00BB38C3">
        <w:rPr>
          <w:rFonts w:eastAsiaTheme="minorEastAsia"/>
          <w:sz w:val="22"/>
          <w:szCs w:val="22"/>
          <w:lang w:eastAsia="ko-KR"/>
        </w:rPr>
        <w:t xml:space="preserve"> is </w:t>
      </w:r>
      <w:r w:rsidR="00F3671F">
        <w:rPr>
          <w:rFonts w:eastAsiaTheme="minorEastAsia"/>
          <w:sz w:val="22"/>
          <w:szCs w:val="22"/>
          <w:lang w:eastAsia="ko-KR"/>
        </w:rPr>
        <w:t>disa</w:t>
      </w:r>
      <w:r w:rsidR="00BB38C3">
        <w:rPr>
          <w:rFonts w:eastAsiaTheme="minorEastAsia"/>
          <w:sz w:val="22"/>
          <w:szCs w:val="22"/>
          <w:lang w:eastAsia="ko-KR"/>
        </w:rPr>
        <w:t xml:space="preserve">bled, thus configured TDW is determined based on the </w:t>
      </w:r>
      <w:r w:rsidR="00EC301B">
        <w:rPr>
          <w:rFonts w:eastAsiaTheme="minorEastAsia" w:hint="eastAsia"/>
          <w:sz w:val="22"/>
          <w:szCs w:val="22"/>
          <w:lang w:eastAsia="ko-KR"/>
        </w:rPr>
        <w:t>c</w:t>
      </w:r>
      <w:r w:rsidR="00EC301B">
        <w:rPr>
          <w:rFonts w:eastAsiaTheme="minorEastAsia"/>
          <w:sz w:val="22"/>
          <w:szCs w:val="22"/>
          <w:lang w:eastAsia="ko-KR"/>
        </w:rPr>
        <w:t xml:space="preserve">onsecutive </w:t>
      </w:r>
      <w:r w:rsidR="00F3671F">
        <w:rPr>
          <w:rFonts w:eastAsiaTheme="minorEastAsia"/>
          <w:sz w:val="22"/>
          <w:szCs w:val="22"/>
          <w:lang w:eastAsia="ko-KR"/>
        </w:rPr>
        <w:t>physical</w:t>
      </w:r>
      <w:r w:rsidR="00BB38C3">
        <w:rPr>
          <w:rFonts w:eastAsiaTheme="minorEastAsia"/>
          <w:sz w:val="22"/>
          <w:szCs w:val="22"/>
          <w:lang w:eastAsia="ko-KR"/>
        </w:rPr>
        <w:t xml:space="preserve"> slots.</w:t>
      </w:r>
      <w:r w:rsidR="007A4E5E">
        <w:rPr>
          <w:rFonts w:eastAsiaTheme="minorEastAsia"/>
          <w:sz w:val="22"/>
          <w:szCs w:val="22"/>
          <w:lang w:eastAsia="ko-KR"/>
        </w:rPr>
        <w:t xml:space="preserve"> </w:t>
      </w:r>
    </w:p>
    <w:p w14:paraId="6B88F5E0" w14:textId="0A59F291" w:rsidR="00E4079B" w:rsidRDefault="00E4079B" w:rsidP="00E4079B">
      <w:pPr>
        <w:pStyle w:val="a0"/>
        <w:spacing w:before="240" w:line="276" w:lineRule="auto"/>
        <w:jc w:val="both"/>
        <w:rPr>
          <w:rFonts w:eastAsiaTheme="minorEastAsia"/>
          <w:sz w:val="22"/>
          <w:szCs w:val="22"/>
          <w:lang w:eastAsia="ko-KR"/>
        </w:rPr>
      </w:pPr>
      <w:r>
        <w:rPr>
          <w:rFonts w:eastAsiaTheme="minorEastAsia"/>
          <w:sz w:val="22"/>
          <w:szCs w:val="22"/>
          <w:lang w:eastAsia="ko-KR"/>
        </w:rPr>
        <w:t xml:space="preserve">With Option 1, </w:t>
      </w:r>
      <w:r w:rsidR="00401652">
        <w:rPr>
          <w:rFonts w:eastAsiaTheme="minorEastAsia"/>
          <w:sz w:val="22"/>
          <w:szCs w:val="22"/>
          <w:lang w:eastAsia="ko-KR"/>
        </w:rPr>
        <w:t xml:space="preserve">the </w:t>
      </w:r>
      <w:r>
        <w:rPr>
          <w:rFonts w:eastAsiaTheme="minorEastAsia"/>
          <w:sz w:val="22"/>
          <w:szCs w:val="22"/>
          <w:lang w:eastAsia="ko-KR"/>
        </w:rPr>
        <w:t xml:space="preserve">hopping interval can be </w:t>
      </w:r>
      <w:r w:rsidR="00401652">
        <w:rPr>
          <w:rFonts w:eastAsiaTheme="minorEastAsia"/>
          <w:sz w:val="22"/>
          <w:szCs w:val="22"/>
          <w:lang w:eastAsia="ko-KR"/>
        </w:rPr>
        <w:t xml:space="preserve">separately </w:t>
      </w:r>
      <w:r>
        <w:rPr>
          <w:rFonts w:eastAsiaTheme="minorEastAsia"/>
          <w:sz w:val="22"/>
          <w:szCs w:val="22"/>
          <w:lang w:eastAsia="ko-KR"/>
        </w:rPr>
        <w:t xml:space="preserve">determined with configured TDW. </w:t>
      </w:r>
      <w:r w:rsidR="005D1A05">
        <w:rPr>
          <w:rFonts w:eastAsiaTheme="minorEastAsia"/>
          <w:sz w:val="22"/>
          <w:szCs w:val="22"/>
          <w:lang w:eastAsia="ko-KR"/>
        </w:rPr>
        <w:t xml:space="preserve">It is assumed that hopping interval is configured as 5 consecutive physical slots. </w:t>
      </w:r>
      <w:r w:rsidR="00B42707">
        <w:rPr>
          <w:rFonts w:eastAsiaTheme="minorEastAsia"/>
          <w:sz w:val="22"/>
          <w:szCs w:val="22"/>
          <w:lang w:eastAsia="ko-KR"/>
        </w:rPr>
        <w:t>Accordingly, t</w:t>
      </w:r>
      <w:r>
        <w:rPr>
          <w:rFonts w:eastAsiaTheme="minorEastAsia"/>
          <w:sz w:val="22"/>
          <w:szCs w:val="22"/>
          <w:lang w:eastAsia="ko-KR"/>
        </w:rPr>
        <w:t xml:space="preserve">he number of slots associated with two hops is well-balanced so that it is expected to achieve high frequency diversity gain. However, this option results in occurrence of frequency hopping boundary in the middle of consecutive slots </w:t>
      </w:r>
      <w:r w:rsidR="00F3671F">
        <w:rPr>
          <w:rFonts w:eastAsiaTheme="minorEastAsia"/>
          <w:sz w:val="22"/>
          <w:szCs w:val="22"/>
          <w:lang w:eastAsia="ko-KR"/>
        </w:rPr>
        <w:t xml:space="preserve">for UL transmission </w:t>
      </w:r>
      <w:r>
        <w:rPr>
          <w:rFonts w:eastAsiaTheme="minorEastAsia"/>
          <w:sz w:val="22"/>
          <w:szCs w:val="22"/>
          <w:lang w:eastAsia="ko-KR"/>
        </w:rPr>
        <w:t>(highlighted as ‘</w:t>
      </w:r>
      <w:r w:rsidRPr="00C941AC">
        <w:rPr>
          <w:rFonts w:eastAsiaTheme="minorEastAsia"/>
          <w:i/>
          <w:iCs/>
          <w:color w:val="FF0000"/>
          <w:sz w:val="22"/>
          <w:szCs w:val="22"/>
          <w:lang w:eastAsia="ko-KR"/>
        </w:rPr>
        <w:t>red</w:t>
      </w:r>
      <w:r>
        <w:rPr>
          <w:rFonts w:eastAsiaTheme="minorEastAsia"/>
          <w:sz w:val="22"/>
          <w:szCs w:val="22"/>
          <w:lang w:eastAsia="ko-KR"/>
        </w:rPr>
        <w:t xml:space="preserve">’ </w:t>
      </w:r>
      <w:proofErr w:type="spellStart"/>
      <w:r>
        <w:rPr>
          <w:rFonts w:eastAsiaTheme="minorEastAsia"/>
          <w:sz w:val="22"/>
          <w:szCs w:val="22"/>
          <w:lang w:eastAsia="ko-KR"/>
        </w:rPr>
        <w:t>color</w:t>
      </w:r>
      <w:proofErr w:type="spellEnd"/>
      <w:r>
        <w:rPr>
          <w:rFonts w:eastAsiaTheme="minorEastAsia"/>
          <w:sz w:val="22"/>
          <w:szCs w:val="22"/>
          <w:lang w:eastAsia="ko-KR"/>
        </w:rPr>
        <w:t>) that would make joint channel estimation impossible.</w:t>
      </w:r>
    </w:p>
    <w:p w14:paraId="7A955E79" w14:textId="37BB6783" w:rsidR="00E4079B" w:rsidRDefault="00E4079B" w:rsidP="00E4079B">
      <w:pPr>
        <w:pStyle w:val="a0"/>
        <w:spacing w:before="240" w:line="276" w:lineRule="auto"/>
        <w:jc w:val="both"/>
        <w:rPr>
          <w:rFonts w:eastAsiaTheme="minorEastAsia"/>
          <w:sz w:val="22"/>
          <w:szCs w:val="22"/>
          <w:lang w:eastAsia="ko-KR"/>
        </w:rPr>
      </w:pPr>
      <w:r>
        <w:rPr>
          <w:rFonts w:eastAsiaTheme="minorEastAsia"/>
          <w:sz w:val="22"/>
          <w:szCs w:val="22"/>
          <w:lang w:eastAsia="ko-KR"/>
        </w:rPr>
        <w:t xml:space="preserve">With Option 2, </w:t>
      </w:r>
      <w:r w:rsidR="009138BE">
        <w:rPr>
          <w:rFonts w:eastAsiaTheme="minorEastAsia"/>
          <w:sz w:val="22"/>
          <w:szCs w:val="22"/>
          <w:lang w:eastAsia="ko-KR"/>
        </w:rPr>
        <w:t xml:space="preserve">the </w:t>
      </w:r>
      <w:r w:rsidR="00FA28BD">
        <w:rPr>
          <w:rFonts w:eastAsiaTheme="minorEastAsia"/>
          <w:sz w:val="22"/>
          <w:szCs w:val="22"/>
          <w:lang w:eastAsia="ko-KR"/>
        </w:rPr>
        <w:t xml:space="preserve">hopping interval may depend on configured TDW, then </w:t>
      </w:r>
      <w:r>
        <w:rPr>
          <w:rFonts w:eastAsiaTheme="minorEastAsia"/>
          <w:sz w:val="22"/>
          <w:szCs w:val="22"/>
          <w:lang w:eastAsia="ko-KR"/>
        </w:rPr>
        <w:t xml:space="preserve">a UE can determine hopping interval as same with configured TDW. Thus, the UE determines </w:t>
      </w:r>
      <w:r w:rsidR="009138BE">
        <w:rPr>
          <w:rFonts w:eastAsiaTheme="minorEastAsia"/>
          <w:sz w:val="22"/>
          <w:szCs w:val="22"/>
          <w:lang w:eastAsia="ko-KR"/>
        </w:rPr>
        <w:t xml:space="preserve">the </w:t>
      </w:r>
      <w:r>
        <w:rPr>
          <w:rFonts w:eastAsiaTheme="minorEastAsia"/>
          <w:sz w:val="22"/>
          <w:szCs w:val="22"/>
          <w:lang w:eastAsia="ko-KR"/>
        </w:rPr>
        <w:t>hop</w:t>
      </w:r>
      <w:r w:rsidR="00D6189C">
        <w:rPr>
          <w:rFonts w:eastAsiaTheme="minorEastAsia"/>
          <w:sz w:val="22"/>
          <w:szCs w:val="22"/>
          <w:lang w:eastAsia="ko-KR"/>
        </w:rPr>
        <w:t>ping</w:t>
      </w:r>
      <w:r>
        <w:rPr>
          <w:rFonts w:eastAsiaTheme="minorEastAsia"/>
          <w:sz w:val="22"/>
          <w:szCs w:val="22"/>
          <w:lang w:eastAsia="ko-KR"/>
        </w:rPr>
        <w:t xml:space="preserve"> </w:t>
      </w:r>
      <w:r w:rsidR="00D6189C">
        <w:rPr>
          <w:rFonts w:eastAsiaTheme="minorEastAsia"/>
          <w:sz w:val="22"/>
          <w:szCs w:val="22"/>
          <w:lang w:eastAsia="ko-KR"/>
        </w:rPr>
        <w:t>interval</w:t>
      </w:r>
      <w:r>
        <w:rPr>
          <w:rFonts w:eastAsiaTheme="minorEastAsia"/>
          <w:sz w:val="22"/>
          <w:szCs w:val="22"/>
          <w:lang w:eastAsia="ko-KR"/>
        </w:rPr>
        <w:t xml:space="preserve"> for every </w:t>
      </w:r>
      <w:r w:rsidR="00FA28BD" w:rsidRPr="00FA28BD">
        <w:rPr>
          <w:rFonts w:eastAsiaTheme="minorEastAsia" w:hint="eastAsia"/>
          <w:i/>
          <w:iCs/>
          <w:sz w:val="22"/>
          <w:szCs w:val="22"/>
          <w:lang w:eastAsia="ko-KR"/>
        </w:rPr>
        <w:t>L</w:t>
      </w:r>
      <w:r w:rsidR="00FA28BD">
        <w:rPr>
          <w:rFonts w:eastAsiaTheme="minorEastAsia"/>
          <w:sz w:val="22"/>
          <w:szCs w:val="22"/>
          <w:lang w:eastAsia="ko-KR"/>
        </w:rPr>
        <w:t>=2</w:t>
      </w:r>
      <w:r>
        <w:rPr>
          <w:rFonts w:eastAsiaTheme="minorEastAsia"/>
          <w:sz w:val="22"/>
          <w:szCs w:val="22"/>
          <w:lang w:eastAsia="ko-KR"/>
        </w:rPr>
        <w:t xml:space="preserve"> consecutive slots from the first slot where the PUSCH transmission is indicated. In this option, PUSCH transmissions with different slots can be multiplexed well. However, similarly as in Option 1, this option also results in occurrence of frequency hopping boundary in the middle of consecutive slots</w:t>
      </w:r>
      <w:r w:rsidR="00F3671F">
        <w:rPr>
          <w:rFonts w:eastAsiaTheme="minorEastAsia"/>
          <w:sz w:val="22"/>
          <w:szCs w:val="22"/>
          <w:lang w:eastAsia="ko-KR"/>
        </w:rPr>
        <w:t xml:space="preserve"> for UL transmission</w:t>
      </w:r>
      <w:r>
        <w:rPr>
          <w:rFonts w:eastAsiaTheme="minorEastAsia"/>
          <w:sz w:val="22"/>
          <w:szCs w:val="22"/>
          <w:lang w:eastAsia="ko-KR"/>
        </w:rPr>
        <w:t xml:space="preserve"> (highlighted as ‘</w:t>
      </w:r>
      <w:r w:rsidRPr="007B32C7">
        <w:rPr>
          <w:rFonts w:eastAsiaTheme="minorEastAsia"/>
          <w:i/>
          <w:iCs/>
          <w:color w:val="FF0000"/>
          <w:sz w:val="22"/>
          <w:szCs w:val="22"/>
          <w:lang w:eastAsia="ko-KR"/>
        </w:rPr>
        <w:t>red</w:t>
      </w:r>
      <w:r>
        <w:rPr>
          <w:rFonts w:eastAsiaTheme="minorEastAsia"/>
          <w:sz w:val="22"/>
          <w:szCs w:val="22"/>
          <w:lang w:eastAsia="ko-KR"/>
        </w:rPr>
        <w:t xml:space="preserve">’ </w:t>
      </w:r>
      <w:proofErr w:type="spellStart"/>
      <w:r>
        <w:rPr>
          <w:rFonts w:eastAsiaTheme="minorEastAsia"/>
          <w:sz w:val="22"/>
          <w:szCs w:val="22"/>
          <w:lang w:eastAsia="ko-KR"/>
        </w:rPr>
        <w:t>color</w:t>
      </w:r>
      <w:proofErr w:type="spellEnd"/>
      <w:r>
        <w:rPr>
          <w:rFonts w:eastAsiaTheme="minorEastAsia"/>
          <w:sz w:val="22"/>
          <w:szCs w:val="22"/>
          <w:lang w:eastAsia="ko-KR"/>
        </w:rPr>
        <w:t>) that would make joint channel estimation impossible.</w:t>
      </w:r>
      <w:r w:rsidR="002B0FB1">
        <w:rPr>
          <w:rFonts w:eastAsiaTheme="minorEastAsia"/>
          <w:sz w:val="22"/>
          <w:szCs w:val="22"/>
          <w:lang w:eastAsia="ko-KR"/>
        </w:rPr>
        <w:t xml:space="preserve"> </w:t>
      </w:r>
    </w:p>
    <w:p w14:paraId="466562A6" w14:textId="7F8BB49E" w:rsidR="00D6189C" w:rsidRDefault="00D6189C" w:rsidP="00D6189C">
      <w:pPr>
        <w:pStyle w:val="a0"/>
        <w:spacing w:before="240" w:line="276" w:lineRule="auto"/>
        <w:jc w:val="both"/>
        <w:rPr>
          <w:rFonts w:eastAsiaTheme="minorEastAsia"/>
          <w:sz w:val="22"/>
          <w:szCs w:val="22"/>
          <w:lang w:eastAsia="ko-KR"/>
        </w:rPr>
      </w:pPr>
      <w:r>
        <w:rPr>
          <w:rFonts w:eastAsiaTheme="minorEastAsia" w:hint="eastAsia"/>
          <w:sz w:val="22"/>
          <w:szCs w:val="22"/>
          <w:lang w:eastAsia="ko-KR"/>
        </w:rPr>
        <w:t>W</w:t>
      </w:r>
      <w:r>
        <w:rPr>
          <w:rFonts w:eastAsiaTheme="minorEastAsia"/>
          <w:sz w:val="22"/>
          <w:szCs w:val="22"/>
          <w:lang w:eastAsia="ko-KR"/>
        </w:rPr>
        <w:t xml:space="preserve">ith Option 4, a UE can determine </w:t>
      </w:r>
      <w:r w:rsidR="00991D0E">
        <w:rPr>
          <w:rFonts w:eastAsiaTheme="minorEastAsia"/>
          <w:sz w:val="22"/>
          <w:szCs w:val="22"/>
          <w:lang w:eastAsia="ko-KR"/>
        </w:rPr>
        <w:t xml:space="preserve">the </w:t>
      </w:r>
      <w:r>
        <w:rPr>
          <w:rFonts w:eastAsiaTheme="minorEastAsia"/>
          <w:sz w:val="22"/>
          <w:szCs w:val="22"/>
          <w:lang w:eastAsia="ko-KR"/>
        </w:rPr>
        <w:t xml:space="preserve">hopping interval as same with actual TDW. Thus, a UE determines consecutive slots for UL transmission within the configured TDW as the same hopping interval, where </w:t>
      </w:r>
      <w:r w:rsidRPr="00D6189C">
        <w:rPr>
          <w:rFonts w:eastAsiaTheme="minorEastAsia"/>
          <w:sz w:val="22"/>
          <w:szCs w:val="22"/>
          <w:lang w:eastAsia="ko-KR"/>
        </w:rPr>
        <w:t>con</w:t>
      </w:r>
      <w:r>
        <w:rPr>
          <w:rFonts w:eastAsiaTheme="minorEastAsia"/>
          <w:sz w:val="22"/>
          <w:szCs w:val="22"/>
          <w:lang w:eastAsia="ko-KR"/>
        </w:rPr>
        <w:t xml:space="preserve">secutive slots </w:t>
      </w:r>
      <w:r w:rsidR="00B47DDC">
        <w:rPr>
          <w:rFonts w:eastAsiaTheme="minorEastAsia"/>
          <w:sz w:val="22"/>
          <w:szCs w:val="22"/>
          <w:lang w:eastAsia="ko-KR"/>
        </w:rPr>
        <w:t xml:space="preserve">for UL transmission </w:t>
      </w:r>
      <w:r>
        <w:rPr>
          <w:rFonts w:eastAsiaTheme="minorEastAsia"/>
          <w:sz w:val="22"/>
          <w:szCs w:val="22"/>
          <w:lang w:eastAsia="ko-KR"/>
        </w:rPr>
        <w:t xml:space="preserve">can be less than </w:t>
      </w:r>
      <w:r>
        <w:rPr>
          <w:rFonts w:eastAsiaTheme="minorEastAsia"/>
          <w:i/>
          <w:iCs/>
          <w:sz w:val="22"/>
        </w:rPr>
        <w:t>L</w:t>
      </w:r>
      <w:r>
        <w:rPr>
          <w:rFonts w:eastAsiaTheme="minorEastAsia"/>
          <w:sz w:val="22"/>
          <w:szCs w:val="22"/>
          <w:lang w:eastAsia="ko-KR"/>
        </w:rPr>
        <w:t xml:space="preserve"> if there are no consecutive </w:t>
      </w:r>
      <w:r>
        <w:rPr>
          <w:rFonts w:eastAsiaTheme="minorEastAsia"/>
          <w:i/>
          <w:iCs/>
          <w:sz w:val="22"/>
        </w:rPr>
        <w:t>L</w:t>
      </w:r>
      <w:r>
        <w:rPr>
          <w:rFonts w:eastAsiaTheme="minorEastAsia"/>
          <w:sz w:val="22"/>
          <w:szCs w:val="22"/>
          <w:lang w:eastAsia="ko-KR"/>
        </w:rPr>
        <w:t xml:space="preserve"> slots among the slots for UL transmission. Since consecutive slots </w:t>
      </w:r>
      <w:r w:rsidR="002B0FB1">
        <w:rPr>
          <w:rFonts w:eastAsiaTheme="minorEastAsia"/>
          <w:sz w:val="22"/>
          <w:szCs w:val="22"/>
          <w:lang w:eastAsia="ko-KR"/>
        </w:rPr>
        <w:t xml:space="preserve">for UL transmission </w:t>
      </w:r>
      <w:r>
        <w:rPr>
          <w:rFonts w:eastAsiaTheme="minorEastAsia"/>
          <w:sz w:val="22"/>
          <w:szCs w:val="22"/>
          <w:lang w:eastAsia="ko-KR"/>
        </w:rPr>
        <w:t xml:space="preserve">within the configured TDW are bundled to the same frequency hop, there is no frequency hopping boundary in the middle of consecutive slots for UL transmission. Therefore, Option 4 can provide higher availability of joint channel estimation. </w:t>
      </w:r>
    </w:p>
    <w:p w14:paraId="3A866022" w14:textId="3E7D5A15" w:rsidR="00D6189C" w:rsidRPr="00A7354F" w:rsidRDefault="00D6189C" w:rsidP="00D6189C">
      <w:pPr>
        <w:pStyle w:val="a0"/>
        <w:spacing w:before="240" w:line="276" w:lineRule="auto"/>
        <w:jc w:val="both"/>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ased on the above discussions, </w:t>
      </w:r>
      <w:r w:rsidR="00991D0E">
        <w:rPr>
          <w:rFonts w:eastAsiaTheme="minorEastAsia"/>
          <w:sz w:val="22"/>
          <w:szCs w:val="22"/>
          <w:lang w:eastAsia="ko-KR"/>
        </w:rPr>
        <w:t xml:space="preserve">we support that the </w:t>
      </w:r>
      <w:r w:rsidR="00C55443">
        <w:rPr>
          <w:rFonts w:eastAsiaTheme="minorEastAsia"/>
          <w:sz w:val="22"/>
          <w:szCs w:val="22"/>
          <w:lang w:eastAsia="ko-KR"/>
        </w:rPr>
        <w:t>hopping interval</w:t>
      </w:r>
      <w:r>
        <w:rPr>
          <w:rFonts w:eastAsiaTheme="minorEastAsia"/>
          <w:sz w:val="22"/>
          <w:szCs w:val="22"/>
          <w:lang w:eastAsia="ko-KR"/>
        </w:rPr>
        <w:t xml:space="preserve"> can be determined via Option 4 for inter-slot frequency hopping with inter-slot bundling. It can maximize the availability of joint channel estimation that is directly related with coverage</w:t>
      </w:r>
      <w:r w:rsidR="00991D0E">
        <w:rPr>
          <w:rFonts w:eastAsiaTheme="minorEastAsia"/>
          <w:sz w:val="22"/>
          <w:szCs w:val="22"/>
          <w:lang w:eastAsia="ko-KR"/>
        </w:rPr>
        <w:t xml:space="preserve"> enhancement</w:t>
      </w:r>
      <w:r>
        <w:rPr>
          <w:rFonts w:eastAsiaTheme="minorEastAsia"/>
          <w:sz w:val="22"/>
          <w:szCs w:val="22"/>
          <w:lang w:eastAsia="ko-KR"/>
        </w:rPr>
        <w:t xml:space="preserve">, while the other options have potential </w:t>
      </w:r>
      <w:r>
        <w:rPr>
          <w:rFonts w:eastAsiaTheme="minorEastAsia" w:hint="eastAsia"/>
          <w:sz w:val="22"/>
          <w:szCs w:val="22"/>
          <w:lang w:eastAsia="ko-KR"/>
        </w:rPr>
        <w:t>d</w:t>
      </w:r>
      <w:r>
        <w:rPr>
          <w:rFonts w:eastAsiaTheme="minorEastAsia"/>
          <w:sz w:val="22"/>
          <w:szCs w:val="22"/>
          <w:lang w:eastAsia="ko-KR"/>
        </w:rPr>
        <w:t>rawbacks on joint channel estimation in TDD scenarios.</w:t>
      </w:r>
    </w:p>
    <w:p w14:paraId="68AB9544" w14:textId="7C30276A" w:rsidR="00A86D78" w:rsidRPr="00A86D78" w:rsidRDefault="00402268" w:rsidP="00CD5593">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hint="eastAsia"/>
          <w:b/>
          <w:bCs/>
          <w:i/>
          <w:iCs/>
          <w:sz w:val="22"/>
          <w:lang w:eastAsia="ko-KR"/>
        </w:rPr>
        <w:t>P</w:t>
      </w:r>
      <w:r>
        <w:rPr>
          <w:rFonts w:eastAsiaTheme="minorEastAsia"/>
          <w:b/>
          <w:bCs/>
          <w:i/>
          <w:iCs/>
          <w:sz w:val="22"/>
          <w:lang w:eastAsia="ko-KR"/>
        </w:rPr>
        <w:t xml:space="preserve">roposal </w:t>
      </w:r>
      <w:r w:rsidR="00984E85">
        <w:rPr>
          <w:rFonts w:eastAsiaTheme="minorEastAsia"/>
          <w:b/>
          <w:bCs/>
          <w:i/>
          <w:iCs/>
          <w:sz w:val="22"/>
          <w:lang w:eastAsia="ko-KR"/>
        </w:rPr>
        <w:t>1</w:t>
      </w:r>
      <w:r>
        <w:rPr>
          <w:rFonts w:eastAsiaTheme="minorEastAsia"/>
          <w:b/>
          <w:bCs/>
          <w:i/>
          <w:iCs/>
          <w:sz w:val="22"/>
          <w:lang w:eastAsia="ko-KR"/>
        </w:rPr>
        <w:t xml:space="preserve">: </w:t>
      </w:r>
      <w:r>
        <w:rPr>
          <w:rFonts w:eastAsiaTheme="minorEastAsia"/>
          <w:b/>
          <w:bCs/>
          <w:i/>
          <w:iCs/>
          <w:sz w:val="22"/>
        </w:rPr>
        <w:t>For inter-slot frequency hopping with inter-slot bundling,</w:t>
      </w:r>
      <w:r w:rsidR="00A86D78">
        <w:rPr>
          <w:rFonts w:eastAsiaTheme="minorEastAsia"/>
          <w:b/>
          <w:bCs/>
          <w:i/>
          <w:iCs/>
          <w:sz w:val="22"/>
        </w:rPr>
        <w:t xml:space="preserve"> a hopping interval can be </w:t>
      </w:r>
      <w:r w:rsidR="008175B3">
        <w:rPr>
          <w:rFonts w:eastAsiaTheme="minorEastAsia"/>
          <w:b/>
          <w:bCs/>
          <w:i/>
          <w:iCs/>
          <w:sz w:val="22"/>
        </w:rPr>
        <w:t xml:space="preserve">the </w:t>
      </w:r>
      <w:r w:rsidR="00A86D78">
        <w:rPr>
          <w:rFonts w:eastAsiaTheme="minorEastAsia"/>
          <w:b/>
          <w:bCs/>
          <w:i/>
          <w:iCs/>
          <w:sz w:val="22"/>
        </w:rPr>
        <w:t>same as an actual TDW (Option 4).</w:t>
      </w:r>
      <w:r>
        <w:rPr>
          <w:rFonts w:eastAsiaTheme="minorEastAsia"/>
          <w:b/>
          <w:bCs/>
          <w:i/>
          <w:iCs/>
          <w:sz w:val="22"/>
        </w:rPr>
        <w:t xml:space="preserve"> </w:t>
      </w:r>
    </w:p>
    <w:p w14:paraId="2955DA6E" w14:textId="77777777" w:rsidR="00473A70" w:rsidRPr="00A436E5" w:rsidRDefault="00473A70" w:rsidP="00CD5593">
      <w:pPr>
        <w:pStyle w:val="1"/>
        <w:spacing w:line="276" w:lineRule="auto"/>
        <w:jc w:val="both"/>
        <w:rPr>
          <w:rFonts w:ascii="Times New Roman" w:hAnsi="Times New Roman"/>
          <w:sz w:val="28"/>
          <w:szCs w:val="22"/>
        </w:rPr>
      </w:pPr>
      <w:r w:rsidRPr="00A436E5">
        <w:rPr>
          <w:rFonts w:ascii="Times New Roman" w:hAnsi="Times New Roman"/>
          <w:sz w:val="28"/>
          <w:szCs w:val="22"/>
        </w:rPr>
        <w:lastRenderedPageBreak/>
        <w:t>Conclusion</w:t>
      </w:r>
    </w:p>
    <w:p w14:paraId="5DA97E5C" w14:textId="06030F74" w:rsidR="00473A70" w:rsidRDefault="00473A70" w:rsidP="00CD5593">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provided our views on </w:t>
      </w:r>
      <w:r w:rsidR="00984E85">
        <w:rPr>
          <w:rFonts w:ascii="Times New Roman" w:hAnsi="Times New Roman"/>
          <w:kern w:val="0"/>
          <w:sz w:val="22"/>
        </w:rPr>
        <w:t>PUCCH enhancements for coverage enhancement</w:t>
      </w:r>
      <w:r w:rsidRPr="008B6F35">
        <w:rPr>
          <w:rFonts w:ascii="Times New Roman" w:hAnsi="Times New Roman"/>
          <w:kern w:val="0"/>
          <w:sz w:val="22"/>
        </w:rPr>
        <w:t xml:space="preserve"> and the following w</w:t>
      </w:r>
      <w:r w:rsidR="00D6189C">
        <w:rPr>
          <w:rFonts w:ascii="Times New Roman" w:hAnsi="Times New Roman"/>
          <w:kern w:val="0"/>
          <w:sz w:val="22"/>
        </w:rPr>
        <w:t>as</w:t>
      </w:r>
      <w:r w:rsidRPr="008B6F35">
        <w:rPr>
          <w:rFonts w:ascii="Times New Roman" w:hAnsi="Times New Roman"/>
          <w:kern w:val="0"/>
          <w:sz w:val="22"/>
        </w:rPr>
        <w:t xml:space="preserve"> proposed:</w:t>
      </w:r>
    </w:p>
    <w:p w14:paraId="21AEE34A" w14:textId="7933E056" w:rsidR="00D931E0" w:rsidRPr="00A6564B" w:rsidRDefault="00CD4858" w:rsidP="00984E85">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F02B5B">
        <w:rPr>
          <w:rFonts w:eastAsiaTheme="minorEastAsia"/>
          <w:b/>
          <w:bCs/>
          <w:i/>
          <w:iCs/>
          <w:sz w:val="22"/>
          <w:szCs w:val="22"/>
          <w:lang w:eastAsia="ko-KR"/>
        </w:rPr>
        <w:t xml:space="preserve"> </w:t>
      </w:r>
      <w:r>
        <w:rPr>
          <w:rFonts w:eastAsiaTheme="minorEastAsia"/>
          <w:b/>
          <w:bCs/>
          <w:i/>
          <w:iCs/>
          <w:sz w:val="22"/>
          <w:szCs w:val="22"/>
          <w:lang w:eastAsia="ko-KR"/>
        </w:rPr>
        <w:t>1</w:t>
      </w:r>
      <w:r w:rsidRPr="00F02B5B">
        <w:rPr>
          <w:rFonts w:eastAsiaTheme="minorEastAsia"/>
          <w:b/>
          <w:bCs/>
          <w:i/>
          <w:iCs/>
          <w:sz w:val="22"/>
          <w:szCs w:val="22"/>
          <w:lang w:eastAsia="ko-KR"/>
        </w:rPr>
        <w:t>:</w:t>
      </w:r>
      <w:r>
        <w:rPr>
          <w:rFonts w:eastAsiaTheme="minorEastAsia"/>
          <w:b/>
          <w:bCs/>
          <w:i/>
          <w:iCs/>
          <w:sz w:val="22"/>
        </w:rPr>
        <w:t xml:space="preserve"> </w:t>
      </w:r>
      <w:r w:rsidR="00810B3F">
        <w:rPr>
          <w:rFonts w:eastAsiaTheme="minorEastAsia"/>
          <w:b/>
          <w:bCs/>
          <w:i/>
          <w:iCs/>
          <w:sz w:val="22"/>
        </w:rPr>
        <w:t xml:space="preserve">For inter-slot frequency hopping with inter-slot bundling, a hopping interval can be </w:t>
      </w:r>
      <w:r w:rsidR="008175B3">
        <w:rPr>
          <w:rFonts w:eastAsiaTheme="minorEastAsia"/>
          <w:b/>
          <w:bCs/>
          <w:i/>
          <w:iCs/>
          <w:sz w:val="22"/>
        </w:rPr>
        <w:t xml:space="preserve">the </w:t>
      </w:r>
      <w:r w:rsidR="00810B3F">
        <w:rPr>
          <w:rFonts w:eastAsiaTheme="minorEastAsia"/>
          <w:b/>
          <w:bCs/>
          <w:i/>
          <w:iCs/>
          <w:sz w:val="22"/>
        </w:rPr>
        <w:t>same as an actual TDW (Option 4).</w:t>
      </w:r>
    </w:p>
    <w:p w14:paraId="157D679C" w14:textId="09587CEE" w:rsidR="00473A70" w:rsidRPr="008B6F35" w:rsidRDefault="00473A70" w:rsidP="00CD5593">
      <w:pPr>
        <w:widowControl/>
        <w:wordWrap/>
        <w:autoSpaceDE/>
        <w:autoSpaceDN/>
        <w:spacing w:before="240"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B18CD0E" w14:textId="70EA8416" w:rsidR="008F3C81" w:rsidRPr="00984E85" w:rsidRDefault="00753BD4" w:rsidP="00984E85">
      <w:pPr>
        <w:pStyle w:val="aa"/>
        <w:numPr>
          <w:ilvl w:val="0"/>
          <w:numId w:val="2"/>
        </w:numPr>
        <w:wordWrap/>
        <w:spacing w:line="276" w:lineRule="auto"/>
        <w:ind w:leftChars="0"/>
        <w:rPr>
          <w:rFonts w:ascii="Times New Roman" w:hAnsi="Times New Roman"/>
          <w:sz w:val="22"/>
        </w:rPr>
      </w:pPr>
      <w:r w:rsidRPr="000D1DF1">
        <w:rPr>
          <w:rFonts w:ascii="Times New Roman" w:eastAsia="SimSun" w:hAnsi="Times New Roman"/>
          <w:kern w:val="0"/>
          <w:sz w:val="22"/>
          <w:szCs w:val="20"/>
          <w:lang w:eastAsia="zh-CN"/>
        </w:rPr>
        <w:t>Draft Report of 3GPP TSG RAN WG1 #10</w:t>
      </w:r>
      <w:r w:rsidR="004E1C49">
        <w:rPr>
          <w:rFonts w:ascii="Times New Roman" w:eastAsia="SimSun" w:hAnsi="Times New Roman"/>
          <w:kern w:val="0"/>
          <w:sz w:val="22"/>
          <w:szCs w:val="20"/>
          <w:lang w:eastAsia="zh-CN"/>
        </w:rPr>
        <w:t>6</w:t>
      </w:r>
      <w:r w:rsidR="00984E85">
        <w:rPr>
          <w:rFonts w:ascii="Times New Roman" w:eastAsia="SimSun" w:hAnsi="Times New Roman"/>
          <w:kern w:val="0"/>
          <w:sz w:val="22"/>
          <w:szCs w:val="20"/>
          <w:lang w:eastAsia="zh-CN"/>
        </w:rPr>
        <w:t>b</w:t>
      </w:r>
      <w:r w:rsidR="007160EA" w:rsidRPr="000D1DF1">
        <w:rPr>
          <w:rFonts w:ascii="Times New Roman" w:eastAsia="SimSun" w:hAnsi="Times New Roman"/>
          <w:kern w:val="0"/>
          <w:sz w:val="22"/>
          <w:szCs w:val="20"/>
          <w:lang w:eastAsia="zh-CN"/>
        </w:rPr>
        <w:t>-</w:t>
      </w:r>
      <w:r w:rsidRPr="000D1DF1">
        <w:rPr>
          <w:rFonts w:ascii="Times New Roman" w:eastAsia="SimSun" w:hAnsi="Times New Roman"/>
          <w:kern w:val="0"/>
          <w:sz w:val="22"/>
          <w:szCs w:val="20"/>
          <w:lang w:eastAsia="zh-CN"/>
        </w:rPr>
        <w:t>e v0.</w:t>
      </w:r>
      <w:r w:rsidR="000D1DF1">
        <w:rPr>
          <w:rFonts w:ascii="Times New Roman" w:eastAsia="SimSun" w:hAnsi="Times New Roman"/>
          <w:kern w:val="0"/>
          <w:sz w:val="22"/>
          <w:szCs w:val="20"/>
          <w:lang w:eastAsia="zh-CN"/>
        </w:rPr>
        <w:t>2</w:t>
      </w:r>
      <w:r w:rsidRPr="000D1DF1">
        <w:rPr>
          <w:rFonts w:ascii="Times New Roman" w:eastAsia="SimSun" w:hAnsi="Times New Roman"/>
          <w:kern w:val="0"/>
          <w:sz w:val="22"/>
          <w:szCs w:val="20"/>
          <w:lang w:eastAsia="zh-CN"/>
        </w:rPr>
        <w:t>.0</w:t>
      </w:r>
    </w:p>
    <w:sectPr w:rsidR="008F3C81" w:rsidRPr="00984E85"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D79A1" w14:textId="77777777" w:rsidR="0008425A" w:rsidRDefault="0008425A">
      <w:r>
        <w:separator/>
      </w:r>
    </w:p>
  </w:endnote>
  <w:endnote w:type="continuationSeparator" w:id="0">
    <w:p w14:paraId="5E016F16" w14:textId="77777777" w:rsidR="0008425A" w:rsidRDefault="00084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08425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AEDF8" w14:textId="77777777" w:rsidR="0008425A" w:rsidRDefault="0008425A">
      <w:r>
        <w:separator/>
      </w:r>
    </w:p>
  </w:footnote>
  <w:footnote w:type="continuationSeparator" w:id="0">
    <w:p w14:paraId="5245E84E" w14:textId="77777777" w:rsidR="0008425A" w:rsidRDefault="00084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C43"/>
    <w:multiLevelType w:val="hybridMultilevel"/>
    <w:tmpl w:val="2ADCA444"/>
    <w:lvl w:ilvl="0" w:tplc="DD0495BA">
      <w:start w:val="1"/>
      <w:numFmt w:val="bullet"/>
      <w:lvlText w:val="‐"/>
      <w:lvlJc w:val="left"/>
      <w:pPr>
        <w:ind w:left="956" w:hanging="400"/>
      </w:pPr>
      <w:rPr>
        <w:rFonts w:ascii="SimSun" w:eastAsia="SimSun" w:hAnsi="SimSun" w:hint="eastAsia"/>
      </w:rPr>
    </w:lvl>
    <w:lvl w:ilvl="1" w:tplc="04090003" w:tentative="1">
      <w:start w:val="1"/>
      <w:numFmt w:val="bullet"/>
      <w:lvlText w:val=""/>
      <w:lvlJc w:val="left"/>
      <w:pPr>
        <w:ind w:left="1356" w:hanging="400"/>
      </w:pPr>
      <w:rPr>
        <w:rFonts w:ascii="Wingdings" w:hAnsi="Wingdings" w:hint="default"/>
      </w:rPr>
    </w:lvl>
    <w:lvl w:ilvl="2" w:tplc="04090005" w:tentative="1">
      <w:start w:val="1"/>
      <w:numFmt w:val="bullet"/>
      <w:lvlText w:val=""/>
      <w:lvlJc w:val="left"/>
      <w:pPr>
        <w:ind w:left="1756" w:hanging="400"/>
      </w:pPr>
      <w:rPr>
        <w:rFonts w:ascii="Wingdings" w:hAnsi="Wingdings" w:hint="default"/>
      </w:rPr>
    </w:lvl>
    <w:lvl w:ilvl="3" w:tplc="04090001" w:tentative="1">
      <w:start w:val="1"/>
      <w:numFmt w:val="bullet"/>
      <w:lvlText w:val=""/>
      <w:lvlJc w:val="left"/>
      <w:pPr>
        <w:ind w:left="2156" w:hanging="400"/>
      </w:pPr>
      <w:rPr>
        <w:rFonts w:ascii="Wingdings" w:hAnsi="Wingdings" w:hint="default"/>
      </w:rPr>
    </w:lvl>
    <w:lvl w:ilvl="4" w:tplc="04090003" w:tentative="1">
      <w:start w:val="1"/>
      <w:numFmt w:val="bullet"/>
      <w:lvlText w:val=""/>
      <w:lvlJc w:val="left"/>
      <w:pPr>
        <w:ind w:left="2556" w:hanging="400"/>
      </w:pPr>
      <w:rPr>
        <w:rFonts w:ascii="Wingdings" w:hAnsi="Wingdings" w:hint="default"/>
      </w:rPr>
    </w:lvl>
    <w:lvl w:ilvl="5" w:tplc="04090005" w:tentative="1">
      <w:start w:val="1"/>
      <w:numFmt w:val="bullet"/>
      <w:lvlText w:val=""/>
      <w:lvlJc w:val="left"/>
      <w:pPr>
        <w:ind w:left="2956" w:hanging="400"/>
      </w:pPr>
      <w:rPr>
        <w:rFonts w:ascii="Wingdings" w:hAnsi="Wingdings" w:hint="default"/>
      </w:rPr>
    </w:lvl>
    <w:lvl w:ilvl="6" w:tplc="04090001" w:tentative="1">
      <w:start w:val="1"/>
      <w:numFmt w:val="bullet"/>
      <w:lvlText w:val=""/>
      <w:lvlJc w:val="left"/>
      <w:pPr>
        <w:ind w:left="3356" w:hanging="400"/>
      </w:pPr>
      <w:rPr>
        <w:rFonts w:ascii="Wingdings" w:hAnsi="Wingdings" w:hint="default"/>
      </w:rPr>
    </w:lvl>
    <w:lvl w:ilvl="7" w:tplc="04090003" w:tentative="1">
      <w:start w:val="1"/>
      <w:numFmt w:val="bullet"/>
      <w:lvlText w:val=""/>
      <w:lvlJc w:val="left"/>
      <w:pPr>
        <w:ind w:left="3756" w:hanging="400"/>
      </w:pPr>
      <w:rPr>
        <w:rFonts w:ascii="Wingdings" w:hAnsi="Wingdings" w:hint="default"/>
      </w:rPr>
    </w:lvl>
    <w:lvl w:ilvl="8" w:tplc="04090005" w:tentative="1">
      <w:start w:val="1"/>
      <w:numFmt w:val="bullet"/>
      <w:lvlText w:val=""/>
      <w:lvlJc w:val="left"/>
      <w:pPr>
        <w:ind w:left="4156" w:hanging="400"/>
      </w:pPr>
      <w:rPr>
        <w:rFonts w:ascii="Wingdings" w:hAnsi="Wingdings" w:hint="default"/>
      </w:rPr>
    </w:lvl>
  </w:abstractNum>
  <w:abstractNum w:abstractNumId="1" w15:restartNumberingAfterBreak="0">
    <w:nsid w:val="016A7CC7"/>
    <w:multiLevelType w:val="hybridMultilevel"/>
    <w:tmpl w:val="B198C470"/>
    <w:lvl w:ilvl="0" w:tplc="E3AE29AE">
      <w:start w:val="2"/>
      <w:numFmt w:val="bullet"/>
      <w:lvlText w:val="-"/>
      <w:lvlJc w:val="left"/>
      <w:pPr>
        <w:ind w:left="910" w:hanging="400"/>
      </w:pPr>
      <w:rPr>
        <w:rFonts w:ascii="Times New Roman" w:eastAsia="SimSun" w:hAnsi="Times New Roman" w:cs="Times New Roman"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5C4500D"/>
    <w:multiLevelType w:val="hybridMultilevel"/>
    <w:tmpl w:val="817AC63E"/>
    <w:lvl w:ilvl="0" w:tplc="E3AE29AE">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77A09EB"/>
    <w:multiLevelType w:val="hybridMultilevel"/>
    <w:tmpl w:val="47A847E2"/>
    <w:lvl w:ilvl="0" w:tplc="B3B22A08">
      <w:start w:val="40"/>
      <w:numFmt w:val="bullet"/>
      <w:lvlText w:val="-"/>
      <w:lvlJc w:val="left"/>
      <w:pPr>
        <w:ind w:left="541" w:hanging="400"/>
      </w:pPr>
      <w:rPr>
        <w:rFonts w:ascii="Calibri" w:eastAsia="DengXian" w:hAnsi="Calibri" w:cs="Calibri"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5" w15:restartNumberingAfterBreak="0">
    <w:nsid w:val="0C507ABC"/>
    <w:multiLevelType w:val="hybridMultilevel"/>
    <w:tmpl w:val="EF0C64C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89BC7DB6">
      <w:start w:val="1"/>
      <w:numFmt w:val="bullet"/>
      <w:lvlText w:val=""/>
      <w:lvlJc w:val="left"/>
      <w:pPr>
        <w:tabs>
          <w:tab w:val="num" w:pos="1440"/>
        </w:tabs>
        <w:ind w:left="1440" w:hanging="360"/>
      </w:pPr>
      <w:rPr>
        <w:rFonts w:ascii="Symbol" w:hAnsi="Symbol"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B26099"/>
    <w:multiLevelType w:val="hybridMultilevel"/>
    <w:tmpl w:val="2A00B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E6204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9B61BD"/>
    <w:multiLevelType w:val="hybridMultilevel"/>
    <w:tmpl w:val="0E6EF3B8"/>
    <w:lvl w:ilvl="0" w:tplc="0446494A">
      <w:start w:val="2"/>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00C2D7F"/>
    <w:multiLevelType w:val="hybridMultilevel"/>
    <w:tmpl w:val="E7A4FDA8"/>
    <w:lvl w:ilvl="0" w:tplc="9316441A">
      <w:start w:val="1"/>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4D06798"/>
    <w:multiLevelType w:val="hybridMultilevel"/>
    <w:tmpl w:val="4268F79E"/>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3" w15:restartNumberingAfterBreak="0">
    <w:nsid w:val="30131778"/>
    <w:multiLevelType w:val="hybridMultilevel"/>
    <w:tmpl w:val="E79E3FD6"/>
    <w:lvl w:ilvl="0" w:tplc="E1EA4DB8">
      <w:start w:val="1"/>
      <w:numFmt w:val="decimal"/>
      <w:lvlText w:val="%1."/>
      <w:lvlJc w:val="left"/>
      <w:pPr>
        <w:ind w:left="541" w:hanging="400"/>
      </w:pPr>
      <w:rPr>
        <w:rFonts w:hint="default"/>
      </w:rPr>
    </w:lvl>
    <w:lvl w:ilvl="1" w:tplc="04090019">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4" w15:restartNumberingAfterBreak="0">
    <w:nsid w:val="31E02386"/>
    <w:multiLevelType w:val="multilevel"/>
    <w:tmpl w:val="18442D88"/>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CB350BE"/>
    <w:multiLevelType w:val="hybridMultilevel"/>
    <w:tmpl w:val="B242240C"/>
    <w:lvl w:ilvl="0" w:tplc="0446494A">
      <w:start w:val="2"/>
      <w:numFmt w:val="bullet"/>
      <w:lvlText w:val="-"/>
      <w:lvlJc w:val="left"/>
      <w:pPr>
        <w:ind w:left="556" w:hanging="400"/>
      </w:pPr>
      <w:rPr>
        <w:rFonts w:ascii="Times New Roman" w:eastAsia="Times New Roman" w:hAnsi="Times New Roman" w:cs="Times New Roman" w:hint="default"/>
      </w:rPr>
    </w:lvl>
    <w:lvl w:ilvl="1" w:tplc="04090003" w:tentative="1">
      <w:start w:val="1"/>
      <w:numFmt w:val="bullet"/>
      <w:lvlText w:val=""/>
      <w:lvlJc w:val="left"/>
      <w:pPr>
        <w:ind w:left="956" w:hanging="400"/>
      </w:pPr>
      <w:rPr>
        <w:rFonts w:ascii="Wingdings" w:hAnsi="Wingdings" w:hint="default"/>
      </w:rPr>
    </w:lvl>
    <w:lvl w:ilvl="2" w:tplc="04090005" w:tentative="1">
      <w:start w:val="1"/>
      <w:numFmt w:val="bullet"/>
      <w:lvlText w:val=""/>
      <w:lvlJc w:val="left"/>
      <w:pPr>
        <w:ind w:left="1356" w:hanging="400"/>
      </w:pPr>
      <w:rPr>
        <w:rFonts w:ascii="Wingdings" w:hAnsi="Wingdings" w:hint="default"/>
      </w:rPr>
    </w:lvl>
    <w:lvl w:ilvl="3" w:tplc="04090001" w:tentative="1">
      <w:start w:val="1"/>
      <w:numFmt w:val="bullet"/>
      <w:lvlText w:val=""/>
      <w:lvlJc w:val="left"/>
      <w:pPr>
        <w:ind w:left="1756" w:hanging="400"/>
      </w:pPr>
      <w:rPr>
        <w:rFonts w:ascii="Wingdings" w:hAnsi="Wingdings" w:hint="default"/>
      </w:rPr>
    </w:lvl>
    <w:lvl w:ilvl="4" w:tplc="04090003" w:tentative="1">
      <w:start w:val="1"/>
      <w:numFmt w:val="bullet"/>
      <w:lvlText w:val=""/>
      <w:lvlJc w:val="left"/>
      <w:pPr>
        <w:ind w:left="2156" w:hanging="400"/>
      </w:pPr>
      <w:rPr>
        <w:rFonts w:ascii="Wingdings" w:hAnsi="Wingdings" w:hint="default"/>
      </w:rPr>
    </w:lvl>
    <w:lvl w:ilvl="5" w:tplc="04090005" w:tentative="1">
      <w:start w:val="1"/>
      <w:numFmt w:val="bullet"/>
      <w:lvlText w:val=""/>
      <w:lvlJc w:val="left"/>
      <w:pPr>
        <w:ind w:left="2556" w:hanging="400"/>
      </w:pPr>
      <w:rPr>
        <w:rFonts w:ascii="Wingdings" w:hAnsi="Wingdings" w:hint="default"/>
      </w:rPr>
    </w:lvl>
    <w:lvl w:ilvl="6" w:tplc="04090001" w:tentative="1">
      <w:start w:val="1"/>
      <w:numFmt w:val="bullet"/>
      <w:lvlText w:val=""/>
      <w:lvlJc w:val="left"/>
      <w:pPr>
        <w:ind w:left="2956" w:hanging="400"/>
      </w:pPr>
      <w:rPr>
        <w:rFonts w:ascii="Wingdings" w:hAnsi="Wingdings" w:hint="default"/>
      </w:rPr>
    </w:lvl>
    <w:lvl w:ilvl="7" w:tplc="04090003" w:tentative="1">
      <w:start w:val="1"/>
      <w:numFmt w:val="bullet"/>
      <w:lvlText w:val=""/>
      <w:lvlJc w:val="left"/>
      <w:pPr>
        <w:ind w:left="3356" w:hanging="400"/>
      </w:pPr>
      <w:rPr>
        <w:rFonts w:ascii="Wingdings" w:hAnsi="Wingdings" w:hint="default"/>
      </w:rPr>
    </w:lvl>
    <w:lvl w:ilvl="8" w:tplc="04090005" w:tentative="1">
      <w:start w:val="1"/>
      <w:numFmt w:val="bullet"/>
      <w:lvlText w:val=""/>
      <w:lvlJc w:val="left"/>
      <w:pPr>
        <w:ind w:left="3756" w:hanging="400"/>
      </w:pPr>
      <w:rPr>
        <w:rFonts w:ascii="Wingdings" w:hAnsi="Wingdings" w:hint="default"/>
      </w:rPr>
    </w:lvl>
  </w:abstractNum>
  <w:abstractNum w:abstractNumId="21"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5E03B8"/>
    <w:multiLevelType w:val="hybridMultilevel"/>
    <w:tmpl w:val="96060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9587122"/>
    <w:multiLevelType w:val="hybridMultilevel"/>
    <w:tmpl w:val="FD6C9EAA"/>
    <w:lvl w:ilvl="0" w:tplc="04090001">
      <w:start w:val="1"/>
      <w:numFmt w:val="bullet"/>
      <w:lvlText w:val=""/>
      <w:lvlJc w:val="left"/>
      <w:pPr>
        <w:ind w:left="541" w:hanging="400"/>
      </w:pPr>
      <w:rPr>
        <w:rFonts w:ascii="Wingdings" w:hAnsi="Wingdings"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24"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1B604C"/>
    <w:multiLevelType w:val="hybridMultilevel"/>
    <w:tmpl w:val="9D0EB4F6"/>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27" w15:restartNumberingAfterBreak="0">
    <w:nsid w:val="54D23D55"/>
    <w:multiLevelType w:val="hybridMultilevel"/>
    <w:tmpl w:val="6C22DC48"/>
    <w:lvl w:ilvl="0" w:tplc="E3AE29AE">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BEA7556"/>
    <w:multiLevelType w:val="hybridMultilevel"/>
    <w:tmpl w:val="C3A4E3F2"/>
    <w:lvl w:ilvl="0" w:tplc="04090009">
      <w:start w:val="1"/>
      <w:numFmt w:val="bullet"/>
      <w:lvlText w:val=""/>
      <w:lvlJc w:val="left"/>
      <w:pPr>
        <w:ind w:left="941" w:hanging="400"/>
      </w:pPr>
      <w:rPr>
        <w:rFonts w:ascii="Wingdings" w:hAnsi="Wingdings" w:hint="default"/>
      </w:rPr>
    </w:lvl>
    <w:lvl w:ilvl="1" w:tplc="04090003">
      <w:start w:val="1"/>
      <w:numFmt w:val="bullet"/>
      <w:lvlText w:val=""/>
      <w:lvlJc w:val="left"/>
      <w:pPr>
        <w:ind w:left="1341" w:hanging="400"/>
      </w:pPr>
      <w:rPr>
        <w:rFonts w:ascii="Wingdings" w:hAnsi="Wingdings" w:hint="default"/>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0" w15:restartNumberingAfterBreak="0">
    <w:nsid w:val="66923E14"/>
    <w:multiLevelType w:val="hybridMultilevel"/>
    <w:tmpl w:val="F29850E4"/>
    <w:lvl w:ilvl="0" w:tplc="04090019">
      <w:start w:val="1"/>
      <w:numFmt w:val="upperLetter"/>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1" w15:restartNumberingAfterBreak="0">
    <w:nsid w:val="6A0C1F2B"/>
    <w:multiLevelType w:val="hybridMultilevel"/>
    <w:tmpl w:val="BE868B60"/>
    <w:lvl w:ilvl="0" w:tplc="04090009">
      <w:start w:val="1"/>
      <w:numFmt w:val="bullet"/>
      <w:lvlText w:val=""/>
      <w:lvlJc w:val="left"/>
      <w:pPr>
        <w:ind w:left="902" w:hanging="400"/>
      </w:pPr>
      <w:rPr>
        <w:rFonts w:ascii="Wingdings" w:hAnsi="Wingdings" w:hint="default"/>
      </w:rPr>
    </w:lvl>
    <w:lvl w:ilvl="1" w:tplc="04090003" w:tentative="1">
      <w:start w:val="1"/>
      <w:numFmt w:val="bullet"/>
      <w:lvlText w:val=""/>
      <w:lvlJc w:val="left"/>
      <w:pPr>
        <w:ind w:left="1302" w:hanging="400"/>
      </w:pPr>
      <w:rPr>
        <w:rFonts w:ascii="Wingdings" w:hAnsi="Wingdings" w:hint="default"/>
      </w:rPr>
    </w:lvl>
    <w:lvl w:ilvl="2" w:tplc="04090005" w:tentative="1">
      <w:start w:val="1"/>
      <w:numFmt w:val="bullet"/>
      <w:lvlText w:val=""/>
      <w:lvlJc w:val="left"/>
      <w:pPr>
        <w:ind w:left="1702" w:hanging="400"/>
      </w:pPr>
      <w:rPr>
        <w:rFonts w:ascii="Wingdings" w:hAnsi="Wingdings" w:hint="default"/>
      </w:rPr>
    </w:lvl>
    <w:lvl w:ilvl="3" w:tplc="04090001" w:tentative="1">
      <w:start w:val="1"/>
      <w:numFmt w:val="bullet"/>
      <w:lvlText w:val=""/>
      <w:lvlJc w:val="left"/>
      <w:pPr>
        <w:ind w:left="2102" w:hanging="400"/>
      </w:pPr>
      <w:rPr>
        <w:rFonts w:ascii="Wingdings" w:hAnsi="Wingdings" w:hint="default"/>
      </w:rPr>
    </w:lvl>
    <w:lvl w:ilvl="4" w:tplc="04090003" w:tentative="1">
      <w:start w:val="1"/>
      <w:numFmt w:val="bullet"/>
      <w:lvlText w:val=""/>
      <w:lvlJc w:val="left"/>
      <w:pPr>
        <w:ind w:left="2502" w:hanging="400"/>
      </w:pPr>
      <w:rPr>
        <w:rFonts w:ascii="Wingdings" w:hAnsi="Wingdings" w:hint="default"/>
      </w:rPr>
    </w:lvl>
    <w:lvl w:ilvl="5" w:tplc="04090005" w:tentative="1">
      <w:start w:val="1"/>
      <w:numFmt w:val="bullet"/>
      <w:lvlText w:val=""/>
      <w:lvlJc w:val="left"/>
      <w:pPr>
        <w:ind w:left="2902" w:hanging="400"/>
      </w:pPr>
      <w:rPr>
        <w:rFonts w:ascii="Wingdings" w:hAnsi="Wingdings" w:hint="default"/>
      </w:rPr>
    </w:lvl>
    <w:lvl w:ilvl="6" w:tplc="04090001" w:tentative="1">
      <w:start w:val="1"/>
      <w:numFmt w:val="bullet"/>
      <w:lvlText w:val=""/>
      <w:lvlJc w:val="left"/>
      <w:pPr>
        <w:ind w:left="3302" w:hanging="400"/>
      </w:pPr>
      <w:rPr>
        <w:rFonts w:ascii="Wingdings" w:hAnsi="Wingdings" w:hint="default"/>
      </w:rPr>
    </w:lvl>
    <w:lvl w:ilvl="7" w:tplc="04090003" w:tentative="1">
      <w:start w:val="1"/>
      <w:numFmt w:val="bullet"/>
      <w:lvlText w:val=""/>
      <w:lvlJc w:val="left"/>
      <w:pPr>
        <w:ind w:left="3702" w:hanging="400"/>
      </w:pPr>
      <w:rPr>
        <w:rFonts w:ascii="Wingdings" w:hAnsi="Wingdings" w:hint="default"/>
      </w:rPr>
    </w:lvl>
    <w:lvl w:ilvl="8" w:tplc="04090005" w:tentative="1">
      <w:start w:val="1"/>
      <w:numFmt w:val="bullet"/>
      <w:lvlText w:val=""/>
      <w:lvlJc w:val="left"/>
      <w:pPr>
        <w:ind w:left="4102" w:hanging="400"/>
      </w:pPr>
      <w:rPr>
        <w:rFonts w:ascii="Wingdings" w:hAnsi="Wingdings" w:hint="default"/>
      </w:rPr>
    </w:lvl>
  </w:abstractNum>
  <w:abstractNum w:abstractNumId="32" w15:restartNumberingAfterBreak="0">
    <w:nsid w:val="6D1C15C4"/>
    <w:multiLevelType w:val="hybridMultilevel"/>
    <w:tmpl w:val="7F521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212626"/>
    <w:multiLevelType w:val="hybridMultilevel"/>
    <w:tmpl w:val="4CFEFEEA"/>
    <w:lvl w:ilvl="0" w:tplc="E3AE29AE">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9973E3"/>
    <w:multiLevelType w:val="hybridMultilevel"/>
    <w:tmpl w:val="E00A8BA8"/>
    <w:lvl w:ilvl="0" w:tplc="CDAA9DEC">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5" w15:restartNumberingAfterBreak="0">
    <w:nsid w:val="75CA285B"/>
    <w:multiLevelType w:val="hybridMultilevel"/>
    <w:tmpl w:val="08505E6A"/>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6" w15:restartNumberingAfterBreak="0">
    <w:nsid w:val="795A3211"/>
    <w:multiLevelType w:val="hybridMultilevel"/>
    <w:tmpl w:val="CA3C03E2"/>
    <w:lvl w:ilvl="0" w:tplc="04090009">
      <w:start w:val="1"/>
      <w:numFmt w:val="bullet"/>
      <w:lvlText w:val=""/>
      <w:lvlJc w:val="left"/>
      <w:pPr>
        <w:ind w:left="941" w:hanging="400"/>
      </w:pPr>
      <w:rPr>
        <w:rFonts w:ascii="Wingdings" w:hAnsi="Wingdings" w:hint="default"/>
      </w:rPr>
    </w:lvl>
    <w:lvl w:ilvl="1" w:tplc="04090003">
      <w:start w:val="1"/>
      <w:numFmt w:val="bullet"/>
      <w:lvlText w:val=""/>
      <w:lvlJc w:val="left"/>
      <w:pPr>
        <w:ind w:left="1341" w:hanging="400"/>
      </w:pPr>
      <w:rPr>
        <w:rFonts w:ascii="Wingdings" w:hAnsi="Wingdings" w:hint="default"/>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7"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num w:numId="1">
    <w:abstractNumId w:val="14"/>
  </w:num>
  <w:num w:numId="2">
    <w:abstractNumId w:val="9"/>
  </w:num>
  <w:num w:numId="3">
    <w:abstractNumId w:val="29"/>
  </w:num>
  <w:num w:numId="4">
    <w:abstractNumId w:val="5"/>
  </w:num>
  <w:num w:numId="5">
    <w:abstractNumId w:val="38"/>
  </w:num>
  <w:num w:numId="6">
    <w:abstractNumId w:val="23"/>
  </w:num>
  <w:num w:numId="7">
    <w:abstractNumId w:val="34"/>
  </w:num>
  <w:num w:numId="8">
    <w:abstractNumId w:val="13"/>
  </w:num>
  <w:num w:numId="9">
    <w:abstractNumId w:val="30"/>
  </w:num>
  <w:num w:numId="10">
    <w:abstractNumId w:val="12"/>
  </w:num>
  <w:num w:numId="11">
    <w:abstractNumId w:val="26"/>
  </w:num>
  <w:num w:numId="12">
    <w:abstractNumId w:val="4"/>
  </w:num>
  <w:num w:numId="13">
    <w:abstractNumId w:val="35"/>
  </w:num>
  <w:num w:numId="14">
    <w:abstractNumId w:val="11"/>
  </w:num>
  <w:num w:numId="15">
    <w:abstractNumId w:val="31"/>
  </w:num>
  <w:num w:numId="16">
    <w:abstractNumId w:val="17"/>
  </w:num>
  <w:num w:numId="17">
    <w:abstractNumId w:val="6"/>
  </w:num>
  <w:num w:numId="18">
    <w:abstractNumId w:val="25"/>
  </w:num>
  <w:num w:numId="19">
    <w:abstractNumId w:val="18"/>
  </w:num>
  <w:num w:numId="20">
    <w:abstractNumId w:val="24"/>
  </w:num>
  <w:num w:numId="21">
    <w:abstractNumId w:val="19"/>
  </w:num>
  <w:num w:numId="22">
    <w:abstractNumId w:val="36"/>
  </w:num>
  <w:num w:numId="23">
    <w:abstractNumId w:val="0"/>
  </w:num>
  <w:num w:numId="24">
    <w:abstractNumId w:val="10"/>
  </w:num>
  <w:num w:numId="25">
    <w:abstractNumId w:val="20"/>
  </w:num>
  <w:num w:numId="26">
    <w:abstractNumId w:val="7"/>
  </w:num>
  <w:num w:numId="27">
    <w:abstractNumId w:val="8"/>
  </w:num>
  <w:num w:numId="28">
    <w:abstractNumId w:val="3"/>
  </w:num>
  <w:num w:numId="29">
    <w:abstractNumId w:val="21"/>
  </w:num>
  <w:num w:numId="30">
    <w:abstractNumId w:val="17"/>
  </w:num>
  <w:num w:numId="31">
    <w:abstractNumId w:val="16"/>
  </w:num>
  <w:num w:numId="32">
    <w:abstractNumId w:val="15"/>
  </w:num>
  <w:num w:numId="33">
    <w:abstractNumId w:val="28"/>
  </w:num>
  <w:num w:numId="34">
    <w:abstractNumId w:val="1"/>
  </w:num>
  <w:num w:numId="35">
    <w:abstractNumId w:val="37"/>
  </w:num>
  <w:num w:numId="36">
    <w:abstractNumId w:val="32"/>
  </w:num>
  <w:num w:numId="37">
    <w:abstractNumId w:val="27"/>
  </w:num>
  <w:num w:numId="38">
    <w:abstractNumId w:val="33"/>
  </w:num>
  <w:num w:numId="39">
    <w:abstractNumId w:val="2"/>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49DF"/>
    <w:rsid w:val="00005666"/>
    <w:rsid w:val="0001153E"/>
    <w:rsid w:val="00012D1D"/>
    <w:rsid w:val="000157DB"/>
    <w:rsid w:val="00016988"/>
    <w:rsid w:val="00020E56"/>
    <w:rsid w:val="00022ADB"/>
    <w:rsid w:val="00025C43"/>
    <w:rsid w:val="00025CF5"/>
    <w:rsid w:val="000311F7"/>
    <w:rsid w:val="00034AD7"/>
    <w:rsid w:val="000357DB"/>
    <w:rsid w:val="00041474"/>
    <w:rsid w:val="000451D6"/>
    <w:rsid w:val="00046C11"/>
    <w:rsid w:val="000530AF"/>
    <w:rsid w:val="000534AE"/>
    <w:rsid w:val="00054BAD"/>
    <w:rsid w:val="000625A1"/>
    <w:rsid w:val="00063719"/>
    <w:rsid w:val="00071785"/>
    <w:rsid w:val="000724A4"/>
    <w:rsid w:val="00073A3B"/>
    <w:rsid w:val="000740D0"/>
    <w:rsid w:val="00076BD4"/>
    <w:rsid w:val="00080059"/>
    <w:rsid w:val="00082563"/>
    <w:rsid w:val="000826AC"/>
    <w:rsid w:val="0008425A"/>
    <w:rsid w:val="00090162"/>
    <w:rsid w:val="000930EC"/>
    <w:rsid w:val="00095E04"/>
    <w:rsid w:val="000972F7"/>
    <w:rsid w:val="000A0272"/>
    <w:rsid w:val="000A0FE9"/>
    <w:rsid w:val="000A2ABE"/>
    <w:rsid w:val="000A7059"/>
    <w:rsid w:val="000A72B1"/>
    <w:rsid w:val="000B5639"/>
    <w:rsid w:val="000C02DD"/>
    <w:rsid w:val="000C0425"/>
    <w:rsid w:val="000C231F"/>
    <w:rsid w:val="000C31D0"/>
    <w:rsid w:val="000C5C23"/>
    <w:rsid w:val="000D01A1"/>
    <w:rsid w:val="000D1DF1"/>
    <w:rsid w:val="000D31DF"/>
    <w:rsid w:val="000D3D87"/>
    <w:rsid w:val="000D664E"/>
    <w:rsid w:val="000D6ED0"/>
    <w:rsid w:val="000F1A7D"/>
    <w:rsid w:val="000F30F9"/>
    <w:rsid w:val="000F3B76"/>
    <w:rsid w:val="000F757C"/>
    <w:rsid w:val="000F78AB"/>
    <w:rsid w:val="00100B43"/>
    <w:rsid w:val="00103071"/>
    <w:rsid w:val="00105AC7"/>
    <w:rsid w:val="00107948"/>
    <w:rsid w:val="00113C3A"/>
    <w:rsid w:val="00117CAB"/>
    <w:rsid w:val="0012484E"/>
    <w:rsid w:val="00125329"/>
    <w:rsid w:val="0012600A"/>
    <w:rsid w:val="00126551"/>
    <w:rsid w:val="001309DD"/>
    <w:rsid w:val="00130BD8"/>
    <w:rsid w:val="001310DB"/>
    <w:rsid w:val="00135872"/>
    <w:rsid w:val="001373FE"/>
    <w:rsid w:val="001400E5"/>
    <w:rsid w:val="00140FF0"/>
    <w:rsid w:val="0014193E"/>
    <w:rsid w:val="00143228"/>
    <w:rsid w:val="001437F3"/>
    <w:rsid w:val="00147727"/>
    <w:rsid w:val="00152A1B"/>
    <w:rsid w:val="00157D20"/>
    <w:rsid w:val="0016089A"/>
    <w:rsid w:val="00160978"/>
    <w:rsid w:val="00162573"/>
    <w:rsid w:val="001644E3"/>
    <w:rsid w:val="00165A33"/>
    <w:rsid w:val="00166B67"/>
    <w:rsid w:val="0017290B"/>
    <w:rsid w:val="00172F24"/>
    <w:rsid w:val="0017528A"/>
    <w:rsid w:val="0018254F"/>
    <w:rsid w:val="00182B28"/>
    <w:rsid w:val="00183400"/>
    <w:rsid w:val="00184DD7"/>
    <w:rsid w:val="00185F82"/>
    <w:rsid w:val="00185FD4"/>
    <w:rsid w:val="00186997"/>
    <w:rsid w:val="00197B2B"/>
    <w:rsid w:val="001A04F5"/>
    <w:rsid w:val="001A2AE4"/>
    <w:rsid w:val="001A31DA"/>
    <w:rsid w:val="001A4E2F"/>
    <w:rsid w:val="001A7C0D"/>
    <w:rsid w:val="001B1CB4"/>
    <w:rsid w:val="001C4201"/>
    <w:rsid w:val="001C7F99"/>
    <w:rsid w:val="001D0CCC"/>
    <w:rsid w:val="001D12C0"/>
    <w:rsid w:val="001D2291"/>
    <w:rsid w:val="001D7941"/>
    <w:rsid w:val="001F013D"/>
    <w:rsid w:val="001F02EA"/>
    <w:rsid w:val="001F03AD"/>
    <w:rsid w:val="001F44F6"/>
    <w:rsid w:val="001F4F13"/>
    <w:rsid w:val="001F59E5"/>
    <w:rsid w:val="001F5F2B"/>
    <w:rsid w:val="00203D88"/>
    <w:rsid w:val="00210792"/>
    <w:rsid w:val="00215488"/>
    <w:rsid w:val="00216A85"/>
    <w:rsid w:val="00216F66"/>
    <w:rsid w:val="00221845"/>
    <w:rsid w:val="00221A2F"/>
    <w:rsid w:val="00221FAD"/>
    <w:rsid w:val="00230096"/>
    <w:rsid w:val="002303EC"/>
    <w:rsid w:val="00230D37"/>
    <w:rsid w:val="0023157A"/>
    <w:rsid w:val="00232B32"/>
    <w:rsid w:val="0023349D"/>
    <w:rsid w:val="002349E3"/>
    <w:rsid w:val="00235216"/>
    <w:rsid w:val="00241B65"/>
    <w:rsid w:val="0024404A"/>
    <w:rsid w:val="00245242"/>
    <w:rsid w:val="00247000"/>
    <w:rsid w:val="00250466"/>
    <w:rsid w:val="00250DDB"/>
    <w:rsid w:val="00251777"/>
    <w:rsid w:val="002613AC"/>
    <w:rsid w:val="00263ADD"/>
    <w:rsid w:val="00265006"/>
    <w:rsid w:val="002707B8"/>
    <w:rsid w:val="00270AD5"/>
    <w:rsid w:val="00271E0D"/>
    <w:rsid w:val="0027305C"/>
    <w:rsid w:val="002731CC"/>
    <w:rsid w:val="00273855"/>
    <w:rsid w:val="00282A13"/>
    <w:rsid w:val="00283C3E"/>
    <w:rsid w:val="00286381"/>
    <w:rsid w:val="0029401E"/>
    <w:rsid w:val="00296AB6"/>
    <w:rsid w:val="002A250D"/>
    <w:rsid w:val="002A341E"/>
    <w:rsid w:val="002A6693"/>
    <w:rsid w:val="002B01C7"/>
    <w:rsid w:val="002B0FB1"/>
    <w:rsid w:val="002B1FCA"/>
    <w:rsid w:val="002B6D62"/>
    <w:rsid w:val="002B77F9"/>
    <w:rsid w:val="002C233B"/>
    <w:rsid w:val="002C72F3"/>
    <w:rsid w:val="002D227B"/>
    <w:rsid w:val="002E0204"/>
    <w:rsid w:val="002E0556"/>
    <w:rsid w:val="002E2F1A"/>
    <w:rsid w:val="002E3389"/>
    <w:rsid w:val="002F11DC"/>
    <w:rsid w:val="002F230B"/>
    <w:rsid w:val="002F279F"/>
    <w:rsid w:val="002F7B71"/>
    <w:rsid w:val="0030027D"/>
    <w:rsid w:val="00301731"/>
    <w:rsid w:val="00301D18"/>
    <w:rsid w:val="00302418"/>
    <w:rsid w:val="00303CE4"/>
    <w:rsid w:val="0031030D"/>
    <w:rsid w:val="0031684E"/>
    <w:rsid w:val="00317451"/>
    <w:rsid w:val="00317C8F"/>
    <w:rsid w:val="00317D0E"/>
    <w:rsid w:val="00320299"/>
    <w:rsid w:val="0032085D"/>
    <w:rsid w:val="0032161C"/>
    <w:rsid w:val="00325A96"/>
    <w:rsid w:val="00325B4C"/>
    <w:rsid w:val="0033523A"/>
    <w:rsid w:val="00341F13"/>
    <w:rsid w:val="003435B0"/>
    <w:rsid w:val="003466CA"/>
    <w:rsid w:val="003520DC"/>
    <w:rsid w:val="00354957"/>
    <w:rsid w:val="00355FA5"/>
    <w:rsid w:val="003562F4"/>
    <w:rsid w:val="00356673"/>
    <w:rsid w:val="003578C2"/>
    <w:rsid w:val="0036022D"/>
    <w:rsid w:val="00363D27"/>
    <w:rsid w:val="00367866"/>
    <w:rsid w:val="00367EDA"/>
    <w:rsid w:val="003700EA"/>
    <w:rsid w:val="00371492"/>
    <w:rsid w:val="0037312B"/>
    <w:rsid w:val="0037464F"/>
    <w:rsid w:val="00380E2E"/>
    <w:rsid w:val="003834EE"/>
    <w:rsid w:val="00383D23"/>
    <w:rsid w:val="00385CFA"/>
    <w:rsid w:val="0038639D"/>
    <w:rsid w:val="003918AB"/>
    <w:rsid w:val="00391D94"/>
    <w:rsid w:val="0039269A"/>
    <w:rsid w:val="0039482B"/>
    <w:rsid w:val="00397697"/>
    <w:rsid w:val="00397730"/>
    <w:rsid w:val="00397E6F"/>
    <w:rsid w:val="003A0B48"/>
    <w:rsid w:val="003A0C42"/>
    <w:rsid w:val="003A3A30"/>
    <w:rsid w:val="003A46E6"/>
    <w:rsid w:val="003A53AC"/>
    <w:rsid w:val="003A799C"/>
    <w:rsid w:val="003B01AE"/>
    <w:rsid w:val="003B1E71"/>
    <w:rsid w:val="003B37E4"/>
    <w:rsid w:val="003B42F9"/>
    <w:rsid w:val="003B4821"/>
    <w:rsid w:val="003B4FA4"/>
    <w:rsid w:val="003B5349"/>
    <w:rsid w:val="003C0302"/>
    <w:rsid w:val="003C368B"/>
    <w:rsid w:val="003C6548"/>
    <w:rsid w:val="003D2BEC"/>
    <w:rsid w:val="003D6D4E"/>
    <w:rsid w:val="003E096D"/>
    <w:rsid w:val="003E3F78"/>
    <w:rsid w:val="003E52AE"/>
    <w:rsid w:val="003E6022"/>
    <w:rsid w:val="003E783C"/>
    <w:rsid w:val="003E7C2C"/>
    <w:rsid w:val="003F0F5B"/>
    <w:rsid w:val="003F4DB6"/>
    <w:rsid w:val="003F596A"/>
    <w:rsid w:val="004001AE"/>
    <w:rsid w:val="00401652"/>
    <w:rsid w:val="00402268"/>
    <w:rsid w:val="00405976"/>
    <w:rsid w:val="00405B83"/>
    <w:rsid w:val="004139AF"/>
    <w:rsid w:val="0041538E"/>
    <w:rsid w:val="00415964"/>
    <w:rsid w:val="00416D0E"/>
    <w:rsid w:val="0041787C"/>
    <w:rsid w:val="00421A42"/>
    <w:rsid w:val="00423FC8"/>
    <w:rsid w:val="004247B2"/>
    <w:rsid w:val="00425178"/>
    <w:rsid w:val="00426800"/>
    <w:rsid w:val="0043426C"/>
    <w:rsid w:val="004342DD"/>
    <w:rsid w:val="00434C37"/>
    <w:rsid w:val="00435022"/>
    <w:rsid w:val="00437913"/>
    <w:rsid w:val="00441432"/>
    <w:rsid w:val="004418A2"/>
    <w:rsid w:val="00450323"/>
    <w:rsid w:val="0045097A"/>
    <w:rsid w:val="00455980"/>
    <w:rsid w:val="004568B7"/>
    <w:rsid w:val="00457D9C"/>
    <w:rsid w:val="00460FCF"/>
    <w:rsid w:val="004611FF"/>
    <w:rsid w:val="004613CE"/>
    <w:rsid w:val="004627B0"/>
    <w:rsid w:val="00466079"/>
    <w:rsid w:val="004727C9"/>
    <w:rsid w:val="0047360F"/>
    <w:rsid w:val="00473A70"/>
    <w:rsid w:val="00474127"/>
    <w:rsid w:val="004855B5"/>
    <w:rsid w:val="00491372"/>
    <w:rsid w:val="0049211D"/>
    <w:rsid w:val="004928C6"/>
    <w:rsid w:val="0049516F"/>
    <w:rsid w:val="004A02F7"/>
    <w:rsid w:val="004A2DEF"/>
    <w:rsid w:val="004A3397"/>
    <w:rsid w:val="004A6A07"/>
    <w:rsid w:val="004B2E00"/>
    <w:rsid w:val="004B2ED9"/>
    <w:rsid w:val="004B3B66"/>
    <w:rsid w:val="004B5B2E"/>
    <w:rsid w:val="004B73EC"/>
    <w:rsid w:val="004C205B"/>
    <w:rsid w:val="004C21E7"/>
    <w:rsid w:val="004C26E0"/>
    <w:rsid w:val="004C437A"/>
    <w:rsid w:val="004C4551"/>
    <w:rsid w:val="004C59CF"/>
    <w:rsid w:val="004D581B"/>
    <w:rsid w:val="004E1C49"/>
    <w:rsid w:val="004E6372"/>
    <w:rsid w:val="004F06CD"/>
    <w:rsid w:val="004F4D86"/>
    <w:rsid w:val="004F7197"/>
    <w:rsid w:val="00501809"/>
    <w:rsid w:val="00503C99"/>
    <w:rsid w:val="00513C3E"/>
    <w:rsid w:val="0051486F"/>
    <w:rsid w:val="005156C9"/>
    <w:rsid w:val="005161AE"/>
    <w:rsid w:val="005231DC"/>
    <w:rsid w:val="00530A0C"/>
    <w:rsid w:val="005321DE"/>
    <w:rsid w:val="0053411E"/>
    <w:rsid w:val="0053746E"/>
    <w:rsid w:val="0054020F"/>
    <w:rsid w:val="005408C4"/>
    <w:rsid w:val="00541582"/>
    <w:rsid w:val="00546DE7"/>
    <w:rsid w:val="00547A4B"/>
    <w:rsid w:val="00551DBA"/>
    <w:rsid w:val="00552FB4"/>
    <w:rsid w:val="00553A22"/>
    <w:rsid w:val="00554A98"/>
    <w:rsid w:val="00555AA5"/>
    <w:rsid w:val="00556150"/>
    <w:rsid w:val="00557CBB"/>
    <w:rsid w:val="00560053"/>
    <w:rsid w:val="00560D4F"/>
    <w:rsid w:val="005618E8"/>
    <w:rsid w:val="0056301B"/>
    <w:rsid w:val="005630B2"/>
    <w:rsid w:val="00564495"/>
    <w:rsid w:val="00565220"/>
    <w:rsid w:val="00570DDF"/>
    <w:rsid w:val="005751E3"/>
    <w:rsid w:val="005756CE"/>
    <w:rsid w:val="00581499"/>
    <w:rsid w:val="00582E54"/>
    <w:rsid w:val="00582EE9"/>
    <w:rsid w:val="00583720"/>
    <w:rsid w:val="005837FB"/>
    <w:rsid w:val="00590BAD"/>
    <w:rsid w:val="0059372D"/>
    <w:rsid w:val="00595804"/>
    <w:rsid w:val="00596929"/>
    <w:rsid w:val="005A4F87"/>
    <w:rsid w:val="005A6FAD"/>
    <w:rsid w:val="005A70B5"/>
    <w:rsid w:val="005B0ACA"/>
    <w:rsid w:val="005B3F88"/>
    <w:rsid w:val="005C2DA0"/>
    <w:rsid w:val="005C422D"/>
    <w:rsid w:val="005C4D29"/>
    <w:rsid w:val="005C5B49"/>
    <w:rsid w:val="005C5B80"/>
    <w:rsid w:val="005C6B94"/>
    <w:rsid w:val="005D0C07"/>
    <w:rsid w:val="005D0E67"/>
    <w:rsid w:val="005D1A05"/>
    <w:rsid w:val="005D2ED0"/>
    <w:rsid w:val="005D5F96"/>
    <w:rsid w:val="005E08CE"/>
    <w:rsid w:val="005E2A15"/>
    <w:rsid w:val="005E566D"/>
    <w:rsid w:val="005E59CC"/>
    <w:rsid w:val="005E6323"/>
    <w:rsid w:val="005E7B41"/>
    <w:rsid w:val="005F1AB4"/>
    <w:rsid w:val="005F4052"/>
    <w:rsid w:val="005F7453"/>
    <w:rsid w:val="005F7582"/>
    <w:rsid w:val="005F7DC8"/>
    <w:rsid w:val="00601647"/>
    <w:rsid w:val="00604A01"/>
    <w:rsid w:val="00604F99"/>
    <w:rsid w:val="006066C0"/>
    <w:rsid w:val="00607E09"/>
    <w:rsid w:val="0061123D"/>
    <w:rsid w:val="0061229C"/>
    <w:rsid w:val="006123CD"/>
    <w:rsid w:val="00612EF5"/>
    <w:rsid w:val="006136CC"/>
    <w:rsid w:val="006144C7"/>
    <w:rsid w:val="00615D17"/>
    <w:rsid w:val="00616EB3"/>
    <w:rsid w:val="00617664"/>
    <w:rsid w:val="00620ED9"/>
    <w:rsid w:val="00620F0E"/>
    <w:rsid w:val="0062622F"/>
    <w:rsid w:val="00626D2D"/>
    <w:rsid w:val="0063764D"/>
    <w:rsid w:val="006404D2"/>
    <w:rsid w:val="006417CE"/>
    <w:rsid w:val="00641A82"/>
    <w:rsid w:val="00641D53"/>
    <w:rsid w:val="00645C50"/>
    <w:rsid w:val="0065174B"/>
    <w:rsid w:val="0065212E"/>
    <w:rsid w:val="00652FC8"/>
    <w:rsid w:val="00653697"/>
    <w:rsid w:val="00653E23"/>
    <w:rsid w:val="0065751D"/>
    <w:rsid w:val="00657718"/>
    <w:rsid w:val="00664E5C"/>
    <w:rsid w:val="00666128"/>
    <w:rsid w:val="00666DBC"/>
    <w:rsid w:val="00670475"/>
    <w:rsid w:val="006738E7"/>
    <w:rsid w:val="00673921"/>
    <w:rsid w:val="00675653"/>
    <w:rsid w:val="00676BC1"/>
    <w:rsid w:val="00677BEC"/>
    <w:rsid w:val="00677CB1"/>
    <w:rsid w:val="00677D69"/>
    <w:rsid w:val="006824FF"/>
    <w:rsid w:val="00683BF8"/>
    <w:rsid w:val="00684069"/>
    <w:rsid w:val="00693863"/>
    <w:rsid w:val="006938A0"/>
    <w:rsid w:val="00693956"/>
    <w:rsid w:val="00693DA3"/>
    <w:rsid w:val="00697FE9"/>
    <w:rsid w:val="006A03CA"/>
    <w:rsid w:val="006A2A57"/>
    <w:rsid w:val="006A6BA5"/>
    <w:rsid w:val="006B0892"/>
    <w:rsid w:val="006B089F"/>
    <w:rsid w:val="006B1EBA"/>
    <w:rsid w:val="006B4552"/>
    <w:rsid w:val="006B5A0F"/>
    <w:rsid w:val="006B6349"/>
    <w:rsid w:val="006B7511"/>
    <w:rsid w:val="006C1E6E"/>
    <w:rsid w:val="006C3FBD"/>
    <w:rsid w:val="006C6476"/>
    <w:rsid w:val="006C784F"/>
    <w:rsid w:val="006D1BE0"/>
    <w:rsid w:val="006D39BE"/>
    <w:rsid w:val="006D4ACE"/>
    <w:rsid w:val="006D4E86"/>
    <w:rsid w:val="006D7E81"/>
    <w:rsid w:val="006E42F8"/>
    <w:rsid w:val="006E5D4A"/>
    <w:rsid w:val="006E7762"/>
    <w:rsid w:val="006F00E0"/>
    <w:rsid w:val="006F3D58"/>
    <w:rsid w:val="006F4BBD"/>
    <w:rsid w:val="00702A79"/>
    <w:rsid w:val="00705449"/>
    <w:rsid w:val="007106C5"/>
    <w:rsid w:val="007160EA"/>
    <w:rsid w:val="00716B50"/>
    <w:rsid w:val="00717B30"/>
    <w:rsid w:val="0072141D"/>
    <w:rsid w:val="007232DF"/>
    <w:rsid w:val="0072360A"/>
    <w:rsid w:val="007254EA"/>
    <w:rsid w:val="00740B10"/>
    <w:rsid w:val="007415E8"/>
    <w:rsid w:val="00741721"/>
    <w:rsid w:val="00744344"/>
    <w:rsid w:val="007472CE"/>
    <w:rsid w:val="00753BD4"/>
    <w:rsid w:val="00753D29"/>
    <w:rsid w:val="00765FF4"/>
    <w:rsid w:val="0076798A"/>
    <w:rsid w:val="00767D99"/>
    <w:rsid w:val="00770CC6"/>
    <w:rsid w:val="00775C2D"/>
    <w:rsid w:val="00775DCD"/>
    <w:rsid w:val="007764A9"/>
    <w:rsid w:val="007766C2"/>
    <w:rsid w:val="00780F91"/>
    <w:rsid w:val="00790B50"/>
    <w:rsid w:val="00791149"/>
    <w:rsid w:val="00792E43"/>
    <w:rsid w:val="00793907"/>
    <w:rsid w:val="00794CD4"/>
    <w:rsid w:val="00796F5E"/>
    <w:rsid w:val="007A06B2"/>
    <w:rsid w:val="007A089E"/>
    <w:rsid w:val="007A0AF0"/>
    <w:rsid w:val="007A4E5E"/>
    <w:rsid w:val="007B0899"/>
    <w:rsid w:val="007B2180"/>
    <w:rsid w:val="007B32C7"/>
    <w:rsid w:val="007B3A3F"/>
    <w:rsid w:val="007B6CD7"/>
    <w:rsid w:val="007C11C3"/>
    <w:rsid w:val="007C1EB5"/>
    <w:rsid w:val="007C234D"/>
    <w:rsid w:val="007C33AF"/>
    <w:rsid w:val="007C4AEE"/>
    <w:rsid w:val="007D0A42"/>
    <w:rsid w:val="007D0FB3"/>
    <w:rsid w:val="007D1B7E"/>
    <w:rsid w:val="007D69EF"/>
    <w:rsid w:val="007E0AD6"/>
    <w:rsid w:val="007E2993"/>
    <w:rsid w:val="007E3F0C"/>
    <w:rsid w:val="007E3F49"/>
    <w:rsid w:val="007E5946"/>
    <w:rsid w:val="007E6A43"/>
    <w:rsid w:val="007E6F09"/>
    <w:rsid w:val="007E72B3"/>
    <w:rsid w:val="007F6B81"/>
    <w:rsid w:val="00802C87"/>
    <w:rsid w:val="00803C29"/>
    <w:rsid w:val="0080423D"/>
    <w:rsid w:val="00806BAD"/>
    <w:rsid w:val="008104FD"/>
    <w:rsid w:val="00810B3F"/>
    <w:rsid w:val="00810C86"/>
    <w:rsid w:val="00811BBB"/>
    <w:rsid w:val="008175B3"/>
    <w:rsid w:val="008240F4"/>
    <w:rsid w:val="008247FB"/>
    <w:rsid w:val="00824E54"/>
    <w:rsid w:val="00825254"/>
    <w:rsid w:val="00827E35"/>
    <w:rsid w:val="00830B52"/>
    <w:rsid w:val="00831E90"/>
    <w:rsid w:val="00832372"/>
    <w:rsid w:val="00832543"/>
    <w:rsid w:val="00832AC0"/>
    <w:rsid w:val="00835377"/>
    <w:rsid w:val="00836615"/>
    <w:rsid w:val="00840F3A"/>
    <w:rsid w:val="00842642"/>
    <w:rsid w:val="00845222"/>
    <w:rsid w:val="008525F4"/>
    <w:rsid w:val="00854933"/>
    <w:rsid w:val="00855C23"/>
    <w:rsid w:val="00860AC5"/>
    <w:rsid w:val="00863A0D"/>
    <w:rsid w:val="00865103"/>
    <w:rsid w:val="0087223D"/>
    <w:rsid w:val="0087268B"/>
    <w:rsid w:val="00873798"/>
    <w:rsid w:val="00873A7C"/>
    <w:rsid w:val="00875574"/>
    <w:rsid w:val="00881070"/>
    <w:rsid w:val="00882215"/>
    <w:rsid w:val="0088426A"/>
    <w:rsid w:val="00887B30"/>
    <w:rsid w:val="008948B2"/>
    <w:rsid w:val="008973CF"/>
    <w:rsid w:val="008A244E"/>
    <w:rsid w:val="008A3286"/>
    <w:rsid w:val="008A46EC"/>
    <w:rsid w:val="008B326F"/>
    <w:rsid w:val="008B65CF"/>
    <w:rsid w:val="008C065B"/>
    <w:rsid w:val="008C2A31"/>
    <w:rsid w:val="008D1837"/>
    <w:rsid w:val="008D61A4"/>
    <w:rsid w:val="008E2A44"/>
    <w:rsid w:val="008E6B77"/>
    <w:rsid w:val="008E6DDD"/>
    <w:rsid w:val="008E7F70"/>
    <w:rsid w:val="008F025E"/>
    <w:rsid w:val="008F0EA1"/>
    <w:rsid w:val="008F24B0"/>
    <w:rsid w:val="008F3C81"/>
    <w:rsid w:val="008F3E49"/>
    <w:rsid w:val="008F7805"/>
    <w:rsid w:val="00902D3F"/>
    <w:rsid w:val="00903876"/>
    <w:rsid w:val="00903928"/>
    <w:rsid w:val="009042F4"/>
    <w:rsid w:val="0090479C"/>
    <w:rsid w:val="009073A0"/>
    <w:rsid w:val="0091106F"/>
    <w:rsid w:val="009127F4"/>
    <w:rsid w:val="00912DBF"/>
    <w:rsid w:val="009138BE"/>
    <w:rsid w:val="00914047"/>
    <w:rsid w:val="00920358"/>
    <w:rsid w:val="00920930"/>
    <w:rsid w:val="00923C8F"/>
    <w:rsid w:val="009255AB"/>
    <w:rsid w:val="009306FC"/>
    <w:rsid w:val="00934109"/>
    <w:rsid w:val="0093459F"/>
    <w:rsid w:val="0093494B"/>
    <w:rsid w:val="00934DF4"/>
    <w:rsid w:val="00935B91"/>
    <w:rsid w:val="00942414"/>
    <w:rsid w:val="00942D5C"/>
    <w:rsid w:val="0094454E"/>
    <w:rsid w:val="00945064"/>
    <w:rsid w:val="00946748"/>
    <w:rsid w:val="0095070E"/>
    <w:rsid w:val="00953412"/>
    <w:rsid w:val="00953F70"/>
    <w:rsid w:val="0095548D"/>
    <w:rsid w:val="009557F9"/>
    <w:rsid w:val="00955D24"/>
    <w:rsid w:val="00956F20"/>
    <w:rsid w:val="00957488"/>
    <w:rsid w:val="00972105"/>
    <w:rsid w:val="00972D6E"/>
    <w:rsid w:val="009734FF"/>
    <w:rsid w:val="009768D5"/>
    <w:rsid w:val="009776EF"/>
    <w:rsid w:val="00980140"/>
    <w:rsid w:val="00980450"/>
    <w:rsid w:val="009810AF"/>
    <w:rsid w:val="00984E85"/>
    <w:rsid w:val="00987DE1"/>
    <w:rsid w:val="00990656"/>
    <w:rsid w:val="00990961"/>
    <w:rsid w:val="0099136B"/>
    <w:rsid w:val="00991D0E"/>
    <w:rsid w:val="00993022"/>
    <w:rsid w:val="009940F8"/>
    <w:rsid w:val="009A671E"/>
    <w:rsid w:val="009A705D"/>
    <w:rsid w:val="009A7335"/>
    <w:rsid w:val="009B354D"/>
    <w:rsid w:val="009B5EEE"/>
    <w:rsid w:val="009B6982"/>
    <w:rsid w:val="009C0671"/>
    <w:rsid w:val="009C1038"/>
    <w:rsid w:val="009C17CD"/>
    <w:rsid w:val="009C3254"/>
    <w:rsid w:val="009C5A91"/>
    <w:rsid w:val="009D3F1F"/>
    <w:rsid w:val="009D4AD5"/>
    <w:rsid w:val="009D692E"/>
    <w:rsid w:val="009E116D"/>
    <w:rsid w:val="009E2D3C"/>
    <w:rsid w:val="009E5591"/>
    <w:rsid w:val="009E7328"/>
    <w:rsid w:val="009F01CD"/>
    <w:rsid w:val="009F392D"/>
    <w:rsid w:val="00A021DA"/>
    <w:rsid w:val="00A02F21"/>
    <w:rsid w:val="00A109B4"/>
    <w:rsid w:val="00A10E5C"/>
    <w:rsid w:val="00A11201"/>
    <w:rsid w:val="00A118FA"/>
    <w:rsid w:val="00A1345C"/>
    <w:rsid w:val="00A13F04"/>
    <w:rsid w:val="00A14B40"/>
    <w:rsid w:val="00A15D48"/>
    <w:rsid w:val="00A15FEF"/>
    <w:rsid w:val="00A169F0"/>
    <w:rsid w:val="00A20A9E"/>
    <w:rsid w:val="00A22053"/>
    <w:rsid w:val="00A23A26"/>
    <w:rsid w:val="00A23C7A"/>
    <w:rsid w:val="00A27319"/>
    <w:rsid w:val="00A304F0"/>
    <w:rsid w:val="00A40DD4"/>
    <w:rsid w:val="00A436E5"/>
    <w:rsid w:val="00A4645C"/>
    <w:rsid w:val="00A46648"/>
    <w:rsid w:val="00A503CD"/>
    <w:rsid w:val="00A53112"/>
    <w:rsid w:val="00A55632"/>
    <w:rsid w:val="00A567AC"/>
    <w:rsid w:val="00A56F67"/>
    <w:rsid w:val="00A60252"/>
    <w:rsid w:val="00A63AE0"/>
    <w:rsid w:val="00A65157"/>
    <w:rsid w:val="00A6564B"/>
    <w:rsid w:val="00A6796A"/>
    <w:rsid w:val="00A709B4"/>
    <w:rsid w:val="00A71143"/>
    <w:rsid w:val="00A7354F"/>
    <w:rsid w:val="00A77BA7"/>
    <w:rsid w:val="00A81FA6"/>
    <w:rsid w:val="00A86484"/>
    <w:rsid w:val="00A86D78"/>
    <w:rsid w:val="00A874B0"/>
    <w:rsid w:val="00A965CE"/>
    <w:rsid w:val="00AA0DEE"/>
    <w:rsid w:val="00AA2FCD"/>
    <w:rsid w:val="00AA34A6"/>
    <w:rsid w:val="00AB0C9E"/>
    <w:rsid w:val="00AB2F93"/>
    <w:rsid w:val="00AC1011"/>
    <w:rsid w:val="00AC3F61"/>
    <w:rsid w:val="00AC516D"/>
    <w:rsid w:val="00AC532A"/>
    <w:rsid w:val="00AC7926"/>
    <w:rsid w:val="00AC7DFE"/>
    <w:rsid w:val="00AD1120"/>
    <w:rsid w:val="00AD19CE"/>
    <w:rsid w:val="00AD4D96"/>
    <w:rsid w:val="00AD527F"/>
    <w:rsid w:val="00AD75FB"/>
    <w:rsid w:val="00AD76FE"/>
    <w:rsid w:val="00AE0D52"/>
    <w:rsid w:val="00AE4786"/>
    <w:rsid w:val="00AF18EC"/>
    <w:rsid w:val="00AF445E"/>
    <w:rsid w:val="00AF4AB7"/>
    <w:rsid w:val="00AF6DBF"/>
    <w:rsid w:val="00B00FB3"/>
    <w:rsid w:val="00B06C39"/>
    <w:rsid w:val="00B072A5"/>
    <w:rsid w:val="00B11C65"/>
    <w:rsid w:val="00B1309D"/>
    <w:rsid w:val="00B1366E"/>
    <w:rsid w:val="00B13A5B"/>
    <w:rsid w:val="00B13AF9"/>
    <w:rsid w:val="00B14927"/>
    <w:rsid w:val="00B163E9"/>
    <w:rsid w:val="00B170AC"/>
    <w:rsid w:val="00B2268B"/>
    <w:rsid w:val="00B22759"/>
    <w:rsid w:val="00B2361D"/>
    <w:rsid w:val="00B23E47"/>
    <w:rsid w:val="00B263A9"/>
    <w:rsid w:val="00B3209C"/>
    <w:rsid w:val="00B33811"/>
    <w:rsid w:val="00B3429E"/>
    <w:rsid w:val="00B36DB5"/>
    <w:rsid w:val="00B37AA2"/>
    <w:rsid w:val="00B41782"/>
    <w:rsid w:val="00B42707"/>
    <w:rsid w:val="00B43F3C"/>
    <w:rsid w:val="00B47DDC"/>
    <w:rsid w:val="00B5595C"/>
    <w:rsid w:val="00B60A8F"/>
    <w:rsid w:val="00B6172F"/>
    <w:rsid w:val="00B6414C"/>
    <w:rsid w:val="00B702DD"/>
    <w:rsid w:val="00B767F5"/>
    <w:rsid w:val="00B776A0"/>
    <w:rsid w:val="00B81643"/>
    <w:rsid w:val="00B83F06"/>
    <w:rsid w:val="00B856A5"/>
    <w:rsid w:val="00B928B8"/>
    <w:rsid w:val="00B970E4"/>
    <w:rsid w:val="00BA014F"/>
    <w:rsid w:val="00BA1878"/>
    <w:rsid w:val="00BA3834"/>
    <w:rsid w:val="00BA3A49"/>
    <w:rsid w:val="00BA50EE"/>
    <w:rsid w:val="00BA6F75"/>
    <w:rsid w:val="00BB1828"/>
    <w:rsid w:val="00BB38C3"/>
    <w:rsid w:val="00BC0D34"/>
    <w:rsid w:val="00BC15D4"/>
    <w:rsid w:val="00BC204E"/>
    <w:rsid w:val="00BC5AF6"/>
    <w:rsid w:val="00BC7A19"/>
    <w:rsid w:val="00BD123E"/>
    <w:rsid w:val="00BD2428"/>
    <w:rsid w:val="00BD58A5"/>
    <w:rsid w:val="00BD6EE7"/>
    <w:rsid w:val="00BE100F"/>
    <w:rsid w:val="00BE2A89"/>
    <w:rsid w:val="00BE2D6F"/>
    <w:rsid w:val="00BE35F4"/>
    <w:rsid w:val="00BE591B"/>
    <w:rsid w:val="00BE70ED"/>
    <w:rsid w:val="00BF081A"/>
    <w:rsid w:val="00BF2508"/>
    <w:rsid w:val="00BF4168"/>
    <w:rsid w:val="00BF7348"/>
    <w:rsid w:val="00C002FF"/>
    <w:rsid w:val="00C0225F"/>
    <w:rsid w:val="00C05340"/>
    <w:rsid w:val="00C11709"/>
    <w:rsid w:val="00C161FA"/>
    <w:rsid w:val="00C20922"/>
    <w:rsid w:val="00C225E7"/>
    <w:rsid w:val="00C2425B"/>
    <w:rsid w:val="00C247E3"/>
    <w:rsid w:val="00C25DE8"/>
    <w:rsid w:val="00C35A65"/>
    <w:rsid w:val="00C404EF"/>
    <w:rsid w:val="00C41146"/>
    <w:rsid w:val="00C41295"/>
    <w:rsid w:val="00C44F17"/>
    <w:rsid w:val="00C5148E"/>
    <w:rsid w:val="00C541CE"/>
    <w:rsid w:val="00C55443"/>
    <w:rsid w:val="00C65B4E"/>
    <w:rsid w:val="00C67759"/>
    <w:rsid w:val="00C710EA"/>
    <w:rsid w:val="00C71743"/>
    <w:rsid w:val="00C76DAA"/>
    <w:rsid w:val="00C77F69"/>
    <w:rsid w:val="00C8067B"/>
    <w:rsid w:val="00C80A58"/>
    <w:rsid w:val="00C81213"/>
    <w:rsid w:val="00C8229E"/>
    <w:rsid w:val="00C83045"/>
    <w:rsid w:val="00C9070B"/>
    <w:rsid w:val="00C90879"/>
    <w:rsid w:val="00C92AA2"/>
    <w:rsid w:val="00C934A9"/>
    <w:rsid w:val="00C941AC"/>
    <w:rsid w:val="00C94F1D"/>
    <w:rsid w:val="00C9736E"/>
    <w:rsid w:val="00C97CBA"/>
    <w:rsid w:val="00CA0609"/>
    <w:rsid w:val="00CA13DD"/>
    <w:rsid w:val="00CA51A5"/>
    <w:rsid w:val="00CA56E4"/>
    <w:rsid w:val="00CA5B03"/>
    <w:rsid w:val="00CA60E0"/>
    <w:rsid w:val="00CA74D2"/>
    <w:rsid w:val="00CB172A"/>
    <w:rsid w:val="00CB2AD0"/>
    <w:rsid w:val="00CB5FA8"/>
    <w:rsid w:val="00CC00F4"/>
    <w:rsid w:val="00CD086C"/>
    <w:rsid w:val="00CD1E69"/>
    <w:rsid w:val="00CD4858"/>
    <w:rsid w:val="00CD5593"/>
    <w:rsid w:val="00CE0469"/>
    <w:rsid w:val="00CE05FC"/>
    <w:rsid w:val="00CE3234"/>
    <w:rsid w:val="00CE37D7"/>
    <w:rsid w:val="00CF03C6"/>
    <w:rsid w:val="00CF2D12"/>
    <w:rsid w:val="00CF6D1A"/>
    <w:rsid w:val="00CF6FE3"/>
    <w:rsid w:val="00D00CF2"/>
    <w:rsid w:val="00D010DE"/>
    <w:rsid w:val="00D031D1"/>
    <w:rsid w:val="00D10550"/>
    <w:rsid w:val="00D10C7C"/>
    <w:rsid w:val="00D11804"/>
    <w:rsid w:val="00D12D3C"/>
    <w:rsid w:val="00D16636"/>
    <w:rsid w:val="00D179D3"/>
    <w:rsid w:val="00D21CE1"/>
    <w:rsid w:val="00D220BC"/>
    <w:rsid w:val="00D22BE1"/>
    <w:rsid w:val="00D30F2B"/>
    <w:rsid w:val="00D34819"/>
    <w:rsid w:val="00D42702"/>
    <w:rsid w:val="00D46150"/>
    <w:rsid w:val="00D4660E"/>
    <w:rsid w:val="00D4776D"/>
    <w:rsid w:val="00D51705"/>
    <w:rsid w:val="00D53CD6"/>
    <w:rsid w:val="00D554F5"/>
    <w:rsid w:val="00D6189C"/>
    <w:rsid w:val="00D62F9A"/>
    <w:rsid w:val="00D6380D"/>
    <w:rsid w:val="00D63DED"/>
    <w:rsid w:val="00D70182"/>
    <w:rsid w:val="00D71FD9"/>
    <w:rsid w:val="00D72F15"/>
    <w:rsid w:val="00D76039"/>
    <w:rsid w:val="00D7607E"/>
    <w:rsid w:val="00D80D20"/>
    <w:rsid w:val="00D8610C"/>
    <w:rsid w:val="00D9092A"/>
    <w:rsid w:val="00D931E0"/>
    <w:rsid w:val="00D93ADB"/>
    <w:rsid w:val="00D94052"/>
    <w:rsid w:val="00D9551B"/>
    <w:rsid w:val="00D96C1B"/>
    <w:rsid w:val="00D97336"/>
    <w:rsid w:val="00DA050D"/>
    <w:rsid w:val="00DA1FEC"/>
    <w:rsid w:val="00DA3F64"/>
    <w:rsid w:val="00DA7586"/>
    <w:rsid w:val="00DB1220"/>
    <w:rsid w:val="00DB3F50"/>
    <w:rsid w:val="00DB4367"/>
    <w:rsid w:val="00DB6046"/>
    <w:rsid w:val="00DB67EA"/>
    <w:rsid w:val="00DB6A8B"/>
    <w:rsid w:val="00DC09B6"/>
    <w:rsid w:val="00DC21C7"/>
    <w:rsid w:val="00DC4AEA"/>
    <w:rsid w:val="00DC5CA7"/>
    <w:rsid w:val="00DD26F8"/>
    <w:rsid w:val="00DD2C4A"/>
    <w:rsid w:val="00DD4D1F"/>
    <w:rsid w:val="00DD7A74"/>
    <w:rsid w:val="00DE28DC"/>
    <w:rsid w:val="00DE409D"/>
    <w:rsid w:val="00DE4E50"/>
    <w:rsid w:val="00DE55CC"/>
    <w:rsid w:val="00DE7961"/>
    <w:rsid w:val="00DF176E"/>
    <w:rsid w:val="00DF759E"/>
    <w:rsid w:val="00E013F4"/>
    <w:rsid w:val="00E04388"/>
    <w:rsid w:val="00E06456"/>
    <w:rsid w:val="00E10DFD"/>
    <w:rsid w:val="00E128BA"/>
    <w:rsid w:val="00E12D6E"/>
    <w:rsid w:val="00E14B85"/>
    <w:rsid w:val="00E16E04"/>
    <w:rsid w:val="00E212EF"/>
    <w:rsid w:val="00E224E7"/>
    <w:rsid w:val="00E308FF"/>
    <w:rsid w:val="00E31D6F"/>
    <w:rsid w:val="00E34230"/>
    <w:rsid w:val="00E355A2"/>
    <w:rsid w:val="00E35FAD"/>
    <w:rsid w:val="00E361D1"/>
    <w:rsid w:val="00E375C7"/>
    <w:rsid w:val="00E40186"/>
    <w:rsid w:val="00E4079B"/>
    <w:rsid w:val="00E41311"/>
    <w:rsid w:val="00E479B2"/>
    <w:rsid w:val="00E47D32"/>
    <w:rsid w:val="00E51880"/>
    <w:rsid w:val="00E52D36"/>
    <w:rsid w:val="00E549A2"/>
    <w:rsid w:val="00E57DDF"/>
    <w:rsid w:val="00E57F13"/>
    <w:rsid w:val="00E60AF1"/>
    <w:rsid w:val="00E63D7E"/>
    <w:rsid w:val="00E65401"/>
    <w:rsid w:val="00E6704C"/>
    <w:rsid w:val="00E67B96"/>
    <w:rsid w:val="00E67F28"/>
    <w:rsid w:val="00E72F86"/>
    <w:rsid w:val="00E746EF"/>
    <w:rsid w:val="00E7489E"/>
    <w:rsid w:val="00E75071"/>
    <w:rsid w:val="00E76130"/>
    <w:rsid w:val="00E8293C"/>
    <w:rsid w:val="00E833F9"/>
    <w:rsid w:val="00E85F75"/>
    <w:rsid w:val="00E86426"/>
    <w:rsid w:val="00E86FD6"/>
    <w:rsid w:val="00E87935"/>
    <w:rsid w:val="00E9165A"/>
    <w:rsid w:val="00E95C0B"/>
    <w:rsid w:val="00E9600B"/>
    <w:rsid w:val="00E96572"/>
    <w:rsid w:val="00E96760"/>
    <w:rsid w:val="00EA0BBE"/>
    <w:rsid w:val="00EA1AD1"/>
    <w:rsid w:val="00EA62E7"/>
    <w:rsid w:val="00EA6862"/>
    <w:rsid w:val="00EB155E"/>
    <w:rsid w:val="00EB796F"/>
    <w:rsid w:val="00EC301B"/>
    <w:rsid w:val="00ED715C"/>
    <w:rsid w:val="00EE11DC"/>
    <w:rsid w:val="00EE4967"/>
    <w:rsid w:val="00EE53F5"/>
    <w:rsid w:val="00EE79BB"/>
    <w:rsid w:val="00EE7E78"/>
    <w:rsid w:val="00EF02CB"/>
    <w:rsid w:val="00F0039D"/>
    <w:rsid w:val="00F02B5B"/>
    <w:rsid w:val="00F05123"/>
    <w:rsid w:val="00F074BC"/>
    <w:rsid w:val="00F075B1"/>
    <w:rsid w:val="00F12483"/>
    <w:rsid w:val="00F134D2"/>
    <w:rsid w:val="00F13963"/>
    <w:rsid w:val="00F16729"/>
    <w:rsid w:val="00F22E43"/>
    <w:rsid w:val="00F27795"/>
    <w:rsid w:val="00F3001E"/>
    <w:rsid w:val="00F34A8C"/>
    <w:rsid w:val="00F350F0"/>
    <w:rsid w:val="00F3519A"/>
    <w:rsid w:val="00F35B67"/>
    <w:rsid w:val="00F36283"/>
    <w:rsid w:val="00F3671F"/>
    <w:rsid w:val="00F37BCA"/>
    <w:rsid w:val="00F42A69"/>
    <w:rsid w:val="00F4332A"/>
    <w:rsid w:val="00F43EFD"/>
    <w:rsid w:val="00F52558"/>
    <w:rsid w:val="00F55686"/>
    <w:rsid w:val="00F55FD5"/>
    <w:rsid w:val="00F6196B"/>
    <w:rsid w:val="00F629A4"/>
    <w:rsid w:val="00F6477B"/>
    <w:rsid w:val="00F64C96"/>
    <w:rsid w:val="00F65E85"/>
    <w:rsid w:val="00F754AA"/>
    <w:rsid w:val="00F7591C"/>
    <w:rsid w:val="00F769CC"/>
    <w:rsid w:val="00F7740C"/>
    <w:rsid w:val="00F80B5B"/>
    <w:rsid w:val="00F81E0B"/>
    <w:rsid w:val="00F81E19"/>
    <w:rsid w:val="00F83521"/>
    <w:rsid w:val="00F84339"/>
    <w:rsid w:val="00F84F30"/>
    <w:rsid w:val="00F95B24"/>
    <w:rsid w:val="00F9736E"/>
    <w:rsid w:val="00FA28BD"/>
    <w:rsid w:val="00FA6D38"/>
    <w:rsid w:val="00FC17D1"/>
    <w:rsid w:val="00FC2E88"/>
    <w:rsid w:val="00FC3E32"/>
    <w:rsid w:val="00FC51C8"/>
    <w:rsid w:val="00FC7D20"/>
    <w:rsid w:val="00FD1237"/>
    <w:rsid w:val="00FD1EE8"/>
    <w:rsid w:val="00FD34A6"/>
    <w:rsid w:val="00FD3D4B"/>
    <w:rsid w:val="00FD476A"/>
    <w:rsid w:val="00FD5E62"/>
    <w:rsid w:val="00FD76A8"/>
    <w:rsid w:val="00FE0463"/>
    <w:rsid w:val="00FE1419"/>
    <w:rsid w:val="00FE1B7A"/>
    <w:rsid w:val="00FE31E7"/>
    <w:rsid w:val="00FE344C"/>
    <w:rsid w:val="00FE3CB4"/>
    <w:rsid w:val="00FE495D"/>
    <w:rsid w:val="00FE4F74"/>
    <w:rsid w:val="00FF0724"/>
    <w:rsid w:val="00FF26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Hyperlink"/>
    <w:basedOn w:val="a1"/>
    <w:uiPriority w:val="99"/>
    <w:unhideWhenUsed/>
    <w:rsid w:val="00B6414C"/>
  </w:style>
  <w:style w:type="paragraph" w:styleId="a9">
    <w:name w:val="caption"/>
    <w:basedOn w:val="a"/>
    <w:next w:val="a"/>
    <w:uiPriority w:val="35"/>
    <w:unhideWhenUsed/>
    <w:qFormat/>
    <w:rsid w:val="00863A0D"/>
    <w:rPr>
      <w:b/>
      <w:bCs/>
      <w:szCs w:val="20"/>
    </w:rPr>
  </w:style>
  <w:style w:type="paragraph" w:styleId="aa">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
    <w:link w:val="Char2"/>
    <w:uiPriority w:val="34"/>
    <w:qFormat/>
    <w:rsid w:val="00CF2D12"/>
    <w:pPr>
      <w:ind w:leftChars="400" w:left="800"/>
    </w:pPr>
  </w:style>
  <w:style w:type="character" w:styleId="ab">
    <w:name w:val="Placeholder Text"/>
    <w:basedOn w:val="a1"/>
    <w:uiPriority w:val="99"/>
    <w:semiHidden/>
    <w:rsid w:val="006F3D58"/>
    <w:rPr>
      <w:color w:val="808080"/>
    </w:rPr>
  </w:style>
  <w:style w:type="paragraph" w:styleId="ac">
    <w:name w:val="Balloon Text"/>
    <w:basedOn w:val="a"/>
    <w:link w:val="Char3"/>
    <w:uiPriority w:val="99"/>
    <w:semiHidden/>
    <w:unhideWhenUsed/>
    <w:rsid w:val="00296AB6"/>
    <w:rPr>
      <w:rFonts w:asciiTheme="majorHAnsi" w:eastAsiaTheme="majorEastAsia" w:hAnsiTheme="majorHAnsi" w:cstheme="majorBidi"/>
      <w:sz w:val="18"/>
      <w:szCs w:val="18"/>
    </w:rPr>
  </w:style>
  <w:style w:type="character" w:customStyle="1" w:styleId="Char3">
    <w:name w:val="풍선 도움말 텍스트 Char"/>
    <w:basedOn w:val="a1"/>
    <w:link w:val="ac"/>
    <w:uiPriority w:val="99"/>
    <w:semiHidden/>
    <w:rsid w:val="00296AB6"/>
    <w:rPr>
      <w:rFonts w:asciiTheme="majorHAnsi" w:eastAsiaTheme="majorEastAsia" w:hAnsiTheme="majorHAnsi" w:cstheme="majorBidi"/>
      <w:sz w:val="18"/>
      <w:szCs w:val="18"/>
    </w:r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a"/>
    <w:uiPriority w:val="34"/>
    <w:qFormat/>
    <w:rsid w:val="00AC7DFE"/>
    <w:rPr>
      <w:rFonts w:ascii="맑은 고딕" w:eastAsia="맑은 고딕" w:hAnsi="맑은 고딕"/>
    </w:rPr>
  </w:style>
  <w:style w:type="character" w:styleId="ad">
    <w:name w:val="annotation reference"/>
    <w:basedOn w:val="a1"/>
    <w:uiPriority w:val="99"/>
    <w:semiHidden/>
    <w:unhideWhenUsed/>
    <w:rsid w:val="00B767F5"/>
    <w:rPr>
      <w:sz w:val="18"/>
      <w:szCs w:val="18"/>
    </w:rPr>
  </w:style>
  <w:style w:type="paragraph" w:styleId="ae">
    <w:name w:val="annotation text"/>
    <w:basedOn w:val="a"/>
    <w:link w:val="Char4"/>
    <w:uiPriority w:val="99"/>
    <w:semiHidden/>
    <w:unhideWhenUsed/>
    <w:rsid w:val="00B767F5"/>
    <w:pPr>
      <w:jc w:val="left"/>
    </w:pPr>
  </w:style>
  <w:style w:type="character" w:customStyle="1" w:styleId="Char4">
    <w:name w:val="메모 텍스트 Char"/>
    <w:basedOn w:val="a1"/>
    <w:link w:val="ae"/>
    <w:uiPriority w:val="99"/>
    <w:semiHidden/>
    <w:rsid w:val="00B767F5"/>
    <w:rPr>
      <w:rFonts w:ascii="맑은 고딕" w:eastAsia="맑은 고딕" w:hAnsi="맑은 고딕"/>
    </w:rPr>
  </w:style>
  <w:style w:type="paragraph" w:styleId="af">
    <w:name w:val="annotation subject"/>
    <w:basedOn w:val="ae"/>
    <w:next w:val="ae"/>
    <w:link w:val="Char5"/>
    <w:uiPriority w:val="99"/>
    <w:semiHidden/>
    <w:unhideWhenUsed/>
    <w:rsid w:val="00B767F5"/>
    <w:rPr>
      <w:b/>
      <w:bCs/>
    </w:rPr>
  </w:style>
  <w:style w:type="character" w:customStyle="1" w:styleId="Char5">
    <w:name w:val="메모 주제 Char"/>
    <w:basedOn w:val="Char4"/>
    <w:link w:val="af"/>
    <w:uiPriority w:val="99"/>
    <w:semiHidden/>
    <w:rsid w:val="00B767F5"/>
    <w:rPr>
      <w:rFonts w:ascii="맑은 고딕" w:eastAsia="맑은 고딕" w:hAnsi="맑은 고딕"/>
      <w:b/>
      <w:bCs/>
    </w:rPr>
  </w:style>
  <w:style w:type="paragraph" w:styleId="af0">
    <w:name w:val="Revision"/>
    <w:hidden/>
    <w:uiPriority w:val="99"/>
    <w:semiHidden/>
    <w:rsid w:val="00E40186"/>
    <w:pPr>
      <w:spacing w:after="0" w:line="240" w:lineRule="auto"/>
      <w:jc w:val="left"/>
    </w:pPr>
    <w:rPr>
      <w:rFonts w:ascii="맑은 고딕" w:eastAsia="맑은 고딕" w:hAnsi="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265803">
      <w:bodyDiv w:val="1"/>
      <w:marLeft w:val="0"/>
      <w:marRight w:val="0"/>
      <w:marTop w:val="0"/>
      <w:marBottom w:val="0"/>
      <w:divBdr>
        <w:top w:val="none" w:sz="0" w:space="0" w:color="auto"/>
        <w:left w:val="none" w:sz="0" w:space="0" w:color="auto"/>
        <w:bottom w:val="none" w:sz="0" w:space="0" w:color="auto"/>
        <w:right w:val="none" w:sz="0" w:space="0" w:color="auto"/>
      </w:divBdr>
    </w:div>
    <w:div w:id="567765122">
      <w:bodyDiv w:val="1"/>
      <w:marLeft w:val="0"/>
      <w:marRight w:val="0"/>
      <w:marTop w:val="0"/>
      <w:marBottom w:val="0"/>
      <w:divBdr>
        <w:top w:val="none" w:sz="0" w:space="0" w:color="auto"/>
        <w:left w:val="none" w:sz="0" w:space="0" w:color="auto"/>
        <w:bottom w:val="none" w:sz="0" w:space="0" w:color="auto"/>
        <w:right w:val="none" w:sz="0" w:space="0" w:color="auto"/>
      </w:divBdr>
    </w:div>
    <w:div w:id="663582339">
      <w:bodyDiv w:val="1"/>
      <w:marLeft w:val="0"/>
      <w:marRight w:val="0"/>
      <w:marTop w:val="0"/>
      <w:marBottom w:val="0"/>
      <w:divBdr>
        <w:top w:val="none" w:sz="0" w:space="0" w:color="auto"/>
        <w:left w:val="none" w:sz="0" w:space="0" w:color="auto"/>
        <w:bottom w:val="none" w:sz="0" w:space="0" w:color="auto"/>
        <w:right w:val="none" w:sz="0" w:space="0" w:color="auto"/>
      </w:divBdr>
    </w:div>
    <w:div w:id="945884604">
      <w:bodyDiv w:val="1"/>
      <w:marLeft w:val="0"/>
      <w:marRight w:val="0"/>
      <w:marTop w:val="0"/>
      <w:marBottom w:val="0"/>
      <w:divBdr>
        <w:top w:val="none" w:sz="0" w:space="0" w:color="auto"/>
        <w:left w:val="none" w:sz="0" w:space="0" w:color="auto"/>
        <w:bottom w:val="none" w:sz="0" w:space="0" w:color="auto"/>
        <w:right w:val="none" w:sz="0" w:space="0" w:color="auto"/>
      </w:divBdr>
    </w:div>
    <w:div w:id="1221941207">
      <w:bodyDiv w:val="1"/>
      <w:marLeft w:val="0"/>
      <w:marRight w:val="0"/>
      <w:marTop w:val="0"/>
      <w:marBottom w:val="0"/>
      <w:divBdr>
        <w:top w:val="none" w:sz="0" w:space="0" w:color="auto"/>
        <w:left w:val="none" w:sz="0" w:space="0" w:color="auto"/>
        <w:bottom w:val="none" w:sz="0" w:space="0" w:color="auto"/>
        <w:right w:val="none" w:sz="0" w:space="0" w:color="auto"/>
      </w:divBdr>
    </w:div>
    <w:div w:id="1634867716">
      <w:bodyDiv w:val="1"/>
      <w:marLeft w:val="0"/>
      <w:marRight w:val="0"/>
      <w:marTop w:val="0"/>
      <w:marBottom w:val="0"/>
      <w:divBdr>
        <w:top w:val="none" w:sz="0" w:space="0" w:color="auto"/>
        <w:left w:val="none" w:sz="0" w:space="0" w:color="auto"/>
        <w:bottom w:val="none" w:sz="0" w:space="0" w:color="auto"/>
        <w:right w:val="none" w:sz="0" w:space="0" w:color="auto"/>
      </w:divBdr>
    </w:div>
    <w:div w:id="1852061248">
      <w:bodyDiv w:val="1"/>
      <w:marLeft w:val="0"/>
      <w:marRight w:val="0"/>
      <w:marTop w:val="0"/>
      <w:marBottom w:val="0"/>
      <w:divBdr>
        <w:top w:val="none" w:sz="0" w:space="0" w:color="auto"/>
        <w:left w:val="none" w:sz="0" w:space="0" w:color="auto"/>
        <w:bottom w:val="none" w:sz="0" w:space="0" w:color="auto"/>
        <w:right w:val="none" w:sz="0" w:space="0" w:color="auto"/>
      </w:divBdr>
      <w:divsChild>
        <w:div w:id="819539807">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C3FF2-F3DA-4690-A350-065894D9F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752</Words>
  <Characters>4290</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5</cp:revision>
  <dcterms:created xsi:type="dcterms:W3CDTF">2021-11-06T05:45:00Z</dcterms:created>
  <dcterms:modified xsi:type="dcterms:W3CDTF">2021-11-06T06:02:00Z</dcterms:modified>
</cp:coreProperties>
</file>