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5F83F5" w14:textId="1E89589B" w:rsidR="00695123" w:rsidRPr="00695123" w:rsidRDefault="00695123" w:rsidP="00695123">
      <w:pPr>
        <w:tabs>
          <w:tab w:val="center" w:pos="4536"/>
          <w:tab w:val="right" w:pos="8280"/>
          <w:tab w:val="right" w:pos="9639"/>
        </w:tabs>
        <w:ind w:right="2"/>
        <w:rPr>
          <w:b/>
          <w:bCs/>
          <w:sz w:val="28"/>
        </w:rPr>
      </w:pPr>
      <w:r w:rsidRPr="00695123">
        <w:rPr>
          <w:b/>
          <w:bCs/>
          <w:sz w:val="28"/>
        </w:rPr>
        <w:t xml:space="preserve">3GPP TSG RAN WG1 </w:t>
      </w:r>
      <w:r w:rsidR="00EB6FA4" w:rsidRPr="00EB6FA4">
        <w:rPr>
          <w:b/>
          <w:bCs/>
          <w:sz w:val="28"/>
        </w:rPr>
        <w:t>#</w:t>
      </w:r>
      <w:r w:rsidR="00620165" w:rsidRPr="00EB6FA4">
        <w:rPr>
          <w:b/>
          <w:bCs/>
          <w:sz w:val="28"/>
        </w:rPr>
        <w:t>10</w:t>
      </w:r>
      <w:r w:rsidR="00620165">
        <w:rPr>
          <w:b/>
          <w:bCs/>
          <w:sz w:val="28"/>
        </w:rPr>
        <w:t>7</w:t>
      </w:r>
      <w:r w:rsidR="00EB6FA4" w:rsidRPr="00EB6FA4">
        <w:rPr>
          <w:b/>
          <w:bCs/>
          <w:sz w:val="28"/>
        </w:rPr>
        <w:t>-e</w:t>
      </w:r>
      <w:r w:rsidRPr="00695123">
        <w:rPr>
          <w:b/>
          <w:bCs/>
          <w:sz w:val="28"/>
        </w:rPr>
        <w:tab/>
      </w:r>
      <w:r w:rsidRPr="00695123">
        <w:rPr>
          <w:b/>
          <w:bCs/>
          <w:sz w:val="28"/>
        </w:rPr>
        <w:tab/>
        <w:t xml:space="preserve">    </w:t>
      </w:r>
      <w:r w:rsidRPr="00695123">
        <w:rPr>
          <w:b/>
          <w:bCs/>
          <w:sz w:val="28"/>
        </w:rPr>
        <w:tab/>
        <w:t>R1-</w:t>
      </w:r>
      <w:r w:rsidR="00620165" w:rsidRPr="00695123">
        <w:rPr>
          <w:b/>
          <w:bCs/>
          <w:sz w:val="28"/>
        </w:rPr>
        <w:t>2</w:t>
      </w:r>
      <w:r w:rsidR="00620165">
        <w:rPr>
          <w:b/>
          <w:bCs/>
          <w:sz w:val="28"/>
        </w:rPr>
        <w:t>112301</w:t>
      </w:r>
    </w:p>
    <w:p w14:paraId="468022D7" w14:textId="1618E7CF" w:rsidR="005C41F1" w:rsidRPr="00695123" w:rsidRDefault="00695123" w:rsidP="00695123">
      <w:pPr>
        <w:spacing w:afterLines="50" w:after="120"/>
        <w:ind w:left="1985" w:hanging="1985"/>
        <w:rPr>
          <w:b/>
          <w:sz w:val="28"/>
          <w:szCs w:val="28"/>
        </w:rPr>
      </w:pPr>
      <w:r w:rsidRPr="00695123">
        <w:rPr>
          <w:rFonts w:eastAsia="MS Mincho"/>
          <w:b/>
          <w:bCs/>
          <w:sz w:val="28"/>
          <w:lang w:eastAsia="ja-JP"/>
        </w:rPr>
        <w:t xml:space="preserve">e-Meeting, </w:t>
      </w:r>
      <w:r w:rsidR="00620165" w:rsidRPr="00620165">
        <w:rPr>
          <w:rFonts w:eastAsia="MS Mincho"/>
          <w:b/>
          <w:bCs/>
          <w:sz w:val="28"/>
          <w:lang w:eastAsia="ja-JP"/>
        </w:rPr>
        <w:t>November 11th – 19th, 2021</w:t>
      </w:r>
    </w:p>
    <w:p w14:paraId="301899BC" w14:textId="632A9573" w:rsidR="003C20D3" w:rsidRPr="005C41F1" w:rsidRDefault="007A41F6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Agenda item:</w:t>
      </w:r>
      <w:r>
        <w:rPr>
          <w:b/>
          <w:sz w:val="28"/>
          <w:szCs w:val="28"/>
        </w:rPr>
        <w:tab/>
        <w:t>8.2</w:t>
      </w:r>
      <w:r w:rsidR="0050043D">
        <w:rPr>
          <w:b/>
          <w:sz w:val="28"/>
          <w:szCs w:val="28"/>
        </w:rPr>
        <w:t>.</w:t>
      </w:r>
      <w:r w:rsidR="00895F04">
        <w:rPr>
          <w:b/>
          <w:sz w:val="28"/>
          <w:szCs w:val="28"/>
        </w:rPr>
        <w:t>2</w:t>
      </w:r>
    </w:p>
    <w:p w14:paraId="3ACE8376" w14:textId="492643A2" w:rsidR="003C20D3" w:rsidRPr="007D4109" w:rsidRDefault="0050043D" w:rsidP="00895F04">
      <w:pPr>
        <w:spacing w:afterLines="50" w:after="120"/>
        <w:ind w:left="1985" w:hanging="1985"/>
        <w:rPr>
          <w:b/>
          <w:sz w:val="28"/>
          <w:szCs w:val="28"/>
        </w:rPr>
      </w:pPr>
      <w:r>
        <w:rPr>
          <w:b/>
          <w:sz w:val="28"/>
          <w:szCs w:val="28"/>
        </w:rPr>
        <w:t>Title:</w:t>
      </w:r>
      <w:r>
        <w:rPr>
          <w:b/>
          <w:sz w:val="28"/>
          <w:szCs w:val="28"/>
        </w:rPr>
        <w:tab/>
      </w:r>
      <w:r w:rsidR="00895F04" w:rsidRPr="00895F04">
        <w:rPr>
          <w:b/>
          <w:sz w:val="28"/>
          <w:szCs w:val="28"/>
        </w:rPr>
        <w:t>PDCCH monitoring enhancement for 52.6-71 GHz NR operation</w:t>
      </w:r>
    </w:p>
    <w:p w14:paraId="1F960842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Source:</w:t>
      </w:r>
      <w:r w:rsidRPr="007D4109">
        <w:rPr>
          <w:b/>
          <w:bCs/>
          <w:sz w:val="28"/>
          <w:szCs w:val="28"/>
        </w:rPr>
        <w:tab/>
        <w:t>MediaTek Inc.</w:t>
      </w:r>
    </w:p>
    <w:p w14:paraId="59C77CE7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Document for:</w:t>
      </w:r>
      <w:r w:rsidRPr="007D4109">
        <w:rPr>
          <w:b/>
          <w:bCs/>
          <w:sz w:val="28"/>
          <w:szCs w:val="28"/>
        </w:rPr>
        <w:tab/>
        <w:t>Discussion</w:t>
      </w:r>
    </w:p>
    <w:p w14:paraId="2D57680F" w14:textId="65BB70AD" w:rsidR="00494DC2" w:rsidRPr="007D4109" w:rsidRDefault="002201C1" w:rsidP="004366E0">
      <w:pPr>
        <w:spacing w:afterLines="50" w:after="120"/>
        <w:rPr>
          <w:b/>
          <w:sz w:val="28"/>
        </w:rPr>
      </w:pPr>
      <w:r>
        <w:pict w14:anchorId="0D3FDAD9">
          <v:rect id="_x0000_i1025" style="width:415.3pt;height:1pt" o:hralign="center" o:hrstd="t" o:hrnoshade="t" o:hr="t" fillcolor="black [3213]" stroked="f"/>
        </w:pict>
      </w:r>
    </w:p>
    <w:p w14:paraId="4CD78FEA" w14:textId="6D198DF5" w:rsidR="0055330E" w:rsidRPr="006E7A57" w:rsidRDefault="00494DC2" w:rsidP="004366E0">
      <w:pPr>
        <w:pStyle w:val="ListParagraph"/>
        <w:numPr>
          <w:ilvl w:val="0"/>
          <w:numId w:val="5"/>
        </w:numPr>
        <w:spacing w:afterLines="50" w:after="120"/>
        <w:outlineLvl w:val="0"/>
        <w:rPr>
          <w:b/>
          <w:sz w:val="28"/>
        </w:rPr>
      </w:pPr>
      <w:r w:rsidRPr="007D4109">
        <w:rPr>
          <w:b/>
          <w:sz w:val="28"/>
        </w:rPr>
        <w:t>Introduction</w:t>
      </w:r>
    </w:p>
    <w:p w14:paraId="02219E3F" w14:textId="6056E89E" w:rsidR="004E01EA" w:rsidRPr="0052558F" w:rsidRDefault="008640D4" w:rsidP="008640D4">
      <w:pPr>
        <w:rPr>
          <w:szCs w:val="22"/>
        </w:rPr>
      </w:pPr>
      <w:r>
        <w:t xml:space="preserve">It has been identified during the SI phase </w:t>
      </w:r>
      <w:r w:rsidR="007E3EFF">
        <w:t>[</w:t>
      </w:r>
      <w:r w:rsidR="00241ABA">
        <w:t>1</w:t>
      </w:r>
      <w:r w:rsidR="007E3EFF">
        <w:t xml:space="preserve">] </w:t>
      </w:r>
      <w:r>
        <w:t xml:space="preserve">that per slot monitoring under high SCSs, i.e., 480 kHz and 960 kHz, might not be a desirable configuration for UE due to the PDCCH monitoring power consumption from relatively short slot duration. Furthermore, under the assumption of per slot monitoring, the associated BD/CCE limit per slot for SCSs higher than 120 kHz might be limited to a small number to accommodate UE capability, e.g., </w:t>
      </w:r>
      <w:r w:rsidR="0037642B">
        <w:t xml:space="preserve">less than 16 </w:t>
      </w:r>
      <w:r>
        <w:t xml:space="preserve">CCE limit per slot, </w:t>
      </w:r>
      <w:r w:rsidR="00831D4E">
        <w:t>which leads to degraded</w:t>
      </w:r>
      <w:r>
        <w:t xml:space="preserve"> scheduling efficiency. To address these two PDCCH monitoring issues, it has been agreed in RAN #90e </w:t>
      </w:r>
      <w:r w:rsidR="007E3EFF">
        <w:t>[</w:t>
      </w:r>
      <w:r w:rsidR="00241ABA">
        <w:t>2</w:t>
      </w:r>
      <w:r w:rsidR="007E3EFF">
        <w:t>]</w:t>
      </w:r>
      <w:r w:rsidR="00241ABA">
        <w:t xml:space="preserve"> </w:t>
      </w:r>
      <w:r>
        <w:t xml:space="preserve">that UE PDCCH monitoring complexity is considered as one of the enhancements for operation in 52.6GHz to 71GHz </w:t>
      </w:r>
      <w:r w:rsidR="0037642B">
        <w:t xml:space="preserve">and </w:t>
      </w:r>
      <w:r>
        <w:t xml:space="preserve">the following aspects </w:t>
      </w:r>
      <w:r w:rsidR="0037642B">
        <w:t xml:space="preserve">are included in the scope </w:t>
      </w:r>
      <w:r>
        <w:t>for further discussion:</w:t>
      </w:r>
      <w:r w:rsidRPr="00B41743">
        <w:t xml:space="preserve"> blind detection/CCE budget, multi-slot span monitoring, potential limitation to UE PDCCH configuration and capability related to PDCCH monitoring</w:t>
      </w:r>
      <w:r>
        <w:t xml:space="preserve">. Our views on those aspects are as follows.   </w:t>
      </w:r>
    </w:p>
    <w:p w14:paraId="479BFEA9" w14:textId="165C02DE" w:rsidR="00494DC2" w:rsidRPr="007D4109" w:rsidRDefault="002201C1" w:rsidP="004366E0">
      <w:pPr>
        <w:spacing w:afterLines="50" w:after="120"/>
        <w:jc w:val="both"/>
        <w:rPr>
          <w:color w:val="FF0000"/>
          <w:sz w:val="22"/>
        </w:rPr>
      </w:pPr>
      <w:r>
        <w:pict w14:anchorId="2293ACE1">
          <v:rect id="_x0000_i1026" style="width:415.3pt;height:1pt" o:hralign="center" o:hrstd="t" o:hrnoshade="t" o:hr="t" fillcolor="black [3213]" stroked="f"/>
        </w:pict>
      </w:r>
    </w:p>
    <w:p w14:paraId="0303EB60" w14:textId="4DA10C97" w:rsidR="000D5DFA" w:rsidRDefault="000D5DFA" w:rsidP="008640D4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b/>
          <w:sz w:val="28"/>
        </w:rPr>
      </w:pPr>
      <w:bookmarkStart w:id="0" w:name="_Ref494794648"/>
      <w:r w:rsidRPr="000D5DFA">
        <w:rPr>
          <w:b/>
          <w:sz w:val="28"/>
        </w:rPr>
        <w:t>PDCCH</w:t>
      </w:r>
      <w:r w:rsidR="00831D4E">
        <w:rPr>
          <w:b/>
          <w:sz w:val="28"/>
        </w:rPr>
        <w:t xml:space="preserve"> monitoring enhancement</w:t>
      </w:r>
    </w:p>
    <w:p w14:paraId="0CCED445" w14:textId="77777777" w:rsidR="00C32F15" w:rsidRDefault="00C32F15" w:rsidP="00E239E3"/>
    <w:p w14:paraId="196ED928" w14:textId="6298ED8A" w:rsidR="00E16F16" w:rsidRDefault="00115BEE" w:rsidP="00E239E3">
      <w:r>
        <w:t>F</w:t>
      </w:r>
      <w:r w:rsidR="00303028">
        <w:t xml:space="preserve">or </w:t>
      </w:r>
      <w:r w:rsidR="00D33196">
        <w:t xml:space="preserve">new </w:t>
      </w:r>
      <w:r w:rsidR="00303028">
        <w:t xml:space="preserve">SCSs 480 kHz and 960kHz, </w:t>
      </w:r>
      <w:r w:rsidR="00611909">
        <w:t xml:space="preserve">three alternatives </w:t>
      </w:r>
      <w:r w:rsidR="005362A1">
        <w:t xml:space="preserve">of </w:t>
      </w:r>
      <w:r w:rsidR="00611909">
        <w:t xml:space="preserve">multi-slot monitoring frameworks have been </w:t>
      </w:r>
      <w:r w:rsidR="009B2BDC">
        <w:t>updated</w:t>
      </w:r>
      <w:r w:rsidR="00611909">
        <w:t xml:space="preserve"> </w:t>
      </w:r>
      <w:r w:rsidR="008A62F8">
        <w:t>in RAN1 #104</w:t>
      </w:r>
      <w:r w:rsidR="009B2BDC">
        <w:t>bis</w:t>
      </w:r>
      <w:r w:rsidR="00BB6824">
        <w:t>-</w:t>
      </w:r>
      <w:r w:rsidR="008A62F8">
        <w:t xml:space="preserve">e meeting </w:t>
      </w:r>
      <w:r w:rsidR="00611909">
        <w:t>for further discussion</w:t>
      </w:r>
      <w:r w:rsidR="006531AD">
        <w:t xml:space="preserve"> and Alt1 </w:t>
      </w:r>
      <w:r w:rsidR="00B50369">
        <w:t xml:space="preserve">framework </w:t>
      </w:r>
      <w:r w:rsidR="006531AD">
        <w:t>is further updated in RAN1 #106</w:t>
      </w:r>
      <w:r w:rsidR="00B50369">
        <w:t xml:space="preserve"> bis </w:t>
      </w:r>
      <w:r w:rsidR="006531AD">
        <w:t>e meeting</w:t>
      </w:r>
      <w:r w:rsidR="00611909">
        <w:t>:</w:t>
      </w:r>
    </w:p>
    <w:p w14:paraId="6DAD1E2E" w14:textId="77777777" w:rsidR="00B50369" w:rsidRDefault="00B50369" w:rsidP="00B50369">
      <w:pPr>
        <w:rPr>
          <w:lang w:eastAsia="x-none"/>
        </w:rPr>
      </w:pPr>
      <w:r w:rsidRPr="00DF0C18">
        <w:rPr>
          <w:highlight w:val="green"/>
          <w:lang w:eastAsia="x-none"/>
        </w:rPr>
        <w:t>Agreement:</w:t>
      </w:r>
    </w:p>
    <w:p w14:paraId="256BBC4E" w14:textId="77777777" w:rsidR="00B50369" w:rsidRPr="00392E7D" w:rsidRDefault="00B50369" w:rsidP="00B50369">
      <w:pPr>
        <w:numPr>
          <w:ilvl w:val="0"/>
          <w:numId w:val="48"/>
        </w:numPr>
        <w:rPr>
          <w:b/>
          <w:bCs/>
          <w:lang w:eastAsia="x-none"/>
        </w:rPr>
      </w:pPr>
      <w:r w:rsidRPr="00392E7D">
        <w:rPr>
          <w:lang w:eastAsia="x-none"/>
        </w:rPr>
        <w:t>Multi-slot PDCCH monitoring is based on slots within a slot group</w:t>
      </w:r>
    </w:p>
    <w:p w14:paraId="3123BDE6" w14:textId="77777777" w:rsidR="00B50369" w:rsidRPr="00392E7D" w:rsidRDefault="00B50369" w:rsidP="00B50369">
      <w:pPr>
        <w:numPr>
          <w:ilvl w:val="1"/>
          <w:numId w:val="48"/>
        </w:numPr>
        <w:rPr>
          <w:lang w:eastAsia="x-none"/>
        </w:rPr>
      </w:pPr>
      <w:r w:rsidRPr="00392E7D">
        <w:rPr>
          <w:lang w:eastAsia="x-none"/>
        </w:rPr>
        <w:t>Each slot group consists of X consecutive slots</w:t>
      </w:r>
    </w:p>
    <w:p w14:paraId="4338F7EC" w14:textId="77777777" w:rsidR="00B50369" w:rsidRPr="00392E7D" w:rsidRDefault="00B50369" w:rsidP="00B50369">
      <w:pPr>
        <w:numPr>
          <w:ilvl w:val="2"/>
          <w:numId w:val="48"/>
        </w:numPr>
        <w:rPr>
          <w:lang w:eastAsia="x-none"/>
        </w:rPr>
      </w:pPr>
      <w:r w:rsidRPr="00392E7D">
        <w:rPr>
          <w:lang w:eastAsia="x-none"/>
        </w:rPr>
        <w:t>Slot groups are consecutive and non-overlapping</w:t>
      </w:r>
    </w:p>
    <w:p w14:paraId="7B8BEAA1" w14:textId="77777777" w:rsidR="00B50369" w:rsidRPr="00392E7D" w:rsidRDefault="00B50369" w:rsidP="00B50369">
      <w:pPr>
        <w:numPr>
          <w:ilvl w:val="2"/>
          <w:numId w:val="48"/>
        </w:numPr>
        <w:rPr>
          <w:lang w:eastAsia="x-none"/>
        </w:rPr>
      </w:pPr>
      <w:r w:rsidRPr="00392E7D">
        <w:rPr>
          <w:lang w:eastAsia="x-none"/>
        </w:rPr>
        <w:t>The start of the first slot group in a subframe is aligned with the subframe boundary</w:t>
      </w:r>
    </w:p>
    <w:p w14:paraId="41B510C8" w14:textId="77777777" w:rsidR="00B50369" w:rsidRPr="00392E7D" w:rsidRDefault="00B50369" w:rsidP="00B50369">
      <w:pPr>
        <w:numPr>
          <w:ilvl w:val="2"/>
          <w:numId w:val="48"/>
        </w:numPr>
        <w:rPr>
          <w:lang w:eastAsia="x-none"/>
        </w:rPr>
      </w:pPr>
      <w:r w:rsidRPr="00392E7D">
        <w:rPr>
          <w:lang w:eastAsia="x-none"/>
        </w:rPr>
        <w:t>The start of each slot group is aligned with a slot boundary</w:t>
      </w:r>
    </w:p>
    <w:p w14:paraId="5A51B0E1" w14:textId="77777777" w:rsidR="00B50369" w:rsidRDefault="00B50369" w:rsidP="00B50369">
      <w:pPr>
        <w:numPr>
          <w:ilvl w:val="2"/>
          <w:numId w:val="48"/>
        </w:numPr>
        <w:rPr>
          <w:lang w:eastAsia="x-none"/>
        </w:rPr>
      </w:pPr>
      <w:r w:rsidRPr="00392E7D">
        <w:rPr>
          <w:lang w:eastAsia="x-none"/>
        </w:rPr>
        <w:t>Reporting the BD/CCE budget for X=4/8 slots (for 480/960 kHz resp.) is mandatory</w:t>
      </w:r>
      <w:r>
        <w:rPr>
          <w:lang w:eastAsia="x-none"/>
        </w:rPr>
        <w:t xml:space="preserve"> (if UE supports the corresponding SCS)</w:t>
      </w:r>
      <w:r w:rsidRPr="00392E7D">
        <w:rPr>
          <w:lang w:eastAsia="x-none"/>
        </w:rPr>
        <w:t>, and is optional for X=</w:t>
      </w:r>
      <w:r>
        <w:rPr>
          <w:lang w:eastAsia="x-none"/>
        </w:rPr>
        <w:t>[</w:t>
      </w:r>
      <w:r w:rsidRPr="00392E7D">
        <w:rPr>
          <w:lang w:eastAsia="x-none"/>
        </w:rPr>
        <w:t>2</w:t>
      </w:r>
      <w:r>
        <w:rPr>
          <w:lang w:eastAsia="x-none"/>
        </w:rPr>
        <w:t>]</w:t>
      </w:r>
      <w:r w:rsidRPr="00392E7D">
        <w:rPr>
          <w:lang w:eastAsia="x-none"/>
        </w:rPr>
        <w:t>/4 slots (for 480/960 kHz resp.)</w:t>
      </w:r>
    </w:p>
    <w:p w14:paraId="0AFB9AFB" w14:textId="77777777" w:rsidR="00B50369" w:rsidRPr="00392E7D" w:rsidRDefault="00B50369" w:rsidP="00B50369">
      <w:pPr>
        <w:numPr>
          <w:ilvl w:val="0"/>
          <w:numId w:val="48"/>
        </w:numPr>
        <w:rPr>
          <w:lang w:eastAsia="x-none"/>
        </w:rPr>
      </w:pPr>
      <w:r>
        <w:rPr>
          <w:lang w:eastAsia="x-none"/>
        </w:rPr>
        <w:t>There is a common BD budget for all search spaces</w:t>
      </w:r>
    </w:p>
    <w:p w14:paraId="67B2450F" w14:textId="37E85092" w:rsidR="00C41C39" w:rsidRDefault="00611909" w:rsidP="00DE403B">
      <w:r>
        <w:t xml:space="preserve"> </w:t>
      </w:r>
    </w:p>
    <w:p w14:paraId="43B7E34F" w14:textId="3EDAADFE" w:rsidR="00224ECC" w:rsidRDefault="00B33E9A">
      <w:r>
        <w:t xml:space="preserve">One remaining discussion is whether and how to restrict PDCCH monitoring in a consecutive Y slots within a slot group of X slots. </w:t>
      </w:r>
      <w:r w:rsidR="00065C0F">
        <w:t>In</w:t>
      </w:r>
      <w:r>
        <w:t xml:space="preserve"> RAN1 </w:t>
      </w:r>
      <w:r w:rsidR="00D4659A">
        <w:t>#</w:t>
      </w:r>
      <w:r>
        <w:t>106bis e meeting</w:t>
      </w:r>
      <w:r w:rsidR="00065C0F">
        <w:t>, there was a discussion on the feasibility of Type-0 PDCCH configuration</w:t>
      </w:r>
      <w:r w:rsidR="007A295B">
        <w:t xml:space="preserve"> under Alt</w:t>
      </w:r>
      <w:r w:rsidR="00065C0F">
        <w:t xml:space="preserve">1 </w:t>
      </w:r>
      <w:r w:rsidR="00B50369">
        <w:t xml:space="preserve">framework </w:t>
      </w:r>
      <w:r w:rsidR="00065C0F">
        <w:t xml:space="preserve">for UEs </w:t>
      </w:r>
      <w:r w:rsidR="007A295B">
        <w:t>located within</w:t>
      </w:r>
      <w:r w:rsidR="00065C0F">
        <w:t xml:space="preserve"> different gNB TX beams</w:t>
      </w:r>
      <w:r w:rsidR="00B50369">
        <w:t xml:space="preserve"> and for UEs moving to different gNB TX beams</w:t>
      </w:r>
      <w:r w:rsidR="00065C0F">
        <w:t xml:space="preserve">. </w:t>
      </w:r>
      <w:r w:rsidR="00BD5D3F">
        <w:t xml:space="preserve">In particular, for </w:t>
      </w:r>
      <w:r>
        <w:t xml:space="preserve">a </w:t>
      </w:r>
      <w:r w:rsidR="00BD5D3F">
        <w:t xml:space="preserve">UE </w:t>
      </w:r>
      <w:r w:rsidR="00B50369">
        <w:t xml:space="preserve">moving </w:t>
      </w:r>
      <w:r w:rsidR="00BD5D3F">
        <w:t>in</w:t>
      </w:r>
      <w:r w:rsidR="00B50369">
        <w:t>to</w:t>
      </w:r>
      <w:r w:rsidR="00BD5D3F">
        <w:t xml:space="preserve"> different </w:t>
      </w:r>
      <w:r w:rsidR="00EA6815">
        <w:t xml:space="preserve">TX </w:t>
      </w:r>
      <w:r w:rsidR="00BD5D3F">
        <w:t>beams</w:t>
      </w:r>
      <w:r w:rsidR="00EA6815">
        <w:t xml:space="preserve"> from gNB perspective</w:t>
      </w:r>
      <w:r w:rsidR="00BD5D3F">
        <w:t xml:space="preserve">, the UE can be configured to monitor </w:t>
      </w:r>
      <w:r w:rsidR="00B50369">
        <w:t xml:space="preserve">Type-0 </w:t>
      </w:r>
      <w:r w:rsidR="00BD5D3F">
        <w:t xml:space="preserve">CSS in different time domain occasions, which might not be </w:t>
      </w:r>
      <w:r w:rsidR="00B50369">
        <w:t>confined within a fixed Y consecutive slots within a slot group together with other SS sets</w:t>
      </w:r>
      <w:r w:rsidR="004E7F30">
        <w:t xml:space="preserve">. </w:t>
      </w:r>
      <w:r w:rsidR="00D4659A">
        <w:t>Our view on the issue is as follows.</w:t>
      </w:r>
    </w:p>
    <w:p w14:paraId="5CDB5F66" w14:textId="2AC3349D" w:rsidR="00224ECC" w:rsidRDefault="00224ECC">
      <w:r>
        <w:lastRenderedPageBreak/>
        <w:t xml:space="preserve">First of all, we would like to clarify that the above changing monitoring occasions behavior associated with UE mobility is only applied to the case when </w:t>
      </w:r>
      <w:r w:rsidRPr="003D4F68">
        <w:rPr>
          <w:i/>
        </w:rPr>
        <w:t>searchSpaceID</w:t>
      </w:r>
      <w:r>
        <w:t>=0</w:t>
      </w:r>
      <w:r w:rsidRPr="00224ECC">
        <w:t xml:space="preserve"> </w:t>
      </w:r>
      <w:r>
        <w:t xml:space="preserve">for Type-0 CSS. If </w:t>
      </w:r>
      <w:r w:rsidRPr="003D4F68">
        <w:rPr>
          <w:i/>
        </w:rPr>
        <w:t>searchSpaceID</w:t>
      </w:r>
      <w:r>
        <w:t xml:space="preserve"> is not zero for Type-0 CSS, there is no need to change monitoring occasion for Type-0 CSS</w:t>
      </w:r>
      <w:r w:rsidR="00D4659A">
        <w:t xml:space="preserve"> </w:t>
      </w:r>
      <w:r w:rsidR="00861277">
        <w:t>associated with</w:t>
      </w:r>
      <w:r w:rsidR="00D4659A">
        <w:t xml:space="preserve"> UE mobility</w:t>
      </w:r>
      <w:r>
        <w:t>. Secondly, t</w:t>
      </w:r>
      <w:r w:rsidR="00065C0F">
        <w:t>o address the issue</w:t>
      </w:r>
      <w:r>
        <w:t xml:space="preserve"> when </w:t>
      </w:r>
      <w:r w:rsidRPr="006A4F70">
        <w:rPr>
          <w:i/>
        </w:rPr>
        <w:t>searchSpaceID</w:t>
      </w:r>
      <w:r>
        <w:t>=0</w:t>
      </w:r>
      <w:r w:rsidRPr="00224ECC">
        <w:t xml:space="preserve"> </w:t>
      </w:r>
      <w:r>
        <w:t>for Type-0 CSS</w:t>
      </w:r>
      <w:r w:rsidR="00065C0F">
        <w:t>,</w:t>
      </w:r>
      <w:r w:rsidR="00B33E9A">
        <w:t xml:space="preserve"> </w:t>
      </w:r>
      <w:r w:rsidR="002C1AD7">
        <w:t>two</w:t>
      </w:r>
      <w:r w:rsidR="00B33E9A">
        <w:t xml:space="preserve"> </w:t>
      </w:r>
      <w:r w:rsidR="002C1AD7">
        <w:t>alternatives can be considered</w:t>
      </w:r>
      <w:r w:rsidR="00EA6815">
        <w:t xml:space="preserve"> under the </w:t>
      </w:r>
      <w:r w:rsidR="00B33E9A">
        <w:t xml:space="preserve">framework of </w:t>
      </w:r>
      <w:r w:rsidR="00EA6815">
        <w:t xml:space="preserve">the same </w:t>
      </w:r>
      <w:r w:rsidR="00EA6815" w:rsidRPr="005C4493">
        <w:t>fixed pattern of slot groups</w:t>
      </w:r>
      <w:r w:rsidR="002C1AD7">
        <w:t>:</w:t>
      </w:r>
    </w:p>
    <w:p w14:paraId="6C9B8B15" w14:textId="1DC646F9" w:rsidR="004E7F30" w:rsidRDefault="002C1AD7">
      <w:r>
        <w:br/>
        <w:t>Alt</w:t>
      </w:r>
      <w:r w:rsidR="007A295B">
        <w:t xml:space="preserve">ernative </w:t>
      </w:r>
      <w:r>
        <w:t xml:space="preserve">1) The location of the Y slots within the X slots is </w:t>
      </w:r>
      <w:r w:rsidR="007A295B">
        <w:t>fixed</w:t>
      </w:r>
      <w:r>
        <w:t xml:space="preserve"> </w:t>
      </w:r>
      <w:r w:rsidR="00B33E9A">
        <w:t>across slot groups</w:t>
      </w:r>
      <w:r>
        <w:t xml:space="preserve"> and Type-0 CSS configuration needs </w:t>
      </w:r>
      <w:r w:rsidR="00F06BD8">
        <w:t xml:space="preserve">to </w:t>
      </w:r>
      <w:r>
        <w:t>be revised</w:t>
      </w:r>
      <w:r w:rsidR="007A295B">
        <w:t xml:space="preserve"> ac</w:t>
      </w:r>
      <w:r w:rsidR="00C63576">
        <w:t>cor</w:t>
      </w:r>
      <w:r w:rsidR="007A295B">
        <w:t>dingly</w:t>
      </w:r>
      <w:r>
        <w:t>.</w:t>
      </w:r>
    </w:p>
    <w:p w14:paraId="461D465E" w14:textId="71D459A6" w:rsidR="002C1AD7" w:rsidRDefault="002C1AD7" w:rsidP="00E239E3">
      <w:r>
        <w:t>Alt</w:t>
      </w:r>
      <w:r w:rsidR="007A295B">
        <w:t xml:space="preserve">ernative </w:t>
      </w:r>
      <w:r>
        <w:t xml:space="preserve">2) The location of the Y slots within the X slots </w:t>
      </w:r>
      <w:r w:rsidR="00B33E9A">
        <w:t>is fixed across slot groups and</w:t>
      </w:r>
      <w:r>
        <w:t xml:space="preserve"> </w:t>
      </w:r>
      <w:r w:rsidR="00B33E9A">
        <w:t>Type-0 CSS</w:t>
      </w:r>
      <w:r>
        <w:t xml:space="preserve"> </w:t>
      </w:r>
      <w:r w:rsidR="00B33E9A">
        <w:t xml:space="preserve">monitoring can be located outside the </w:t>
      </w:r>
      <w:r w:rsidR="007B5E3A">
        <w:t>Y</w:t>
      </w:r>
      <w:r w:rsidR="00B33E9A">
        <w:t xml:space="preserve"> slots</w:t>
      </w:r>
      <w:r>
        <w:t>.</w:t>
      </w:r>
    </w:p>
    <w:p w14:paraId="583EF7A6" w14:textId="77777777" w:rsidR="002C1AD7" w:rsidRDefault="002C1AD7" w:rsidP="00E239E3"/>
    <w:p w14:paraId="2ACC18D6" w14:textId="7A8037E7" w:rsidR="00224ECC" w:rsidRDefault="002C1AD7" w:rsidP="00E239E3">
      <w:r>
        <w:t xml:space="preserve">From UE perspective, </w:t>
      </w:r>
      <w:r w:rsidR="00224ECC">
        <w:t xml:space="preserve">Alternative 1) is preferred due to the benefit of power saving and restriction on the back-to-back monitoring. </w:t>
      </w:r>
      <w:r w:rsidR="003C2F5E">
        <w:t xml:space="preserve">The </w:t>
      </w:r>
      <w:r w:rsidR="00F06BD8">
        <w:t>consequence of adopting Alternative 1)</w:t>
      </w:r>
      <w:r w:rsidR="003C2F5E">
        <w:t xml:space="preserve"> is the Type-0 CSS monitoring revision. </w:t>
      </w:r>
      <w:r w:rsidR="00D4659A">
        <w:t>However,</w:t>
      </w:r>
      <w:r w:rsidR="003C2F5E">
        <w:t xml:space="preserve"> one simple modification to limit spec </w:t>
      </w:r>
      <w:r w:rsidR="00D4659A">
        <w:t>impact</w:t>
      </w:r>
      <w:r w:rsidR="003C2F5E">
        <w:t xml:space="preserve"> </w:t>
      </w:r>
      <w:r w:rsidR="00F06BD8">
        <w:t>is</w:t>
      </w:r>
      <w:r w:rsidR="003C2F5E">
        <w:t xml:space="preserve"> </w:t>
      </w:r>
      <w:r w:rsidR="00F06BD8">
        <w:t xml:space="preserve">simply </w:t>
      </w:r>
      <w:r w:rsidR="003C2F5E">
        <w:t>changing the monitoring slot</w:t>
      </w:r>
      <w:r w:rsidR="00F06BD8">
        <w:t xml:space="preserve"> index </w:t>
      </w:r>
      <w:r w:rsidR="003C2F5E">
        <w:t xml:space="preserve">formula in TS 38.213 Clause 13 to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O×</m:t>
            </m:r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μ</m:t>
                </m:r>
              </m:sup>
            </m:sSup>
            <m:r>
              <w:rPr>
                <w:rFonts w:ascii="Cambria Math" w:hAnsi="Cambria Math"/>
              </w:rPr>
              <m:t>+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</w:rPr>
                  <m:t>i×M</m:t>
                </m:r>
              </m:e>
            </m:d>
            <m:r>
              <w:rPr>
                <w:rFonts w:ascii="Cambria Math" w:hAnsi="Cambria Math"/>
              </w:rPr>
              <m:t>×</m:t>
            </m:r>
            <m:r>
              <w:rPr>
                <w:rFonts w:ascii="Cambria Math" w:hAnsi="Cambria Math"/>
                <w:color w:val="FF0000"/>
              </w:rPr>
              <m:t>X</m:t>
            </m:r>
          </m:e>
        </m:d>
        <m:r>
          <w:rPr>
            <w:rFonts w:ascii="Cambria Math" w:hAnsi="Cambria Math"/>
          </w:rPr>
          <m:t> mod 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frame</m:t>
            </m:r>
            <m:r>
              <w:rPr>
                <w:rFonts w:ascii="Cambria Math" w:hAnsi="Cambria Math"/>
              </w:rPr>
              <m:t>,μ</m:t>
            </m:r>
          </m:sup>
        </m:sSubSup>
      </m:oMath>
      <w:r w:rsidR="003C2F5E">
        <w:t xml:space="preserve"> where X =4 or 8 for 480kHz and 960kHz, respectively. </w:t>
      </w:r>
      <w:r w:rsidR="00533CE0">
        <w:t xml:space="preserve">On the other hand, Alternative 2) has less spec impact on Type-0 CSS monitoring at the cost of UE PDCCH monitoring complexity compared to Alternative 1). </w:t>
      </w:r>
    </w:p>
    <w:p w14:paraId="1DB6862D" w14:textId="77777777" w:rsidR="00F06BD8" w:rsidRDefault="00F06BD8" w:rsidP="00E239E3"/>
    <w:p w14:paraId="665EF25A" w14:textId="0CF25876" w:rsidR="007B5E3A" w:rsidRPr="003D4F68" w:rsidRDefault="009A22A6" w:rsidP="007B5E3A">
      <w:pPr>
        <w:rPr>
          <w:b/>
        </w:rPr>
      </w:pPr>
      <w:bookmarkStart w:id="1" w:name="_Ref86934693"/>
      <w:r w:rsidRPr="003D4F68">
        <w:rPr>
          <w:b/>
        </w:rPr>
        <w:t xml:space="preserve">Proposal </w:t>
      </w:r>
      <w:r w:rsidR="00B22106">
        <w:rPr>
          <w:b/>
        </w:rPr>
        <w:fldChar w:fldCharType="begin"/>
      </w:r>
      <w:r w:rsidR="00B22106">
        <w:rPr>
          <w:b/>
        </w:rPr>
        <w:instrText xml:space="preserve"> SEQ Proposal \* ARABIC </w:instrText>
      </w:r>
      <w:r w:rsidR="00B22106">
        <w:rPr>
          <w:b/>
        </w:rPr>
        <w:fldChar w:fldCharType="separate"/>
      </w:r>
      <w:r w:rsidR="00BB2926">
        <w:rPr>
          <w:b/>
          <w:noProof/>
        </w:rPr>
        <w:t>1</w:t>
      </w:r>
      <w:r w:rsidR="00B22106">
        <w:rPr>
          <w:b/>
        </w:rPr>
        <w:fldChar w:fldCharType="end"/>
      </w:r>
      <w:r w:rsidRPr="003D4F68">
        <w:rPr>
          <w:b/>
        </w:rPr>
        <w:t xml:space="preserve">: For </w:t>
      </w:r>
      <w:r w:rsidR="007B5E3A" w:rsidRPr="003D4F68">
        <w:rPr>
          <w:b/>
        </w:rPr>
        <w:t>restrictions on PDCCH monitoring within a slot group, adopt one of the following alternatives</w:t>
      </w:r>
      <w:bookmarkEnd w:id="1"/>
    </w:p>
    <w:p w14:paraId="6DE68345" w14:textId="0EF51E64" w:rsidR="007B5E3A" w:rsidRPr="003D4F68" w:rsidRDefault="007B5E3A" w:rsidP="003D4F68">
      <w:pPr>
        <w:pStyle w:val="ListParagraph"/>
        <w:numPr>
          <w:ilvl w:val="0"/>
          <w:numId w:val="53"/>
        </w:numPr>
        <w:rPr>
          <w:b/>
        </w:rPr>
      </w:pPr>
      <w:r w:rsidRPr="003D4F68">
        <w:rPr>
          <w:b/>
        </w:rPr>
        <w:t xml:space="preserve">Alternative1: The location of the Y slots within </w:t>
      </w:r>
      <w:r w:rsidR="00D4659A">
        <w:rPr>
          <w:b/>
        </w:rPr>
        <w:t>a slot group of</w:t>
      </w:r>
      <w:r w:rsidRPr="003D4F68">
        <w:rPr>
          <w:b/>
        </w:rPr>
        <w:t xml:space="preserve"> X slots is fixed across slot groups</w:t>
      </w:r>
    </w:p>
    <w:p w14:paraId="22ADB5BE" w14:textId="26E7C4EE" w:rsidR="00785A0E" w:rsidRDefault="00785A0E" w:rsidP="003D4F68">
      <w:pPr>
        <w:pStyle w:val="ListParagraph"/>
        <w:numPr>
          <w:ilvl w:val="1"/>
          <w:numId w:val="53"/>
        </w:numPr>
        <w:rPr>
          <w:b/>
        </w:rPr>
      </w:pPr>
      <w:r>
        <w:rPr>
          <w:b/>
        </w:rPr>
        <w:t>BD/CCE budget</w:t>
      </w:r>
      <w:r w:rsidR="00F900C8">
        <w:rPr>
          <w:b/>
        </w:rPr>
        <w:t xml:space="preserve"> is defined per Y slots</w:t>
      </w:r>
      <w:r w:rsidR="00CB346E">
        <w:rPr>
          <w:b/>
        </w:rPr>
        <w:t xml:space="preserve"> within a slot-group</w:t>
      </w:r>
    </w:p>
    <w:p w14:paraId="22495063" w14:textId="62C2812C" w:rsidR="007B5E3A" w:rsidRPr="003D4F68" w:rsidRDefault="007B5E3A" w:rsidP="003D4F68">
      <w:pPr>
        <w:pStyle w:val="ListParagraph"/>
        <w:numPr>
          <w:ilvl w:val="1"/>
          <w:numId w:val="53"/>
        </w:numPr>
        <w:rPr>
          <w:b/>
        </w:rPr>
      </w:pPr>
      <w:r w:rsidRPr="003D4F68">
        <w:rPr>
          <w:b/>
        </w:rPr>
        <w:t xml:space="preserve">FFS: </w:t>
      </w:r>
      <w:r w:rsidR="00D4659A" w:rsidRPr="006A4F70">
        <w:rPr>
          <w:b/>
        </w:rPr>
        <w:t xml:space="preserve">search space sets with </w:t>
      </w:r>
      <w:r w:rsidR="00D4659A" w:rsidRPr="006A4F70">
        <w:rPr>
          <w:b/>
          <w:i/>
        </w:rPr>
        <w:t>searchSpaceID</w:t>
      </w:r>
      <w:r w:rsidR="00D4659A" w:rsidRPr="006A4F70">
        <w:rPr>
          <w:b/>
        </w:rPr>
        <w:t xml:space="preserve">=0 </w:t>
      </w:r>
      <w:r w:rsidRPr="003D4F68">
        <w:rPr>
          <w:b/>
        </w:rPr>
        <w:t xml:space="preserve">configuration </w:t>
      </w:r>
      <w:r w:rsidR="003C2F5E" w:rsidRPr="003D4F68">
        <w:rPr>
          <w:b/>
        </w:rPr>
        <w:t xml:space="preserve">modification, e.g., revising monitoring slot index to be </w:t>
      </w: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b/>
                <w:i/>
                <w:iCs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O×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μ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+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i×M</m:t>
                </m:r>
              </m:e>
            </m:d>
            <m:r>
              <m:rPr>
                <m:sty m:val="bi"/>
              </m:rPr>
              <w:rPr>
                <w:rFonts w:ascii="Cambria Math" w:hAnsi="Cambria Math"/>
              </w:rPr>
              <m:t>×</m:t>
            </m:r>
            <m:r>
              <m:rPr>
                <m:sty m:val="bi"/>
              </m:rPr>
              <w:rPr>
                <w:rFonts w:ascii="Cambria Math" w:hAnsi="Cambria Math"/>
                <w:color w:val="FF0000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 mod </m:t>
        </m:r>
        <m:sSubSup>
          <m:sSubSupPr>
            <m:ctrlPr>
              <w:rPr>
                <w:rFonts w:ascii="Cambria Math" w:hAnsi="Cambria Math"/>
                <w:b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frame</m:t>
            </m:r>
            <m:r>
              <m:rPr>
                <m:sty m:val="bi"/>
              </m:rPr>
              <w:rPr>
                <w:rFonts w:ascii="Cambria Math" w:hAnsi="Cambria Math"/>
              </w:rPr>
              <m:t>,μ</m:t>
            </m:r>
          </m:sup>
        </m:sSubSup>
      </m:oMath>
    </w:p>
    <w:p w14:paraId="495539D6" w14:textId="3DE4795D" w:rsidR="007B5E3A" w:rsidRDefault="007B5E3A" w:rsidP="003D4F68">
      <w:pPr>
        <w:pStyle w:val="ListParagraph"/>
        <w:numPr>
          <w:ilvl w:val="0"/>
          <w:numId w:val="53"/>
        </w:numPr>
        <w:rPr>
          <w:b/>
        </w:rPr>
      </w:pPr>
      <w:r w:rsidRPr="003D4F68">
        <w:rPr>
          <w:b/>
        </w:rPr>
        <w:t xml:space="preserve">Alternative 2: The location of the Y slots within </w:t>
      </w:r>
      <w:r w:rsidR="00D4659A">
        <w:rPr>
          <w:b/>
        </w:rPr>
        <w:t>a slot group of</w:t>
      </w:r>
      <w:r w:rsidRPr="003D4F68">
        <w:rPr>
          <w:b/>
        </w:rPr>
        <w:t xml:space="preserve"> X slots is fixed across slot groups and </w:t>
      </w:r>
      <w:r w:rsidR="003C2F5E" w:rsidRPr="003D4F68">
        <w:rPr>
          <w:b/>
        </w:rPr>
        <w:t xml:space="preserve">search space sets with </w:t>
      </w:r>
      <w:r w:rsidR="003C2F5E" w:rsidRPr="003D4F68">
        <w:rPr>
          <w:b/>
          <w:i/>
        </w:rPr>
        <w:t>searchSpaceID</w:t>
      </w:r>
      <w:r w:rsidR="003C2F5E" w:rsidRPr="003D4F68">
        <w:rPr>
          <w:b/>
        </w:rPr>
        <w:t xml:space="preserve">=0 </w:t>
      </w:r>
      <w:r w:rsidRPr="003D4F68">
        <w:rPr>
          <w:b/>
        </w:rPr>
        <w:t>monitoring can be located outside the Y slots.</w:t>
      </w:r>
    </w:p>
    <w:p w14:paraId="0F523781" w14:textId="75003938" w:rsidR="00F900C8" w:rsidRPr="003D4F68" w:rsidRDefault="00F900C8" w:rsidP="003D4F68">
      <w:pPr>
        <w:pStyle w:val="ListParagraph"/>
        <w:numPr>
          <w:ilvl w:val="1"/>
          <w:numId w:val="53"/>
        </w:numPr>
        <w:rPr>
          <w:b/>
        </w:rPr>
      </w:pPr>
      <w:r w:rsidRPr="00F900C8">
        <w:rPr>
          <w:b/>
        </w:rPr>
        <w:t>BD/CCE budget is defined per slot</w:t>
      </w:r>
      <w:r>
        <w:rPr>
          <w:b/>
        </w:rPr>
        <w:t>-group</w:t>
      </w:r>
      <w:r w:rsidR="00CB346E">
        <w:rPr>
          <w:b/>
        </w:rPr>
        <w:t xml:space="preserve"> of X slots</w:t>
      </w:r>
    </w:p>
    <w:p w14:paraId="1D24725C" w14:textId="77777777" w:rsidR="009A22A6" w:rsidRDefault="009A22A6" w:rsidP="00E239E3"/>
    <w:p w14:paraId="1A44025D" w14:textId="77777777" w:rsidR="009A22A6" w:rsidRDefault="009A22A6" w:rsidP="00E239E3"/>
    <w:p w14:paraId="297FB7C0" w14:textId="73CCA03D" w:rsidR="00CE53CD" w:rsidRDefault="00D4659A" w:rsidP="00C63576">
      <w:r>
        <w:t>One essential discussion</w:t>
      </w:r>
      <w:r w:rsidR="008D2719">
        <w:t xml:space="preserve"> </w:t>
      </w:r>
      <w:r>
        <w:t xml:space="preserve">to complete the multi-slot PDCCH monitoring design </w:t>
      </w:r>
      <w:r w:rsidR="00425CF2">
        <w:t xml:space="preserve">is </w:t>
      </w:r>
      <w:r w:rsidR="00F06BD8">
        <w:t xml:space="preserve">how to extend the framework to multi-cell operation and how to specify the BD/CCE limit for multi-cell operation. To extend the multi-slot PDCCH monitoring to multi-cell operation, it is necessary to discuss </w:t>
      </w:r>
      <w:r w:rsidR="00425CF2">
        <w:t xml:space="preserve">whether the </w:t>
      </w:r>
      <w:r w:rsidR="00425CF2" w:rsidRPr="005C4493">
        <w:t>fixed pattern of slot groups</w:t>
      </w:r>
      <w:r w:rsidR="00425CF2">
        <w:t xml:space="preserve"> and the </w:t>
      </w:r>
      <w:r w:rsidR="00425CF2" w:rsidRPr="005C4493">
        <w:t>location of the Y slots within the X slots</w:t>
      </w:r>
      <w:r w:rsidR="00425CF2">
        <w:t xml:space="preserve"> are the same across CCs </w:t>
      </w:r>
      <w:r w:rsidR="00D33D47">
        <w:t xml:space="preserve">with (X,Y) </w:t>
      </w:r>
      <w:r w:rsidR="00CF655F">
        <w:t xml:space="preserve">multi-slot PDCCH monitoring </w:t>
      </w:r>
      <w:r w:rsidR="00D33D47">
        <w:t>configuration</w:t>
      </w:r>
      <w:r w:rsidR="00425CF2">
        <w:t xml:space="preserve">. </w:t>
      </w:r>
      <w:r w:rsidR="003C2F5E">
        <w:t>Based on the current agreement</w:t>
      </w:r>
      <w:r w:rsidR="00CF655F">
        <w:t>, all the CCs with (X,Y)</w:t>
      </w:r>
      <w:r w:rsidR="00CF655F" w:rsidRPr="00CF655F">
        <w:t xml:space="preserve"> </w:t>
      </w:r>
      <w:r w:rsidR="00CF655F">
        <w:t>multi-slot PDCCH monitoring configuration share the same pattern of slot groups</w:t>
      </w:r>
      <w:r w:rsidR="00241B7E">
        <w:t xml:space="preserve"> </w:t>
      </w:r>
      <w:r>
        <w:t xml:space="preserve">in order </w:t>
      </w:r>
      <w:r w:rsidR="00241B7E">
        <w:t>to simplify the design</w:t>
      </w:r>
      <w:r w:rsidR="00CF655F">
        <w:t>.</w:t>
      </w:r>
      <w:r w:rsidR="00241B7E">
        <w:t xml:space="preserve"> </w:t>
      </w:r>
      <w:r w:rsidR="00CF655F">
        <w:t xml:space="preserve">As for the </w:t>
      </w:r>
      <w:r w:rsidR="00CF655F" w:rsidRPr="005C4493">
        <w:t xml:space="preserve">location of the Y slots within </w:t>
      </w:r>
      <w:r w:rsidR="00CF655F">
        <w:t>a</w:t>
      </w:r>
      <w:r w:rsidR="00CF655F" w:rsidRPr="005C4493">
        <w:t xml:space="preserve"> </w:t>
      </w:r>
      <w:r w:rsidR="00CF655F">
        <w:t xml:space="preserve">slot group of </w:t>
      </w:r>
      <w:r w:rsidR="00CF655F" w:rsidRPr="005C4493">
        <w:t>X slots</w:t>
      </w:r>
      <w:r w:rsidR="00CF655F">
        <w:t xml:space="preserve">, </w:t>
      </w:r>
      <w:r w:rsidR="003B70F8">
        <w:t xml:space="preserve">compared with the fixed location of the Y slots </w:t>
      </w:r>
      <w:r>
        <w:t xml:space="preserve">within a slot group </w:t>
      </w:r>
      <w:r w:rsidR="003B70F8">
        <w:t>across CCs, non-aligned locations of Y slots can provide potential scheduling flexibility with the cost of complicating the BD/CCE limit distribution when multi-cell operation is considered. For example, it is possible that the monitoring slots in a cell with (X,Y)</w:t>
      </w:r>
      <w:r w:rsidR="003B70F8" w:rsidRPr="00CF655F">
        <w:t xml:space="preserve"> </w:t>
      </w:r>
      <w:r w:rsidR="003B70F8">
        <w:t>multi-slot PDCCH monitoring configuration might be close to the monitoring slots in another cell with the same (X,Y)</w:t>
      </w:r>
      <w:r w:rsidR="003B70F8" w:rsidRPr="00B16908">
        <w:t xml:space="preserve"> </w:t>
      </w:r>
      <w:r w:rsidR="003B70F8">
        <w:t xml:space="preserve">multi-slot PDCCH monitoring configuration, which is illustrated in </w:t>
      </w:r>
      <w:r w:rsidR="003B70F8">
        <w:fldChar w:fldCharType="begin"/>
      </w:r>
      <w:r w:rsidR="003B70F8">
        <w:instrText xml:space="preserve"> REF _Ref68527611 \h </w:instrText>
      </w:r>
      <w:r w:rsidR="003B70F8">
        <w:fldChar w:fldCharType="separate"/>
      </w:r>
      <w:r w:rsidR="00BB2926">
        <w:t xml:space="preserve">Figure </w:t>
      </w:r>
      <w:r w:rsidR="00BB2926">
        <w:rPr>
          <w:noProof/>
        </w:rPr>
        <w:t>1</w:t>
      </w:r>
      <w:r w:rsidR="003B70F8">
        <w:fldChar w:fldCharType="end"/>
      </w:r>
      <w:r w:rsidR="003B70F8">
        <w:t xml:space="preserve">. In this example, both CCs follow (X=4,Y=1) multi-slot PDCCH monitoring configuration and the BD/CCE limit assigned to monitoring slots M1_2 in CC#1 and M2_1 in CC#2 need to acknowledge UE monitoring capability on monitoring the back to back slots. Therefore, to complete the design, the multi-cell monitoring capability need to be carefully discussed. On the other hand, </w:t>
      </w:r>
      <w:r w:rsidR="00CF655F">
        <w:t xml:space="preserve">the fixed location of the Y slots </w:t>
      </w:r>
      <w:r w:rsidR="003B70F8">
        <w:t xml:space="preserve">across CCs </w:t>
      </w:r>
      <w:r w:rsidR="00CF655F">
        <w:t xml:space="preserve">have benefit on BD/CCE limit determination </w:t>
      </w:r>
      <w:r w:rsidR="003B70F8">
        <w:t>for CA operation</w:t>
      </w:r>
      <w:r w:rsidR="00CF655F">
        <w:t xml:space="preserve">, which </w:t>
      </w:r>
      <w:r w:rsidR="00241B7E">
        <w:t>expedites</w:t>
      </w:r>
      <w:r w:rsidR="00CF655F">
        <w:t xml:space="preserve"> BD/CCE </w:t>
      </w:r>
      <w:r w:rsidR="00CF655F">
        <w:lastRenderedPageBreak/>
        <w:t xml:space="preserve">budge </w:t>
      </w:r>
      <w:r w:rsidR="00241B7E">
        <w:t xml:space="preserve">assignment </w:t>
      </w:r>
      <w:r w:rsidR="00CF655F">
        <w:t xml:space="preserve">from gNB perspective </w:t>
      </w:r>
      <w:r w:rsidR="0098718A">
        <w:t xml:space="preserve">and </w:t>
      </w:r>
      <w:r w:rsidR="00CF655F">
        <w:t>facilitate</w:t>
      </w:r>
      <w:r w:rsidR="0098718A">
        <w:t>s</w:t>
      </w:r>
      <w:r w:rsidR="00CF655F">
        <w:t xml:space="preserve"> PDCCH candidate dropping </w:t>
      </w:r>
      <w:r w:rsidR="00241B7E">
        <w:t>determination</w:t>
      </w:r>
      <w:r w:rsidR="00CF655F">
        <w:t xml:space="preserve"> at UE side.</w:t>
      </w:r>
      <w:r w:rsidR="0098718A">
        <w:t xml:space="preserve"> </w:t>
      </w:r>
      <w:r w:rsidR="003B70F8">
        <w:t>Furthermore</w:t>
      </w:r>
      <w:r w:rsidR="00241B7E">
        <w:t xml:space="preserve">, the aligned PDCCH monitoring pattern across CCs can further improve PDCCH monitoring power consumption compared with the non-aligned PDCCH monitoring pattern. </w:t>
      </w:r>
    </w:p>
    <w:p w14:paraId="7F17F5B5" w14:textId="77777777" w:rsidR="0098718A" w:rsidRDefault="0098718A" w:rsidP="00E239E3"/>
    <w:p w14:paraId="100D8490" w14:textId="0C2C38E7" w:rsidR="00FC5B95" w:rsidRDefault="004D4CEF" w:rsidP="005061FA">
      <w:pPr>
        <w:pStyle w:val="Caption"/>
      </w:pPr>
      <w:bookmarkStart w:id="2" w:name="_Ref78902377"/>
      <w:bookmarkStart w:id="3" w:name="_Ref68510864"/>
      <w:r>
        <w:t xml:space="preserve">Proposal </w:t>
      </w:r>
      <w:fldSimple w:instr=" SEQ Proposal \* ARABIC ">
        <w:r w:rsidR="00BB2926">
          <w:rPr>
            <w:noProof/>
          </w:rPr>
          <w:t>2</w:t>
        </w:r>
      </w:fldSimple>
      <w:r>
        <w:t>:</w:t>
      </w:r>
      <w:r w:rsidR="003D5B75">
        <w:t xml:space="preserve"> </w:t>
      </w:r>
      <w:r w:rsidR="00FC5B95">
        <w:t xml:space="preserve">For multi-cell operation, </w:t>
      </w:r>
      <w:r w:rsidR="00FC5B95" w:rsidRPr="00FC5B95">
        <w:t>the location of the Y slots within a slot group of X slots is maintained across CCs associated with (X,Y) configuration</w:t>
      </w:r>
      <w:r w:rsidR="00FC5B95">
        <w:t>.</w:t>
      </w:r>
    </w:p>
    <w:p w14:paraId="1F0DA991" w14:textId="629172A5" w:rsidR="00201774" w:rsidRDefault="00FC5B95" w:rsidP="003D4F68">
      <w:pPr>
        <w:pStyle w:val="Caption"/>
        <w:numPr>
          <w:ilvl w:val="0"/>
          <w:numId w:val="54"/>
        </w:numPr>
      </w:pPr>
      <w:r>
        <w:t xml:space="preserve">BD/CCE </w:t>
      </w:r>
      <w:r w:rsidR="00B43C59">
        <w:t>limit</w:t>
      </w:r>
      <w:r>
        <w:t xml:space="preserve"> for multi-cell operation is defined within a slot group of X slots across all the CCs</w:t>
      </w:r>
      <w:bookmarkEnd w:id="2"/>
    </w:p>
    <w:bookmarkEnd w:id="3"/>
    <w:p w14:paraId="7A14D331" w14:textId="445A57ED" w:rsidR="004D4CEF" w:rsidRDefault="004D4CEF" w:rsidP="00EB6FA4">
      <w:pPr>
        <w:pStyle w:val="Caption"/>
      </w:pPr>
    </w:p>
    <w:p w14:paraId="23D78D55" w14:textId="37A45832" w:rsidR="006E2EF2" w:rsidRDefault="00590551" w:rsidP="001F73DE">
      <w:pPr>
        <w:keepNext/>
      </w:pPr>
      <w:r>
        <w:rPr>
          <w:noProof/>
          <w:lang w:eastAsia="zh-TW"/>
        </w:rPr>
        <w:drawing>
          <wp:inline distT="0" distB="0" distL="0" distR="0" wp14:anchorId="64F81E6C" wp14:editId="4366212F">
            <wp:extent cx="4235219" cy="2315070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040" cy="2328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AB91F2" w14:textId="520F2FBB" w:rsidR="006E2EF2" w:rsidRDefault="006E2EF2" w:rsidP="001F73DE">
      <w:pPr>
        <w:pStyle w:val="Caption"/>
      </w:pPr>
      <w:bookmarkStart w:id="4" w:name="_Ref68527611"/>
      <w:r>
        <w:t xml:space="preserve">Figure </w:t>
      </w:r>
      <w:fldSimple w:instr=" SEQ Figure \* ARABIC ">
        <w:r w:rsidR="00BB2926">
          <w:rPr>
            <w:noProof/>
          </w:rPr>
          <w:t>1</w:t>
        </w:r>
      </w:fldSimple>
      <w:bookmarkEnd w:id="4"/>
      <w:r>
        <w:t xml:space="preserve"> Example of non-aligned </w:t>
      </w:r>
      <w:r w:rsidR="00590551">
        <w:t xml:space="preserve">monitoring pattern </w:t>
      </w:r>
      <w:r>
        <w:t>across CCs in Alt2</w:t>
      </w:r>
    </w:p>
    <w:p w14:paraId="2597440B" w14:textId="77777777" w:rsidR="00320BC8" w:rsidRDefault="00320BC8" w:rsidP="00EB6FA4"/>
    <w:p w14:paraId="0129E29A" w14:textId="2003603F" w:rsidR="00320BC8" w:rsidRDefault="00320BC8" w:rsidP="00320BC8">
      <w:r>
        <w:t xml:space="preserve">Regarding the candidate values of (X,Y), at least X=4 slots and X=8 are </w:t>
      </w:r>
      <w:r w:rsidR="003B70F8">
        <w:t xml:space="preserve">agreed to be </w:t>
      </w:r>
      <w:r>
        <w:t xml:space="preserve">supported for multi-slot PDCCH monitoring in 480 kHz and 960kHz, respectively. To facilitate the discussion, we </w:t>
      </w:r>
      <w:r w:rsidR="003B70F8">
        <w:t>suggest</w:t>
      </w:r>
      <w:r>
        <w:t xml:space="preserve"> to prioritize the discussion of Y values </w:t>
      </w:r>
      <w:r w:rsidR="00B26145">
        <w:t>for the cases of</w:t>
      </w:r>
      <w:r>
        <w:t xml:space="preserve"> X=4 slots for 480kHz and X=8 for 960kHz and we suggest at least Y=1 should be supported to achieve UE power saving. For other values of (X,Y), if </w:t>
      </w:r>
      <w:r w:rsidR="00AA3723">
        <w:t>needed</w:t>
      </w:r>
      <w:r>
        <w:t>, we prefer to have an UE capability to address the trade-off between UE implementation complexity and gNB scheduling flexibility.</w:t>
      </w:r>
    </w:p>
    <w:p w14:paraId="3EE6E458" w14:textId="77777777" w:rsidR="00320BC8" w:rsidRDefault="00320BC8" w:rsidP="00320BC8"/>
    <w:p w14:paraId="3AD2D8DD" w14:textId="11390B0E" w:rsidR="00320BC8" w:rsidRDefault="00320BC8" w:rsidP="00320BC8">
      <w:pPr>
        <w:pStyle w:val="Caption"/>
      </w:pPr>
      <w:r>
        <w:t xml:space="preserve">  </w:t>
      </w:r>
      <w:bookmarkStart w:id="5" w:name="_Ref86934782"/>
      <w:r>
        <w:t xml:space="preserve">Proposal </w:t>
      </w:r>
      <w:fldSimple w:instr=" SEQ Proposal \* ARABIC ">
        <w:r w:rsidR="00BB2926">
          <w:rPr>
            <w:noProof/>
          </w:rPr>
          <w:t>3</w:t>
        </w:r>
      </w:fldSimple>
      <w:r>
        <w:t>: To achieve UE power saving in multi-slot monitoring, at least (X=4 slots, Y=1 slot) and (X=8 slots, Y=1 slot) should be supported for multi-slot PDCCH monitoring in 480 kHz and 960kHz, respectively. For other pairs of (X,Y),</w:t>
      </w:r>
      <w:r w:rsidRPr="008D7224">
        <w:t xml:space="preserve"> </w:t>
      </w:r>
      <w:r>
        <w:t>if needed, optional UE capability should be introduced.</w:t>
      </w:r>
      <w:bookmarkEnd w:id="5"/>
      <w:r>
        <w:t xml:space="preserve"> </w:t>
      </w:r>
    </w:p>
    <w:p w14:paraId="371A25D3" w14:textId="77777777" w:rsidR="00320BC8" w:rsidRPr="00C63576" w:rsidRDefault="00320BC8" w:rsidP="00EB6FA4"/>
    <w:p w14:paraId="04799358" w14:textId="77777777" w:rsidR="00FD3E20" w:rsidRPr="000D5DFA" w:rsidRDefault="00FD3E20" w:rsidP="00FD3E20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 w:rsidRPr="00AD111F">
        <w:rPr>
          <w:b/>
          <w:sz w:val="28"/>
        </w:rPr>
        <w:t>Conclusion</w:t>
      </w:r>
    </w:p>
    <w:p w14:paraId="47163B29" w14:textId="67775634" w:rsidR="00FD3E20" w:rsidRDefault="00FD3E20" w:rsidP="00FD3E20">
      <w:pPr>
        <w:spacing w:afterLines="50" w:after="120"/>
      </w:pPr>
      <w:r w:rsidRPr="007D4109">
        <w:t xml:space="preserve">In summary, we have the following </w:t>
      </w:r>
      <w:r w:rsidR="00460F5C">
        <w:t>proposals</w:t>
      </w:r>
      <w:r w:rsidRPr="007D4109">
        <w:t>:</w:t>
      </w:r>
    </w:p>
    <w:p w14:paraId="698DB9DF" w14:textId="77777777" w:rsidR="00B22106" w:rsidRDefault="00B22106" w:rsidP="00FD3E20">
      <w:pPr>
        <w:spacing w:afterLines="50" w:after="120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_Ref86934693 \h </w:instrText>
      </w:r>
      <w:r>
        <w:rPr>
          <w:b/>
        </w:rPr>
      </w:r>
      <w:r>
        <w:rPr>
          <w:b/>
        </w:rPr>
        <w:fldChar w:fldCharType="separate"/>
      </w:r>
      <w:r w:rsidR="00BB2926" w:rsidRPr="003D4F68">
        <w:rPr>
          <w:b/>
        </w:rPr>
        <w:t xml:space="preserve">Proposal </w:t>
      </w:r>
      <w:r w:rsidR="00BB2926">
        <w:rPr>
          <w:b/>
          <w:noProof/>
        </w:rPr>
        <w:t>1</w:t>
      </w:r>
      <w:r w:rsidR="00BB2926" w:rsidRPr="003D4F68">
        <w:rPr>
          <w:b/>
        </w:rPr>
        <w:t>: For restrictions on PDCCH monitoring within a slot group, adopt one of the following alternatives</w:t>
      </w:r>
      <w:r>
        <w:rPr>
          <w:b/>
        </w:rPr>
        <w:fldChar w:fldCharType="end"/>
      </w:r>
    </w:p>
    <w:p w14:paraId="67AF2FA6" w14:textId="77777777" w:rsidR="00B22106" w:rsidRPr="006A4F70" w:rsidRDefault="00B22106" w:rsidP="00B22106">
      <w:pPr>
        <w:pStyle w:val="ListParagraph"/>
        <w:numPr>
          <w:ilvl w:val="0"/>
          <w:numId w:val="53"/>
        </w:numPr>
        <w:rPr>
          <w:b/>
        </w:rPr>
      </w:pPr>
      <w:r w:rsidRPr="006A4F70">
        <w:rPr>
          <w:b/>
        </w:rPr>
        <w:t xml:space="preserve">Alternative1: The location of the Y slots within </w:t>
      </w:r>
      <w:r>
        <w:rPr>
          <w:b/>
        </w:rPr>
        <w:t>a slot group of</w:t>
      </w:r>
      <w:r w:rsidRPr="006A4F70">
        <w:rPr>
          <w:b/>
        </w:rPr>
        <w:t xml:space="preserve"> X slots is fixed across slot groups</w:t>
      </w:r>
    </w:p>
    <w:p w14:paraId="46C3F335" w14:textId="77777777" w:rsidR="00B22106" w:rsidRDefault="00B22106" w:rsidP="00B22106">
      <w:pPr>
        <w:pStyle w:val="ListParagraph"/>
        <w:numPr>
          <w:ilvl w:val="1"/>
          <w:numId w:val="53"/>
        </w:numPr>
        <w:rPr>
          <w:b/>
        </w:rPr>
      </w:pPr>
      <w:r>
        <w:rPr>
          <w:b/>
        </w:rPr>
        <w:t>BD/CCE budget is defined per Y slots within a slot-group</w:t>
      </w:r>
    </w:p>
    <w:p w14:paraId="6656146A" w14:textId="77777777" w:rsidR="00B22106" w:rsidRPr="006A4F70" w:rsidRDefault="00B22106" w:rsidP="00B22106">
      <w:pPr>
        <w:pStyle w:val="ListParagraph"/>
        <w:numPr>
          <w:ilvl w:val="1"/>
          <w:numId w:val="53"/>
        </w:numPr>
        <w:rPr>
          <w:b/>
        </w:rPr>
      </w:pPr>
      <w:r w:rsidRPr="006A4F70">
        <w:rPr>
          <w:b/>
        </w:rPr>
        <w:t xml:space="preserve">FFS: search space sets with </w:t>
      </w:r>
      <w:r w:rsidRPr="006A4F70">
        <w:rPr>
          <w:b/>
          <w:i/>
        </w:rPr>
        <w:t>searchSpaceID</w:t>
      </w:r>
      <w:r w:rsidRPr="006A4F70">
        <w:rPr>
          <w:b/>
        </w:rPr>
        <w:t xml:space="preserve">=0 configuration modification, e.g., revising monitoring slot index to be </w:t>
      </w: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b/>
                <w:i/>
                <w:iCs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O×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μ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+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i×M</m:t>
                </m:r>
              </m:e>
            </m:d>
            <m:r>
              <m:rPr>
                <m:sty m:val="bi"/>
              </m:rPr>
              <w:rPr>
                <w:rFonts w:ascii="Cambria Math" w:hAnsi="Cambria Math"/>
              </w:rPr>
              <m:t>×</m:t>
            </m:r>
            <m:r>
              <m:rPr>
                <m:sty m:val="bi"/>
              </m:rPr>
              <w:rPr>
                <w:rFonts w:ascii="Cambria Math" w:hAnsi="Cambria Math"/>
                <w:color w:val="FF0000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 mod </m:t>
        </m:r>
        <m:sSubSup>
          <m:sSubSupPr>
            <m:ctrlPr>
              <w:rPr>
                <w:rFonts w:ascii="Cambria Math" w:hAnsi="Cambria Math"/>
                <w:b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frame</m:t>
            </m:r>
            <m:r>
              <m:rPr>
                <m:sty m:val="bi"/>
              </m:rPr>
              <w:rPr>
                <w:rFonts w:ascii="Cambria Math" w:hAnsi="Cambria Math"/>
              </w:rPr>
              <m:t>,μ</m:t>
            </m:r>
          </m:sup>
        </m:sSubSup>
      </m:oMath>
    </w:p>
    <w:p w14:paraId="0F5A1063" w14:textId="77777777" w:rsidR="00B22106" w:rsidRDefault="00B22106" w:rsidP="00B22106">
      <w:pPr>
        <w:pStyle w:val="ListParagraph"/>
        <w:numPr>
          <w:ilvl w:val="0"/>
          <w:numId w:val="53"/>
        </w:numPr>
        <w:rPr>
          <w:b/>
        </w:rPr>
      </w:pPr>
      <w:r w:rsidRPr="006A4F70">
        <w:rPr>
          <w:b/>
        </w:rPr>
        <w:lastRenderedPageBreak/>
        <w:t xml:space="preserve">Alternative 2: The location of the Y slots within </w:t>
      </w:r>
      <w:r>
        <w:rPr>
          <w:b/>
        </w:rPr>
        <w:t>a slot group of</w:t>
      </w:r>
      <w:r w:rsidRPr="006A4F70">
        <w:rPr>
          <w:b/>
        </w:rPr>
        <w:t xml:space="preserve"> X slots is fixed across slot groups and search space sets with </w:t>
      </w:r>
      <w:r w:rsidRPr="006A4F70">
        <w:rPr>
          <w:b/>
          <w:i/>
        </w:rPr>
        <w:t>searchSpaceID</w:t>
      </w:r>
      <w:r w:rsidRPr="006A4F70">
        <w:rPr>
          <w:b/>
        </w:rPr>
        <w:t>=0 monitoring can be located outside the Y slots.</w:t>
      </w:r>
    </w:p>
    <w:p w14:paraId="0D334C55" w14:textId="77777777" w:rsidR="00B22106" w:rsidRPr="006A4F70" w:rsidRDefault="00B22106" w:rsidP="00B22106">
      <w:pPr>
        <w:pStyle w:val="ListParagraph"/>
        <w:numPr>
          <w:ilvl w:val="1"/>
          <w:numId w:val="53"/>
        </w:numPr>
        <w:rPr>
          <w:b/>
        </w:rPr>
      </w:pPr>
      <w:r w:rsidRPr="00F900C8">
        <w:rPr>
          <w:b/>
        </w:rPr>
        <w:t>BD/CCE budget is defined per slot</w:t>
      </w:r>
      <w:r>
        <w:rPr>
          <w:b/>
        </w:rPr>
        <w:t>-group of X slots</w:t>
      </w:r>
    </w:p>
    <w:p w14:paraId="330FB695" w14:textId="77777777" w:rsidR="00BB2926" w:rsidRDefault="00201774" w:rsidP="00BB2926">
      <w:pPr>
        <w:spacing w:afterLines="50" w:after="120"/>
      </w:pPr>
      <w:r w:rsidRPr="003D4F68">
        <w:rPr>
          <w:b/>
        </w:rPr>
        <w:fldChar w:fldCharType="begin"/>
      </w:r>
      <w:r w:rsidRPr="005061FA">
        <w:rPr>
          <w:b/>
        </w:rPr>
        <w:instrText xml:space="preserve"> REF _Ref78902377 \h </w:instrText>
      </w:r>
      <w:r w:rsidR="00D57412">
        <w:rPr>
          <w:b/>
        </w:rPr>
        <w:instrText xml:space="preserve"> \* MERGEFORMAT </w:instrText>
      </w:r>
      <w:r w:rsidRPr="003D4F68">
        <w:rPr>
          <w:b/>
        </w:rPr>
      </w:r>
      <w:r w:rsidRPr="003D4F68">
        <w:rPr>
          <w:b/>
        </w:rPr>
        <w:fldChar w:fldCharType="separate"/>
      </w:r>
      <w:r w:rsidR="00BB2926" w:rsidRPr="00BB2926">
        <w:rPr>
          <w:b/>
        </w:rPr>
        <w:t xml:space="preserve">Proposal </w:t>
      </w:r>
      <w:r w:rsidR="00BB2926" w:rsidRPr="00BB2926">
        <w:rPr>
          <w:b/>
          <w:noProof/>
        </w:rPr>
        <w:t>2</w:t>
      </w:r>
      <w:r w:rsidR="00BB2926" w:rsidRPr="00BB2926">
        <w:rPr>
          <w:b/>
        </w:rPr>
        <w:t>: For multi-cell operation, the location of the Y slots within a slot</w:t>
      </w:r>
      <w:r w:rsidR="00BB2926" w:rsidRPr="00BB2926">
        <w:rPr>
          <w:b/>
          <w:noProof/>
        </w:rPr>
        <w:t xml:space="preserve"> </w:t>
      </w:r>
      <w:r w:rsidR="00BB2926" w:rsidRPr="00BB2926">
        <w:rPr>
          <w:b/>
        </w:rPr>
        <w:t>group of X slots is maintained across CCs associated with (X,Y</w:t>
      </w:r>
      <w:r w:rsidR="00BB2926" w:rsidRPr="00FC5B95">
        <w:t>)</w:t>
      </w:r>
      <w:r w:rsidR="00BB2926" w:rsidRPr="00BB2926">
        <w:rPr>
          <w:b/>
        </w:rPr>
        <w:t xml:space="preserve"> configuration.</w:t>
      </w:r>
    </w:p>
    <w:p w14:paraId="4E5DB41E" w14:textId="58B3D012" w:rsidR="00201774" w:rsidRPr="003D4F68" w:rsidRDefault="00BB2926" w:rsidP="003D4F68">
      <w:pPr>
        <w:pStyle w:val="ListParagraph"/>
        <w:numPr>
          <w:ilvl w:val="0"/>
          <w:numId w:val="55"/>
        </w:numPr>
        <w:spacing w:afterLines="50" w:after="120"/>
        <w:rPr>
          <w:b/>
        </w:rPr>
      </w:pPr>
      <w:r w:rsidRPr="00BB2926">
        <w:rPr>
          <w:b/>
        </w:rPr>
        <w:t>BD/CCE limit for multi-cell operation is defined within a slot group of X slots across all the CCs</w:t>
      </w:r>
      <w:r w:rsidR="00201774" w:rsidRPr="003D4F68">
        <w:rPr>
          <w:b/>
        </w:rPr>
        <w:fldChar w:fldCharType="end"/>
      </w:r>
    </w:p>
    <w:p w14:paraId="438A7A9B" w14:textId="296A210F" w:rsidR="00D57412" w:rsidRPr="003D4F68" w:rsidRDefault="00B22106" w:rsidP="00FD3E20">
      <w:pPr>
        <w:spacing w:afterLines="50" w:after="120"/>
        <w:rPr>
          <w:b/>
        </w:rPr>
      </w:pPr>
      <w:r w:rsidRPr="003D4F68">
        <w:rPr>
          <w:b/>
        </w:rPr>
        <w:fldChar w:fldCharType="begin"/>
      </w:r>
      <w:r w:rsidRPr="003D4F68">
        <w:rPr>
          <w:b/>
        </w:rPr>
        <w:instrText xml:space="preserve"> REF _Ref86934782 \h  \* MERGEFORMAT </w:instrText>
      </w:r>
      <w:r w:rsidRPr="003D4F68">
        <w:rPr>
          <w:b/>
        </w:rPr>
      </w:r>
      <w:r w:rsidRPr="003D4F68">
        <w:rPr>
          <w:b/>
        </w:rPr>
        <w:fldChar w:fldCharType="separate"/>
      </w:r>
      <w:r w:rsidR="00BB2926" w:rsidRPr="00BB2926">
        <w:rPr>
          <w:b/>
        </w:rPr>
        <w:t xml:space="preserve">Proposal </w:t>
      </w:r>
      <w:r w:rsidR="00BB2926" w:rsidRPr="00BB2926">
        <w:rPr>
          <w:b/>
          <w:noProof/>
        </w:rPr>
        <w:t>3</w:t>
      </w:r>
      <w:r w:rsidR="00BB2926" w:rsidRPr="00BB2926">
        <w:rPr>
          <w:b/>
        </w:rPr>
        <w:t>: To achieve UE power saving in multi-slot monitoring, at least (X=4 slots, Y=1 slot) and (X=8 slots, Y=1 slot) should be supported for multi-slot PDCCH monitoring in 480 kHz and 960kHz, respectively. For other pairs of (X,Y), if needed, optional UE capability should be introduced.</w:t>
      </w:r>
      <w:r w:rsidRPr="003D4F68">
        <w:rPr>
          <w:b/>
        </w:rPr>
        <w:fldChar w:fldCharType="end"/>
      </w:r>
      <w:bookmarkStart w:id="6" w:name="_GoBack"/>
      <w:bookmarkEnd w:id="6"/>
    </w:p>
    <w:p w14:paraId="798A870D" w14:textId="5AFFFD67" w:rsidR="00FD3E20" w:rsidRPr="00AD111F" w:rsidRDefault="00FD3E20" w:rsidP="00FD3E20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 w:rsidRPr="00AD111F">
        <w:rPr>
          <w:b/>
          <w:sz w:val="28"/>
        </w:rPr>
        <w:t>References</w:t>
      </w:r>
    </w:p>
    <w:p w14:paraId="71F2992C" w14:textId="45671FB6" w:rsidR="000C39EA" w:rsidRDefault="00AD69D0" w:rsidP="000C39EA">
      <w:pPr>
        <w:numPr>
          <w:ilvl w:val="0"/>
          <w:numId w:val="6"/>
        </w:numPr>
        <w:spacing w:afterLines="50" w:after="120"/>
      </w:pPr>
      <w:bookmarkStart w:id="7" w:name="_Ref40359806"/>
      <w:bookmarkStart w:id="8" w:name="_Ref528680018"/>
      <w:bookmarkStart w:id="9" w:name="_Ref481596356"/>
      <w:bookmarkStart w:id="10" w:name="_Ref481781528"/>
      <w:bookmarkStart w:id="11" w:name="_Ref481782557"/>
      <w:r>
        <w:t xml:space="preserve">3GPP </w:t>
      </w:r>
      <w:r w:rsidR="007E3EFF">
        <w:t>TR 38.808</w:t>
      </w:r>
      <w:r w:rsidR="000C39EA">
        <w:t>, “</w:t>
      </w:r>
      <w:r w:rsidR="007E3EFF" w:rsidRPr="009476C7">
        <w:t>Study on supporting NR from 52.6 GHz to 71 GHz</w:t>
      </w:r>
      <w:r w:rsidR="000C39EA">
        <w:t xml:space="preserve">”,  </w:t>
      </w:r>
      <w:r w:rsidR="007E3EFF">
        <w:t>November</w:t>
      </w:r>
      <w:r w:rsidR="000C39EA" w:rsidRPr="000C39EA">
        <w:t>, 20</w:t>
      </w:r>
      <w:bookmarkEnd w:id="7"/>
      <w:r w:rsidR="007E3EFF">
        <w:t>20</w:t>
      </w:r>
    </w:p>
    <w:p w14:paraId="1A37EDAE" w14:textId="09369390" w:rsidR="001243FA" w:rsidRDefault="00AD69D0" w:rsidP="00AD69D0">
      <w:pPr>
        <w:numPr>
          <w:ilvl w:val="0"/>
          <w:numId w:val="6"/>
        </w:numPr>
        <w:spacing w:afterLines="50" w:after="120"/>
      </w:pPr>
      <w:bookmarkStart w:id="12" w:name="_Ref40449526"/>
      <w:r>
        <w:t>RP-202925</w:t>
      </w:r>
      <w:r w:rsidR="003E577B">
        <w:t>, “</w:t>
      </w:r>
      <w:r w:rsidRPr="00AD69D0">
        <w:t>Revised WID:  Extending current NR operation to 71 GHz</w:t>
      </w:r>
      <w:r w:rsidR="003E577B">
        <w:t xml:space="preserve">”, </w:t>
      </w:r>
      <w:r>
        <w:t>December</w:t>
      </w:r>
      <w:r w:rsidR="003E577B">
        <w:t>, 2020</w:t>
      </w:r>
      <w:bookmarkEnd w:id="12"/>
    </w:p>
    <w:bookmarkEnd w:id="0"/>
    <w:bookmarkEnd w:id="8"/>
    <w:bookmarkEnd w:id="9"/>
    <w:bookmarkEnd w:id="10"/>
    <w:bookmarkEnd w:id="11"/>
    <w:p w14:paraId="0D9A8F86" w14:textId="5FB3FD30" w:rsidR="00E04988" w:rsidRDefault="00E04988" w:rsidP="001F73DE">
      <w:pPr>
        <w:spacing w:afterLines="50" w:after="120"/>
      </w:pPr>
    </w:p>
    <w:sectPr w:rsidR="00E04988" w:rsidSect="0048132D">
      <w:footnotePr>
        <w:numFmt w:val="chicago"/>
      </w:footnotePr>
      <w:pgSz w:w="12240" w:h="15840" w:code="1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C6418D" w14:textId="77777777" w:rsidR="002201C1" w:rsidRDefault="002201C1">
      <w:r>
        <w:separator/>
      </w:r>
    </w:p>
  </w:endnote>
  <w:endnote w:type="continuationSeparator" w:id="0">
    <w:p w14:paraId="4AEA25F8" w14:textId="77777777" w:rsidR="002201C1" w:rsidRDefault="00220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4A8A60" w14:textId="77777777" w:rsidR="002201C1" w:rsidRDefault="002201C1">
      <w:r>
        <w:separator/>
      </w:r>
    </w:p>
  </w:footnote>
  <w:footnote w:type="continuationSeparator" w:id="0">
    <w:p w14:paraId="77E5F125" w14:textId="77777777" w:rsidR="002201C1" w:rsidRDefault="002201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52DB8"/>
    <w:multiLevelType w:val="hybridMultilevel"/>
    <w:tmpl w:val="59CC783E"/>
    <w:lvl w:ilvl="0" w:tplc="5EA67E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09C08A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CA2C921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4E9DB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DE46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0C92A3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3CAAB9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876CA10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7B60A7C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117150"/>
    <w:multiLevelType w:val="hybridMultilevel"/>
    <w:tmpl w:val="94C01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E51BA7"/>
    <w:multiLevelType w:val="hybridMultilevel"/>
    <w:tmpl w:val="64929580"/>
    <w:lvl w:ilvl="0" w:tplc="FD8EC69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C6C4E97"/>
    <w:multiLevelType w:val="hybridMultilevel"/>
    <w:tmpl w:val="7032C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F084988"/>
    <w:multiLevelType w:val="hybridMultilevel"/>
    <w:tmpl w:val="5D285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BD7DA4"/>
    <w:multiLevelType w:val="hybridMultilevel"/>
    <w:tmpl w:val="917CA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F33501"/>
    <w:multiLevelType w:val="hybridMultilevel"/>
    <w:tmpl w:val="3EB2B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E539A7"/>
    <w:multiLevelType w:val="hybridMultilevel"/>
    <w:tmpl w:val="E81C22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>
    <w:nsid w:val="1E351339"/>
    <w:multiLevelType w:val="hybridMultilevel"/>
    <w:tmpl w:val="A812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CF7018"/>
    <w:multiLevelType w:val="hybridMultilevel"/>
    <w:tmpl w:val="D8782CC4"/>
    <w:lvl w:ilvl="0" w:tplc="A88A25A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7240C8"/>
    <w:multiLevelType w:val="hybridMultilevel"/>
    <w:tmpl w:val="0E427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AB5749"/>
    <w:multiLevelType w:val="hybridMultilevel"/>
    <w:tmpl w:val="8DBE16AE"/>
    <w:lvl w:ilvl="0" w:tplc="8F0EB8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1CF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166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AF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ED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745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649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3A4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BAE4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AB80FC6"/>
    <w:multiLevelType w:val="multilevel"/>
    <w:tmpl w:val="EA1233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16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087E4A"/>
    <w:multiLevelType w:val="hybridMultilevel"/>
    <w:tmpl w:val="82B4BEE6"/>
    <w:lvl w:ilvl="0" w:tplc="2A5A2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A61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0E5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52C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02C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2F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4AF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98CA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EA6A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B7D24F0"/>
    <w:multiLevelType w:val="multilevel"/>
    <w:tmpl w:val="2B7D24F0"/>
    <w:lvl w:ilvl="0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9">
    <w:nsid w:val="2BBC0C76"/>
    <w:multiLevelType w:val="hybridMultilevel"/>
    <w:tmpl w:val="5E4AC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921DCE"/>
    <w:multiLevelType w:val="hybridMultilevel"/>
    <w:tmpl w:val="F94C5E20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1">
    <w:nsid w:val="30B43505"/>
    <w:multiLevelType w:val="hybridMultilevel"/>
    <w:tmpl w:val="93489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897C8D"/>
    <w:multiLevelType w:val="hybridMultilevel"/>
    <w:tmpl w:val="13ACF4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3BD2765"/>
    <w:multiLevelType w:val="hybridMultilevel"/>
    <w:tmpl w:val="56CADC8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8063C2"/>
    <w:multiLevelType w:val="hybridMultilevel"/>
    <w:tmpl w:val="CB260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CE2949"/>
    <w:multiLevelType w:val="hybridMultilevel"/>
    <w:tmpl w:val="1B5ACBA2"/>
    <w:lvl w:ilvl="0" w:tplc="BD4488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4A29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024AF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22A1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20D4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F432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7E8D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AE2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7C98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BE915F1"/>
    <w:multiLevelType w:val="hybridMultilevel"/>
    <w:tmpl w:val="1612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9">
    <w:nsid w:val="43D61EB5"/>
    <w:multiLevelType w:val="hybridMultilevel"/>
    <w:tmpl w:val="93BC05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5115F63"/>
    <w:multiLevelType w:val="hybridMultilevel"/>
    <w:tmpl w:val="688C5860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550C18"/>
    <w:multiLevelType w:val="hybridMultilevel"/>
    <w:tmpl w:val="D5D29B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9428C3"/>
    <w:multiLevelType w:val="hybridMultilevel"/>
    <w:tmpl w:val="1FEC15AC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4">
    <w:nsid w:val="544F1E52"/>
    <w:multiLevelType w:val="hybridMultilevel"/>
    <w:tmpl w:val="C396C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6">
    <w:nsid w:val="576465EE"/>
    <w:multiLevelType w:val="hybridMultilevel"/>
    <w:tmpl w:val="F5486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870A57"/>
    <w:multiLevelType w:val="hybridMultilevel"/>
    <w:tmpl w:val="CA72ED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BF64515"/>
    <w:multiLevelType w:val="multilevel"/>
    <w:tmpl w:val="EE0E24B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>
    <w:nsid w:val="606A7F16"/>
    <w:multiLevelType w:val="hybridMultilevel"/>
    <w:tmpl w:val="99D4E74A"/>
    <w:lvl w:ilvl="0" w:tplc="BB64949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D70C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3C63E2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B84EE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716A4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93A1A1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FBCEE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E3ACF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30272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0">
    <w:nsid w:val="62E23120"/>
    <w:multiLevelType w:val="hybridMultilevel"/>
    <w:tmpl w:val="D4320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>
    <w:nsid w:val="65AD6637"/>
    <w:multiLevelType w:val="hybridMultilevel"/>
    <w:tmpl w:val="2B42CBD8"/>
    <w:lvl w:ilvl="0" w:tplc="2BC0DF16">
      <w:start w:val="1"/>
      <w:numFmt w:val="bullet"/>
      <w:lvlText w:val="-"/>
      <w:lvlJc w:val="left"/>
      <w:pPr>
        <w:ind w:left="534" w:hanging="48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01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43">
    <w:nsid w:val="695D54FA"/>
    <w:multiLevelType w:val="hybridMultilevel"/>
    <w:tmpl w:val="7E74C6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6EA33FB9"/>
    <w:multiLevelType w:val="hybridMultilevel"/>
    <w:tmpl w:val="BED45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1284AFD"/>
    <w:multiLevelType w:val="hybridMultilevel"/>
    <w:tmpl w:val="06B258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6E3E81"/>
    <w:multiLevelType w:val="hybridMultilevel"/>
    <w:tmpl w:val="43BC13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6417629"/>
    <w:multiLevelType w:val="hybridMultilevel"/>
    <w:tmpl w:val="9DD2EF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683483F"/>
    <w:multiLevelType w:val="hybridMultilevel"/>
    <w:tmpl w:val="B91020C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D8EC69C">
      <w:start w:val="8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76A86133"/>
    <w:multiLevelType w:val="hybridMultilevel"/>
    <w:tmpl w:val="95C29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8411581"/>
    <w:multiLevelType w:val="hybridMultilevel"/>
    <w:tmpl w:val="BAFAB0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97C5710"/>
    <w:multiLevelType w:val="hybridMultilevel"/>
    <w:tmpl w:val="E00A9D2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>
    <w:nsid w:val="7A8B6902"/>
    <w:multiLevelType w:val="hybridMultilevel"/>
    <w:tmpl w:val="96E68E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>
    <w:nsid w:val="7BFA0B93"/>
    <w:multiLevelType w:val="hybridMultilevel"/>
    <w:tmpl w:val="D0562A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D9F01DB"/>
    <w:multiLevelType w:val="hybridMultilevel"/>
    <w:tmpl w:val="BBA2DA8C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41"/>
  </w:num>
  <w:num w:numId="2">
    <w:abstractNumId w:val="35"/>
  </w:num>
  <w:num w:numId="3">
    <w:abstractNumId w:val="28"/>
  </w:num>
  <w:num w:numId="4">
    <w:abstractNumId w:val="9"/>
  </w:num>
  <w:num w:numId="5">
    <w:abstractNumId w:val="15"/>
  </w:num>
  <w:num w:numId="6">
    <w:abstractNumId w:val="16"/>
  </w:num>
  <w:num w:numId="7">
    <w:abstractNumId w:val="10"/>
  </w:num>
  <w:num w:numId="8">
    <w:abstractNumId w:val="27"/>
  </w:num>
  <w:num w:numId="9">
    <w:abstractNumId w:val="1"/>
  </w:num>
  <w:num w:numId="10">
    <w:abstractNumId w:val="14"/>
  </w:num>
  <w:num w:numId="11">
    <w:abstractNumId w:val="38"/>
  </w:num>
  <w:num w:numId="12">
    <w:abstractNumId w:val="0"/>
  </w:num>
  <w:num w:numId="13">
    <w:abstractNumId w:val="3"/>
  </w:num>
  <w:num w:numId="14">
    <w:abstractNumId w:val="49"/>
  </w:num>
  <w:num w:numId="15">
    <w:abstractNumId w:val="51"/>
  </w:num>
  <w:num w:numId="16">
    <w:abstractNumId w:val="13"/>
  </w:num>
  <w:num w:numId="17">
    <w:abstractNumId w:val="26"/>
  </w:num>
  <w:num w:numId="18">
    <w:abstractNumId w:val="42"/>
  </w:num>
  <w:num w:numId="19">
    <w:abstractNumId w:val="33"/>
  </w:num>
  <w:num w:numId="20">
    <w:abstractNumId w:val="20"/>
  </w:num>
  <w:num w:numId="21">
    <w:abstractNumId w:val="54"/>
  </w:num>
  <w:num w:numId="22">
    <w:abstractNumId w:val="48"/>
  </w:num>
  <w:num w:numId="23">
    <w:abstractNumId w:val="7"/>
  </w:num>
  <w:num w:numId="24">
    <w:abstractNumId w:val="11"/>
  </w:num>
  <w:num w:numId="25">
    <w:abstractNumId w:val="19"/>
  </w:num>
  <w:num w:numId="26">
    <w:abstractNumId w:val="52"/>
  </w:num>
  <w:num w:numId="27">
    <w:abstractNumId w:val="17"/>
  </w:num>
  <w:num w:numId="28">
    <w:abstractNumId w:val="44"/>
  </w:num>
  <w:num w:numId="29">
    <w:abstractNumId w:val="47"/>
  </w:num>
  <w:num w:numId="30">
    <w:abstractNumId w:val="39"/>
  </w:num>
  <w:num w:numId="31">
    <w:abstractNumId w:val="46"/>
  </w:num>
  <w:num w:numId="32">
    <w:abstractNumId w:val="30"/>
  </w:num>
  <w:num w:numId="33">
    <w:abstractNumId w:val="2"/>
  </w:num>
  <w:num w:numId="34">
    <w:abstractNumId w:val="36"/>
  </w:num>
  <w:num w:numId="35">
    <w:abstractNumId w:val="23"/>
  </w:num>
  <w:num w:numId="36">
    <w:abstractNumId w:val="31"/>
  </w:num>
  <w:num w:numId="37">
    <w:abstractNumId w:val="18"/>
  </w:num>
  <w:num w:numId="38">
    <w:abstractNumId w:val="29"/>
  </w:num>
  <w:num w:numId="39">
    <w:abstractNumId w:val="8"/>
  </w:num>
  <w:num w:numId="40">
    <w:abstractNumId w:val="21"/>
  </w:num>
  <w:num w:numId="41">
    <w:abstractNumId w:val="22"/>
  </w:num>
  <w:num w:numId="42">
    <w:abstractNumId w:val="50"/>
  </w:num>
  <w:num w:numId="43">
    <w:abstractNumId w:val="37"/>
  </w:num>
  <w:num w:numId="44">
    <w:abstractNumId w:val="25"/>
  </w:num>
  <w:num w:numId="45">
    <w:abstractNumId w:val="45"/>
  </w:num>
  <w:num w:numId="46">
    <w:abstractNumId w:val="24"/>
  </w:num>
  <w:num w:numId="47">
    <w:abstractNumId w:val="34"/>
  </w:num>
  <w:num w:numId="48">
    <w:abstractNumId w:val="32"/>
  </w:num>
  <w:num w:numId="49">
    <w:abstractNumId w:val="40"/>
  </w:num>
  <w:num w:numId="50">
    <w:abstractNumId w:val="4"/>
  </w:num>
  <w:num w:numId="51">
    <w:abstractNumId w:val="6"/>
  </w:num>
  <w:num w:numId="52">
    <w:abstractNumId w:val="53"/>
  </w:num>
  <w:num w:numId="53">
    <w:abstractNumId w:val="43"/>
  </w:num>
  <w:num w:numId="54">
    <w:abstractNumId w:val="12"/>
  </w:num>
  <w:num w:numId="55">
    <w:abstractNumId w:val="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1215"/>
    <w:rsid w:val="00001239"/>
    <w:rsid w:val="00001825"/>
    <w:rsid w:val="00006925"/>
    <w:rsid w:val="00006B8B"/>
    <w:rsid w:val="0000759B"/>
    <w:rsid w:val="000110AC"/>
    <w:rsid w:val="0001424D"/>
    <w:rsid w:val="000158B4"/>
    <w:rsid w:val="00016194"/>
    <w:rsid w:val="00017715"/>
    <w:rsid w:val="00020508"/>
    <w:rsid w:val="00020FD3"/>
    <w:rsid w:val="00021CC2"/>
    <w:rsid w:val="00021EE8"/>
    <w:rsid w:val="00021FE9"/>
    <w:rsid w:val="00023899"/>
    <w:rsid w:val="00025A48"/>
    <w:rsid w:val="00026BE5"/>
    <w:rsid w:val="00027BA6"/>
    <w:rsid w:val="00027BEB"/>
    <w:rsid w:val="000315DA"/>
    <w:rsid w:val="00031647"/>
    <w:rsid w:val="00034199"/>
    <w:rsid w:val="00040278"/>
    <w:rsid w:val="00040981"/>
    <w:rsid w:val="00042D66"/>
    <w:rsid w:val="00045399"/>
    <w:rsid w:val="000457AE"/>
    <w:rsid w:val="00045845"/>
    <w:rsid w:val="00045C1B"/>
    <w:rsid w:val="00047056"/>
    <w:rsid w:val="00051988"/>
    <w:rsid w:val="00052194"/>
    <w:rsid w:val="00052330"/>
    <w:rsid w:val="00053F90"/>
    <w:rsid w:val="00054272"/>
    <w:rsid w:val="00055A41"/>
    <w:rsid w:val="00056B54"/>
    <w:rsid w:val="00056CC9"/>
    <w:rsid w:val="00057A5C"/>
    <w:rsid w:val="00057A8F"/>
    <w:rsid w:val="00061957"/>
    <w:rsid w:val="00061CB1"/>
    <w:rsid w:val="00061F48"/>
    <w:rsid w:val="00062231"/>
    <w:rsid w:val="00062A93"/>
    <w:rsid w:val="00063398"/>
    <w:rsid w:val="00063F24"/>
    <w:rsid w:val="000647C0"/>
    <w:rsid w:val="00065C0F"/>
    <w:rsid w:val="00065D70"/>
    <w:rsid w:val="00066C1A"/>
    <w:rsid w:val="00067374"/>
    <w:rsid w:val="00067A78"/>
    <w:rsid w:val="000710D3"/>
    <w:rsid w:val="00073375"/>
    <w:rsid w:val="000734C8"/>
    <w:rsid w:val="00073BC3"/>
    <w:rsid w:val="0007517C"/>
    <w:rsid w:val="00075251"/>
    <w:rsid w:val="00075540"/>
    <w:rsid w:val="000761F5"/>
    <w:rsid w:val="00076B98"/>
    <w:rsid w:val="00076E75"/>
    <w:rsid w:val="000773DA"/>
    <w:rsid w:val="000804BA"/>
    <w:rsid w:val="00080D27"/>
    <w:rsid w:val="000816D0"/>
    <w:rsid w:val="00081B12"/>
    <w:rsid w:val="0008248F"/>
    <w:rsid w:val="00082F17"/>
    <w:rsid w:val="00083027"/>
    <w:rsid w:val="0008343C"/>
    <w:rsid w:val="000834AF"/>
    <w:rsid w:val="00083D5E"/>
    <w:rsid w:val="00084A7D"/>
    <w:rsid w:val="00084E70"/>
    <w:rsid w:val="00086E32"/>
    <w:rsid w:val="000870F6"/>
    <w:rsid w:val="00087331"/>
    <w:rsid w:val="00087E96"/>
    <w:rsid w:val="00087FA3"/>
    <w:rsid w:val="0009117E"/>
    <w:rsid w:val="00091C8A"/>
    <w:rsid w:val="00093F56"/>
    <w:rsid w:val="00094A5D"/>
    <w:rsid w:val="000955C4"/>
    <w:rsid w:val="00095AD3"/>
    <w:rsid w:val="000A0327"/>
    <w:rsid w:val="000A21D8"/>
    <w:rsid w:val="000A3C08"/>
    <w:rsid w:val="000A471A"/>
    <w:rsid w:val="000A7B1E"/>
    <w:rsid w:val="000B3299"/>
    <w:rsid w:val="000B565C"/>
    <w:rsid w:val="000B69C4"/>
    <w:rsid w:val="000B6D1E"/>
    <w:rsid w:val="000B7E80"/>
    <w:rsid w:val="000C1B39"/>
    <w:rsid w:val="000C358C"/>
    <w:rsid w:val="000C39EA"/>
    <w:rsid w:val="000C4244"/>
    <w:rsid w:val="000C47BF"/>
    <w:rsid w:val="000C498F"/>
    <w:rsid w:val="000C4C01"/>
    <w:rsid w:val="000C5611"/>
    <w:rsid w:val="000C632B"/>
    <w:rsid w:val="000C63C5"/>
    <w:rsid w:val="000C6F99"/>
    <w:rsid w:val="000D19CD"/>
    <w:rsid w:val="000D1B18"/>
    <w:rsid w:val="000D21E2"/>
    <w:rsid w:val="000D2A94"/>
    <w:rsid w:val="000D47D9"/>
    <w:rsid w:val="000D59E3"/>
    <w:rsid w:val="000D5DFA"/>
    <w:rsid w:val="000D6052"/>
    <w:rsid w:val="000D62C5"/>
    <w:rsid w:val="000E13E3"/>
    <w:rsid w:val="000E2279"/>
    <w:rsid w:val="000E3102"/>
    <w:rsid w:val="000E4BBD"/>
    <w:rsid w:val="000E4BCD"/>
    <w:rsid w:val="000E639C"/>
    <w:rsid w:val="000F0538"/>
    <w:rsid w:val="000F1E63"/>
    <w:rsid w:val="000F4B50"/>
    <w:rsid w:val="000F4C3D"/>
    <w:rsid w:val="000F5FE4"/>
    <w:rsid w:val="000F757F"/>
    <w:rsid w:val="00100ACC"/>
    <w:rsid w:val="001020DB"/>
    <w:rsid w:val="001031E2"/>
    <w:rsid w:val="001032BA"/>
    <w:rsid w:val="001036C1"/>
    <w:rsid w:val="001054D7"/>
    <w:rsid w:val="00105D24"/>
    <w:rsid w:val="00105E44"/>
    <w:rsid w:val="00110248"/>
    <w:rsid w:val="0011044A"/>
    <w:rsid w:val="00110756"/>
    <w:rsid w:val="00111E05"/>
    <w:rsid w:val="00112895"/>
    <w:rsid w:val="001136F0"/>
    <w:rsid w:val="00114BF2"/>
    <w:rsid w:val="00115BEE"/>
    <w:rsid w:val="00117C64"/>
    <w:rsid w:val="00120A67"/>
    <w:rsid w:val="00121200"/>
    <w:rsid w:val="001225B7"/>
    <w:rsid w:val="00122847"/>
    <w:rsid w:val="001236A4"/>
    <w:rsid w:val="0012372F"/>
    <w:rsid w:val="00123908"/>
    <w:rsid w:val="001243FA"/>
    <w:rsid w:val="00125716"/>
    <w:rsid w:val="00125CE8"/>
    <w:rsid w:val="00131534"/>
    <w:rsid w:val="00133D1F"/>
    <w:rsid w:val="00133FF6"/>
    <w:rsid w:val="001355BF"/>
    <w:rsid w:val="00135C00"/>
    <w:rsid w:val="00135CC2"/>
    <w:rsid w:val="00135D0C"/>
    <w:rsid w:val="00137F31"/>
    <w:rsid w:val="00137F3D"/>
    <w:rsid w:val="00137F5E"/>
    <w:rsid w:val="00140A1B"/>
    <w:rsid w:val="00140F99"/>
    <w:rsid w:val="00141C60"/>
    <w:rsid w:val="0014253C"/>
    <w:rsid w:val="0014305D"/>
    <w:rsid w:val="00146391"/>
    <w:rsid w:val="00146558"/>
    <w:rsid w:val="00146AA4"/>
    <w:rsid w:val="00147033"/>
    <w:rsid w:val="001473AD"/>
    <w:rsid w:val="00147826"/>
    <w:rsid w:val="001479BA"/>
    <w:rsid w:val="00150097"/>
    <w:rsid w:val="00152DB4"/>
    <w:rsid w:val="00153063"/>
    <w:rsid w:val="001531AA"/>
    <w:rsid w:val="001542A6"/>
    <w:rsid w:val="001547AD"/>
    <w:rsid w:val="00156128"/>
    <w:rsid w:val="00157297"/>
    <w:rsid w:val="001601AD"/>
    <w:rsid w:val="00160343"/>
    <w:rsid w:val="0016069A"/>
    <w:rsid w:val="00161062"/>
    <w:rsid w:val="00162FB0"/>
    <w:rsid w:val="00163269"/>
    <w:rsid w:val="001633D3"/>
    <w:rsid w:val="0016444C"/>
    <w:rsid w:val="00164ED6"/>
    <w:rsid w:val="00165D4D"/>
    <w:rsid w:val="001667BD"/>
    <w:rsid w:val="00167084"/>
    <w:rsid w:val="00171C1F"/>
    <w:rsid w:val="001720CF"/>
    <w:rsid w:val="00173652"/>
    <w:rsid w:val="00173DFD"/>
    <w:rsid w:val="00173E11"/>
    <w:rsid w:val="00173FA6"/>
    <w:rsid w:val="00175D3A"/>
    <w:rsid w:val="00175FE6"/>
    <w:rsid w:val="00177FC5"/>
    <w:rsid w:val="00180126"/>
    <w:rsid w:val="00180E36"/>
    <w:rsid w:val="001818C8"/>
    <w:rsid w:val="0018358E"/>
    <w:rsid w:val="001846D0"/>
    <w:rsid w:val="00190D08"/>
    <w:rsid w:val="00190DFE"/>
    <w:rsid w:val="00192F8D"/>
    <w:rsid w:val="0019328A"/>
    <w:rsid w:val="00194486"/>
    <w:rsid w:val="00194682"/>
    <w:rsid w:val="001948C2"/>
    <w:rsid w:val="0019491B"/>
    <w:rsid w:val="00195717"/>
    <w:rsid w:val="00196F20"/>
    <w:rsid w:val="00197675"/>
    <w:rsid w:val="00197CF7"/>
    <w:rsid w:val="001A0B1E"/>
    <w:rsid w:val="001A28FE"/>
    <w:rsid w:val="001A2F1C"/>
    <w:rsid w:val="001A2FF5"/>
    <w:rsid w:val="001A7B82"/>
    <w:rsid w:val="001B062D"/>
    <w:rsid w:val="001B11C8"/>
    <w:rsid w:val="001B1CB4"/>
    <w:rsid w:val="001B4281"/>
    <w:rsid w:val="001B5424"/>
    <w:rsid w:val="001B5E24"/>
    <w:rsid w:val="001C101A"/>
    <w:rsid w:val="001C15F6"/>
    <w:rsid w:val="001C17C4"/>
    <w:rsid w:val="001C2B3F"/>
    <w:rsid w:val="001C3CC4"/>
    <w:rsid w:val="001C401F"/>
    <w:rsid w:val="001C5151"/>
    <w:rsid w:val="001C5FF7"/>
    <w:rsid w:val="001C7FAE"/>
    <w:rsid w:val="001D2C74"/>
    <w:rsid w:val="001D3D7B"/>
    <w:rsid w:val="001E0B66"/>
    <w:rsid w:val="001E3EE1"/>
    <w:rsid w:val="001E6370"/>
    <w:rsid w:val="001F0231"/>
    <w:rsid w:val="001F1DA2"/>
    <w:rsid w:val="001F1DE9"/>
    <w:rsid w:val="001F24B6"/>
    <w:rsid w:val="001F3EBE"/>
    <w:rsid w:val="001F4E0E"/>
    <w:rsid w:val="001F4EC9"/>
    <w:rsid w:val="001F6982"/>
    <w:rsid w:val="001F703D"/>
    <w:rsid w:val="001F73DE"/>
    <w:rsid w:val="00200E87"/>
    <w:rsid w:val="00201774"/>
    <w:rsid w:val="00201DAA"/>
    <w:rsid w:val="00202C9A"/>
    <w:rsid w:val="00202D37"/>
    <w:rsid w:val="00204F59"/>
    <w:rsid w:val="00205B9A"/>
    <w:rsid w:val="00205D8B"/>
    <w:rsid w:val="00205EAF"/>
    <w:rsid w:val="002076C2"/>
    <w:rsid w:val="00210590"/>
    <w:rsid w:val="002106ED"/>
    <w:rsid w:val="00215285"/>
    <w:rsid w:val="00215987"/>
    <w:rsid w:val="002164D8"/>
    <w:rsid w:val="00216B15"/>
    <w:rsid w:val="0021718D"/>
    <w:rsid w:val="00217F2E"/>
    <w:rsid w:val="002201C1"/>
    <w:rsid w:val="002214BF"/>
    <w:rsid w:val="00221A15"/>
    <w:rsid w:val="00221AE6"/>
    <w:rsid w:val="00223789"/>
    <w:rsid w:val="00223F2E"/>
    <w:rsid w:val="00224ECC"/>
    <w:rsid w:val="002259D0"/>
    <w:rsid w:val="00227213"/>
    <w:rsid w:val="00230019"/>
    <w:rsid w:val="0023012B"/>
    <w:rsid w:val="002309F0"/>
    <w:rsid w:val="0023102D"/>
    <w:rsid w:val="002312A4"/>
    <w:rsid w:val="00232F53"/>
    <w:rsid w:val="00234B24"/>
    <w:rsid w:val="00235A20"/>
    <w:rsid w:val="00235FDB"/>
    <w:rsid w:val="00236AA8"/>
    <w:rsid w:val="00237B6F"/>
    <w:rsid w:val="00241112"/>
    <w:rsid w:val="00241ABA"/>
    <w:rsid w:val="00241B7E"/>
    <w:rsid w:val="00242CE2"/>
    <w:rsid w:val="00243DC2"/>
    <w:rsid w:val="0024455E"/>
    <w:rsid w:val="00246837"/>
    <w:rsid w:val="00247F87"/>
    <w:rsid w:val="002526F7"/>
    <w:rsid w:val="002538ED"/>
    <w:rsid w:val="00255F76"/>
    <w:rsid w:val="002607F3"/>
    <w:rsid w:val="00261EF6"/>
    <w:rsid w:val="00261F70"/>
    <w:rsid w:val="002621FF"/>
    <w:rsid w:val="00263EEA"/>
    <w:rsid w:val="002648D9"/>
    <w:rsid w:val="00264B95"/>
    <w:rsid w:val="002666EF"/>
    <w:rsid w:val="00267909"/>
    <w:rsid w:val="00271467"/>
    <w:rsid w:val="0027235C"/>
    <w:rsid w:val="002729C4"/>
    <w:rsid w:val="0027414C"/>
    <w:rsid w:val="00276C2C"/>
    <w:rsid w:val="00280103"/>
    <w:rsid w:val="00281EB7"/>
    <w:rsid w:val="00284421"/>
    <w:rsid w:val="002852B9"/>
    <w:rsid w:val="00286309"/>
    <w:rsid w:val="00290736"/>
    <w:rsid w:val="00290E8E"/>
    <w:rsid w:val="00290FF7"/>
    <w:rsid w:val="00291CF7"/>
    <w:rsid w:val="00292686"/>
    <w:rsid w:val="00292AB5"/>
    <w:rsid w:val="0029315B"/>
    <w:rsid w:val="00293799"/>
    <w:rsid w:val="002946A4"/>
    <w:rsid w:val="002952E1"/>
    <w:rsid w:val="00296E15"/>
    <w:rsid w:val="00297B83"/>
    <w:rsid w:val="002A0AD7"/>
    <w:rsid w:val="002A3DB9"/>
    <w:rsid w:val="002A6AD4"/>
    <w:rsid w:val="002A75D2"/>
    <w:rsid w:val="002A7B32"/>
    <w:rsid w:val="002B04E1"/>
    <w:rsid w:val="002B0BA9"/>
    <w:rsid w:val="002B2653"/>
    <w:rsid w:val="002B276E"/>
    <w:rsid w:val="002B364B"/>
    <w:rsid w:val="002B4D54"/>
    <w:rsid w:val="002B51AC"/>
    <w:rsid w:val="002B6BF2"/>
    <w:rsid w:val="002B71A5"/>
    <w:rsid w:val="002B7A18"/>
    <w:rsid w:val="002C041B"/>
    <w:rsid w:val="002C145E"/>
    <w:rsid w:val="002C1AD7"/>
    <w:rsid w:val="002C1C5A"/>
    <w:rsid w:val="002C3C7E"/>
    <w:rsid w:val="002C4988"/>
    <w:rsid w:val="002C64F0"/>
    <w:rsid w:val="002C6E28"/>
    <w:rsid w:val="002C7BC1"/>
    <w:rsid w:val="002D0A17"/>
    <w:rsid w:val="002D182B"/>
    <w:rsid w:val="002D1B45"/>
    <w:rsid w:val="002D3847"/>
    <w:rsid w:val="002D3AFB"/>
    <w:rsid w:val="002D3D98"/>
    <w:rsid w:val="002D4E8F"/>
    <w:rsid w:val="002D572D"/>
    <w:rsid w:val="002D76D2"/>
    <w:rsid w:val="002E0FB3"/>
    <w:rsid w:val="002E1F10"/>
    <w:rsid w:val="002E20C2"/>
    <w:rsid w:val="002E4747"/>
    <w:rsid w:val="002E78BC"/>
    <w:rsid w:val="002F0B0B"/>
    <w:rsid w:val="002F13D0"/>
    <w:rsid w:val="002F4E48"/>
    <w:rsid w:val="002F67C2"/>
    <w:rsid w:val="003027C8"/>
    <w:rsid w:val="00302A97"/>
    <w:rsid w:val="00303028"/>
    <w:rsid w:val="00303A46"/>
    <w:rsid w:val="00303C1F"/>
    <w:rsid w:val="00304298"/>
    <w:rsid w:val="00304DC0"/>
    <w:rsid w:val="00305D34"/>
    <w:rsid w:val="00307020"/>
    <w:rsid w:val="00307E56"/>
    <w:rsid w:val="00310C4A"/>
    <w:rsid w:val="00311789"/>
    <w:rsid w:val="00312D33"/>
    <w:rsid w:val="0031308F"/>
    <w:rsid w:val="00313C56"/>
    <w:rsid w:val="00313CFE"/>
    <w:rsid w:val="0031425D"/>
    <w:rsid w:val="00314490"/>
    <w:rsid w:val="00315A08"/>
    <w:rsid w:val="00317608"/>
    <w:rsid w:val="00317EB4"/>
    <w:rsid w:val="00317F48"/>
    <w:rsid w:val="00320BC8"/>
    <w:rsid w:val="003214DD"/>
    <w:rsid w:val="00321A55"/>
    <w:rsid w:val="00322050"/>
    <w:rsid w:val="00326615"/>
    <w:rsid w:val="003276BC"/>
    <w:rsid w:val="00327E72"/>
    <w:rsid w:val="00330F0B"/>
    <w:rsid w:val="00333217"/>
    <w:rsid w:val="00335660"/>
    <w:rsid w:val="00336533"/>
    <w:rsid w:val="003367E0"/>
    <w:rsid w:val="003374E0"/>
    <w:rsid w:val="00341882"/>
    <w:rsid w:val="0034247C"/>
    <w:rsid w:val="003427C0"/>
    <w:rsid w:val="0034354A"/>
    <w:rsid w:val="00343A2F"/>
    <w:rsid w:val="00345CE7"/>
    <w:rsid w:val="003460CA"/>
    <w:rsid w:val="0034687F"/>
    <w:rsid w:val="0035139C"/>
    <w:rsid w:val="0035140D"/>
    <w:rsid w:val="003521AD"/>
    <w:rsid w:val="003530DA"/>
    <w:rsid w:val="003531AC"/>
    <w:rsid w:val="00354230"/>
    <w:rsid w:val="00354E8A"/>
    <w:rsid w:val="00355A6E"/>
    <w:rsid w:val="00355D12"/>
    <w:rsid w:val="003560F8"/>
    <w:rsid w:val="003566C3"/>
    <w:rsid w:val="00357492"/>
    <w:rsid w:val="00361736"/>
    <w:rsid w:val="00363A69"/>
    <w:rsid w:val="00364844"/>
    <w:rsid w:val="003656B5"/>
    <w:rsid w:val="00366DB4"/>
    <w:rsid w:val="00366EF6"/>
    <w:rsid w:val="003672AD"/>
    <w:rsid w:val="00367D46"/>
    <w:rsid w:val="00370DD4"/>
    <w:rsid w:val="003714E2"/>
    <w:rsid w:val="003726ED"/>
    <w:rsid w:val="003733CE"/>
    <w:rsid w:val="003753D9"/>
    <w:rsid w:val="0037642B"/>
    <w:rsid w:val="0038016E"/>
    <w:rsid w:val="00381577"/>
    <w:rsid w:val="0038181F"/>
    <w:rsid w:val="00382B2A"/>
    <w:rsid w:val="00384CBA"/>
    <w:rsid w:val="003857A4"/>
    <w:rsid w:val="00385B7E"/>
    <w:rsid w:val="00386FFB"/>
    <w:rsid w:val="0039058F"/>
    <w:rsid w:val="00390BE4"/>
    <w:rsid w:val="003914B8"/>
    <w:rsid w:val="00392ED5"/>
    <w:rsid w:val="00392EFB"/>
    <w:rsid w:val="00392F53"/>
    <w:rsid w:val="00393073"/>
    <w:rsid w:val="0039451F"/>
    <w:rsid w:val="00395F40"/>
    <w:rsid w:val="003961CF"/>
    <w:rsid w:val="00396DB1"/>
    <w:rsid w:val="0039712C"/>
    <w:rsid w:val="003A1996"/>
    <w:rsid w:val="003A272B"/>
    <w:rsid w:val="003A373F"/>
    <w:rsid w:val="003A3841"/>
    <w:rsid w:val="003A55B7"/>
    <w:rsid w:val="003A6393"/>
    <w:rsid w:val="003A6706"/>
    <w:rsid w:val="003A6CD7"/>
    <w:rsid w:val="003A76B1"/>
    <w:rsid w:val="003B03A1"/>
    <w:rsid w:val="003B08F0"/>
    <w:rsid w:val="003B112D"/>
    <w:rsid w:val="003B1C2E"/>
    <w:rsid w:val="003B30B2"/>
    <w:rsid w:val="003B4327"/>
    <w:rsid w:val="003B4964"/>
    <w:rsid w:val="003B4C50"/>
    <w:rsid w:val="003B5A3B"/>
    <w:rsid w:val="003B665E"/>
    <w:rsid w:val="003B70F8"/>
    <w:rsid w:val="003B7160"/>
    <w:rsid w:val="003B7F0F"/>
    <w:rsid w:val="003C053B"/>
    <w:rsid w:val="003C11BB"/>
    <w:rsid w:val="003C1253"/>
    <w:rsid w:val="003C20D3"/>
    <w:rsid w:val="003C2301"/>
    <w:rsid w:val="003C26FA"/>
    <w:rsid w:val="003C2775"/>
    <w:rsid w:val="003C2F5E"/>
    <w:rsid w:val="003C637E"/>
    <w:rsid w:val="003C74B3"/>
    <w:rsid w:val="003D02F1"/>
    <w:rsid w:val="003D04AB"/>
    <w:rsid w:val="003D063F"/>
    <w:rsid w:val="003D13A1"/>
    <w:rsid w:val="003D266A"/>
    <w:rsid w:val="003D2687"/>
    <w:rsid w:val="003D39BE"/>
    <w:rsid w:val="003D46BE"/>
    <w:rsid w:val="003D46D1"/>
    <w:rsid w:val="003D4AF3"/>
    <w:rsid w:val="003D4B3A"/>
    <w:rsid w:val="003D4BC8"/>
    <w:rsid w:val="003D4DD1"/>
    <w:rsid w:val="003D4F68"/>
    <w:rsid w:val="003D51BD"/>
    <w:rsid w:val="003D5B75"/>
    <w:rsid w:val="003D7971"/>
    <w:rsid w:val="003D7BD4"/>
    <w:rsid w:val="003E2F37"/>
    <w:rsid w:val="003E30AE"/>
    <w:rsid w:val="003E4EF1"/>
    <w:rsid w:val="003E577B"/>
    <w:rsid w:val="003E5B41"/>
    <w:rsid w:val="003F0199"/>
    <w:rsid w:val="003F10BD"/>
    <w:rsid w:val="003F17AD"/>
    <w:rsid w:val="003F1D19"/>
    <w:rsid w:val="003F1D8E"/>
    <w:rsid w:val="003F2EE5"/>
    <w:rsid w:val="003F47CB"/>
    <w:rsid w:val="003F4D51"/>
    <w:rsid w:val="003F5555"/>
    <w:rsid w:val="003F5F57"/>
    <w:rsid w:val="003F698B"/>
    <w:rsid w:val="003F7051"/>
    <w:rsid w:val="003F7D6F"/>
    <w:rsid w:val="004006F8"/>
    <w:rsid w:val="004009C0"/>
    <w:rsid w:val="00401EDB"/>
    <w:rsid w:val="00402D16"/>
    <w:rsid w:val="004036E8"/>
    <w:rsid w:val="00404D0B"/>
    <w:rsid w:val="00405104"/>
    <w:rsid w:val="004063B2"/>
    <w:rsid w:val="004064E9"/>
    <w:rsid w:val="004120B8"/>
    <w:rsid w:val="004141EB"/>
    <w:rsid w:val="00414ACF"/>
    <w:rsid w:val="0041604B"/>
    <w:rsid w:val="00416EEA"/>
    <w:rsid w:val="004170CE"/>
    <w:rsid w:val="004171DB"/>
    <w:rsid w:val="00421346"/>
    <w:rsid w:val="004244F2"/>
    <w:rsid w:val="00425206"/>
    <w:rsid w:val="00425CF2"/>
    <w:rsid w:val="00426912"/>
    <w:rsid w:val="0042691E"/>
    <w:rsid w:val="004269C1"/>
    <w:rsid w:val="00427F43"/>
    <w:rsid w:val="00430C8E"/>
    <w:rsid w:val="004320D4"/>
    <w:rsid w:val="00432B61"/>
    <w:rsid w:val="00433B31"/>
    <w:rsid w:val="00433CA0"/>
    <w:rsid w:val="00434D2E"/>
    <w:rsid w:val="00435207"/>
    <w:rsid w:val="00435E41"/>
    <w:rsid w:val="0043623D"/>
    <w:rsid w:val="004366E0"/>
    <w:rsid w:val="00437807"/>
    <w:rsid w:val="00437A20"/>
    <w:rsid w:val="00437E50"/>
    <w:rsid w:val="004406C3"/>
    <w:rsid w:val="00440B68"/>
    <w:rsid w:val="004431C3"/>
    <w:rsid w:val="00444567"/>
    <w:rsid w:val="00444947"/>
    <w:rsid w:val="00444F89"/>
    <w:rsid w:val="00445DD0"/>
    <w:rsid w:val="00446E61"/>
    <w:rsid w:val="00447636"/>
    <w:rsid w:val="00450D8B"/>
    <w:rsid w:val="00450E40"/>
    <w:rsid w:val="00450F30"/>
    <w:rsid w:val="00451275"/>
    <w:rsid w:val="004514D8"/>
    <w:rsid w:val="004517BF"/>
    <w:rsid w:val="0045256C"/>
    <w:rsid w:val="00452697"/>
    <w:rsid w:val="004530CB"/>
    <w:rsid w:val="004544F0"/>
    <w:rsid w:val="004546B9"/>
    <w:rsid w:val="004549B7"/>
    <w:rsid w:val="00455435"/>
    <w:rsid w:val="00456650"/>
    <w:rsid w:val="00456FAC"/>
    <w:rsid w:val="004570C2"/>
    <w:rsid w:val="004572F5"/>
    <w:rsid w:val="004607C3"/>
    <w:rsid w:val="00460945"/>
    <w:rsid w:val="00460F5C"/>
    <w:rsid w:val="00463383"/>
    <w:rsid w:val="00463C56"/>
    <w:rsid w:val="004657D9"/>
    <w:rsid w:val="004706A4"/>
    <w:rsid w:val="00471ADC"/>
    <w:rsid w:val="004724D3"/>
    <w:rsid w:val="004726AB"/>
    <w:rsid w:val="004727F8"/>
    <w:rsid w:val="004731A6"/>
    <w:rsid w:val="00473714"/>
    <w:rsid w:val="00474A6D"/>
    <w:rsid w:val="00474EA4"/>
    <w:rsid w:val="004750C2"/>
    <w:rsid w:val="004755C2"/>
    <w:rsid w:val="00475787"/>
    <w:rsid w:val="00476CB2"/>
    <w:rsid w:val="0047741B"/>
    <w:rsid w:val="00480132"/>
    <w:rsid w:val="004804B7"/>
    <w:rsid w:val="00480C37"/>
    <w:rsid w:val="00480C51"/>
    <w:rsid w:val="00480CF0"/>
    <w:rsid w:val="0048132D"/>
    <w:rsid w:val="00481D56"/>
    <w:rsid w:val="00482252"/>
    <w:rsid w:val="004828F8"/>
    <w:rsid w:val="00483DAC"/>
    <w:rsid w:val="00484723"/>
    <w:rsid w:val="00486335"/>
    <w:rsid w:val="00490857"/>
    <w:rsid w:val="00491024"/>
    <w:rsid w:val="004912B8"/>
    <w:rsid w:val="00491813"/>
    <w:rsid w:val="0049335A"/>
    <w:rsid w:val="00494DC2"/>
    <w:rsid w:val="004963EA"/>
    <w:rsid w:val="00496643"/>
    <w:rsid w:val="004973F5"/>
    <w:rsid w:val="00497F15"/>
    <w:rsid w:val="004A0FE0"/>
    <w:rsid w:val="004A35DC"/>
    <w:rsid w:val="004A440A"/>
    <w:rsid w:val="004A4436"/>
    <w:rsid w:val="004A5716"/>
    <w:rsid w:val="004A6738"/>
    <w:rsid w:val="004A7655"/>
    <w:rsid w:val="004B0426"/>
    <w:rsid w:val="004B05A5"/>
    <w:rsid w:val="004B168A"/>
    <w:rsid w:val="004B1775"/>
    <w:rsid w:val="004B44C4"/>
    <w:rsid w:val="004B45F3"/>
    <w:rsid w:val="004B4948"/>
    <w:rsid w:val="004B4EC9"/>
    <w:rsid w:val="004C00AD"/>
    <w:rsid w:val="004C0CB8"/>
    <w:rsid w:val="004C150F"/>
    <w:rsid w:val="004C15AF"/>
    <w:rsid w:val="004C1910"/>
    <w:rsid w:val="004C2B58"/>
    <w:rsid w:val="004C33A5"/>
    <w:rsid w:val="004C3696"/>
    <w:rsid w:val="004C4198"/>
    <w:rsid w:val="004C41F5"/>
    <w:rsid w:val="004C45F5"/>
    <w:rsid w:val="004C468A"/>
    <w:rsid w:val="004C605B"/>
    <w:rsid w:val="004C60CF"/>
    <w:rsid w:val="004C6DA0"/>
    <w:rsid w:val="004D2EC3"/>
    <w:rsid w:val="004D3E46"/>
    <w:rsid w:val="004D44EA"/>
    <w:rsid w:val="004D4CEF"/>
    <w:rsid w:val="004D56D8"/>
    <w:rsid w:val="004E01EA"/>
    <w:rsid w:val="004E2D81"/>
    <w:rsid w:val="004E2EA2"/>
    <w:rsid w:val="004E2FB9"/>
    <w:rsid w:val="004E59E5"/>
    <w:rsid w:val="004E5A17"/>
    <w:rsid w:val="004E7F30"/>
    <w:rsid w:val="004F16E7"/>
    <w:rsid w:val="004F2271"/>
    <w:rsid w:val="004F354A"/>
    <w:rsid w:val="004F4BA5"/>
    <w:rsid w:val="004F6594"/>
    <w:rsid w:val="004F6810"/>
    <w:rsid w:val="004F6D51"/>
    <w:rsid w:val="004F72EE"/>
    <w:rsid w:val="004F778F"/>
    <w:rsid w:val="0050043D"/>
    <w:rsid w:val="0050174D"/>
    <w:rsid w:val="00501B78"/>
    <w:rsid w:val="00502AD7"/>
    <w:rsid w:val="00503D6B"/>
    <w:rsid w:val="005053B9"/>
    <w:rsid w:val="005061FA"/>
    <w:rsid w:val="00511BDD"/>
    <w:rsid w:val="00512A49"/>
    <w:rsid w:val="00513927"/>
    <w:rsid w:val="005140CF"/>
    <w:rsid w:val="0051580B"/>
    <w:rsid w:val="00515E0F"/>
    <w:rsid w:val="00516D9D"/>
    <w:rsid w:val="00517038"/>
    <w:rsid w:val="00517CB2"/>
    <w:rsid w:val="00522ED6"/>
    <w:rsid w:val="00524312"/>
    <w:rsid w:val="00524DCF"/>
    <w:rsid w:val="00525433"/>
    <w:rsid w:val="0052558F"/>
    <w:rsid w:val="0052566B"/>
    <w:rsid w:val="00525D28"/>
    <w:rsid w:val="005273BD"/>
    <w:rsid w:val="005306FF"/>
    <w:rsid w:val="00533CE0"/>
    <w:rsid w:val="00535C64"/>
    <w:rsid w:val="00535F46"/>
    <w:rsid w:val="005362A1"/>
    <w:rsid w:val="005365C9"/>
    <w:rsid w:val="0054126A"/>
    <w:rsid w:val="00541BFD"/>
    <w:rsid w:val="0054263A"/>
    <w:rsid w:val="00543AAF"/>
    <w:rsid w:val="0054455E"/>
    <w:rsid w:val="00544883"/>
    <w:rsid w:val="0054509E"/>
    <w:rsid w:val="00545B11"/>
    <w:rsid w:val="00550D87"/>
    <w:rsid w:val="0055114D"/>
    <w:rsid w:val="00551422"/>
    <w:rsid w:val="00552CF7"/>
    <w:rsid w:val="00552ED8"/>
    <w:rsid w:val="0055330E"/>
    <w:rsid w:val="00553CAE"/>
    <w:rsid w:val="005543B3"/>
    <w:rsid w:val="00560EF2"/>
    <w:rsid w:val="00562A66"/>
    <w:rsid w:val="00562C91"/>
    <w:rsid w:val="005639B0"/>
    <w:rsid w:val="00564265"/>
    <w:rsid w:val="00564AFC"/>
    <w:rsid w:val="00564B03"/>
    <w:rsid w:val="00564D60"/>
    <w:rsid w:val="00564E38"/>
    <w:rsid w:val="00565540"/>
    <w:rsid w:val="00566BE6"/>
    <w:rsid w:val="005701A9"/>
    <w:rsid w:val="00572500"/>
    <w:rsid w:val="00572AFD"/>
    <w:rsid w:val="00573041"/>
    <w:rsid w:val="0057312F"/>
    <w:rsid w:val="00573F31"/>
    <w:rsid w:val="0058085F"/>
    <w:rsid w:val="0058357F"/>
    <w:rsid w:val="00583EB3"/>
    <w:rsid w:val="00583F03"/>
    <w:rsid w:val="00584C38"/>
    <w:rsid w:val="00585D2C"/>
    <w:rsid w:val="0058733E"/>
    <w:rsid w:val="00587DFB"/>
    <w:rsid w:val="00590229"/>
    <w:rsid w:val="00590551"/>
    <w:rsid w:val="00590615"/>
    <w:rsid w:val="00590F80"/>
    <w:rsid w:val="0059141C"/>
    <w:rsid w:val="00592106"/>
    <w:rsid w:val="0059237F"/>
    <w:rsid w:val="00592912"/>
    <w:rsid w:val="0059309B"/>
    <w:rsid w:val="00593806"/>
    <w:rsid w:val="00593B74"/>
    <w:rsid w:val="005945C5"/>
    <w:rsid w:val="00595970"/>
    <w:rsid w:val="00595A83"/>
    <w:rsid w:val="00596FDB"/>
    <w:rsid w:val="0059722A"/>
    <w:rsid w:val="005975E4"/>
    <w:rsid w:val="005975E8"/>
    <w:rsid w:val="005A1934"/>
    <w:rsid w:val="005A1DDB"/>
    <w:rsid w:val="005A2711"/>
    <w:rsid w:val="005A36F1"/>
    <w:rsid w:val="005A4C13"/>
    <w:rsid w:val="005A5A40"/>
    <w:rsid w:val="005A5CE4"/>
    <w:rsid w:val="005A701A"/>
    <w:rsid w:val="005B1155"/>
    <w:rsid w:val="005B187A"/>
    <w:rsid w:val="005B5D3D"/>
    <w:rsid w:val="005B635F"/>
    <w:rsid w:val="005B67AD"/>
    <w:rsid w:val="005B67F5"/>
    <w:rsid w:val="005C01EF"/>
    <w:rsid w:val="005C149A"/>
    <w:rsid w:val="005C1686"/>
    <w:rsid w:val="005C223E"/>
    <w:rsid w:val="005C25EC"/>
    <w:rsid w:val="005C41F1"/>
    <w:rsid w:val="005C4F36"/>
    <w:rsid w:val="005C6179"/>
    <w:rsid w:val="005C6F1E"/>
    <w:rsid w:val="005C6FC6"/>
    <w:rsid w:val="005C7BC1"/>
    <w:rsid w:val="005D1527"/>
    <w:rsid w:val="005D1937"/>
    <w:rsid w:val="005D20F1"/>
    <w:rsid w:val="005D3C81"/>
    <w:rsid w:val="005D6123"/>
    <w:rsid w:val="005D687F"/>
    <w:rsid w:val="005D75E9"/>
    <w:rsid w:val="005D7E2B"/>
    <w:rsid w:val="005E00E4"/>
    <w:rsid w:val="005E0265"/>
    <w:rsid w:val="005E0D0C"/>
    <w:rsid w:val="005E10EE"/>
    <w:rsid w:val="005E117C"/>
    <w:rsid w:val="005E12CA"/>
    <w:rsid w:val="005E1EF3"/>
    <w:rsid w:val="005E22C3"/>
    <w:rsid w:val="005E29A5"/>
    <w:rsid w:val="005E44FD"/>
    <w:rsid w:val="005E5326"/>
    <w:rsid w:val="005F0197"/>
    <w:rsid w:val="005F14D8"/>
    <w:rsid w:val="005F1C7D"/>
    <w:rsid w:val="005F1DAC"/>
    <w:rsid w:val="005F2E9A"/>
    <w:rsid w:val="005F49DE"/>
    <w:rsid w:val="005F63B1"/>
    <w:rsid w:val="005F64FF"/>
    <w:rsid w:val="005F7976"/>
    <w:rsid w:val="005F79DE"/>
    <w:rsid w:val="006010E0"/>
    <w:rsid w:val="006012DC"/>
    <w:rsid w:val="00602BAE"/>
    <w:rsid w:val="00603F7B"/>
    <w:rsid w:val="006052E5"/>
    <w:rsid w:val="00605CFD"/>
    <w:rsid w:val="00605E58"/>
    <w:rsid w:val="00606BAA"/>
    <w:rsid w:val="00607302"/>
    <w:rsid w:val="00610541"/>
    <w:rsid w:val="00611909"/>
    <w:rsid w:val="0061233F"/>
    <w:rsid w:val="006166F0"/>
    <w:rsid w:val="00617343"/>
    <w:rsid w:val="00620165"/>
    <w:rsid w:val="00620BE8"/>
    <w:rsid w:val="00620F89"/>
    <w:rsid w:val="00621246"/>
    <w:rsid w:val="00621EE9"/>
    <w:rsid w:val="00623ECE"/>
    <w:rsid w:val="0062462F"/>
    <w:rsid w:val="006246ED"/>
    <w:rsid w:val="00624837"/>
    <w:rsid w:val="00624887"/>
    <w:rsid w:val="0062587D"/>
    <w:rsid w:val="00630416"/>
    <w:rsid w:val="00630A64"/>
    <w:rsid w:val="00631265"/>
    <w:rsid w:val="00631CD9"/>
    <w:rsid w:val="006342DE"/>
    <w:rsid w:val="00636D1E"/>
    <w:rsid w:val="00637358"/>
    <w:rsid w:val="006377D0"/>
    <w:rsid w:val="00640298"/>
    <w:rsid w:val="006407B5"/>
    <w:rsid w:val="006414B7"/>
    <w:rsid w:val="00645856"/>
    <w:rsid w:val="00645F4C"/>
    <w:rsid w:val="00646844"/>
    <w:rsid w:val="0064702E"/>
    <w:rsid w:val="00647180"/>
    <w:rsid w:val="006471B0"/>
    <w:rsid w:val="006509A7"/>
    <w:rsid w:val="006525B0"/>
    <w:rsid w:val="006531AD"/>
    <w:rsid w:val="00654E6E"/>
    <w:rsid w:val="0065586D"/>
    <w:rsid w:val="00655B65"/>
    <w:rsid w:val="00656559"/>
    <w:rsid w:val="006573AC"/>
    <w:rsid w:val="0066201D"/>
    <w:rsid w:val="00662C60"/>
    <w:rsid w:val="00663C30"/>
    <w:rsid w:val="00663D3E"/>
    <w:rsid w:val="00664204"/>
    <w:rsid w:val="00666E4E"/>
    <w:rsid w:val="00667C5E"/>
    <w:rsid w:val="006713F3"/>
    <w:rsid w:val="00672EDB"/>
    <w:rsid w:val="006735ED"/>
    <w:rsid w:val="00673D75"/>
    <w:rsid w:val="00674805"/>
    <w:rsid w:val="00674BBB"/>
    <w:rsid w:val="00675676"/>
    <w:rsid w:val="006760DE"/>
    <w:rsid w:val="0067627C"/>
    <w:rsid w:val="0067740E"/>
    <w:rsid w:val="00680A5A"/>
    <w:rsid w:val="00681EA2"/>
    <w:rsid w:val="006832D4"/>
    <w:rsid w:val="006834F7"/>
    <w:rsid w:val="00683927"/>
    <w:rsid w:val="006843EF"/>
    <w:rsid w:val="00691650"/>
    <w:rsid w:val="00691983"/>
    <w:rsid w:val="00692FCE"/>
    <w:rsid w:val="00693ADB"/>
    <w:rsid w:val="00693FAE"/>
    <w:rsid w:val="00694C4A"/>
    <w:rsid w:val="00695123"/>
    <w:rsid w:val="00695414"/>
    <w:rsid w:val="00695FE9"/>
    <w:rsid w:val="0069640D"/>
    <w:rsid w:val="00697BBB"/>
    <w:rsid w:val="006A1E6E"/>
    <w:rsid w:val="006A1F50"/>
    <w:rsid w:val="006A242F"/>
    <w:rsid w:val="006A2454"/>
    <w:rsid w:val="006A2A64"/>
    <w:rsid w:val="006A3540"/>
    <w:rsid w:val="006A427B"/>
    <w:rsid w:val="006A456A"/>
    <w:rsid w:val="006A4F06"/>
    <w:rsid w:val="006A5640"/>
    <w:rsid w:val="006A5FB0"/>
    <w:rsid w:val="006A6267"/>
    <w:rsid w:val="006A7C52"/>
    <w:rsid w:val="006B0486"/>
    <w:rsid w:val="006B0507"/>
    <w:rsid w:val="006B1479"/>
    <w:rsid w:val="006B16A6"/>
    <w:rsid w:val="006B16D0"/>
    <w:rsid w:val="006B1B05"/>
    <w:rsid w:val="006B1C90"/>
    <w:rsid w:val="006B2E86"/>
    <w:rsid w:val="006B39AD"/>
    <w:rsid w:val="006B44A8"/>
    <w:rsid w:val="006B48E8"/>
    <w:rsid w:val="006B5DFA"/>
    <w:rsid w:val="006B65AC"/>
    <w:rsid w:val="006B7F53"/>
    <w:rsid w:val="006C0827"/>
    <w:rsid w:val="006C0CA7"/>
    <w:rsid w:val="006C1381"/>
    <w:rsid w:val="006C1D67"/>
    <w:rsid w:val="006C2731"/>
    <w:rsid w:val="006C2FAE"/>
    <w:rsid w:val="006C346B"/>
    <w:rsid w:val="006C3C52"/>
    <w:rsid w:val="006C6181"/>
    <w:rsid w:val="006C65D7"/>
    <w:rsid w:val="006C66AD"/>
    <w:rsid w:val="006C6861"/>
    <w:rsid w:val="006D0FDF"/>
    <w:rsid w:val="006D1CDD"/>
    <w:rsid w:val="006D407B"/>
    <w:rsid w:val="006D4C32"/>
    <w:rsid w:val="006D51F8"/>
    <w:rsid w:val="006D6280"/>
    <w:rsid w:val="006E0AB8"/>
    <w:rsid w:val="006E111E"/>
    <w:rsid w:val="006E143C"/>
    <w:rsid w:val="006E1FBE"/>
    <w:rsid w:val="006E26DD"/>
    <w:rsid w:val="006E2EF2"/>
    <w:rsid w:val="006E31ED"/>
    <w:rsid w:val="006E4BA2"/>
    <w:rsid w:val="006E6392"/>
    <w:rsid w:val="006E7A57"/>
    <w:rsid w:val="006F36CB"/>
    <w:rsid w:val="006F3968"/>
    <w:rsid w:val="006F54EA"/>
    <w:rsid w:val="006F57F1"/>
    <w:rsid w:val="006F614A"/>
    <w:rsid w:val="006F7B83"/>
    <w:rsid w:val="00701078"/>
    <w:rsid w:val="00702C58"/>
    <w:rsid w:val="00703BAC"/>
    <w:rsid w:val="007057C9"/>
    <w:rsid w:val="007057F3"/>
    <w:rsid w:val="007067CD"/>
    <w:rsid w:val="00706EEA"/>
    <w:rsid w:val="00710EC2"/>
    <w:rsid w:val="00710F30"/>
    <w:rsid w:val="0071236A"/>
    <w:rsid w:val="00712516"/>
    <w:rsid w:val="00714F11"/>
    <w:rsid w:val="007151BC"/>
    <w:rsid w:val="007166F9"/>
    <w:rsid w:val="0071713B"/>
    <w:rsid w:val="00717340"/>
    <w:rsid w:val="007177D7"/>
    <w:rsid w:val="00720036"/>
    <w:rsid w:val="007208DC"/>
    <w:rsid w:val="00720AEA"/>
    <w:rsid w:val="0072205D"/>
    <w:rsid w:val="0072212C"/>
    <w:rsid w:val="00723CBA"/>
    <w:rsid w:val="007310DB"/>
    <w:rsid w:val="00735673"/>
    <w:rsid w:val="007358BD"/>
    <w:rsid w:val="007364B4"/>
    <w:rsid w:val="007371B6"/>
    <w:rsid w:val="00741B34"/>
    <w:rsid w:val="00742CAF"/>
    <w:rsid w:val="00743177"/>
    <w:rsid w:val="00743460"/>
    <w:rsid w:val="0074456C"/>
    <w:rsid w:val="007458D6"/>
    <w:rsid w:val="00746FF0"/>
    <w:rsid w:val="00747DDC"/>
    <w:rsid w:val="0075095F"/>
    <w:rsid w:val="0075123C"/>
    <w:rsid w:val="00751498"/>
    <w:rsid w:val="00753021"/>
    <w:rsid w:val="007531A2"/>
    <w:rsid w:val="00753F2B"/>
    <w:rsid w:val="0075633B"/>
    <w:rsid w:val="0075740A"/>
    <w:rsid w:val="00757E72"/>
    <w:rsid w:val="00760782"/>
    <w:rsid w:val="007626E5"/>
    <w:rsid w:val="00762743"/>
    <w:rsid w:val="007667C1"/>
    <w:rsid w:val="00766B89"/>
    <w:rsid w:val="0076746E"/>
    <w:rsid w:val="007675FE"/>
    <w:rsid w:val="007705B1"/>
    <w:rsid w:val="00771323"/>
    <w:rsid w:val="007729A6"/>
    <w:rsid w:val="00772E36"/>
    <w:rsid w:val="00772F24"/>
    <w:rsid w:val="00773AA3"/>
    <w:rsid w:val="00775AEE"/>
    <w:rsid w:val="00776F34"/>
    <w:rsid w:val="007773A5"/>
    <w:rsid w:val="007773CA"/>
    <w:rsid w:val="007775E1"/>
    <w:rsid w:val="00781432"/>
    <w:rsid w:val="007815A3"/>
    <w:rsid w:val="00783E63"/>
    <w:rsid w:val="00785A0E"/>
    <w:rsid w:val="00785C38"/>
    <w:rsid w:val="00786DA7"/>
    <w:rsid w:val="0078701F"/>
    <w:rsid w:val="00787ED2"/>
    <w:rsid w:val="00790B4C"/>
    <w:rsid w:val="00791FCE"/>
    <w:rsid w:val="00792718"/>
    <w:rsid w:val="00794443"/>
    <w:rsid w:val="007956A3"/>
    <w:rsid w:val="007971E2"/>
    <w:rsid w:val="007A19F3"/>
    <w:rsid w:val="007A1CC4"/>
    <w:rsid w:val="007A295B"/>
    <w:rsid w:val="007A41F6"/>
    <w:rsid w:val="007A4749"/>
    <w:rsid w:val="007A4D83"/>
    <w:rsid w:val="007A5761"/>
    <w:rsid w:val="007A5E04"/>
    <w:rsid w:val="007A5EB6"/>
    <w:rsid w:val="007A622C"/>
    <w:rsid w:val="007A6BD3"/>
    <w:rsid w:val="007A7564"/>
    <w:rsid w:val="007A7595"/>
    <w:rsid w:val="007A78FD"/>
    <w:rsid w:val="007B1B06"/>
    <w:rsid w:val="007B46E7"/>
    <w:rsid w:val="007B4F4C"/>
    <w:rsid w:val="007B5B43"/>
    <w:rsid w:val="007B5E3A"/>
    <w:rsid w:val="007B5E9F"/>
    <w:rsid w:val="007B6DA3"/>
    <w:rsid w:val="007B6FFB"/>
    <w:rsid w:val="007C04E7"/>
    <w:rsid w:val="007C21A5"/>
    <w:rsid w:val="007C246A"/>
    <w:rsid w:val="007C3D15"/>
    <w:rsid w:val="007C3E52"/>
    <w:rsid w:val="007C4928"/>
    <w:rsid w:val="007C4FDB"/>
    <w:rsid w:val="007C50E5"/>
    <w:rsid w:val="007C5637"/>
    <w:rsid w:val="007C636F"/>
    <w:rsid w:val="007C667A"/>
    <w:rsid w:val="007C7232"/>
    <w:rsid w:val="007C7EC1"/>
    <w:rsid w:val="007D0233"/>
    <w:rsid w:val="007D080A"/>
    <w:rsid w:val="007D0A68"/>
    <w:rsid w:val="007D1BE8"/>
    <w:rsid w:val="007D255B"/>
    <w:rsid w:val="007D26C1"/>
    <w:rsid w:val="007D3362"/>
    <w:rsid w:val="007D4109"/>
    <w:rsid w:val="007D465C"/>
    <w:rsid w:val="007D4AAC"/>
    <w:rsid w:val="007D6BAE"/>
    <w:rsid w:val="007D7432"/>
    <w:rsid w:val="007D7A33"/>
    <w:rsid w:val="007E04F4"/>
    <w:rsid w:val="007E0F32"/>
    <w:rsid w:val="007E21EA"/>
    <w:rsid w:val="007E36DB"/>
    <w:rsid w:val="007E3EFF"/>
    <w:rsid w:val="007E40DA"/>
    <w:rsid w:val="007E52E1"/>
    <w:rsid w:val="007E5AAE"/>
    <w:rsid w:val="007E6677"/>
    <w:rsid w:val="007E6A07"/>
    <w:rsid w:val="007E762A"/>
    <w:rsid w:val="007F1623"/>
    <w:rsid w:val="007F16B7"/>
    <w:rsid w:val="007F1DB8"/>
    <w:rsid w:val="007F206A"/>
    <w:rsid w:val="007F20C0"/>
    <w:rsid w:val="007F2DC3"/>
    <w:rsid w:val="007F3315"/>
    <w:rsid w:val="007F33F5"/>
    <w:rsid w:val="007F4BB0"/>
    <w:rsid w:val="008003E3"/>
    <w:rsid w:val="00801BB7"/>
    <w:rsid w:val="008026F7"/>
    <w:rsid w:val="00802BAD"/>
    <w:rsid w:val="00803B9C"/>
    <w:rsid w:val="00806378"/>
    <w:rsid w:val="00810A3A"/>
    <w:rsid w:val="00812A1D"/>
    <w:rsid w:val="008132F0"/>
    <w:rsid w:val="0081386B"/>
    <w:rsid w:val="0081483F"/>
    <w:rsid w:val="00815506"/>
    <w:rsid w:val="00815850"/>
    <w:rsid w:val="00816D90"/>
    <w:rsid w:val="00821311"/>
    <w:rsid w:val="00821ADC"/>
    <w:rsid w:val="008233F0"/>
    <w:rsid w:val="00823C69"/>
    <w:rsid w:val="00823FE1"/>
    <w:rsid w:val="00824F30"/>
    <w:rsid w:val="00825069"/>
    <w:rsid w:val="008266A6"/>
    <w:rsid w:val="00827A7A"/>
    <w:rsid w:val="00827CDD"/>
    <w:rsid w:val="00831642"/>
    <w:rsid w:val="00831D4E"/>
    <w:rsid w:val="00833393"/>
    <w:rsid w:val="008342E9"/>
    <w:rsid w:val="00834484"/>
    <w:rsid w:val="008351C1"/>
    <w:rsid w:val="008369BD"/>
    <w:rsid w:val="00836E0A"/>
    <w:rsid w:val="00837A66"/>
    <w:rsid w:val="00841883"/>
    <w:rsid w:val="00843CAB"/>
    <w:rsid w:val="00844775"/>
    <w:rsid w:val="008454A6"/>
    <w:rsid w:val="00845F42"/>
    <w:rsid w:val="008504A1"/>
    <w:rsid w:val="00851664"/>
    <w:rsid w:val="0085176D"/>
    <w:rsid w:val="00851E57"/>
    <w:rsid w:val="0085257C"/>
    <w:rsid w:val="00852894"/>
    <w:rsid w:val="00852C56"/>
    <w:rsid w:val="0085402E"/>
    <w:rsid w:val="0085438A"/>
    <w:rsid w:val="00854FB3"/>
    <w:rsid w:val="0085517F"/>
    <w:rsid w:val="00855942"/>
    <w:rsid w:val="00855953"/>
    <w:rsid w:val="00855A87"/>
    <w:rsid w:val="00856670"/>
    <w:rsid w:val="00857B0E"/>
    <w:rsid w:val="00861277"/>
    <w:rsid w:val="00863EFD"/>
    <w:rsid w:val="008640D4"/>
    <w:rsid w:val="00864E4A"/>
    <w:rsid w:val="008655A7"/>
    <w:rsid w:val="00866459"/>
    <w:rsid w:val="00867B4C"/>
    <w:rsid w:val="00867C8A"/>
    <w:rsid w:val="008715DA"/>
    <w:rsid w:val="00871CC7"/>
    <w:rsid w:val="00872FD5"/>
    <w:rsid w:val="008732C5"/>
    <w:rsid w:val="00873F88"/>
    <w:rsid w:val="0087537B"/>
    <w:rsid w:val="00877A8E"/>
    <w:rsid w:val="00881C58"/>
    <w:rsid w:val="00881DDA"/>
    <w:rsid w:val="00882846"/>
    <w:rsid w:val="00883380"/>
    <w:rsid w:val="00884482"/>
    <w:rsid w:val="00886D7C"/>
    <w:rsid w:val="008909B3"/>
    <w:rsid w:val="008913BD"/>
    <w:rsid w:val="0089260E"/>
    <w:rsid w:val="00892E43"/>
    <w:rsid w:val="00892EF1"/>
    <w:rsid w:val="00893B6A"/>
    <w:rsid w:val="008940FE"/>
    <w:rsid w:val="00894C8F"/>
    <w:rsid w:val="00894FD8"/>
    <w:rsid w:val="00895F04"/>
    <w:rsid w:val="00896264"/>
    <w:rsid w:val="008969FF"/>
    <w:rsid w:val="00896EEB"/>
    <w:rsid w:val="008A2437"/>
    <w:rsid w:val="008A3C16"/>
    <w:rsid w:val="008A5849"/>
    <w:rsid w:val="008A5C74"/>
    <w:rsid w:val="008A62F8"/>
    <w:rsid w:val="008A66EA"/>
    <w:rsid w:val="008A74E8"/>
    <w:rsid w:val="008B08BB"/>
    <w:rsid w:val="008B3735"/>
    <w:rsid w:val="008B5576"/>
    <w:rsid w:val="008B5A17"/>
    <w:rsid w:val="008B6786"/>
    <w:rsid w:val="008B6CB9"/>
    <w:rsid w:val="008C18F6"/>
    <w:rsid w:val="008C4247"/>
    <w:rsid w:val="008C5852"/>
    <w:rsid w:val="008D05C7"/>
    <w:rsid w:val="008D0C16"/>
    <w:rsid w:val="008D0E94"/>
    <w:rsid w:val="008D118F"/>
    <w:rsid w:val="008D2719"/>
    <w:rsid w:val="008D318C"/>
    <w:rsid w:val="008D52F9"/>
    <w:rsid w:val="008D539A"/>
    <w:rsid w:val="008D61F1"/>
    <w:rsid w:val="008D6930"/>
    <w:rsid w:val="008D7224"/>
    <w:rsid w:val="008D7FE3"/>
    <w:rsid w:val="008E08A3"/>
    <w:rsid w:val="008E20AD"/>
    <w:rsid w:val="008E2E28"/>
    <w:rsid w:val="008E3116"/>
    <w:rsid w:val="008E7348"/>
    <w:rsid w:val="008E7957"/>
    <w:rsid w:val="008E79C4"/>
    <w:rsid w:val="008F06D9"/>
    <w:rsid w:val="008F0808"/>
    <w:rsid w:val="008F2727"/>
    <w:rsid w:val="008F300C"/>
    <w:rsid w:val="008F5767"/>
    <w:rsid w:val="008F57BA"/>
    <w:rsid w:val="008F5E05"/>
    <w:rsid w:val="008F7A9D"/>
    <w:rsid w:val="00900B4D"/>
    <w:rsid w:val="00900E9F"/>
    <w:rsid w:val="0090194F"/>
    <w:rsid w:val="00901A96"/>
    <w:rsid w:val="00901EFB"/>
    <w:rsid w:val="009025D4"/>
    <w:rsid w:val="00904ADE"/>
    <w:rsid w:val="00905793"/>
    <w:rsid w:val="00905796"/>
    <w:rsid w:val="00905BFC"/>
    <w:rsid w:val="00905E97"/>
    <w:rsid w:val="00906CF5"/>
    <w:rsid w:val="00906F53"/>
    <w:rsid w:val="009078BD"/>
    <w:rsid w:val="00910EA4"/>
    <w:rsid w:val="009115AB"/>
    <w:rsid w:val="009128CE"/>
    <w:rsid w:val="00912AEB"/>
    <w:rsid w:val="00914820"/>
    <w:rsid w:val="009158B5"/>
    <w:rsid w:val="00916D1C"/>
    <w:rsid w:val="009179FE"/>
    <w:rsid w:val="0092083F"/>
    <w:rsid w:val="00926D0A"/>
    <w:rsid w:val="00930042"/>
    <w:rsid w:val="00930DE8"/>
    <w:rsid w:val="009313EC"/>
    <w:rsid w:val="0093219C"/>
    <w:rsid w:val="00933B8B"/>
    <w:rsid w:val="0093428B"/>
    <w:rsid w:val="00934F3C"/>
    <w:rsid w:val="0093637F"/>
    <w:rsid w:val="00936E6E"/>
    <w:rsid w:val="00937D5D"/>
    <w:rsid w:val="00940D5A"/>
    <w:rsid w:val="00942E74"/>
    <w:rsid w:val="009434B9"/>
    <w:rsid w:val="00943A1D"/>
    <w:rsid w:val="00945913"/>
    <w:rsid w:val="009461C2"/>
    <w:rsid w:val="0094708D"/>
    <w:rsid w:val="009474F5"/>
    <w:rsid w:val="009506E5"/>
    <w:rsid w:val="0095231B"/>
    <w:rsid w:val="00952DF2"/>
    <w:rsid w:val="009532AD"/>
    <w:rsid w:val="0095542F"/>
    <w:rsid w:val="0095565F"/>
    <w:rsid w:val="009613D3"/>
    <w:rsid w:val="009656D2"/>
    <w:rsid w:val="009657AF"/>
    <w:rsid w:val="00966D1A"/>
    <w:rsid w:val="00971C1A"/>
    <w:rsid w:val="00971C49"/>
    <w:rsid w:val="009720D8"/>
    <w:rsid w:val="00972138"/>
    <w:rsid w:val="009722BA"/>
    <w:rsid w:val="0097391E"/>
    <w:rsid w:val="00973D7F"/>
    <w:rsid w:val="00973FCA"/>
    <w:rsid w:val="0097447C"/>
    <w:rsid w:val="00976AB9"/>
    <w:rsid w:val="00976F0C"/>
    <w:rsid w:val="00981FB1"/>
    <w:rsid w:val="00982A90"/>
    <w:rsid w:val="00984CF2"/>
    <w:rsid w:val="00986608"/>
    <w:rsid w:val="00986F47"/>
    <w:rsid w:val="0098718A"/>
    <w:rsid w:val="00990E3C"/>
    <w:rsid w:val="00993FE7"/>
    <w:rsid w:val="0099522A"/>
    <w:rsid w:val="0099523E"/>
    <w:rsid w:val="009959D8"/>
    <w:rsid w:val="009964F3"/>
    <w:rsid w:val="0099739A"/>
    <w:rsid w:val="009A0866"/>
    <w:rsid w:val="009A1744"/>
    <w:rsid w:val="009A1DFF"/>
    <w:rsid w:val="009A213D"/>
    <w:rsid w:val="009A22A6"/>
    <w:rsid w:val="009A2478"/>
    <w:rsid w:val="009A3F89"/>
    <w:rsid w:val="009A4445"/>
    <w:rsid w:val="009A47BD"/>
    <w:rsid w:val="009A4A76"/>
    <w:rsid w:val="009A56DC"/>
    <w:rsid w:val="009A6428"/>
    <w:rsid w:val="009A67D0"/>
    <w:rsid w:val="009A7308"/>
    <w:rsid w:val="009A7497"/>
    <w:rsid w:val="009B06B4"/>
    <w:rsid w:val="009B09F4"/>
    <w:rsid w:val="009B12FD"/>
    <w:rsid w:val="009B1BD9"/>
    <w:rsid w:val="009B2BDC"/>
    <w:rsid w:val="009B4AB8"/>
    <w:rsid w:val="009B67BA"/>
    <w:rsid w:val="009B6AD6"/>
    <w:rsid w:val="009C1424"/>
    <w:rsid w:val="009C165C"/>
    <w:rsid w:val="009C1A77"/>
    <w:rsid w:val="009C3870"/>
    <w:rsid w:val="009C3D95"/>
    <w:rsid w:val="009C3FA8"/>
    <w:rsid w:val="009C54CF"/>
    <w:rsid w:val="009C59A8"/>
    <w:rsid w:val="009C5F3F"/>
    <w:rsid w:val="009C63A4"/>
    <w:rsid w:val="009C6E4E"/>
    <w:rsid w:val="009D0BC0"/>
    <w:rsid w:val="009D2519"/>
    <w:rsid w:val="009D348B"/>
    <w:rsid w:val="009D350D"/>
    <w:rsid w:val="009D57D0"/>
    <w:rsid w:val="009D5A26"/>
    <w:rsid w:val="009D5B55"/>
    <w:rsid w:val="009D5F23"/>
    <w:rsid w:val="009D77FF"/>
    <w:rsid w:val="009E0B86"/>
    <w:rsid w:val="009E2369"/>
    <w:rsid w:val="009E250B"/>
    <w:rsid w:val="009E2919"/>
    <w:rsid w:val="009E3882"/>
    <w:rsid w:val="009E4645"/>
    <w:rsid w:val="009E5534"/>
    <w:rsid w:val="009E699D"/>
    <w:rsid w:val="009E6BE5"/>
    <w:rsid w:val="009E7222"/>
    <w:rsid w:val="009F00E5"/>
    <w:rsid w:val="009F09EC"/>
    <w:rsid w:val="009F0F77"/>
    <w:rsid w:val="009F1EAB"/>
    <w:rsid w:val="009F2ACD"/>
    <w:rsid w:val="009F33E5"/>
    <w:rsid w:val="009F4E11"/>
    <w:rsid w:val="009F5C15"/>
    <w:rsid w:val="009F6EFF"/>
    <w:rsid w:val="00A002C9"/>
    <w:rsid w:val="00A01276"/>
    <w:rsid w:val="00A01EC7"/>
    <w:rsid w:val="00A020F2"/>
    <w:rsid w:val="00A027CA"/>
    <w:rsid w:val="00A04B72"/>
    <w:rsid w:val="00A06305"/>
    <w:rsid w:val="00A06610"/>
    <w:rsid w:val="00A0695F"/>
    <w:rsid w:val="00A076CE"/>
    <w:rsid w:val="00A07AB7"/>
    <w:rsid w:val="00A11E6E"/>
    <w:rsid w:val="00A12141"/>
    <w:rsid w:val="00A145AC"/>
    <w:rsid w:val="00A14AC1"/>
    <w:rsid w:val="00A14B16"/>
    <w:rsid w:val="00A152C7"/>
    <w:rsid w:val="00A15989"/>
    <w:rsid w:val="00A1698C"/>
    <w:rsid w:val="00A16FE9"/>
    <w:rsid w:val="00A17456"/>
    <w:rsid w:val="00A208DA"/>
    <w:rsid w:val="00A20927"/>
    <w:rsid w:val="00A20BFD"/>
    <w:rsid w:val="00A21221"/>
    <w:rsid w:val="00A2129F"/>
    <w:rsid w:val="00A2163F"/>
    <w:rsid w:val="00A21D4A"/>
    <w:rsid w:val="00A2217B"/>
    <w:rsid w:val="00A24C5D"/>
    <w:rsid w:val="00A251BF"/>
    <w:rsid w:val="00A25453"/>
    <w:rsid w:val="00A25759"/>
    <w:rsid w:val="00A25A7C"/>
    <w:rsid w:val="00A279F2"/>
    <w:rsid w:val="00A27D25"/>
    <w:rsid w:val="00A322AE"/>
    <w:rsid w:val="00A330E3"/>
    <w:rsid w:val="00A337B5"/>
    <w:rsid w:val="00A3537F"/>
    <w:rsid w:val="00A35A06"/>
    <w:rsid w:val="00A361F7"/>
    <w:rsid w:val="00A3735C"/>
    <w:rsid w:val="00A3743A"/>
    <w:rsid w:val="00A375EE"/>
    <w:rsid w:val="00A4056E"/>
    <w:rsid w:val="00A40F6D"/>
    <w:rsid w:val="00A4119E"/>
    <w:rsid w:val="00A4161E"/>
    <w:rsid w:val="00A42F3A"/>
    <w:rsid w:val="00A43B56"/>
    <w:rsid w:val="00A440DC"/>
    <w:rsid w:val="00A443D7"/>
    <w:rsid w:val="00A455B5"/>
    <w:rsid w:val="00A461B2"/>
    <w:rsid w:val="00A4672B"/>
    <w:rsid w:val="00A46EF7"/>
    <w:rsid w:val="00A47012"/>
    <w:rsid w:val="00A47700"/>
    <w:rsid w:val="00A47A7A"/>
    <w:rsid w:val="00A52A70"/>
    <w:rsid w:val="00A55B67"/>
    <w:rsid w:val="00A55C93"/>
    <w:rsid w:val="00A56873"/>
    <w:rsid w:val="00A57B71"/>
    <w:rsid w:val="00A60016"/>
    <w:rsid w:val="00A6031C"/>
    <w:rsid w:val="00A60A64"/>
    <w:rsid w:val="00A62CE6"/>
    <w:rsid w:val="00A62F0A"/>
    <w:rsid w:val="00A635CC"/>
    <w:rsid w:val="00A63812"/>
    <w:rsid w:val="00A6542B"/>
    <w:rsid w:val="00A65B0C"/>
    <w:rsid w:val="00A66934"/>
    <w:rsid w:val="00A66BB2"/>
    <w:rsid w:val="00A677FA"/>
    <w:rsid w:val="00A710B0"/>
    <w:rsid w:val="00A7184D"/>
    <w:rsid w:val="00A7463D"/>
    <w:rsid w:val="00A76F86"/>
    <w:rsid w:val="00A778E5"/>
    <w:rsid w:val="00A80E3B"/>
    <w:rsid w:val="00A81FFD"/>
    <w:rsid w:val="00A842F8"/>
    <w:rsid w:val="00A86F97"/>
    <w:rsid w:val="00A906EE"/>
    <w:rsid w:val="00A90CAC"/>
    <w:rsid w:val="00A918CD"/>
    <w:rsid w:val="00A91A49"/>
    <w:rsid w:val="00A94F0D"/>
    <w:rsid w:val="00A9739D"/>
    <w:rsid w:val="00AA253F"/>
    <w:rsid w:val="00AA3723"/>
    <w:rsid w:val="00AA39BD"/>
    <w:rsid w:val="00AA3E26"/>
    <w:rsid w:val="00AA46A3"/>
    <w:rsid w:val="00AA4F98"/>
    <w:rsid w:val="00AA572D"/>
    <w:rsid w:val="00AA5E5F"/>
    <w:rsid w:val="00AA6932"/>
    <w:rsid w:val="00AA735F"/>
    <w:rsid w:val="00AB065D"/>
    <w:rsid w:val="00AB0EAB"/>
    <w:rsid w:val="00AB1B76"/>
    <w:rsid w:val="00AB1C9F"/>
    <w:rsid w:val="00AB286D"/>
    <w:rsid w:val="00AB42D9"/>
    <w:rsid w:val="00AB495C"/>
    <w:rsid w:val="00AB4B47"/>
    <w:rsid w:val="00AB6020"/>
    <w:rsid w:val="00AB62B1"/>
    <w:rsid w:val="00AB6BA4"/>
    <w:rsid w:val="00AB7529"/>
    <w:rsid w:val="00AB76CF"/>
    <w:rsid w:val="00AB7BA4"/>
    <w:rsid w:val="00AC10A4"/>
    <w:rsid w:val="00AC12CE"/>
    <w:rsid w:val="00AC1453"/>
    <w:rsid w:val="00AC1D4F"/>
    <w:rsid w:val="00AC296E"/>
    <w:rsid w:val="00AC3E18"/>
    <w:rsid w:val="00AC4702"/>
    <w:rsid w:val="00AC4ED7"/>
    <w:rsid w:val="00AC63D1"/>
    <w:rsid w:val="00AC677C"/>
    <w:rsid w:val="00AC68C9"/>
    <w:rsid w:val="00AD111F"/>
    <w:rsid w:val="00AD1FC7"/>
    <w:rsid w:val="00AD2049"/>
    <w:rsid w:val="00AD2A54"/>
    <w:rsid w:val="00AD44A7"/>
    <w:rsid w:val="00AD457D"/>
    <w:rsid w:val="00AD562B"/>
    <w:rsid w:val="00AD69D0"/>
    <w:rsid w:val="00AD7618"/>
    <w:rsid w:val="00AD7E85"/>
    <w:rsid w:val="00AE1B95"/>
    <w:rsid w:val="00AE23C8"/>
    <w:rsid w:val="00AE245E"/>
    <w:rsid w:val="00AE4161"/>
    <w:rsid w:val="00AE6ADA"/>
    <w:rsid w:val="00AE7EA7"/>
    <w:rsid w:val="00AF050C"/>
    <w:rsid w:val="00AF05D1"/>
    <w:rsid w:val="00AF53D1"/>
    <w:rsid w:val="00AF7D55"/>
    <w:rsid w:val="00B0107B"/>
    <w:rsid w:val="00B018E0"/>
    <w:rsid w:val="00B02135"/>
    <w:rsid w:val="00B04F85"/>
    <w:rsid w:val="00B05314"/>
    <w:rsid w:val="00B05597"/>
    <w:rsid w:val="00B068A9"/>
    <w:rsid w:val="00B07019"/>
    <w:rsid w:val="00B07169"/>
    <w:rsid w:val="00B079C8"/>
    <w:rsid w:val="00B10652"/>
    <w:rsid w:val="00B10F46"/>
    <w:rsid w:val="00B11E57"/>
    <w:rsid w:val="00B12BF5"/>
    <w:rsid w:val="00B1307E"/>
    <w:rsid w:val="00B130AC"/>
    <w:rsid w:val="00B133B6"/>
    <w:rsid w:val="00B15770"/>
    <w:rsid w:val="00B16908"/>
    <w:rsid w:val="00B179B8"/>
    <w:rsid w:val="00B17EA9"/>
    <w:rsid w:val="00B17F9C"/>
    <w:rsid w:val="00B20B4A"/>
    <w:rsid w:val="00B22106"/>
    <w:rsid w:val="00B2242E"/>
    <w:rsid w:val="00B2316C"/>
    <w:rsid w:val="00B24298"/>
    <w:rsid w:val="00B24C67"/>
    <w:rsid w:val="00B24DA7"/>
    <w:rsid w:val="00B26145"/>
    <w:rsid w:val="00B2662F"/>
    <w:rsid w:val="00B30931"/>
    <w:rsid w:val="00B31096"/>
    <w:rsid w:val="00B31B90"/>
    <w:rsid w:val="00B31F66"/>
    <w:rsid w:val="00B32A2A"/>
    <w:rsid w:val="00B332C0"/>
    <w:rsid w:val="00B3393D"/>
    <w:rsid w:val="00B33E9A"/>
    <w:rsid w:val="00B3460C"/>
    <w:rsid w:val="00B34D9F"/>
    <w:rsid w:val="00B363F9"/>
    <w:rsid w:val="00B367AA"/>
    <w:rsid w:val="00B36A67"/>
    <w:rsid w:val="00B36C33"/>
    <w:rsid w:val="00B3714D"/>
    <w:rsid w:val="00B374C0"/>
    <w:rsid w:val="00B37A45"/>
    <w:rsid w:val="00B40521"/>
    <w:rsid w:val="00B406F6"/>
    <w:rsid w:val="00B412FC"/>
    <w:rsid w:val="00B41743"/>
    <w:rsid w:val="00B41FD4"/>
    <w:rsid w:val="00B42122"/>
    <w:rsid w:val="00B43C59"/>
    <w:rsid w:val="00B442C8"/>
    <w:rsid w:val="00B458E5"/>
    <w:rsid w:val="00B461F1"/>
    <w:rsid w:val="00B475D1"/>
    <w:rsid w:val="00B47ACC"/>
    <w:rsid w:val="00B50369"/>
    <w:rsid w:val="00B52E20"/>
    <w:rsid w:val="00B53AEC"/>
    <w:rsid w:val="00B60171"/>
    <w:rsid w:val="00B60667"/>
    <w:rsid w:val="00B60F19"/>
    <w:rsid w:val="00B61385"/>
    <w:rsid w:val="00B6298D"/>
    <w:rsid w:val="00B63F66"/>
    <w:rsid w:val="00B652AB"/>
    <w:rsid w:val="00B66CD4"/>
    <w:rsid w:val="00B67093"/>
    <w:rsid w:val="00B7034B"/>
    <w:rsid w:val="00B70D6A"/>
    <w:rsid w:val="00B71DE1"/>
    <w:rsid w:val="00B72EEA"/>
    <w:rsid w:val="00B733D1"/>
    <w:rsid w:val="00B73DD8"/>
    <w:rsid w:val="00B74A2F"/>
    <w:rsid w:val="00B7627B"/>
    <w:rsid w:val="00B82644"/>
    <w:rsid w:val="00B83373"/>
    <w:rsid w:val="00B8361E"/>
    <w:rsid w:val="00B83FC8"/>
    <w:rsid w:val="00B85374"/>
    <w:rsid w:val="00B8577D"/>
    <w:rsid w:val="00B85BBF"/>
    <w:rsid w:val="00B8722F"/>
    <w:rsid w:val="00B87533"/>
    <w:rsid w:val="00B8772E"/>
    <w:rsid w:val="00B87E7F"/>
    <w:rsid w:val="00B90437"/>
    <w:rsid w:val="00B90AF0"/>
    <w:rsid w:val="00B92819"/>
    <w:rsid w:val="00B92B0D"/>
    <w:rsid w:val="00B94B33"/>
    <w:rsid w:val="00B94CC2"/>
    <w:rsid w:val="00B9514F"/>
    <w:rsid w:val="00B9589B"/>
    <w:rsid w:val="00B95FEE"/>
    <w:rsid w:val="00B96C62"/>
    <w:rsid w:val="00B97256"/>
    <w:rsid w:val="00BA10A3"/>
    <w:rsid w:val="00BA1B76"/>
    <w:rsid w:val="00BA34B1"/>
    <w:rsid w:val="00BA4CE0"/>
    <w:rsid w:val="00BA4E15"/>
    <w:rsid w:val="00BA57C0"/>
    <w:rsid w:val="00BA6430"/>
    <w:rsid w:val="00BA7FCC"/>
    <w:rsid w:val="00BB00DE"/>
    <w:rsid w:val="00BB04AB"/>
    <w:rsid w:val="00BB2346"/>
    <w:rsid w:val="00BB274A"/>
    <w:rsid w:val="00BB2926"/>
    <w:rsid w:val="00BB31E5"/>
    <w:rsid w:val="00BB39AE"/>
    <w:rsid w:val="00BB4078"/>
    <w:rsid w:val="00BB51C3"/>
    <w:rsid w:val="00BB5767"/>
    <w:rsid w:val="00BB6824"/>
    <w:rsid w:val="00BB70D8"/>
    <w:rsid w:val="00BB710A"/>
    <w:rsid w:val="00BB71D3"/>
    <w:rsid w:val="00BC11F1"/>
    <w:rsid w:val="00BC2E32"/>
    <w:rsid w:val="00BC2EBF"/>
    <w:rsid w:val="00BC45E3"/>
    <w:rsid w:val="00BC46E3"/>
    <w:rsid w:val="00BC482C"/>
    <w:rsid w:val="00BC544A"/>
    <w:rsid w:val="00BC60F0"/>
    <w:rsid w:val="00BC6292"/>
    <w:rsid w:val="00BC6D0D"/>
    <w:rsid w:val="00BC728A"/>
    <w:rsid w:val="00BD0E56"/>
    <w:rsid w:val="00BD2120"/>
    <w:rsid w:val="00BD431A"/>
    <w:rsid w:val="00BD43EE"/>
    <w:rsid w:val="00BD46FD"/>
    <w:rsid w:val="00BD4D84"/>
    <w:rsid w:val="00BD52AE"/>
    <w:rsid w:val="00BD5D3F"/>
    <w:rsid w:val="00BD753B"/>
    <w:rsid w:val="00BD7BBB"/>
    <w:rsid w:val="00BE05CB"/>
    <w:rsid w:val="00BE0AB3"/>
    <w:rsid w:val="00BE2681"/>
    <w:rsid w:val="00BE2BE3"/>
    <w:rsid w:val="00BE3B16"/>
    <w:rsid w:val="00BE4428"/>
    <w:rsid w:val="00BE6D62"/>
    <w:rsid w:val="00BE6F56"/>
    <w:rsid w:val="00BE7406"/>
    <w:rsid w:val="00BE796E"/>
    <w:rsid w:val="00BF01C0"/>
    <w:rsid w:val="00BF0828"/>
    <w:rsid w:val="00BF0EC1"/>
    <w:rsid w:val="00BF191E"/>
    <w:rsid w:val="00BF5766"/>
    <w:rsid w:val="00BF5A89"/>
    <w:rsid w:val="00C003B8"/>
    <w:rsid w:val="00C007A7"/>
    <w:rsid w:val="00C01959"/>
    <w:rsid w:val="00C0242D"/>
    <w:rsid w:val="00C02BD2"/>
    <w:rsid w:val="00C03A02"/>
    <w:rsid w:val="00C064DF"/>
    <w:rsid w:val="00C0684E"/>
    <w:rsid w:val="00C07867"/>
    <w:rsid w:val="00C079F6"/>
    <w:rsid w:val="00C10410"/>
    <w:rsid w:val="00C11634"/>
    <w:rsid w:val="00C131A2"/>
    <w:rsid w:val="00C13777"/>
    <w:rsid w:val="00C13AAA"/>
    <w:rsid w:val="00C13EE8"/>
    <w:rsid w:val="00C14424"/>
    <w:rsid w:val="00C14E11"/>
    <w:rsid w:val="00C15E97"/>
    <w:rsid w:val="00C2031B"/>
    <w:rsid w:val="00C2068C"/>
    <w:rsid w:val="00C2294C"/>
    <w:rsid w:val="00C22A63"/>
    <w:rsid w:val="00C2325B"/>
    <w:rsid w:val="00C2521A"/>
    <w:rsid w:val="00C2677C"/>
    <w:rsid w:val="00C273A7"/>
    <w:rsid w:val="00C27A4F"/>
    <w:rsid w:val="00C30115"/>
    <w:rsid w:val="00C30201"/>
    <w:rsid w:val="00C30EA7"/>
    <w:rsid w:val="00C313A4"/>
    <w:rsid w:val="00C31F06"/>
    <w:rsid w:val="00C31F55"/>
    <w:rsid w:val="00C31FFF"/>
    <w:rsid w:val="00C32C31"/>
    <w:rsid w:val="00C32D3E"/>
    <w:rsid w:val="00C32F15"/>
    <w:rsid w:val="00C33509"/>
    <w:rsid w:val="00C3372D"/>
    <w:rsid w:val="00C340E5"/>
    <w:rsid w:val="00C34B21"/>
    <w:rsid w:val="00C35959"/>
    <w:rsid w:val="00C419A3"/>
    <w:rsid w:val="00C41C39"/>
    <w:rsid w:val="00C42068"/>
    <w:rsid w:val="00C42C45"/>
    <w:rsid w:val="00C43381"/>
    <w:rsid w:val="00C44742"/>
    <w:rsid w:val="00C46206"/>
    <w:rsid w:val="00C46570"/>
    <w:rsid w:val="00C4696E"/>
    <w:rsid w:val="00C474CB"/>
    <w:rsid w:val="00C47932"/>
    <w:rsid w:val="00C52152"/>
    <w:rsid w:val="00C54284"/>
    <w:rsid w:val="00C548CB"/>
    <w:rsid w:val="00C54EF2"/>
    <w:rsid w:val="00C56966"/>
    <w:rsid w:val="00C56B56"/>
    <w:rsid w:val="00C57F07"/>
    <w:rsid w:val="00C61275"/>
    <w:rsid w:val="00C61324"/>
    <w:rsid w:val="00C62A2F"/>
    <w:rsid w:val="00C63576"/>
    <w:rsid w:val="00C6413D"/>
    <w:rsid w:val="00C64278"/>
    <w:rsid w:val="00C65BF5"/>
    <w:rsid w:val="00C676FF"/>
    <w:rsid w:val="00C707F4"/>
    <w:rsid w:val="00C711CA"/>
    <w:rsid w:val="00C7183E"/>
    <w:rsid w:val="00C751B0"/>
    <w:rsid w:val="00C753E0"/>
    <w:rsid w:val="00C77178"/>
    <w:rsid w:val="00C77940"/>
    <w:rsid w:val="00C811F5"/>
    <w:rsid w:val="00C8271B"/>
    <w:rsid w:val="00C8297D"/>
    <w:rsid w:val="00C84390"/>
    <w:rsid w:val="00C84A21"/>
    <w:rsid w:val="00C87F13"/>
    <w:rsid w:val="00C87FEB"/>
    <w:rsid w:val="00C91077"/>
    <w:rsid w:val="00C915BC"/>
    <w:rsid w:val="00C915F3"/>
    <w:rsid w:val="00C920BE"/>
    <w:rsid w:val="00C92937"/>
    <w:rsid w:val="00C93576"/>
    <w:rsid w:val="00C94D69"/>
    <w:rsid w:val="00CA0854"/>
    <w:rsid w:val="00CA097A"/>
    <w:rsid w:val="00CA0B3A"/>
    <w:rsid w:val="00CA1B9E"/>
    <w:rsid w:val="00CA1E59"/>
    <w:rsid w:val="00CA38EF"/>
    <w:rsid w:val="00CA5C25"/>
    <w:rsid w:val="00CB077B"/>
    <w:rsid w:val="00CB088F"/>
    <w:rsid w:val="00CB0918"/>
    <w:rsid w:val="00CB0F16"/>
    <w:rsid w:val="00CB0F45"/>
    <w:rsid w:val="00CB175E"/>
    <w:rsid w:val="00CB218C"/>
    <w:rsid w:val="00CB241A"/>
    <w:rsid w:val="00CB346E"/>
    <w:rsid w:val="00CB3A30"/>
    <w:rsid w:val="00CB4FD5"/>
    <w:rsid w:val="00CB530F"/>
    <w:rsid w:val="00CB5B3E"/>
    <w:rsid w:val="00CB6236"/>
    <w:rsid w:val="00CB6C40"/>
    <w:rsid w:val="00CB731B"/>
    <w:rsid w:val="00CB7892"/>
    <w:rsid w:val="00CB7E36"/>
    <w:rsid w:val="00CC3682"/>
    <w:rsid w:val="00CC39A0"/>
    <w:rsid w:val="00CC3F20"/>
    <w:rsid w:val="00CC40AD"/>
    <w:rsid w:val="00CC6A99"/>
    <w:rsid w:val="00CC7624"/>
    <w:rsid w:val="00CD7644"/>
    <w:rsid w:val="00CD7D5F"/>
    <w:rsid w:val="00CE05BC"/>
    <w:rsid w:val="00CE2A7D"/>
    <w:rsid w:val="00CE510B"/>
    <w:rsid w:val="00CE53CD"/>
    <w:rsid w:val="00CE67D7"/>
    <w:rsid w:val="00CE7774"/>
    <w:rsid w:val="00CE7DBA"/>
    <w:rsid w:val="00CF1DFC"/>
    <w:rsid w:val="00CF3DF8"/>
    <w:rsid w:val="00CF443F"/>
    <w:rsid w:val="00CF4571"/>
    <w:rsid w:val="00CF655F"/>
    <w:rsid w:val="00CF65DA"/>
    <w:rsid w:val="00CF6EF5"/>
    <w:rsid w:val="00D0229D"/>
    <w:rsid w:val="00D03376"/>
    <w:rsid w:val="00D03619"/>
    <w:rsid w:val="00D0637B"/>
    <w:rsid w:val="00D06695"/>
    <w:rsid w:val="00D0768D"/>
    <w:rsid w:val="00D106F1"/>
    <w:rsid w:val="00D10BE1"/>
    <w:rsid w:val="00D15404"/>
    <w:rsid w:val="00D16619"/>
    <w:rsid w:val="00D20392"/>
    <w:rsid w:val="00D20570"/>
    <w:rsid w:val="00D2211E"/>
    <w:rsid w:val="00D2272A"/>
    <w:rsid w:val="00D2311C"/>
    <w:rsid w:val="00D25D52"/>
    <w:rsid w:val="00D261B0"/>
    <w:rsid w:val="00D261DB"/>
    <w:rsid w:val="00D265A5"/>
    <w:rsid w:val="00D268F5"/>
    <w:rsid w:val="00D26BA5"/>
    <w:rsid w:val="00D27804"/>
    <w:rsid w:val="00D31F18"/>
    <w:rsid w:val="00D33196"/>
    <w:rsid w:val="00D33A14"/>
    <w:rsid w:val="00D33D47"/>
    <w:rsid w:val="00D33E32"/>
    <w:rsid w:val="00D35868"/>
    <w:rsid w:val="00D373A6"/>
    <w:rsid w:val="00D4075D"/>
    <w:rsid w:val="00D4192D"/>
    <w:rsid w:val="00D43236"/>
    <w:rsid w:val="00D43E7F"/>
    <w:rsid w:val="00D44351"/>
    <w:rsid w:val="00D44911"/>
    <w:rsid w:val="00D4659A"/>
    <w:rsid w:val="00D46A8B"/>
    <w:rsid w:val="00D4734E"/>
    <w:rsid w:val="00D50E5B"/>
    <w:rsid w:val="00D512E0"/>
    <w:rsid w:val="00D51C82"/>
    <w:rsid w:val="00D52B35"/>
    <w:rsid w:val="00D5403D"/>
    <w:rsid w:val="00D54B45"/>
    <w:rsid w:val="00D57412"/>
    <w:rsid w:val="00D602CE"/>
    <w:rsid w:val="00D603CE"/>
    <w:rsid w:val="00D60605"/>
    <w:rsid w:val="00D60D3F"/>
    <w:rsid w:val="00D615FE"/>
    <w:rsid w:val="00D636F8"/>
    <w:rsid w:val="00D64029"/>
    <w:rsid w:val="00D64474"/>
    <w:rsid w:val="00D64A46"/>
    <w:rsid w:val="00D64DCE"/>
    <w:rsid w:val="00D64E61"/>
    <w:rsid w:val="00D64E99"/>
    <w:rsid w:val="00D66219"/>
    <w:rsid w:val="00D662CC"/>
    <w:rsid w:val="00D676BE"/>
    <w:rsid w:val="00D67D2D"/>
    <w:rsid w:val="00D67F0E"/>
    <w:rsid w:val="00D703C5"/>
    <w:rsid w:val="00D72C9B"/>
    <w:rsid w:val="00D72ED8"/>
    <w:rsid w:val="00D73980"/>
    <w:rsid w:val="00D73993"/>
    <w:rsid w:val="00D74800"/>
    <w:rsid w:val="00D75D5B"/>
    <w:rsid w:val="00D7651E"/>
    <w:rsid w:val="00D7685B"/>
    <w:rsid w:val="00D76EF6"/>
    <w:rsid w:val="00D80372"/>
    <w:rsid w:val="00D803D1"/>
    <w:rsid w:val="00D8077A"/>
    <w:rsid w:val="00D81345"/>
    <w:rsid w:val="00D83133"/>
    <w:rsid w:val="00D840FF"/>
    <w:rsid w:val="00D84389"/>
    <w:rsid w:val="00D84489"/>
    <w:rsid w:val="00D84C8C"/>
    <w:rsid w:val="00D851E0"/>
    <w:rsid w:val="00D85EFD"/>
    <w:rsid w:val="00D864CD"/>
    <w:rsid w:val="00D87D18"/>
    <w:rsid w:val="00D9018C"/>
    <w:rsid w:val="00D901FB"/>
    <w:rsid w:val="00D9132E"/>
    <w:rsid w:val="00D91BFD"/>
    <w:rsid w:val="00D9757E"/>
    <w:rsid w:val="00D97A89"/>
    <w:rsid w:val="00DA0244"/>
    <w:rsid w:val="00DA0303"/>
    <w:rsid w:val="00DA0B74"/>
    <w:rsid w:val="00DA0C09"/>
    <w:rsid w:val="00DA12A0"/>
    <w:rsid w:val="00DA1881"/>
    <w:rsid w:val="00DA34D6"/>
    <w:rsid w:val="00DA3647"/>
    <w:rsid w:val="00DA38F6"/>
    <w:rsid w:val="00DA3D0E"/>
    <w:rsid w:val="00DA41AA"/>
    <w:rsid w:val="00DA4395"/>
    <w:rsid w:val="00DA506C"/>
    <w:rsid w:val="00DA5D4A"/>
    <w:rsid w:val="00DA7294"/>
    <w:rsid w:val="00DB36EF"/>
    <w:rsid w:val="00DB6CCD"/>
    <w:rsid w:val="00DB750E"/>
    <w:rsid w:val="00DC20BE"/>
    <w:rsid w:val="00DC2D6B"/>
    <w:rsid w:val="00DC37A0"/>
    <w:rsid w:val="00DC384E"/>
    <w:rsid w:val="00DC393B"/>
    <w:rsid w:val="00DC3A8B"/>
    <w:rsid w:val="00DC44F8"/>
    <w:rsid w:val="00DC4812"/>
    <w:rsid w:val="00DC692C"/>
    <w:rsid w:val="00DC6F2B"/>
    <w:rsid w:val="00DD1669"/>
    <w:rsid w:val="00DD17AC"/>
    <w:rsid w:val="00DD2B3A"/>
    <w:rsid w:val="00DD4406"/>
    <w:rsid w:val="00DD454B"/>
    <w:rsid w:val="00DD47E9"/>
    <w:rsid w:val="00DD4A2A"/>
    <w:rsid w:val="00DD5E20"/>
    <w:rsid w:val="00DD6009"/>
    <w:rsid w:val="00DD628C"/>
    <w:rsid w:val="00DD643C"/>
    <w:rsid w:val="00DD6A84"/>
    <w:rsid w:val="00DD7033"/>
    <w:rsid w:val="00DE1383"/>
    <w:rsid w:val="00DE1561"/>
    <w:rsid w:val="00DE2A83"/>
    <w:rsid w:val="00DE30B8"/>
    <w:rsid w:val="00DE3F47"/>
    <w:rsid w:val="00DE403B"/>
    <w:rsid w:val="00DE52DB"/>
    <w:rsid w:val="00DE5B4A"/>
    <w:rsid w:val="00DE6FAC"/>
    <w:rsid w:val="00DE7751"/>
    <w:rsid w:val="00DF0656"/>
    <w:rsid w:val="00DF0F21"/>
    <w:rsid w:val="00DF2742"/>
    <w:rsid w:val="00DF27EE"/>
    <w:rsid w:val="00DF3AB5"/>
    <w:rsid w:val="00DF4466"/>
    <w:rsid w:val="00DF5053"/>
    <w:rsid w:val="00DF55C4"/>
    <w:rsid w:val="00DF5FBC"/>
    <w:rsid w:val="00DF6A3C"/>
    <w:rsid w:val="00DF758E"/>
    <w:rsid w:val="00DF7AC0"/>
    <w:rsid w:val="00E00E89"/>
    <w:rsid w:val="00E029E7"/>
    <w:rsid w:val="00E02D92"/>
    <w:rsid w:val="00E03053"/>
    <w:rsid w:val="00E03240"/>
    <w:rsid w:val="00E04988"/>
    <w:rsid w:val="00E05762"/>
    <w:rsid w:val="00E059AC"/>
    <w:rsid w:val="00E05DF5"/>
    <w:rsid w:val="00E069E3"/>
    <w:rsid w:val="00E11798"/>
    <w:rsid w:val="00E11E19"/>
    <w:rsid w:val="00E12FA8"/>
    <w:rsid w:val="00E1379E"/>
    <w:rsid w:val="00E1584E"/>
    <w:rsid w:val="00E15AE7"/>
    <w:rsid w:val="00E16EE4"/>
    <w:rsid w:val="00E16F16"/>
    <w:rsid w:val="00E17314"/>
    <w:rsid w:val="00E17839"/>
    <w:rsid w:val="00E2001A"/>
    <w:rsid w:val="00E20051"/>
    <w:rsid w:val="00E209EB"/>
    <w:rsid w:val="00E22B0D"/>
    <w:rsid w:val="00E23776"/>
    <w:rsid w:val="00E239E3"/>
    <w:rsid w:val="00E24DA7"/>
    <w:rsid w:val="00E30A24"/>
    <w:rsid w:val="00E31617"/>
    <w:rsid w:val="00E31DF3"/>
    <w:rsid w:val="00E31EF6"/>
    <w:rsid w:val="00E32F65"/>
    <w:rsid w:val="00E34399"/>
    <w:rsid w:val="00E3770B"/>
    <w:rsid w:val="00E403FC"/>
    <w:rsid w:val="00E4133A"/>
    <w:rsid w:val="00E4161B"/>
    <w:rsid w:val="00E41A19"/>
    <w:rsid w:val="00E42445"/>
    <w:rsid w:val="00E437E7"/>
    <w:rsid w:val="00E4434F"/>
    <w:rsid w:val="00E450DB"/>
    <w:rsid w:val="00E457EC"/>
    <w:rsid w:val="00E47B2A"/>
    <w:rsid w:val="00E50392"/>
    <w:rsid w:val="00E50CE8"/>
    <w:rsid w:val="00E5147F"/>
    <w:rsid w:val="00E51C64"/>
    <w:rsid w:val="00E525E0"/>
    <w:rsid w:val="00E5439C"/>
    <w:rsid w:val="00E54928"/>
    <w:rsid w:val="00E552F2"/>
    <w:rsid w:val="00E5617F"/>
    <w:rsid w:val="00E61C67"/>
    <w:rsid w:val="00E62048"/>
    <w:rsid w:val="00E63B06"/>
    <w:rsid w:val="00E64B2F"/>
    <w:rsid w:val="00E65951"/>
    <w:rsid w:val="00E6785A"/>
    <w:rsid w:val="00E67880"/>
    <w:rsid w:val="00E7111A"/>
    <w:rsid w:val="00E71D9A"/>
    <w:rsid w:val="00E73323"/>
    <w:rsid w:val="00E74330"/>
    <w:rsid w:val="00E748E5"/>
    <w:rsid w:val="00E7491B"/>
    <w:rsid w:val="00E75AEB"/>
    <w:rsid w:val="00E775E1"/>
    <w:rsid w:val="00E77F50"/>
    <w:rsid w:val="00E81647"/>
    <w:rsid w:val="00E828A9"/>
    <w:rsid w:val="00E82A03"/>
    <w:rsid w:val="00E83001"/>
    <w:rsid w:val="00E848E7"/>
    <w:rsid w:val="00E85D5E"/>
    <w:rsid w:val="00E860BD"/>
    <w:rsid w:val="00E8623F"/>
    <w:rsid w:val="00E8646A"/>
    <w:rsid w:val="00E86F26"/>
    <w:rsid w:val="00E9353F"/>
    <w:rsid w:val="00E94DEF"/>
    <w:rsid w:val="00E95A52"/>
    <w:rsid w:val="00E96155"/>
    <w:rsid w:val="00E969B9"/>
    <w:rsid w:val="00E97874"/>
    <w:rsid w:val="00E97CB2"/>
    <w:rsid w:val="00E97E6E"/>
    <w:rsid w:val="00EA18AF"/>
    <w:rsid w:val="00EA3ECD"/>
    <w:rsid w:val="00EA4496"/>
    <w:rsid w:val="00EA59C7"/>
    <w:rsid w:val="00EA5E2E"/>
    <w:rsid w:val="00EA608A"/>
    <w:rsid w:val="00EA664C"/>
    <w:rsid w:val="00EA6815"/>
    <w:rsid w:val="00EA6F1B"/>
    <w:rsid w:val="00EB04B9"/>
    <w:rsid w:val="00EB11A0"/>
    <w:rsid w:val="00EB1E27"/>
    <w:rsid w:val="00EB337C"/>
    <w:rsid w:val="00EB36BF"/>
    <w:rsid w:val="00EB39E5"/>
    <w:rsid w:val="00EB4457"/>
    <w:rsid w:val="00EB4517"/>
    <w:rsid w:val="00EB4B9C"/>
    <w:rsid w:val="00EB4D13"/>
    <w:rsid w:val="00EB51D5"/>
    <w:rsid w:val="00EB5224"/>
    <w:rsid w:val="00EB5A1C"/>
    <w:rsid w:val="00EB6FA4"/>
    <w:rsid w:val="00EC07BE"/>
    <w:rsid w:val="00EC23C7"/>
    <w:rsid w:val="00EC308A"/>
    <w:rsid w:val="00EC5EF1"/>
    <w:rsid w:val="00EC640E"/>
    <w:rsid w:val="00EC6B84"/>
    <w:rsid w:val="00EC7509"/>
    <w:rsid w:val="00EC7CAA"/>
    <w:rsid w:val="00EC7DBD"/>
    <w:rsid w:val="00EC7E5B"/>
    <w:rsid w:val="00EC7F2E"/>
    <w:rsid w:val="00ED15F7"/>
    <w:rsid w:val="00ED22ED"/>
    <w:rsid w:val="00ED3371"/>
    <w:rsid w:val="00ED39A8"/>
    <w:rsid w:val="00ED46BB"/>
    <w:rsid w:val="00ED4842"/>
    <w:rsid w:val="00ED4F29"/>
    <w:rsid w:val="00ED5C52"/>
    <w:rsid w:val="00ED5FCC"/>
    <w:rsid w:val="00ED72B8"/>
    <w:rsid w:val="00ED78C0"/>
    <w:rsid w:val="00EE0981"/>
    <w:rsid w:val="00EE0F5D"/>
    <w:rsid w:val="00EE0F74"/>
    <w:rsid w:val="00EE2D71"/>
    <w:rsid w:val="00EE2FD4"/>
    <w:rsid w:val="00EE3B83"/>
    <w:rsid w:val="00EE5AD4"/>
    <w:rsid w:val="00EE694F"/>
    <w:rsid w:val="00EE72F2"/>
    <w:rsid w:val="00EF0CD7"/>
    <w:rsid w:val="00EF28FD"/>
    <w:rsid w:val="00EF29A0"/>
    <w:rsid w:val="00EF501A"/>
    <w:rsid w:val="00EF5314"/>
    <w:rsid w:val="00EF6EAD"/>
    <w:rsid w:val="00EF7C8D"/>
    <w:rsid w:val="00F006C2"/>
    <w:rsid w:val="00F0112D"/>
    <w:rsid w:val="00F0211C"/>
    <w:rsid w:val="00F0230A"/>
    <w:rsid w:val="00F02375"/>
    <w:rsid w:val="00F02C8B"/>
    <w:rsid w:val="00F02CBF"/>
    <w:rsid w:val="00F03B13"/>
    <w:rsid w:val="00F05BE6"/>
    <w:rsid w:val="00F06485"/>
    <w:rsid w:val="00F06BD8"/>
    <w:rsid w:val="00F106A6"/>
    <w:rsid w:val="00F1269D"/>
    <w:rsid w:val="00F12C12"/>
    <w:rsid w:val="00F132BB"/>
    <w:rsid w:val="00F14579"/>
    <w:rsid w:val="00F152CB"/>
    <w:rsid w:val="00F15A00"/>
    <w:rsid w:val="00F15B6D"/>
    <w:rsid w:val="00F15E0C"/>
    <w:rsid w:val="00F15F9B"/>
    <w:rsid w:val="00F17B82"/>
    <w:rsid w:val="00F2038C"/>
    <w:rsid w:val="00F2045B"/>
    <w:rsid w:val="00F2068D"/>
    <w:rsid w:val="00F20869"/>
    <w:rsid w:val="00F2195C"/>
    <w:rsid w:val="00F23C10"/>
    <w:rsid w:val="00F251D8"/>
    <w:rsid w:val="00F25AF6"/>
    <w:rsid w:val="00F267B6"/>
    <w:rsid w:val="00F268AC"/>
    <w:rsid w:val="00F30805"/>
    <w:rsid w:val="00F34040"/>
    <w:rsid w:val="00F35369"/>
    <w:rsid w:val="00F3608D"/>
    <w:rsid w:val="00F36132"/>
    <w:rsid w:val="00F36F47"/>
    <w:rsid w:val="00F41427"/>
    <w:rsid w:val="00F41FD5"/>
    <w:rsid w:val="00F42CF5"/>
    <w:rsid w:val="00F43723"/>
    <w:rsid w:val="00F43826"/>
    <w:rsid w:val="00F45A22"/>
    <w:rsid w:val="00F45C95"/>
    <w:rsid w:val="00F45FA3"/>
    <w:rsid w:val="00F4785D"/>
    <w:rsid w:val="00F50030"/>
    <w:rsid w:val="00F5113D"/>
    <w:rsid w:val="00F51365"/>
    <w:rsid w:val="00F527E9"/>
    <w:rsid w:val="00F528D9"/>
    <w:rsid w:val="00F52928"/>
    <w:rsid w:val="00F53004"/>
    <w:rsid w:val="00F5417F"/>
    <w:rsid w:val="00F5550E"/>
    <w:rsid w:val="00F55589"/>
    <w:rsid w:val="00F55A6C"/>
    <w:rsid w:val="00F5648C"/>
    <w:rsid w:val="00F564BC"/>
    <w:rsid w:val="00F5676C"/>
    <w:rsid w:val="00F57747"/>
    <w:rsid w:val="00F60928"/>
    <w:rsid w:val="00F60D04"/>
    <w:rsid w:val="00F61D7B"/>
    <w:rsid w:val="00F628FE"/>
    <w:rsid w:val="00F63176"/>
    <w:rsid w:val="00F658BC"/>
    <w:rsid w:val="00F701B7"/>
    <w:rsid w:val="00F71084"/>
    <w:rsid w:val="00F719DD"/>
    <w:rsid w:val="00F72A1C"/>
    <w:rsid w:val="00F73D2B"/>
    <w:rsid w:val="00F7656A"/>
    <w:rsid w:val="00F8001F"/>
    <w:rsid w:val="00F80EAC"/>
    <w:rsid w:val="00F815AF"/>
    <w:rsid w:val="00F82816"/>
    <w:rsid w:val="00F8348A"/>
    <w:rsid w:val="00F8399D"/>
    <w:rsid w:val="00F84430"/>
    <w:rsid w:val="00F84FE7"/>
    <w:rsid w:val="00F850AB"/>
    <w:rsid w:val="00F853B3"/>
    <w:rsid w:val="00F86617"/>
    <w:rsid w:val="00F86D83"/>
    <w:rsid w:val="00F900C8"/>
    <w:rsid w:val="00F910C7"/>
    <w:rsid w:val="00F920E0"/>
    <w:rsid w:val="00F92466"/>
    <w:rsid w:val="00F92C62"/>
    <w:rsid w:val="00F944C7"/>
    <w:rsid w:val="00F94C30"/>
    <w:rsid w:val="00F95D19"/>
    <w:rsid w:val="00F95DA0"/>
    <w:rsid w:val="00F960CA"/>
    <w:rsid w:val="00F960E7"/>
    <w:rsid w:val="00F96B1A"/>
    <w:rsid w:val="00FA16E6"/>
    <w:rsid w:val="00FA29F6"/>
    <w:rsid w:val="00FA2A19"/>
    <w:rsid w:val="00FA2FD6"/>
    <w:rsid w:val="00FA36B9"/>
    <w:rsid w:val="00FA3999"/>
    <w:rsid w:val="00FA3DA1"/>
    <w:rsid w:val="00FA721C"/>
    <w:rsid w:val="00FA7CE7"/>
    <w:rsid w:val="00FB061F"/>
    <w:rsid w:val="00FB1380"/>
    <w:rsid w:val="00FB1663"/>
    <w:rsid w:val="00FB1718"/>
    <w:rsid w:val="00FB514B"/>
    <w:rsid w:val="00FB6575"/>
    <w:rsid w:val="00FB6F4B"/>
    <w:rsid w:val="00FC054B"/>
    <w:rsid w:val="00FC25CF"/>
    <w:rsid w:val="00FC4920"/>
    <w:rsid w:val="00FC590E"/>
    <w:rsid w:val="00FC5B86"/>
    <w:rsid w:val="00FC5B95"/>
    <w:rsid w:val="00FC61DB"/>
    <w:rsid w:val="00FC6693"/>
    <w:rsid w:val="00FC7F1E"/>
    <w:rsid w:val="00FD044C"/>
    <w:rsid w:val="00FD13F9"/>
    <w:rsid w:val="00FD29DA"/>
    <w:rsid w:val="00FD3E20"/>
    <w:rsid w:val="00FD42F0"/>
    <w:rsid w:val="00FD5337"/>
    <w:rsid w:val="00FD60B5"/>
    <w:rsid w:val="00FE0166"/>
    <w:rsid w:val="00FE0B35"/>
    <w:rsid w:val="00FE273A"/>
    <w:rsid w:val="00FE2B69"/>
    <w:rsid w:val="00FE38DC"/>
    <w:rsid w:val="00FE5998"/>
    <w:rsid w:val="00FE71E5"/>
    <w:rsid w:val="00FE7D28"/>
    <w:rsid w:val="00FE7D4F"/>
    <w:rsid w:val="00FF08FB"/>
    <w:rsid w:val="00FF303C"/>
    <w:rsid w:val="00FF34A1"/>
    <w:rsid w:val="00FF38CE"/>
    <w:rsid w:val="00FF3C32"/>
    <w:rsid w:val="00FF581E"/>
    <w:rsid w:val="00FF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219E2E"/>
  <w15:chartTrackingRefBased/>
  <w15:docId w15:val="{9E8A05F8-A577-4469-ABD9-E7CF84590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7D6F"/>
    <w:rPr>
      <w:rFonts w:eastAsia="Times New Roman"/>
      <w:sz w:val="24"/>
      <w:szCs w:val="24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86F47"/>
    <w:pPr>
      <w:keepNext/>
      <w:spacing w:after="240"/>
      <w:ind w:right="284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link w:val="Heading2Char"/>
    <w:qFormat/>
    <w:rsid w:val="008E7348"/>
    <w:pPr>
      <w:keepNext/>
      <w:ind w:right="284"/>
      <w:outlineLvl w:val="1"/>
    </w:pPr>
    <w:rPr>
      <w:rFonts w:ascii="Arial" w:hAnsi="Arial"/>
      <w:b/>
      <w:sz w:val="22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  <w:spacing w:after="12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205D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8003E3"/>
    <w:rPr>
      <w:b/>
      <w:bCs/>
    </w:rPr>
  </w:style>
  <w:style w:type="character" w:styleId="Hyperlink">
    <w:name w:val="Hyperlink"/>
    <w:uiPriority w:val="99"/>
    <w:unhideWhenUsed/>
    <w:rsid w:val="008003E3"/>
    <w:rPr>
      <w:color w:val="0563C1"/>
      <w:u w:val="single"/>
    </w:rPr>
  </w:style>
  <w:style w:type="character" w:customStyle="1" w:styleId="Heading1Char">
    <w:name w:val="Heading 1 Char"/>
    <w:aliases w:val="H1 Char,h1 Char"/>
    <w:link w:val="Heading1"/>
    <w:rsid w:val="006B48E8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01FB"/>
  </w:style>
  <w:style w:type="character" w:customStyle="1" w:styleId="FootnoteTextChar">
    <w:name w:val="Footnote Text Char"/>
    <w:link w:val="FootnoteText"/>
    <w:uiPriority w:val="99"/>
    <w:semiHidden/>
    <w:rsid w:val="00D901FB"/>
    <w:rPr>
      <w:lang w:val="en-GB" w:eastAsia="en-US"/>
    </w:rPr>
  </w:style>
  <w:style w:type="character" w:styleId="FootnoteReference">
    <w:name w:val="footnote reference"/>
    <w:uiPriority w:val="99"/>
    <w:unhideWhenUsed/>
    <w:rsid w:val="00D901FB"/>
    <w:rPr>
      <w:vertAlign w:val="superscript"/>
    </w:rPr>
  </w:style>
  <w:style w:type="paragraph" w:styleId="NormalWeb">
    <w:name w:val="Normal (Web)"/>
    <w:basedOn w:val="Normal"/>
    <w:uiPriority w:val="99"/>
    <w:unhideWhenUsed/>
    <w:rsid w:val="006C346B"/>
    <w:pPr>
      <w:spacing w:before="100" w:beforeAutospacing="1" w:after="100" w:afterAutospacing="1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C346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E36DB"/>
    <w:rPr>
      <w:color w:val="808080"/>
    </w:rPr>
  </w:style>
  <w:style w:type="paragraph" w:customStyle="1" w:styleId="EQ">
    <w:name w:val="EQ"/>
    <w:basedOn w:val="Normal"/>
    <w:next w:val="Normal"/>
    <w:rsid w:val="00D84C8C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5D12"/>
    <w:rPr>
      <w:rFonts w:ascii="Arial" w:hAnsi="Arial"/>
      <w:b/>
      <w:sz w:val="22"/>
      <w:lang w:eastAsia="en-US"/>
    </w:rPr>
  </w:style>
  <w:style w:type="paragraph" w:styleId="Revision">
    <w:name w:val="Revision"/>
    <w:hidden/>
    <w:uiPriority w:val="99"/>
    <w:semiHidden/>
    <w:rsid w:val="00ED46BB"/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82252"/>
    <w:rPr>
      <w:rFonts w:eastAsia="Times New Roman"/>
      <w:sz w:val="24"/>
      <w:szCs w:val="24"/>
    </w:rPr>
  </w:style>
  <w:style w:type="table" w:styleId="PlainTable3">
    <w:name w:val="Plain Table 3"/>
    <w:basedOn w:val="TableNormal"/>
    <w:uiPriority w:val="43"/>
    <w:rsid w:val="001054D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">
    <w:name w:val="Grid Table 2"/>
    <w:basedOn w:val="TableNormal"/>
    <w:uiPriority w:val="47"/>
    <w:rsid w:val="001054D7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-Accent3">
    <w:name w:val="Grid Table 5 Dark Accent 3"/>
    <w:basedOn w:val="TableNormal"/>
    <w:uiPriority w:val="50"/>
    <w:rsid w:val="001054D7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B1Char">
    <w:name w:val="B1 Char"/>
    <w:link w:val="B1"/>
    <w:rsid w:val="00AC4702"/>
    <w:rPr>
      <w:rFonts w:ascii="Arial" w:eastAsia="Times New Roman" w:hAnsi="Arial"/>
      <w:sz w:val="24"/>
      <w:szCs w:val="24"/>
    </w:rPr>
  </w:style>
  <w:style w:type="table" w:styleId="GridTable5Dark-Accent1">
    <w:name w:val="Grid Table 5 Dark Accent 1"/>
    <w:basedOn w:val="TableNormal"/>
    <w:uiPriority w:val="50"/>
    <w:rsid w:val="00AC4702"/>
    <w:rPr>
      <w:rFonts w:eastAsia="Batang"/>
      <w:lang w:eastAsia="en-US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">
    <w:name w:val="Grid Table 4"/>
    <w:basedOn w:val="TableNormal"/>
    <w:uiPriority w:val="49"/>
    <w:rsid w:val="00E2001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E2001A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">
    <w:name w:val="Grid Table 5 Dark"/>
    <w:basedOn w:val="TableNormal"/>
    <w:uiPriority w:val="50"/>
    <w:rsid w:val="00E2001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3">
    <w:name w:val="Grid Table 4 Accent 3"/>
    <w:basedOn w:val="TableNormal"/>
    <w:uiPriority w:val="49"/>
    <w:rsid w:val="000E3102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7Colorful">
    <w:name w:val="Grid Table 7 Colorful"/>
    <w:basedOn w:val="TableNormal"/>
    <w:uiPriority w:val="52"/>
    <w:rsid w:val="00743460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TAH">
    <w:name w:val="TAH"/>
    <w:basedOn w:val="TAC"/>
    <w:link w:val="TAHCar"/>
    <w:rsid w:val="00E11798"/>
    <w:rPr>
      <w:b/>
    </w:rPr>
  </w:style>
  <w:style w:type="paragraph" w:customStyle="1" w:styleId="TAC">
    <w:name w:val="TAC"/>
    <w:basedOn w:val="Normal"/>
    <w:link w:val="TACChar"/>
    <w:rsid w:val="00E11798"/>
    <w:pPr>
      <w:keepNext/>
      <w:keepLines/>
      <w:jc w:val="center"/>
    </w:pPr>
    <w:rPr>
      <w:rFonts w:ascii="Arial" w:eastAsia="MS Mincho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rsid w:val="00E11798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rsid w:val="00E11798"/>
    <w:rPr>
      <w:rFonts w:ascii="Arial" w:eastAsia="MS Mincho" w:hAnsi="Arial"/>
      <w:b/>
      <w:sz w:val="18"/>
      <w:lang w:val="en-GB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9F2A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7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5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6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63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8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808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0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18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30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513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5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10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85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4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9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84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5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591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18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282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683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59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8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63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54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442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1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092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4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94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6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3907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169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1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798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7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87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95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4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2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31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261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413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97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4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2356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498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8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7407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2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70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58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53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04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807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96009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6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86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0091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6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177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62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16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406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7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13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29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31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4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9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74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679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6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2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808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7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3828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42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35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95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7029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40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74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83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7086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4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511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2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34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85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63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43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3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896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0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93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06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5000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9499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5508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45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4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33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48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5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35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8aee7-caa6-41e3-83d0-457e088803cc"/>
    <IconOverlay xmlns="http://schemas.microsoft.com/sharepoint/v4" xsi:nil="true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7EAE7-A43B-42E4-A7C1-CABFF4B2D14C}">
  <ds:schemaRefs>
    <ds:schemaRef ds:uri="http://schemas.microsoft.com/office/2006/metadata/properties"/>
    <ds:schemaRef ds:uri="http://schemas.microsoft.com/office/infopath/2007/PartnerControls"/>
    <ds:schemaRef ds:uri="9238aee7-caa6-41e3-83d0-457e088803cc"/>
    <ds:schemaRef ds:uri="http://schemas.microsoft.com/sharepoint/v4"/>
    <ds:schemaRef ds:uri="81c2d00d-6e98-4ecf-9fde-812538fb8530"/>
  </ds:schemaRefs>
</ds:datastoreItem>
</file>

<file path=customXml/itemProps2.xml><?xml version="1.0" encoding="utf-8"?>
<ds:datastoreItem xmlns:ds="http://schemas.openxmlformats.org/officeDocument/2006/customXml" ds:itemID="{4560DBA1-70D9-44D7-8F33-718606D03F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8D9DC9-5887-4A76-BE2C-7824F2CFF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D0AC42-DA47-44B7-B113-207398C18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1441</Words>
  <Characters>8215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Hsien-Ping Lin</cp:lastModifiedBy>
  <cp:revision>6</cp:revision>
  <cp:lastPrinted>2018-01-12T00:47:00Z</cp:lastPrinted>
  <dcterms:created xsi:type="dcterms:W3CDTF">2021-11-05T17:35:00Z</dcterms:created>
  <dcterms:modified xsi:type="dcterms:W3CDTF">2021-11-05T20:37:00Z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NewReviewCycle">
    <vt:lpwstr/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_AdHocReviewCycleID">
    <vt:i4>880721493</vt:i4>
  </property>
  <property fmtid="{D5CDD505-2E9C-101B-9397-08002B2CF9AE}" pid="9" name="_EmailSubject">
    <vt:lpwstr>TDoc for 8.2.1</vt:lpwstr>
  </property>
  <property fmtid="{D5CDD505-2E9C-101B-9397-08002B2CF9AE}" pid="10" name="_AuthorEmail">
    <vt:lpwstr>Chun-Hsuan.Kuo@mediatek.com</vt:lpwstr>
  </property>
  <property fmtid="{D5CDD505-2E9C-101B-9397-08002B2CF9AE}" pid="11" name="_AuthorEmailDisplayName">
    <vt:lpwstr>Chun-Hsuan Kuo</vt:lpwstr>
  </property>
  <property fmtid="{D5CDD505-2E9C-101B-9397-08002B2CF9AE}" pid="12" name="_ReviewingToolsShownOnce">
    <vt:lpwstr/>
  </property>
</Properties>
</file>