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80D41" w14:textId="139669FA" w:rsidR="00D20056" w:rsidRDefault="00AE0294" w:rsidP="00D20056">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3663D0">
        <w:rPr>
          <w:b/>
          <w:lang w:eastAsia="zh-CN"/>
        </w:rPr>
        <w:t>7-e</w:t>
      </w:r>
      <w:r w:rsidR="000A500F">
        <w:rPr>
          <w:b/>
          <w:lang w:eastAsia="zh-CN"/>
        </w:rPr>
        <w:tab/>
      </w:r>
      <w:bookmarkStart w:id="0" w:name="OLE_LINK7"/>
      <w:r w:rsidR="00D20056" w:rsidRPr="00D20056">
        <w:rPr>
          <w:b/>
          <w:lang w:eastAsia="zh-CN"/>
        </w:rPr>
        <w:t>R1-</w:t>
      </w:r>
      <w:r w:rsidR="004F044F" w:rsidRPr="00D20056">
        <w:rPr>
          <w:b/>
          <w:lang w:eastAsia="zh-CN"/>
        </w:rPr>
        <w:t>21</w:t>
      </w:r>
      <w:r w:rsidR="004F044F">
        <w:rPr>
          <w:b/>
          <w:lang w:eastAsia="zh-CN"/>
        </w:rPr>
        <w:t>11939</w:t>
      </w:r>
    </w:p>
    <w:p w14:paraId="0CC39094" w14:textId="700A5656" w:rsidR="00562017" w:rsidRPr="003E7E99" w:rsidRDefault="00146F32" w:rsidP="00D20056">
      <w:pPr>
        <w:tabs>
          <w:tab w:val="right" w:pos="9216"/>
        </w:tabs>
        <w:spacing w:after="0"/>
        <w:jc w:val="left"/>
        <w:rPr>
          <w:b/>
          <w:lang w:eastAsia="zh-CN"/>
        </w:rPr>
      </w:pPr>
      <w:r>
        <w:rPr>
          <w:b/>
          <w:lang w:eastAsia="zh-CN"/>
        </w:rPr>
        <w:t>e-M</w:t>
      </w:r>
      <w:r w:rsidR="005D3E35">
        <w:rPr>
          <w:b/>
          <w:lang w:eastAsia="zh-CN"/>
        </w:rPr>
        <w:t xml:space="preserve">eeting, </w:t>
      </w:r>
      <w:r w:rsidR="002B10BC">
        <w:rPr>
          <w:b/>
          <w:lang w:eastAsia="zh-CN"/>
        </w:rPr>
        <w:t>November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w:t>
      </w:r>
      <w:r w:rsidR="00394148">
        <w:rPr>
          <w:b/>
          <w:lang w:eastAsia="zh-CN"/>
        </w:rPr>
        <w:t xml:space="preserve"> </w:t>
      </w:r>
      <w:bookmarkStart w:id="1" w:name="_GoBack"/>
      <w:bookmarkEnd w:id="1"/>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076AC42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C6140">
        <w:rPr>
          <w:b/>
          <w:lang w:eastAsia="zh-CN"/>
        </w:rPr>
        <w:t>8.9.3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10339DB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F703F2">
        <w:rPr>
          <w:b/>
          <w:kern w:val="2"/>
          <w:lang w:eastAsia="zh-CN"/>
        </w:rPr>
        <w:t>Further considerations on Rel-17 NB-IoT and eMTC enhancements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DA475B">
      <w:pPr>
        <w:pStyle w:val="1"/>
        <w:numPr>
          <w:ilvl w:val="0"/>
          <w:numId w:val="4"/>
        </w:numPr>
        <w:rPr>
          <w:lang w:eastAsia="zh-CN"/>
        </w:rPr>
      </w:pPr>
      <w:bookmarkStart w:id="2" w:name="_Ref124589705"/>
      <w:bookmarkStart w:id="3" w:name="_Ref129681862"/>
      <w:r w:rsidRPr="003E7E99">
        <w:rPr>
          <w:lang w:eastAsia="zh-CN"/>
        </w:rPr>
        <w:t>Introduction</w:t>
      </w:r>
      <w:bookmarkEnd w:id="2"/>
      <w:bookmarkEnd w:id="3"/>
    </w:p>
    <w:p w14:paraId="084B42E8" w14:textId="7CB9F213" w:rsidR="0063305D" w:rsidRPr="00E54F6E" w:rsidRDefault="002242C9" w:rsidP="00551EBF">
      <w:pPr>
        <w:rPr>
          <w:lang w:eastAsia="zh-CN"/>
        </w:rPr>
      </w:pPr>
      <w:r>
        <w:rPr>
          <w:lang w:eastAsia="zh-CN"/>
        </w:rPr>
        <w:t>This contribution gives our further considerations on several issues regarding Rel-17 NB-IoT and eMTC enhancements</w:t>
      </w:r>
      <w:r w:rsidR="00740463">
        <w:rPr>
          <w:rFonts w:hint="eastAsia"/>
          <w:lang w:eastAsia="zh-CN"/>
        </w:rPr>
        <w:t>.</w:t>
      </w:r>
      <w:r>
        <w:rPr>
          <w:lang w:eastAsia="zh-CN"/>
        </w:rPr>
        <w:t xml:space="preserve"> The RAN2 and RAN4 agreements related to RAN1 objectives are also presented in Appendices for reference.</w:t>
      </w:r>
    </w:p>
    <w:p w14:paraId="3C56ED4C" w14:textId="6C0647FD" w:rsidR="00CB37E0" w:rsidRPr="001827A2" w:rsidRDefault="002A37DE" w:rsidP="00DA475B">
      <w:pPr>
        <w:pStyle w:val="1"/>
        <w:numPr>
          <w:ilvl w:val="0"/>
          <w:numId w:val="4"/>
        </w:numPr>
        <w:rPr>
          <w:lang w:eastAsia="zh-CN"/>
        </w:rPr>
      </w:pPr>
      <w:r>
        <w:rPr>
          <w:lang w:eastAsia="zh-CN"/>
        </w:rPr>
        <w:t>Support of NB-IoT 16-QAM for TDD</w:t>
      </w:r>
      <w:r w:rsidR="00775558">
        <w:rPr>
          <w:lang w:eastAsia="zh-CN"/>
        </w:rPr>
        <w:t xml:space="preserve"> and FDD</w:t>
      </w:r>
    </w:p>
    <w:p w14:paraId="6DDA3FAB" w14:textId="0DE5DD77" w:rsidR="00CB37E0" w:rsidRDefault="00820C5E" w:rsidP="0046282D">
      <w:pPr>
        <w:rPr>
          <w:rFonts w:cs="Times"/>
        </w:rPr>
      </w:pPr>
      <w:r w:rsidRPr="00820C5E">
        <w:rPr>
          <w:rFonts w:cs="Times" w:hint="eastAsia"/>
        </w:rPr>
        <w:t xml:space="preserve">In </w:t>
      </w:r>
      <w:r w:rsidR="00B81ECB">
        <w:rPr>
          <w:rFonts w:cs="Times"/>
        </w:rPr>
        <w:t xml:space="preserve">discussion of UE features, one issue was raised on whether the objective of </w:t>
      </w:r>
      <w:r w:rsidR="002B1F43">
        <w:rPr>
          <w:rFonts w:cs="Times"/>
        </w:rPr>
        <w:t>NB-IoT 16-QAM can apply to TDD.</w:t>
      </w:r>
    </w:p>
    <w:p w14:paraId="63E2C67F" w14:textId="712A99D3" w:rsidR="002B1F43" w:rsidRDefault="002B1F43" w:rsidP="0046282D">
      <w:pPr>
        <w:rPr>
          <w:rFonts w:cs="Times"/>
        </w:rPr>
      </w:pPr>
      <w:r>
        <w:rPr>
          <w:rFonts w:cs="Times"/>
        </w:rPr>
        <w:t xml:space="preserve">From WID point of view, </w:t>
      </w:r>
      <w:r w:rsidR="001D2553">
        <w:rPr>
          <w:rFonts w:cs="Times"/>
        </w:rPr>
        <w:t>there is</w:t>
      </w:r>
      <w:r>
        <w:rPr>
          <w:rFonts w:cs="Times"/>
        </w:rPr>
        <w:t xml:space="preserve"> no limitation on the utilization of </w:t>
      </w:r>
      <w:r w:rsidR="00337567">
        <w:rPr>
          <w:rFonts w:cs="Times"/>
        </w:rPr>
        <w:t>this objective</w:t>
      </w:r>
      <w:r w:rsidR="002A0864">
        <w:rPr>
          <w:rFonts w:cs="Times"/>
        </w:rPr>
        <w:t xml:space="preserve"> regarding FDD or TDD. </w:t>
      </w:r>
    </w:p>
    <w:p w14:paraId="53099244" w14:textId="77777777" w:rsidR="00707EF8" w:rsidRPr="00707EF8" w:rsidRDefault="00707EF8" w:rsidP="00DA475B">
      <w:pPr>
        <w:widowControl w:val="0"/>
        <w:numPr>
          <w:ilvl w:val="0"/>
          <w:numId w:val="5"/>
        </w:numPr>
        <w:autoSpaceDE/>
        <w:autoSpaceDN/>
        <w:adjustRightInd/>
        <w:snapToGrid/>
        <w:spacing w:after="0" w:line="360" w:lineRule="auto"/>
        <w:contextualSpacing/>
        <w:rPr>
          <w:rFonts w:eastAsia="等线"/>
          <w:i/>
          <w:lang w:eastAsia="zh-CN"/>
        </w:rPr>
      </w:pPr>
      <w:r w:rsidRPr="00707EF8">
        <w:rPr>
          <w:rFonts w:eastAsia="等线"/>
          <w:i/>
          <w:lang w:eastAsia="zh-CN"/>
        </w:rPr>
        <w:t xml:space="preserve">Specify 16-QAM for unicast in UL and DL, including necessary changes to DL power allocation for NPDSCH and DL TBS. This is to be specified without a new NB-IoT UE category. For DL, </w:t>
      </w:r>
      <w:r w:rsidRPr="00707EF8">
        <w:rPr>
          <w:i/>
          <w:lang w:eastAsia="zh-CN"/>
        </w:rPr>
        <w:t>increase in maximum TBS of e.g. 2x the Rel-16 maximum, and soft buffer size will be specified by modifying at least existing Category NB2. For UL, the maximum TBS is not increased.</w:t>
      </w:r>
      <w:r w:rsidRPr="00707EF8">
        <w:rPr>
          <w:rFonts w:eastAsia="等线"/>
          <w:i/>
          <w:lang w:eastAsia="zh-CN"/>
        </w:rPr>
        <w:t xml:space="preserve"> [NB-IoT] [RAN1, RAN4]</w:t>
      </w:r>
    </w:p>
    <w:p w14:paraId="313D2387" w14:textId="77777777" w:rsidR="00707EF8" w:rsidRPr="00707EF8" w:rsidRDefault="00707EF8" w:rsidP="00DA475B">
      <w:pPr>
        <w:widowControl w:val="0"/>
        <w:numPr>
          <w:ilvl w:val="1"/>
          <w:numId w:val="5"/>
        </w:numPr>
        <w:autoSpaceDE/>
        <w:autoSpaceDN/>
        <w:adjustRightInd/>
        <w:snapToGrid/>
        <w:spacing w:after="0" w:line="360" w:lineRule="auto"/>
        <w:contextualSpacing/>
        <w:rPr>
          <w:rFonts w:eastAsia="等线"/>
          <w:i/>
          <w:lang w:eastAsia="zh-CN"/>
        </w:rPr>
      </w:pPr>
      <w:r w:rsidRPr="00707EF8">
        <w:rPr>
          <w:rFonts w:eastAsia="等线"/>
          <w:i/>
          <w:lang w:eastAsia="zh-CN"/>
        </w:rPr>
        <w:t xml:space="preserve">Extend the NB-IoT channel quality reporting based on the framework of Rel-14—16, to support 16-QAM in DL. [NB-IoT] [RAN2, RAN1, RAN4] </w:t>
      </w:r>
    </w:p>
    <w:p w14:paraId="2D65EA75" w14:textId="6836D152" w:rsidR="00707EF8" w:rsidRPr="00AC6388" w:rsidRDefault="00A37CE8" w:rsidP="0046282D">
      <w:pPr>
        <w:rPr>
          <w:rFonts w:cs="Times"/>
          <w:b/>
        </w:rPr>
      </w:pPr>
      <w:r w:rsidRPr="00AC6388">
        <w:rPr>
          <w:rFonts w:cs="Times"/>
          <w:b/>
        </w:rPr>
        <w:t xml:space="preserve">Observation 1: </w:t>
      </w:r>
      <w:r w:rsidR="001D2553" w:rsidRPr="00AC6388">
        <w:rPr>
          <w:rFonts w:cs="Times"/>
          <w:b/>
        </w:rPr>
        <w:t>There is</w:t>
      </w:r>
      <w:r w:rsidRPr="00AC6388">
        <w:rPr>
          <w:rFonts w:cs="Times"/>
          <w:b/>
        </w:rPr>
        <w:t xml:space="preserve"> no limitation of NB-IoT 16-QAM </w:t>
      </w:r>
      <w:r w:rsidR="00AC6388">
        <w:rPr>
          <w:rFonts w:cs="Times"/>
          <w:b/>
        </w:rPr>
        <w:t>regarding FDD and TDD in WID.</w:t>
      </w:r>
    </w:p>
    <w:p w14:paraId="2750643B" w14:textId="17E04D47" w:rsidR="001764CD" w:rsidRDefault="00AC6388" w:rsidP="0046282D">
      <w:pPr>
        <w:rPr>
          <w:rFonts w:cs="Times"/>
        </w:rPr>
      </w:pPr>
      <w:r>
        <w:rPr>
          <w:rFonts w:cs="Times" w:hint="eastAsia"/>
        </w:rPr>
        <w:t xml:space="preserve">In RAN1 discussion, </w:t>
      </w:r>
      <w:r w:rsidR="009B47F8">
        <w:rPr>
          <w:rFonts w:cs="Times"/>
        </w:rPr>
        <w:t xml:space="preserve">there’s no </w:t>
      </w:r>
      <w:r w:rsidR="00CB18A9">
        <w:rPr>
          <w:rFonts w:cs="Times"/>
        </w:rPr>
        <w:t xml:space="preserve">limitation in agreements/working assumptions/conclusions regarding FDD and TDD either. </w:t>
      </w:r>
      <w:r w:rsidR="009E79F0">
        <w:rPr>
          <w:rFonts w:cs="Times"/>
        </w:rPr>
        <w:t xml:space="preserve">And we didn’t see any </w:t>
      </w:r>
      <w:r w:rsidR="00CE47D8">
        <w:rPr>
          <w:rFonts w:cs="Times"/>
        </w:rPr>
        <w:t>critical issue or impact when supporting 16-QAM in both TDD and FDD.</w:t>
      </w:r>
    </w:p>
    <w:p w14:paraId="49713A8F" w14:textId="14415533" w:rsidR="00CE47D8" w:rsidRPr="00820C5E" w:rsidRDefault="00CE47D8" w:rsidP="0046282D">
      <w:pPr>
        <w:rPr>
          <w:rFonts w:cs="Times"/>
        </w:rPr>
      </w:pPr>
      <w:r w:rsidRPr="0002119C">
        <w:rPr>
          <w:rFonts w:cs="Times"/>
          <w:b/>
        </w:rPr>
        <w:t xml:space="preserve">Observation 2: </w:t>
      </w:r>
      <w:r w:rsidR="001D2553" w:rsidRPr="00AC6388">
        <w:rPr>
          <w:rFonts w:cs="Times"/>
          <w:b/>
        </w:rPr>
        <w:t>There is</w:t>
      </w:r>
      <w:r w:rsidR="00501615" w:rsidRPr="00AC6388">
        <w:rPr>
          <w:rFonts w:cs="Times"/>
          <w:b/>
        </w:rPr>
        <w:t xml:space="preserve"> no limitation of NB-IoT 16-QAM </w:t>
      </w:r>
      <w:r w:rsidR="00501615">
        <w:rPr>
          <w:rFonts w:cs="Times"/>
          <w:b/>
        </w:rPr>
        <w:t>regarding FDD and TDD in RAN1 agreements/working assumptions/conclusions.</w:t>
      </w:r>
    </w:p>
    <w:p w14:paraId="5222050C" w14:textId="32F94CDE" w:rsidR="001764CD" w:rsidRPr="00820C5E" w:rsidRDefault="00064B61" w:rsidP="0046282D">
      <w:pPr>
        <w:rPr>
          <w:rFonts w:cs="Times"/>
        </w:rPr>
      </w:pPr>
      <w:r>
        <w:rPr>
          <w:rFonts w:cs="Times" w:hint="eastAsia"/>
        </w:rPr>
        <w:t>In addition, there</w:t>
      </w:r>
      <w:r>
        <w:rPr>
          <w:rFonts w:cs="Times"/>
        </w:rPr>
        <w:t xml:space="preserve">’s no concern raised on in other working groups regarding the use of 16-QAM for FDD and TDD. Therefore, </w:t>
      </w:r>
      <w:r w:rsidR="001D2553">
        <w:rPr>
          <w:rFonts w:cs="Times"/>
        </w:rPr>
        <w:t>there is</w:t>
      </w:r>
      <w:r>
        <w:rPr>
          <w:rFonts w:cs="Times"/>
        </w:rPr>
        <w:t xml:space="preserve"> no need to further discuss whether any limitation on use of 16-QAM is introduced.</w:t>
      </w:r>
    </w:p>
    <w:p w14:paraId="51C7012F" w14:textId="3E1392CD" w:rsidR="00CF0D48" w:rsidRPr="00F25EB3" w:rsidRDefault="003408E3" w:rsidP="00DA475B">
      <w:pPr>
        <w:pStyle w:val="1"/>
        <w:numPr>
          <w:ilvl w:val="0"/>
          <w:numId w:val="4"/>
        </w:numPr>
        <w:rPr>
          <w:lang w:eastAsia="zh-CN"/>
        </w:rPr>
      </w:pPr>
      <w:r>
        <w:rPr>
          <w:lang w:eastAsia="zh-CN"/>
        </w:rPr>
        <w:t>RAN4 work on channel quality report of NB-IoT 16-QAM</w:t>
      </w:r>
    </w:p>
    <w:p w14:paraId="5A855ACA" w14:textId="0D7858C9" w:rsidR="00CF0D48" w:rsidRDefault="009B01B4" w:rsidP="0046282D">
      <w:pPr>
        <w:rPr>
          <w:rFonts w:cs="Times"/>
        </w:rPr>
      </w:pPr>
      <w:r>
        <w:rPr>
          <w:rFonts w:cs="Times" w:hint="eastAsia"/>
        </w:rPr>
        <w:t xml:space="preserve">As shown in work plan [1], RAN4 will start the discussion on channel quality reporting </w:t>
      </w:r>
      <w:r w:rsidR="007F3835">
        <w:rPr>
          <w:rFonts w:cs="Times"/>
        </w:rPr>
        <w:t>for</w:t>
      </w:r>
      <w:r>
        <w:rPr>
          <w:rFonts w:cs="Times" w:hint="eastAsia"/>
        </w:rPr>
        <w:t xml:space="preserve"> 16-QAM</w:t>
      </w:r>
      <w:r w:rsidR="00CB76B2">
        <w:rPr>
          <w:rFonts w:cs="Times"/>
        </w:rPr>
        <w:t xml:space="preserve"> in November meeting</w:t>
      </w:r>
      <w:r>
        <w:rPr>
          <w:rFonts w:cs="Times" w:hint="eastAsia"/>
        </w:rPr>
        <w:t>.</w:t>
      </w:r>
      <w:r w:rsidR="00A02398">
        <w:rPr>
          <w:rFonts w:cs="Times"/>
        </w:rPr>
        <w:t xml:space="preserve"> </w:t>
      </w:r>
      <w:r w:rsidR="000952FE">
        <w:rPr>
          <w:rFonts w:cs="Times"/>
        </w:rPr>
        <w:t>RAN4 discussion will include measurement report accuracy and measurement report mapping, which are specified in RAN4 spec</w:t>
      </w:r>
      <w:r w:rsidR="00A02398">
        <w:rPr>
          <w:rFonts w:cs="Times"/>
        </w:rPr>
        <w:t xml:space="preserve">. The </w:t>
      </w:r>
      <w:r w:rsidR="00AF4102">
        <w:rPr>
          <w:rFonts w:cs="Times"/>
        </w:rPr>
        <w:t>measurement report mapping</w:t>
      </w:r>
      <w:r w:rsidR="00A02398">
        <w:rPr>
          <w:rFonts w:cs="Times"/>
        </w:rPr>
        <w:t xml:space="preserve"> is being discussed in RAN1</w:t>
      </w:r>
      <w:r w:rsidR="00997597">
        <w:rPr>
          <w:rFonts w:cs="Times"/>
        </w:rPr>
        <w:t>, with three options for down-selection</w:t>
      </w:r>
      <w:r w:rsidR="00A02398">
        <w:rPr>
          <w:rFonts w:cs="Times"/>
        </w:rPr>
        <w:t xml:space="preserve">. </w:t>
      </w:r>
      <w:r w:rsidR="0000780D">
        <w:rPr>
          <w:rFonts w:cs="Times"/>
        </w:rPr>
        <w:t>The related RAN1 agreements are as following:</w:t>
      </w:r>
    </w:p>
    <w:p w14:paraId="77609896" w14:textId="77777777" w:rsidR="00C75E76" w:rsidRPr="00540511" w:rsidRDefault="00C75E76" w:rsidP="00540511">
      <w:pPr>
        <w:autoSpaceDE/>
        <w:autoSpaceDN/>
        <w:adjustRightInd/>
        <w:snapToGrid/>
        <w:ind w:leftChars="200" w:left="1160" w:hanging="720"/>
        <w:jc w:val="left"/>
        <w:rPr>
          <w:rFonts w:eastAsia="Batang"/>
          <w:i/>
          <w:highlight w:val="green"/>
          <w:lang w:eastAsia="x-none"/>
        </w:rPr>
      </w:pPr>
      <w:r w:rsidRPr="00540511">
        <w:rPr>
          <w:rFonts w:eastAsia="Batang"/>
          <w:i/>
          <w:highlight w:val="green"/>
          <w:lang w:eastAsia="x-none"/>
        </w:rPr>
        <w:t>Agreement</w:t>
      </w:r>
    </w:p>
    <w:p w14:paraId="4FCAA1D6" w14:textId="77777777" w:rsidR="00C75E76" w:rsidRPr="00540511" w:rsidRDefault="00C75E76" w:rsidP="00540511">
      <w:pPr>
        <w:autoSpaceDE/>
        <w:autoSpaceDN/>
        <w:adjustRightInd/>
        <w:snapToGrid/>
        <w:ind w:leftChars="193" w:left="426" w:hanging="1"/>
        <w:jc w:val="left"/>
        <w:rPr>
          <w:rFonts w:eastAsia="Batang"/>
          <w:i/>
          <w:lang w:eastAsia="x-none"/>
        </w:rPr>
      </w:pPr>
      <w:r w:rsidRPr="00540511">
        <w:rPr>
          <w:rFonts w:eastAsia="Batang"/>
          <w:i/>
          <w:lang w:eastAsia="x-none"/>
        </w:rPr>
        <w:t>If 16-QAM is configured for NPDSCH, the channel quality report for 16-QAM is based on NPDSCH transport block that achieves an error probability not exceeding 10% BLER.</w:t>
      </w:r>
    </w:p>
    <w:p w14:paraId="65312666" w14:textId="77777777" w:rsidR="00C75E76" w:rsidRPr="00C75E76" w:rsidRDefault="00C75E76" w:rsidP="00540511">
      <w:pPr>
        <w:overflowPunct w:val="0"/>
        <w:snapToGrid/>
        <w:ind w:leftChars="200" w:left="440"/>
        <w:jc w:val="left"/>
        <w:textAlignment w:val="baseline"/>
        <w:rPr>
          <w:rFonts w:eastAsia="Times New Roman"/>
          <w:i/>
          <w:highlight w:val="green"/>
          <w:lang w:eastAsia="en-GB"/>
        </w:rPr>
      </w:pPr>
      <w:r w:rsidRPr="00C75E76">
        <w:rPr>
          <w:rFonts w:eastAsia="Times New Roman"/>
          <w:i/>
          <w:highlight w:val="green"/>
          <w:lang w:eastAsia="en-GB"/>
        </w:rPr>
        <w:t>Agreement</w:t>
      </w:r>
    </w:p>
    <w:p w14:paraId="299B1396" w14:textId="77777777" w:rsidR="00C75E76" w:rsidRPr="00C75E76" w:rsidRDefault="00C75E76" w:rsidP="00DA475B">
      <w:pPr>
        <w:numPr>
          <w:ilvl w:val="0"/>
          <w:numId w:val="12"/>
        </w:numPr>
        <w:overflowPunct w:val="0"/>
        <w:autoSpaceDE/>
        <w:autoSpaceDN/>
        <w:adjustRightInd/>
        <w:snapToGrid/>
        <w:ind w:leftChars="364" w:left="1161"/>
        <w:contextualSpacing/>
        <w:jc w:val="left"/>
        <w:textAlignment w:val="baseline"/>
        <w:rPr>
          <w:i/>
          <w:lang w:eastAsia="ja-JP"/>
        </w:rPr>
      </w:pPr>
      <w:r w:rsidRPr="00C75E76">
        <w:rPr>
          <w:i/>
          <w:lang w:eastAsia="ja-JP"/>
        </w:rPr>
        <w:t>When configured with downlink 16-QAM, the channel quality can be reported in MAC CE.</w:t>
      </w:r>
    </w:p>
    <w:p w14:paraId="3D4B36FC" w14:textId="77777777" w:rsidR="00C75E76" w:rsidRPr="00C75E76" w:rsidRDefault="00C75E76" w:rsidP="00DA475B">
      <w:pPr>
        <w:numPr>
          <w:ilvl w:val="1"/>
          <w:numId w:val="12"/>
        </w:numPr>
        <w:overflowPunct w:val="0"/>
        <w:autoSpaceDE/>
        <w:autoSpaceDN/>
        <w:adjustRightInd/>
        <w:snapToGrid/>
        <w:ind w:leftChars="691" w:left="1880"/>
        <w:contextualSpacing/>
        <w:jc w:val="left"/>
        <w:textAlignment w:val="baseline"/>
        <w:rPr>
          <w:i/>
          <w:lang w:eastAsia="ja-JP"/>
        </w:rPr>
      </w:pPr>
      <w:r w:rsidRPr="00C75E76">
        <w:rPr>
          <w:i/>
          <w:lang w:eastAsia="ja-JP"/>
        </w:rPr>
        <w:lastRenderedPageBreak/>
        <w:t>FFS on support in Msg3 in connected mode</w:t>
      </w:r>
    </w:p>
    <w:p w14:paraId="59C02570" w14:textId="77777777" w:rsidR="00C75E76" w:rsidRPr="00C75E76" w:rsidRDefault="00C75E76" w:rsidP="00540511">
      <w:pPr>
        <w:autoSpaceDE/>
        <w:autoSpaceDN/>
        <w:adjustRightInd/>
        <w:snapToGrid/>
        <w:ind w:leftChars="200" w:left="440"/>
        <w:jc w:val="left"/>
        <w:rPr>
          <w:i/>
          <w:color w:val="493118"/>
          <w:highlight w:val="green"/>
          <w:lang w:eastAsia="zh-CN"/>
        </w:rPr>
      </w:pPr>
      <w:r w:rsidRPr="00C75E76">
        <w:rPr>
          <w:i/>
          <w:color w:val="493118"/>
          <w:highlight w:val="green"/>
          <w:lang w:eastAsia="zh-CN"/>
        </w:rPr>
        <w:t>Agreement</w:t>
      </w:r>
    </w:p>
    <w:p w14:paraId="3B691EFE" w14:textId="77777777" w:rsidR="00C75E76" w:rsidRPr="00C75E76" w:rsidRDefault="00C75E76" w:rsidP="00540511">
      <w:pPr>
        <w:autoSpaceDE/>
        <w:autoSpaceDN/>
        <w:adjustRightInd/>
        <w:snapToGrid/>
        <w:ind w:leftChars="200" w:left="440"/>
        <w:jc w:val="left"/>
        <w:rPr>
          <w:i/>
          <w:color w:val="493118"/>
          <w:lang w:eastAsia="zh-CN"/>
        </w:rPr>
      </w:pPr>
      <w:r w:rsidRPr="00C75E76">
        <w:rPr>
          <w:i/>
          <w:color w:val="493118"/>
          <w:lang w:eastAsia="zh-CN"/>
        </w:rPr>
        <w:t>For CQI table for downlink 16-QAM, down-select between following options in RAN1#106-e:</w:t>
      </w:r>
    </w:p>
    <w:p w14:paraId="4AD6BFED" w14:textId="77777777" w:rsidR="00C75E76" w:rsidRPr="00C75E76" w:rsidRDefault="00C75E76" w:rsidP="00DA475B">
      <w:pPr>
        <w:numPr>
          <w:ilvl w:val="0"/>
          <w:numId w:val="13"/>
        </w:numPr>
        <w:overflowPunct w:val="0"/>
        <w:autoSpaceDE/>
        <w:autoSpaceDN/>
        <w:adjustRightInd/>
        <w:snapToGrid/>
        <w:ind w:leftChars="364" w:left="1161"/>
        <w:contextualSpacing/>
        <w:jc w:val="left"/>
        <w:textAlignment w:val="baseline"/>
        <w:rPr>
          <w:i/>
          <w:lang w:eastAsia="zh-CN"/>
        </w:rPr>
      </w:pPr>
      <w:r w:rsidRPr="00C75E76">
        <w:rPr>
          <w:i/>
          <w:lang w:eastAsia="zh-CN"/>
        </w:rPr>
        <w:t>Option 1: More than three candidate values for 16-QAM are added in the legacy table.</w:t>
      </w:r>
    </w:p>
    <w:p w14:paraId="2B8DD625" w14:textId="77777777" w:rsidR="00C75E76" w:rsidRPr="00C75E76" w:rsidRDefault="00C75E76" w:rsidP="00DA475B">
      <w:pPr>
        <w:numPr>
          <w:ilvl w:val="1"/>
          <w:numId w:val="13"/>
        </w:numPr>
        <w:overflowPunct w:val="0"/>
        <w:autoSpaceDE/>
        <w:autoSpaceDN/>
        <w:adjustRightInd/>
        <w:snapToGrid/>
        <w:ind w:leftChars="691" w:left="1880"/>
        <w:contextualSpacing/>
        <w:jc w:val="left"/>
        <w:textAlignment w:val="baseline"/>
        <w:rPr>
          <w:i/>
          <w:lang w:eastAsia="zh-CN"/>
        </w:rPr>
      </w:pPr>
      <w:r w:rsidRPr="00C75E76">
        <w:rPr>
          <w:i/>
          <w:lang w:eastAsia="zh-CN"/>
        </w:rPr>
        <w:t>FFS: Which of the legacy entries are removed</w:t>
      </w:r>
    </w:p>
    <w:p w14:paraId="7B5D0442" w14:textId="77777777" w:rsidR="00C75E76" w:rsidRPr="00C75E76" w:rsidRDefault="00C75E76" w:rsidP="00DA475B">
      <w:pPr>
        <w:numPr>
          <w:ilvl w:val="0"/>
          <w:numId w:val="13"/>
        </w:numPr>
        <w:overflowPunct w:val="0"/>
        <w:autoSpaceDE/>
        <w:autoSpaceDN/>
        <w:adjustRightInd/>
        <w:snapToGrid/>
        <w:ind w:leftChars="364" w:left="1161"/>
        <w:contextualSpacing/>
        <w:jc w:val="left"/>
        <w:textAlignment w:val="baseline"/>
        <w:rPr>
          <w:i/>
          <w:lang w:eastAsia="zh-CN"/>
        </w:rPr>
      </w:pPr>
      <w:r w:rsidRPr="00C75E76">
        <w:rPr>
          <w:i/>
          <w:lang w:eastAsia="zh-CN"/>
        </w:rPr>
        <w:t>Option 2: Three candidate values for 16-QAM are added in the legacy table.</w:t>
      </w:r>
    </w:p>
    <w:p w14:paraId="3A79485F" w14:textId="77777777" w:rsidR="00C75E76" w:rsidRPr="00C75E76" w:rsidRDefault="00C75E76" w:rsidP="00DA475B">
      <w:pPr>
        <w:numPr>
          <w:ilvl w:val="0"/>
          <w:numId w:val="13"/>
        </w:numPr>
        <w:overflowPunct w:val="0"/>
        <w:autoSpaceDE/>
        <w:autoSpaceDN/>
        <w:adjustRightInd/>
        <w:snapToGrid/>
        <w:ind w:leftChars="364" w:left="1161"/>
        <w:contextualSpacing/>
        <w:jc w:val="left"/>
        <w:textAlignment w:val="baseline"/>
        <w:rPr>
          <w:i/>
          <w:lang w:eastAsia="zh-CN"/>
        </w:rPr>
      </w:pPr>
      <w:r w:rsidRPr="00C75E76">
        <w:rPr>
          <w:i/>
          <w:lang w:eastAsia="zh-CN"/>
        </w:rPr>
        <w:t>Option 3: A new CQI table is defined for 16-QAM based on the eMTC table (CQI Tables in 36.213) as a starting point</w:t>
      </w:r>
    </w:p>
    <w:p w14:paraId="78EE25C2" w14:textId="77777777" w:rsidR="00884F2F" w:rsidRPr="00884F2F" w:rsidRDefault="00884F2F" w:rsidP="00540511">
      <w:pPr>
        <w:autoSpaceDE/>
        <w:autoSpaceDN/>
        <w:adjustRightInd/>
        <w:snapToGrid/>
        <w:ind w:leftChars="200" w:left="440"/>
        <w:jc w:val="left"/>
        <w:rPr>
          <w:rFonts w:eastAsia="Batang"/>
          <w:i/>
          <w:highlight w:val="yellow"/>
          <w:lang w:eastAsia="ja-JP"/>
        </w:rPr>
      </w:pPr>
      <w:r w:rsidRPr="00884F2F">
        <w:rPr>
          <w:rFonts w:eastAsia="Batang"/>
          <w:i/>
          <w:lang w:eastAsia="ja-JP"/>
        </w:rPr>
        <w:t xml:space="preserve">Conclusion </w:t>
      </w:r>
    </w:p>
    <w:p w14:paraId="632B7DFC" w14:textId="77777777" w:rsidR="00884F2F" w:rsidRPr="00884F2F" w:rsidRDefault="00884F2F" w:rsidP="00540511">
      <w:pPr>
        <w:autoSpaceDE/>
        <w:autoSpaceDN/>
        <w:adjustRightInd/>
        <w:snapToGrid/>
        <w:ind w:leftChars="200" w:left="440"/>
        <w:jc w:val="left"/>
        <w:rPr>
          <w:rFonts w:eastAsia="Batang"/>
          <w:i/>
          <w:lang w:eastAsia="ja-JP"/>
        </w:rPr>
      </w:pPr>
      <w:r w:rsidRPr="00884F2F">
        <w:rPr>
          <w:rFonts w:eastAsia="Batang"/>
          <w:i/>
          <w:lang w:eastAsia="ja-JP"/>
        </w:rPr>
        <w:t>The channel quality report is not supported in Msg3 in connected mode in Rel-17.</w:t>
      </w:r>
    </w:p>
    <w:p w14:paraId="0276EBE5" w14:textId="68F8416B" w:rsidR="00920206" w:rsidRPr="00305013" w:rsidRDefault="00001CB0" w:rsidP="0046282D">
      <w:r>
        <w:rPr>
          <w:rFonts w:hint="eastAsia"/>
        </w:rPr>
        <w:t xml:space="preserve">RAN4 discussion will be based on the RAN1 </w:t>
      </w:r>
      <w:r>
        <w:t>inputs</w:t>
      </w:r>
      <w:r w:rsidR="005E5BFD">
        <w:t xml:space="preserve"> including the agreements</w:t>
      </w:r>
      <w:r>
        <w:t xml:space="preserve"> above </w:t>
      </w:r>
      <w:r w:rsidR="005E5BFD">
        <w:t>and</w:t>
      </w:r>
      <w:r>
        <w:t xml:space="preserve"> the MCS for 16-QAM.</w:t>
      </w:r>
      <w:r w:rsidR="00CD3F79">
        <w:t xml:space="preserve"> </w:t>
      </w:r>
    </w:p>
    <w:p w14:paraId="19780933" w14:textId="2BFA53D3" w:rsidR="00094627" w:rsidRPr="00293E8C" w:rsidRDefault="00A87F80" w:rsidP="0046282D">
      <w:pPr>
        <w:rPr>
          <w:rFonts w:cs="Times"/>
          <w:b/>
        </w:rPr>
      </w:pPr>
      <w:r>
        <w:rPr>
          <w:rFonts w:cs="Times"/>
          <w:b/>
        </w:rPr>
        <w:t xml:space="preserve">Observation </w:t>
      </w:r>
      <w:r w:rsidR="001D2553">
        <w:rPr>
          <w:rFonts w:cs="Times"/>
          <w:b/>
        </w:rPr>
        <w:t>3</w:t>
      </w:r>
      <w:r>
        <w:rPr>
          <w:rFonts w:cs="Times"/>
          <w:b/>
        </w:rPr>
        <w:t xml:space="preserve">: </w:t>
      </w:r>
      <w:r w:rsidR="001734F2">
        <w:rPr>
          <w:rFonts w:cs="Times"/>
          <w:b/>
        </w:rPr>
        <w:t xml:space="preserve">RAN4 will start discussion on channel quality report, which would need </w:t>
      </w:r>
      <w:r w:rsidR="00532028">
        <w:rPr>
          <w:rFonts w:cs="Times"/>
          <w:b/>
        </w:rPr>
        <w:t>RAN1 input</w:t>
      </w:r>
      <w:r w:rsidR="001734F2">
        <w:rPr>
          <w:rFonts w:cs="Times"/>
          <w:b/>
        </w:rPr>
        <w:t>.</w:t>
      </w:r>
    </w:p>
    <w:p w14:paraId="0B70FC45" w14:textId="77777777" w:rsidR="00A87F80" w:rsidRDefault="00A87F80" w:rsidP="0046282D">
      <w:pPr>
        <w:rPr>
          <w:rFonts w:cs="Times"/>
        </w:rPr>
      </w:pPr>
    </w:p>
    <w:p w14:paraId="55A8B980" w14:textId="7C6673A3" w:rsidR="001827A2" w:rsidRPr="00CA5B3B" w:rsidRDefault="001827A2" w:rsidP="00DA475B">
      <w:pPr>
        <w:pStyle w:val="1"/>
        <w:numPr>
          <w:ilvl w:val="0"/>
          <w:numId w:val="4"/>
        </w:numPr>
        <w:rPr>
          <w:lang w:eastAsia="zh-CN"/>
        </w:rPr>
      </w:pPr>
      <w:r>
        <w:rPr>
          <w:lang w:eastAsia="zh-CN"/>
        </w:rPr>
        <w:t xml:space="preserve">Combination of legacy features and max DL TBS </w:t>
      </w:r>
      <w:r w:rsidR="00076E4F">
        <w:rPr>
          <w:lang w:eastAsia="zh-CN"/>
        </w:rPr>
        <w:t>of 1736 bits</w:t>
      </w:r>
    </w:p>
    <w:p w14:paraId="06BA3015" w14:textId="0F6FB669" w:rsidR="001827A2" w:rsidRDefault="00076E4F" w:rsidP="002058BB">
      <w:pPr>
        <w:rPr>
          <w:rFonts w:cs="Times"/>
        </w:rPr>
      </w:pPr>
      <w:r>
        <w:rPr>
          <w:rFonts w:cs="Times"/>
        </w:rPr>
        <w:t>T</w:t>
      </w:r>
      <w:r>
        <w:rPr>
          <w:rFonts w:cs="Times" w:hint="eastAsia"/>
        </w:rPr>
        <w:t xml:space="preserve">here </w:t>
      </w:r>
      <w:r>
        <w:rPr>
          <w:rFonts w:cs="Times"/>
        </w:rPr>
        <w:t>was discussion in RRC parameters on support of max DL TBS of 1736 bits with legacy features. RAN1 has achieved the following conclusion, while the other eMTC features should be subject to UEs in connected mode</w:t>
      </w:r>
      <w:r w:rsidR="00687AA2">
        <w:rPr>
          <w:rFonts w:cs="Times"/>
        </w:rPr>
        <w:t>, as this is for UEs in CE mode A</w:t>
      </w:r>
      <w:r>
        <w:rPr>
          <w:rFonts w:cs="Times"/>
        </w:rPr>
        <w:t>.</w:t>
      </w:r>
    </w:p>
    <w:p w14:paraId="574F7A6C" w14:textId="77777777" w:rsidR="00076E4F" w:rsidRPr="00076E4F" w:rsidRDefault="00076E4F" w:rsidP="002058BB">
      <w:pPr>
        <w:autoSpaceDE/>
        <w:autoSpaceDN/>
        <w:adjustRightInd/>
        <w:snapToGrid/>
        <w:ind w:leftChars="200" w:left="440"/>
        <w:jc w:val="left"/>
        <w:rPr>
          <w:rFonts w:ascii="Times" w:eastAsia="Batang" w:hAnsi="Times"/>
          <w:b/>
          <w:bCs/>
          <w:i/>
          <w:sz w:val="20"/>
          <w:szCs w:val="24"/>
          <w:lang w:eastAsia="x-none"/>
        </w:rPr>
      </w:pPr>
      <w:r w:rsidRPr="00076E4F">
        <w:rPr>
          <w:rFonts w:ascii="Times" w:eastAsia="Batang" w:hAnsi="Times"/>
          <w:b/>
          <w:bCs/>
          <w:i/>
          <w:sz w:val="20"/>
          <w:szCs w:val="24"/>
          <w:lang w:eastAsia="x-none"/>
        </w:rPr>
        <w:t>Conclusion</w:t>
      </w:r>
    </w:p>
    <w:p w14:paraId="1F18541B" w14:textId="77777777" w:rsidR="00076E4F" w:rsidRPr="00076E4F" w:rsidRDefault="00076E4F" w:rsidP="002058BB">
      <w:pPr>
        <w:overflowPunct w:val="0"/>
        <w:autoSpaceDE/>
        <w:autoSpaceDN/>
        <w:adjustRightInd/>
        <w:snapToGrid/>
        <w:ind w:leftChars="200" w:left="440"/>
        <w:jc w:val="left"/>
        <w:textAlignment w:val="baseline"/>
        <w:rPr>
          <w:rFonts w:ascii="Times" w:hAnsi="Times"/>
          <w:i/>
          <w:sz w:val="20"/>
          <w:szCs w:val="24"/>
        </w:rPr>
      </w:pPr>
      <w:r w:rsidRPr="00076E4F">
        <w:rPr>
          <w:rFonts w:ascii="Times" w:eastAsia="Times New Roman" w:hAnsi="Times"/>
          <w:i/>
          <w:sz w:val="20"/>
          <w:szCs w:val="24"/>
        </w:rPr>
        <w:t xml:space="preserve">It is RAN1 assumption that 1736 DL TBS feature is compatible with all other eMTC features </w:t>
      </w:r>
      <w:r w:rsidRPr="00076E4F">
        <w:rPr>
          <w:rFonts w:ascii="Times" w:hAnsi="Times"/>
          <w:i/>
          <w:sz w:val="20"/>
          <w:szCs w:val="24"/>
        </w:rPr>
        <w:t>applicable for HD-FDD Cat. M1 UEs in CE mode A. It is assumed that there’s no change to DCI formats, TBS tables and CQI tables</w:t>
      </w:r>
      <w:r w:rsidRPr="00076E4F">
        <w:rPr>
          <w:rFonts w:ascii="Times" w:eastAsia="Times New Roman" w:hAnsi="Times"/>
          <w:i/>
          <w:sz w:val="20"/>
          <w:szCs w:val="24"/>
        </w:rPr>
        <w:t>.</w:t>
      </w:r>
    </w:p>
    <w:p w14:paraId="626B99CE" w14:textId="423CA8A3" w:rsidR="00076E4F" w:rsidRDefault="002058BB" w:rsidP="002058BB">
      <w:pPr>
        <w:rPr>
          <w:rFonts w:cs="Times"/>
        </w:rPr>
      </w:pPr>
      <w:r>
        <w:rPr>
          <w:rFonts w:cs="Times" w:hint="eastAsia"/>
        </w:rPr>
        <w:t xml:space="preserve">For UEs </w:t>
      </w:r>
      <w:r>
        <w:rPr>
          <w:rFonts w:cs="Times"/>
        </w:rPr>
        <w:t>in idle mode, RAN2 has made the following agreement as in Appendix A:</w:t>
      </w:r>
    </w:p>
    <w:p w14:paraId="68FDF665" w14:textId="77777777" w:rsidR="00655E3A" w:rsidRPr="00655E3A" w:rsidRDefault="00655E3A" w:rsidP="00DA475B">
      <w:pPr>
        <w:pStyle w:val="a4"/>
        <w:widowControl w:val="0"/>
        <w:numPr>
          <w:ilvl w:val="0"/>
          <w:numId w:val="10"/>
        </w:numPr>
        <w:spacing w:after="120"/>
        <w:rPr>
          <w:rFonts w:ascii="Times New Roman" w:hAnsi="Times New Roman" w:cs="Times New Roman"/>
          <w:i/>
          <w:sz w:val="22"/>
          <w:szCs w:val="22"/>
        </w:rPr>
      </w:pPr>
      <w:r w:rsidRPr="00655E3A">
        <w:rPr>
          <w:rFonts w:ascii="Times New Roman" w:hAnsi="Times New Roman" w:cs="Times New Roman"/>
          <w:i/>
          <w:sz w:val="22"/>
          <w:szCs w:val="22"/>
        </w:rPr>
        <w:t xml:space="preserve">Max DL TBS of 1736 bits can be supported for PUR. </w:t>
      </w:r>
    </w:p>
    <w:p w14:paraId="71E276DA" w14:textId="77777777" w:rsidR="00655E3A" w:rsidRPr="00655E3A" w:rsidRDefault="00655E3A" w:rsidP="00DA475B">
      <w:pPr>
        <w:pStyle w:val="a4"/>
        <w:widowControl w:val="0"/>
        <w:numPr>
          <w:ilvl w:val="0"/>
          <w:numId w:val="10"/>
        </w:numPr>
        <w:spacing w:after="120"/>
        <w:rPr>
          <w:rFonts w:ascii="Times New Roman" w:hAnsi="Times New Roman" w:cs="Times New Roman"/>
          <w:i/>
          <w:sz w:val="22"/>
          <w:szCs w:val="22"/>
        </w:rPr>
      </w:pPr>
      <w:r w:rsidRPr="00655E3A">
        <w:rPr>
          <w:rFonts w:ascii="Times New Roman" w:hAnsi="Times New Roman" w:cs="Times New Roman"/>
          <w:i/>
          <w:sz w:val="22"/>
          <w:szCs w:val="22"/>
        </w:rPr>
        <w:t>FFS EDT support.</w:t>
      </w:r>
    </w:p>
    <w:p w14:paraId="3C346CBF" w14:textId="6831E7E7" w:rsidR="002058BB" w:rsidRDefault="001F4970" w:rsidP="002058BB">
      <w:pPr>
        <w:rPr>
          <w:rFonts w:cs="Times"/>
        </w:rPr>
      </w:pPr>
      <w:r>
        <w:rPr>
          <w:rFonts w:cs="Times"/>
        </w:rPr>
        <w:t>T</w:t>
      </w:r>
      <w:r>
        <w:rPr>
          <w:rFonts w:cs="Times" w:hint="eastAsia"/>
        </w:rPr>
        <w:t>herefore,</w:t>
      </w:r>
      <w:r>
        <w:rPr>
          <w:rFonts w:cs="Times"/>
        </w:rPr>
        <w:t xml:space="preserve"> based on the above conclusion and agreements, the support of max DL TBS of 1736 bits with other idle mode legacy features can be discussed in RAN2.</w:t>
      </w:r>
    </w:p>
    <w:p w14:paraId="1D317E18" w14:textId="643DB305" w:rsidR="003F661D" w:rsidRPr="00A97329" w:rsidRDefault="00E54F6E" w:rsidP="002058BB">
      <w:pPr>
        <w:rPr>
          <w:rFonts w:cs="Times"/>
          <w:b/>
        </w:rPr>
      </w:pPr>
      <w:r w:rsidRPr="00A97329">
        <w:rPr>
          <w:rFonts w:cs="Times" w:hint="eastAsia"/>
          <w:b/>
        </w:rPr>
        <w:t>Observation</w:t>
      </w:r>
      <w:r w:rsidRPr="00A97329">
        <w:rPr>
          <w:rFonts w:cs="Times"/>
          <w:b/>
        </w:rPr>
        <w:t xml:space="preserve"> 4</w:t>
      </w:r>
      <w:r w:rsidRPr="00A97329">
        <w:rPr>
          <w:rFonts w:cs="Times" w:hint="eastAsia"/>
          <w:b/>
        </w:rPr>
        <w:t xml:space="preserve">: </w:t>
      </w:r>
      <w:r w:rsidR="00F43C1A">
        <w:rPr>
          <w:rFonts w:cs="Times"/>
          <w:b/>
        </w:rPr>
        <w:t xml:space="preserve">Based on conclusions and agreements in RAN1/2 so far, </w:t>
      </w:r>
      <w:r w:rsidR="00F43C1A" w:rsidRPr="00F43C1A">
        <w:rPr>
          <w:rFonts w:cs="Times"/>
          <w:b/>
        </w:rPr>
        <w:t xml:space="preserve">max DL TBS of 1736 bits can be supported together with </w:t>
      </w:r>
      <w:r w:rsidR="00F43C1A">
        <w:rPr>
          <w:rFonts w:cs="Times"/>
          <w:b/>
        </w:rPr>
        <w:t>legacy features used in CONNECTED mode without spec impacts, and with PUR.</w:t>
      </w:r>
    </w:p>
    <w:p w14:paraId="2FD33BC5" w14:textId="77777777" w:rsidR="001827A2" w:rsidRPr="00CB37E0" w:rsidRDefault="001827A2" w:rsidP="002058BB">
      <w:pPr>
        <w:rPr>
          <w:rFonts w:cs="Times"/>
        </w:rPr>
      </w:pPr>
    </w:p>
    <w:p w14:paraId="677FE21A" w14:textId="481EBDA8" w:rsidR="00721F16" w:rsidRPr="003E7E99" w:rsidRDefault="00721F16" w:rsidP="00DA475B">
      <w:pPr>
        <w:pStyle w:val="1"/>
        <w:numPr>
          <w:ilvl w:val="0"/>
          <w:numId w:val="4"/>
        </w:numPr>
        <w:rPr>
          <w:lang w:eastAsia="zh-CN"/>
        </w:rPr>
      </w:pPr>
      <w:r w:rsidRPr="003E7E99">
        <w:rPr>
          <w:lang w:eastAsia="zh-CN"/>
        </w:rPr>
        <w:t>Conclusion</w:t>
      </w:r>
    </w:p>
    <w:p w14:paraId="4142021F" w14:textId="0696F4D2" w:rsidR="00A8271E" w:rsidRDefault="004F091F" w:rsidP="00816151">
      <w:pPr>
        <w:rPr>
          <w:lang w:eastAsia="zh-CN"/>
        </w:rPr>
      </w:pPr>
      <w:r w:rsidRPr="004F091F">
        <w:rPr>
          <w:lang w:eastAsia="zh-CN"/>
        </w:rPr>
        <w:t xml:space="preserve">In this contribution, </w:t>
      </w:r>
      <w:r w:rsidR="00AB3ABD">
        <w:rPr>
          <w:lang w:eastAsia="zh-CN"/>
        </w:rPr>
        <w:t>we give further considerations on several issues regarding Rel-17 NB-IoT and eMTC enhancements</w:t>
      </w:r>
      <w:r w:rsidR="00AB3ABD">
        <w:rPr>
          <w:rFonts w:hint="eastAsia"/>
          <w:lang w:eastAsia="zh-CN"/>
        </w:rPr>
        <w:t>.</w:t>
      </w:r>
      <w:r w:rsidRPr="004F091F">
        <w:rPr>
          <w:lang w:eastAsia="zh-CN"/>
        </w:rPr>
        <w:t xml:space="preserve"> T</w:t>
      </w:r>
      <w:r>
        <w:rPr>
          <w:lang w:eastAsia="zh-CN"/>
        </w:rPr>
        <w:t xml:space="preserve">he following </w:t>
      </w:r>
      <w:r w:rsidR="00AB3ABD">
        <w:rPr>
          <w:lang w:eastAsia="zh-CN"/>
        </w:rPr>
        <w:t xml:space="preserve">observations and </w:t>
      </w:r>
      <w:r>
        <w:rPr>
          <w:lang w:eastAsia="zh-CN"/>
        </w:rPr>
        <w:t>proposals are made</w:t>
      </w:r>
      <w:r w:rsidR="000E5F63" w:rsidRPr="00EC21D8">
        <w:rPr>
          <w:lang w:eastAsia="zh-CN"/>
        </w:rPr>
        <w:t>.</w:t>
      </w:r>
    </w:p>
    <w:p w14:paraId="21A00E44" w14:textId="77777777" w:rsidR="000439EA" w:rsidRPr="00AC6388" w:rsidRDefault="000439EA" w:rsidP="000439EA">
      <w:pPr>
        <w:rPr>
          <w:rFonts w:cs="Times"/>
          <w:b/>
        </w:rPr>
      </w:pPr>
      <w:r w:rsidRPr="00AC6388">
        <w:rPr>
          <w:rFonts w:cs="Times"/>
          <w:b/>
        </w:rPr>
        <w:t xml:space="preserve">Observation 1: There is no limitation of NB-IoT 16-QAM </w:t>
      </w:r>
      <w:r>
        <w:rPr>
          <w:rFonts w:cs="Times"/>
          <w:b/>
        </w:rPr>
        <w:t>regarding FDD and TDD in WID.</w:t>
      </w:r>
    </w:p>
    <w:p w14:paraId="5FB594E9" w14:textId="77777777" w:rsidR="000439EA" w:rsidRPr="00820C5E" w:rsidRDefault="000439EA" w:rsidP="000439EA">
      <w:pPr>
        <w:rPr>
          <w:rFonts w:cs="Times"/>
        </w:rPr>
      </w:pPr>
      <w:r w:rsidRPr="0002119C">
        <w:rPr>
          <w:rFonts w:cs="Times"/>
          <w:b/>
        </w:rPr>
        <w:t xml:space="preserve">Observation 2: </w:t>
      </w:r>
      <w:r w:rsidRPr="00AC6388">
        <w:rPr>
          <w:rFonts w:cs="Times"/>
          <w:b/>
        </w:rPr>
        <w:t xml:space="preserve">There is no limitation of NB-IoT 16-QAM </w:t>
      </w:r>
      <w:r>
        <w:rPr>
          <w:rFonts w:cs="Times"/>
          <w:b/>
        </w:rPr>
        <w:t>regarding FDD and TDD in RAN1 agreements/working assumptions/conclusions.</w:t>
      </w:r>
    </w:p>
    <w:p w14:paraId="33BFBF33" w14:textId="77777777" w:rsidR="000439EA" w:rsidRPr="00293E8C" w:rsidRDefault="000439EA" w:rsidP="000439EA">
      <w:pPr>
        <w:rPr>
          <w:rFonts w:cs="Times"/>
          <w:b/>
        </w:rPr>
      </w:pPr>
      <w:r>
        <w:rPr>
          <w:rFonts w:cs="Times"/>
          <w:b/>
        </w:rPr>
        <w:t>Observation 3: RAN4 will start discussion on channel quality report, which would need RAN1 input.</w:t>
      </w:r>
    </w:p>
    <w:p w14:paraId="2F605E5B" w14:textId="77777777" w:rsidR="000439EA" w:rsidRPr="00A97329" w:rsidRDefault="000439EA" w:rsidP="000439EA">
      <w:pPr>
        <w:rPr>
          <w:rFonts w:cs="Times"/>
          <w:b/>
        </w:rPr>
      </w:pPr>
      <w:r w:rsidRPr="00A97329">
        <w:rPr>
          <w:rFonts w:cs="Times" w:hint="eastAsia"/>
          <w:b/>
        </w:rPr>
        <w:t>Observation</w:t>
      </w:r>
      <w:r w:rsidRPr="00A97329">
        <w:rPr>
          <w:rFonts w:cs="Times"/>
          <w:b/>
        </w:rPr>
        <w:t xml:space="preserve"> 4</w:t>
      </w:r>
      <w:r w:rsidRPr="00A97329">
        <w:rPr>
          <w:rFonts w:cs="Times" w:hint="eastAsia"/>
          <w:b/>
        </w:rPr>
        <w:t xml:space="preserve">: </w:t>
      </w:r>
      <w:r>
        <w:rPr>
          <w:rFonts w:cs="Times"/>
          <w:b/>
        </w:rPr>
        <w:t xml:space="preserve">Based on conclusions and agreements in RAN1/2 so far, </w:t>
      </w:r>
      <w:r w:rsidRPr="00F43C1A">
        <w:rPr>
          <w:rFonts w:cs="Times"/>
          <w:b/>
        </w:rPr>
        <w:t xml:space="preserve">max DL TBS of 1736 bits can be supported together with </w:t>
      </w:r>
      <w:r>
        <w:rPr>
          <w:rFonts w:cs="Times"/>
          <w:b/>
        </w:rPr>
        <w:t>legacy features used in CONNECTED mode without spec impacts, and with PUR.</w:t>
      </w:r>
    </w:p>
    <w:p w14:paraId="14EBE836" w14:textId="77777777" w:rsidR="00DE6CD9" w:rsidRDefault="00DE6CD9" w:rsidP="00984A59">
      <w:pPr>
        <w:pStyle w:val="References"/>
        <w:numPr>
          <w:ilvl w:val="0"/>
          <w:numId w:val="0"/>
        </w:numPr>
      </w:pPr>
    </w:p>
    <w:p w14:paraId="49175847" w14:textId="7DDACC99" w:rsidR="004C63ED" w:rsidRDefault="00084583" w:rsidP="00A30261">
      <w:pPr>
        <w:pStyle w:val="1"/>
        <w:numPr>
          <w:ilvl w:val="0"/>
          <w:numId w:val="0"/>
        </w:numPr>
        <w:ind w:left="432" w:hanging="432"/>
      </w:pPr>
      <w:r>
        <w:rPr>
          <w:rFonts w:hint="eastAsia"/>
          <w:lang w:eastAsia="zh-CN"/>
        </w:rPr>
        <w:lastRenderedPageBreak/>
        <w:t>Reference</w:t>
      </w:r>
    </w:p>
    <w:p w14:paraId="4E110432" w14:textId="7C70D592" w:rsidR="00084583" w:rsidRDefault="00401DF3" w:rsidP="00DA475B">
      <w:pPr>
        <w:pStyle w:val="References"/>
        <w:numPr>
          <w:ilvl w:val="0"/>
          <w:numId w:val="6"/>
        </w:numPr>
      </w:pPr>
      <w:r w:rsidRPr="00401DF3">
        <w:t>R1-2107687</w:t>
      </w:r>
      <w:r>
        <w:t xml:space="preserve">, </w:t>
      </w:r>
      <w:r w:rsidRPr="00401DF3">
        <w:t>Work plan of Rel-17 enhancements for NB-IoT and LTE-MTC</w:t>
      </w:r>
      <w:r>
        <w:t xml:space="preserve">, </w:t>
      </w:r>
      <w:r w:rsidR="00DA3AAC">
        <w:t xml:space="preserve">Huawei, Ericsson, </w:t>
      </w:r>
      <w:r w:rsidR="006C324D">
        <w:t>RAN1#106-e, E-meeting, Aug., 2021.</w:t>
      </w:r>
    </w:p>
    <w:p w14:paraId="725F5371" w14:textId="77777777" w:rsidR="00084583" w:rsidRDefault="00084583" w:rsidP="00984A59">
      <w:pPr>
        <w:pStyle w:val="References"/>
        <w:numPr>
          <w:ilvl w:val="0"/>
          <w:numId w:val="0"/>
        </w:numPr>
      </w:pPr>
    </w:p>
    <w:p w14:paraId="58C950E7" w14:textId="1B3535F5" w:rsidR="005545E3" w:rsidRDefault="005545E3" w:rsidP="00530946">
      <w:pPr>
        <w:pStyle w:val="1"/>
        <w:numPr>
          <w:ilvl w:val="0"/>
          <w:numId w:val="0"/>
        </w:numPr>
        <w:ind w:left="432" w:hanging="432"/>
        <w:rPr>
          <w:lang w:eastAsia="zh-CN"/>
        </w:rPr>
      </w:pPr>
      <w:r>
        <w:rPr>
          <w:rFonts w:hint="eastAsia"/>
          <w:lang w:eastAsia="zh-CN"/>
        </w:rPr>
        <w:t>Appendix</w:t>
      </w:r>
      <w:r w:rsidR="005D1A18">
        <w:rPr>
          <w:lang w:eastAsia="zh-CN"/>
        </w:rPr>
        <w:t xml:space="preserve"> A</w:t>
      </w:r>
      <w:r>
        <w:rPr>
          <w:rFonts w:hint="eastAsia"/>
          <w:lang w:eastAsia="zh-CN"/>
        </w:rPr>
        <w:t>: RAN2</w:t>
      </w:r>
      <w:r>
        <w:rPr>
          <w:lang w:eastAsia="zh-CN"/>
        </w:rPr>
        <w:t xml:space="preserve"> agreements related to RAN1 objectives</w:t>
      </w:r>
    </w:p>
    <w:p w14:paraId="7F78563F" w14:textId="205D4854" w:rsidR="007244E5" w:rsidRPr="005F2943" w:rsidRDefault="00F03DA5" w:rsidP="005F2943">
      <w:pPr>
        <w:pStyle w:val="Agreement"/>
        <w:numPr>
          <w:ilvl w:val="0"/>
          <w:numId w:val="0"/>
        </w:numPr>
        <w:spacing w:before="0" w:after="120"/>
        <w:rPr>
          <w:rFonts w:ascii="Times New Roman" w:hAnsi="Times New Roman"/>
          <w:sz w:val="22"/>
          <w:szCs w:val="22"/>
        </w:rPr>
      </w:pPr>
      <w:r w:rsidRPr="005F2943">
        <w:rPr>
          <w:rFonts w:ascii="Times New Roman" w:eastAsia="Yu Mincho" w:hAnsi="Times New Roman"/>
          <w:sz w:val="22"/>
          <w:szCs w:val="22"/>
          <w:u w:val="single"/>
          <w:lang w:eastAsia="ja-JP"/>
        </w:rPr>
        <w:t>NB-IoT: 16-QAM for unicast in UL and DL</w:t>
      </w:r>
    </w:p>
    <w:p w14:paraId="28B7E21F" w14:textId="77777777" w:rsidR="00F03DA5" w:rsidRPr="005F2943" w:rsidRDefault="00F03DA5" w:rsidP="005F2943">
      <w:pPr>
        <w:rPr>
          <w:rFonts w:eastAsia="MS Mincho"/>
          <w:lang w:eastAsia="ja-JP"/>
        </w:rPr>
      </w:pPr>
      <w:r w:rsidRPr="005F2943">
        <w:rPr>
          <w:rFonts w:eastAsia="MS Mincho"/>
          <w:highlight w:val="green"/>
          <w:lang w:eastAsia="ja-JP"/>
        </w:rPr>
        <w:t>RAN2#113bis-e agreements:</w:t>
      </w:r>
    </w:p>
    <w:p w14:paraId="316A75A9" w14:textId="77777777" w:rsidR="00F03DA5" w:rsidRPr="005F2943" w:rsidRDefault="00F03DA5" w:rsidP="00DA475B">
      <w:pPr>
        <w:pStyle w:val="a4"/>
        <w:widowControl w:val="0"/>
        <w:numPr>
          <w:ilvl w:val="0"/>
          <w:numId w:val="7"/>
        </w:numPr>
        <w:tabs>
          <w:tab w:val="num" w:pos="1619"/>
        </w:tabs>
        <w:spacing w:after="120"/>
        <w:rPr>
          <w:rFonts w:ascii="Times New Roman" w:eastAsia="MS Mincho" w:hAnsi="Times New Roman" w:cs="Times New Roman"/>
          <w:sz w:val="22"/>
          <w:szCs w:val="22"/>
        </w:rPr>
      </w:pPr>
      <w:r w:rsidRPr="005F2943">
        <w:rPr>
          <w:rFonts w:ascii="Times New Roman" w:eastAsia="MS Mincho" w:hAnsi="Times New Roman" w:cs="Times New Roman"/>
          <w:sz w:val="22"/>
          <w:szCs w:val="22"/>
        </w:rPr>
        <w:t xml:space="preserve">Working assumption: For the UE supporting 16-QAM, the L2 buffer size is 12000 bytes. </w:t>
      </w:r>
    </w:p>
    <w:p w14:paraId="5C30A949" w14:textId="77777777" w:rsidR="00F03DA5" w:rsidRPr="005F2943" w:rsidRDefault="00F03DA5" w:rsidP="00DA475B">
      <w:pPr>
        <w:pStyle w:val="a4"/>
        <w:widowControl w:val="0"/>
        <w:numPr>
          <w:ilvl w:val="0"/>
          <w:numId w:val="7"/>
        </w:numPr>
        <w:tabs>
          <w:tab w:val="num" w:pos="1619"/>
        </w:tabs>
        <w:spacing w:after="120"/>
        <w:ind w:left="924" w:hanging="357"/>
        <w:rPr>
          <w:rFonts w:ascii="Times New Roman" w:eastAsia="MS Mincho" w:hAnsi="Times New Roman" w:cs="Times New Roman"/>
          <w:b/>
          <w:sz w:val="22"/>
          <w:szCs w:val="22"/>
        </w:rPr>
      </w:pPr>
      <w:r w:rsidRPr="005F2943">
        <w:rPr>
          <w:rFonts w:ascii="Times New Roman" w:eastAsia="MS Mincho" w:hAnsi="Times New Roman" w:cs="Times New Roman"/>
          <w:sz w:val="22"/>
          <w:szCs w:val="22"/>
        </w:rPr>
        <w:t>Working assumption: Support of 16-QAM has separate UE capabilities for DL and UL</w:t>
      </w:r>
    </w:p>
    <w:p w14:paraId="57AFF09A" w14:textId="77777777" w:rsidR="005F62FC" w:rsidRPr="005F2943" w:rsidRDefault="005F62FC" w:rsidP="005F2943">
      <w:pPr>
        <w:rPr>
          <w:rFonts w:eastAsia="MS Mincho"/>
          <w:lang w:eastAsia="ja-JP"/>
        </w:rPr>
      </w:pPr>
      <w:r w:rsidRPr="005F2943">
        <w:rPr>
          <w:rFonts w:eastAsia="MS Mincho"/>
          <w:highlight w:val="green"/>
          <w:lang w:eastAsia="ja-JP"/>
        </w:rPr>
        <w:t>RAN2#115-e agreements:</w:t>
      </w:r>
    </w:p>
    <w:p w14:paraId="13AE1CF7" w14:textId="77777777" w:rsidR="005F62FC" w:rsidRPr="005F2943" w:rsidRDefault="005F62FC"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Confirm the working assumption: The support of 16-QAM uses separate UE capabilities for DL and UL.</w:t>
      </w:r>
    </w:p>
    <w:p w14:paraId="382B0286" w14:textId="77777777" w:rsidR="005F62FC" w:rsidRPr="005F2943" w:rsidRDefault="005F62FC"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16QAM is configured via dedicated signaling separately for UL and DL.</w:t>
      </w:r>
    </w:p>
    <w:p w14:paraId="63778730" w14:textId="650CB029" w:rsidR="005F62FC" w:rsidRPr="005F2943" w:rsidRDefault="005F62FC"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A NPUSCH 16QAM activation indication is needed in PUR configuration.</w:t>
      </w:r>
    </w:p>
    <w:p w14:paraId="3E318822" w14:textId="654C5933" w:rsidR="005545E3" w:rsidRPr="005F2943" w:rsidRDefault="00F03DA5" w:rsidP="005F2943">
      <w:pPr>
        <w:pStyle w:val="References"/>
        <w:numPr>
          <w:ilvl w:val="0"/>
          <w:numId w:val="0"/>
        </w:numPr>
        <w:spacing w:after="120"/>
        <w:rPr>
          <w:sz w:val="22"/>
          <w:szCs w:val="22"/>
          <w:lang w:val="en-GB"/>
        </w:rPr>
      </w:pPr>
      <w:r w:rsidRPr="005F2943">
        <w:rPr>
          <w:rFonts w:eastAsia="Yu Mincho"/>
          <w:b/>
          <w:sz w:val="22"/>
          <w:szCs w:val="22"/>
          <w:u w:val="single"/>
          <w:lang w:eastAsia="ja-JP"/>
        </w:rPr>
        <w:t>eMTC: 14-HARQ processes in DL, for HD-FDD Cat M1 UEs</w:t>
      </w:r>
    </w:p>
    <w:p w14:paraId="4FA8677A" w14:textId="77777777" w:rsidR="00F03DA5" w:rsidRPr="005F2943" w:rsidRDefault="00F03DA5" w:rsidP="005F2943">
      <w:pPr>
        <w:rPr>
          <w:rFonts w:eastAsia="MS Mincho"/>
          <w:lang w:eastAsia="ja-JP"/>
        </w:rPr>
      </w:pPr>
      <w:r w:rsidRPr="005F2943">
        <w:rPr>
          <w:rFonts w:eastAsia="MS Mincho"/>
          <w:highlight w:val="green"/>
          <w:lang w:eastAsia="ja-JP"/>
        </w:rPr>
        <w:t>RAN2#113bis-e agreements:</w:t>
      </w:r>
    </w:p>
    <w:p w14:paraId="0A969960" w14:textId="77777777" w:rsidR="00F03DA5" w:rsidRPr="00213113" w:rsidRDefault="00F03DA5"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14 HARQ activation is configured by dedicated RRC signalling.</w:t>
      </w:r>
    </w:p>
    <w:p w14:paraId="4527FC77" w14:textId="359090C1" w:rsidR="00C06C8A" w:rsidRPr="00213113" w:rsidRDefault="00F03DA5"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Working assumption: No change to current L2 buffer size requirement</w:t>
      </w:r>
    </w:p>
    <w:p w14:paraId="2AC24AA7" w14:textId="4D85071A" w:rsidR="00C06C8A" w:rsidRPr="005F2943" w:rsidRDefault="00C06C8A" w:rsidP="005F2943">
      <w:pPr>
        <w:rPr>
          <w:rFonts w:eastAsia="MS Mincho"/>
          <w:lang w:eastAsia="ja-JP"/>
        </w:rPr>
      </w:pPr>
      <w:r w:rsidRPr="005F2943">
        <w:rPr>
          <w:rFonts w:eastAsia="MS Mincho"/>
          <w:highlight w:val="green"/>
          <w:lang w:eastAsia="ja-JP"/>
        </w:rPr>
        <w:t>RAN2#115-e agreements:</w:t>
      </w:r>
    </w:p>
    <w:p w14:paraId="06E8C460" w14:textId="7AB6AFD9" w:rsidR="00C06C8A" w:rsidRPr="00213113" w:rsidRDefault="00C06C8A" w:rsidP="00DA475B">
      <w:pPr>
        <w:pStyle w:val="a4"/>
        <w:widowControl w:val="0"/>
        <w:numPr>
          <w:ilvl w:val="0"/>
          <w:numId w:val="10"/>
        </w:numPr>
        <w:spacing w:after="120"/>
        <w:rPr>
          <w:rFonts w:ascii="Times New Roman" w:hAnsi="Times New Roman" w:cs="Times New Roman"/>
          <w:sz w:val="22"/>
          <w:szCs w:val="22"/>
        </w:rPr>
      </w:pPr>
      <w:r w:rsidRPr="00213113">
        <w:rPr>
          <w:rFonts w:ascii="Times New Roman" w:hAnsi="Times New Roman" w:cs="Times New Roman"/>
          <w:sz w:val="22"/>
          <w:szCs w:val="22"/>
        </w:rPr>
        <w:t>Confirm the working assumption: No change to current L2 buffer size requirement for HD-FDD Cat M1 UEs supporting 14 HARQ processes in DL.</w:t>
      </w:r>
    </w:p>
    <w:p w14:paraId="35AC77B0" w14:textId="07C81675" w:rsidR="00F03DA5" w:rsidRPr="005F2943" w:rsidRDefault="00F03DA5" w:rsidP="005F2943">
      <w:pPr>
        <w:pStyle w:val="References"/>
        <w:numPr>
          <w:ilvl w:val="0"/>
          <w:numId w:val="0"/>
        </w:numPr>
        <w:spacing w:after="120"/>
        <w:rPr>
          <w:sz w:val="22"/>
          <w:szCs w:val="22"/>
          <w:lang w:val="en-GB"/>
        </w:rPr>
      </w:pPr>
      <w:r w:rsidRPr="005F2943">
        <w:rPr>
          <w:rFonts w:eastAsia="Yu Mincho"/>
          <w:b/>
          <w:sz w:val="22"/>
          <w:szCs w:val="22"/>
          <w:u w:val="single"/>
          <w:lang w:eastAsia="ja-JP"/>
        </w:rPr>
        <w:t>eMTC: maximum DL TBS of 1736 bits</w:t>
      </w:r>
    </w:p>
    <w:p w14:paraId="2B3B7442" w14:textId="77777777" w:rsidR="00F03DA5" w:rsidRPr="005F2943" w:rsidRDefault="00F03DA5" w:rsidP="005F2943">
      <w:pPr>
        <w:rPr>
          <w:rFonts w:eastAsia="MS Mincho"/>
          <w:lang w:eastAsia="ja-JP"/>
        </w:rPr>
      </w:pPr>
      <w:r w:rsidRPr="005F2943">
        <w:rPr>
          <w:rFonts w:eastAsia="MS Mincho"/>
          <w:highlight w:val="green"/>
          <w:lang w:eastAsia="ja-JP"/>
        </w:rPr>
        <w:t>RAN2#113bis-e agreements:</w:t>
      </w:r>
    </w:p>
    <w:p w14:paraId="22E7CB30" w14:textId="77777777" w:rsidR="00F03DA5" w:rsidRPr="00213113" w:rsidRDefault="00F03DA5" w:rsidP="00DA475B">
      <w:pPr>
        <w:pStyle w:val="a4"/>
        <w:widowControl w:val="0"/>
        <w:numPr>
          <w:ilvl w:val="0"/>
          <w:numId w:val="10"/>
        </w:numPr>
        <w:spacing w:after="120"/>
        <w:rPr>
          <w:rFonts w:ascii="Times New Roman" w:hAnsi="Times New Roman" w:cs="Times New Roman"/>
          <w:sz w:val="22"/>
          <w:szCs w:val="22"/>
        </w:rPr>
      </w:pPr>
      <w:r w:rsidRPr="00213113">
        <w:rPr>
          <w:rFonts w:ascii="Times New Roman" w:hAnsi="Times New Roman" w:cs="Times New Roman"/>
          <w:sz w:val="22"/>
          <w:szCs w:val="22"/>
        </w:rPr>
        <w:t>DL TBS of 1736 bits is configured by dedicated RRC signalling.</w:t>
      </w:r>
    </w:p>
    <w:p w14:paraId="316AC7A8" w14:textId="77777777" w:rsidR="00F03DA5" w:rsidRPr="00213113" w:rsidRDefault="00F03DA5" w:rsidP="00DA475B">
      <w:pPr>
        <w:pStyle w:val="a4"/>
        <w:widowControl w:val="0"/>
        <w:numPr>
          <w:ilvl w:val="0"/>
          <w:numId w:val="10"/>
        </w:numPr>
        <w:spacing w:after="120"/>
        <w:rPr>
          <w:rFonts w:ascii="Times New Roman" w:hAnsi="Times New Roman" w:cs="Times New Roman"/>
          <w:sz w:val="22"/>
          <w:szCs w:val="22"/>
        </w:rPr>
      </w:pPr>
      <w:r w:rsidRPr="00213113">
        <w:rPr>
          <w:rFonts w:ascii="Times New Roman" w:hAnsi="Times New Roman" w:cs="Times New Roman"/>
          <w:sz w:val="22"/>
          <w:szCs w:val="22"/>
        </w:rPr>
        <w:t>FFS: Whether to update L2 buffer size requirement</w:t>
      </w:r>
    </w:p>
    <w:p w14:paraId="29485469" w14:textId="77777777" w:rsidR="00FF3895" w:rsidRPr="005F2943" w:rsidRDefault="00FF3895" w:rsidP="005F2943">
      <w:pPr>
        <w:rPr>
          <w:rFonts w:eastAsia="MS Mincho"/>
          <w:lang w:eastAsia="ja-JP"/>
        </w:rPr>
      </w:pPr>
      <w:r w:rsidRPr="005F2943">
        <w:rPr>
          <w:rFonts w:eastAsia="MS Mincho"/>
          <w:highlight w:val="green"/>
          <w:lang w:eastAsia="ja-JP"/>
        </w:rPr>
        <w:t>RAN2#115-e agreements:</w:t>
      </w:r>
    </w:p>
    <w:p w14:paraId="56DB03A7" w14:textId="77777777" w:rsidR="00FF3895" w:rsidRPr="005F2943" w:rsidRDefault="00FF3895"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The table 4.1A-1 in TS 36.306 for DL Category M1 needs to be updated to indicate 1736 bits TBS and 43008 soft channel bits.</w:t>
      </w:r>
    </w:p>
    <w:p w14:paraId="277F9F0D" w14:textId="77777777" w:rsidR="00FF3895" w:rsidRPr="005F2943" w:rsidRDefault="00FF3895"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 xml:space="preserve">Max DL TBS of 1736 bits can be supported for PUR. </w:t>
      </w:r>
    </w:p>
    <w:p w14:paraId="6EED865B" w14:textId="66058B5D" w:rsidR="00FF3895" w:rsidRPr="005F2943" w:rsidRDefault="00FF3895" w:rsidP="00DA475B">
      <w:pPr>
        <w:pStyle w:val="a4"/>
        <w:widowControl w:val="0"/>
        <w:numPr>
          <w:ilvl w:val="0"/>
          <w:numId w:val="10"/>
        </w:numPr>
        <w:spacing w:after="120"/>
        <w:rPr>
          <w:rFonts w:ascii="Times New Roman" w:hAnsi="Times New Roman" w:cs="Times New Roman"/>
          <w:sz w:val="22"/>
          <w:szCs w:val="22"/>
        </w:rPr>
      </w:pPr>
      <w:r w:rsidRPr="005F2943">
        <w:rPr>
          <w:rFonts w:ascii="Times New Roman" w:hAnsi="Times New Roman" w:cs="Times New Roman"/>
          <w:sz w:val="22"/>
          <w:szCs w:val="22"/>
        </w:rPr>
        <w:t>FFS EDT support.</w:t>
      </w:r>
    </w:p>
    <w:p w14:paraId="3DC6B30D" w14:textId="77777777" w:rsidR="00530946" w:rsidRPr="00F03DA5" w:rsidRDefault="00530946" w:rsidP="00984A59">
      <w:pPr>
        <w:pStyle w:val="References"/>
        <w:numPr>
          <w:ilvl w:val="0"/>
          <w:numId w:val="0"/>
        </w:numPr>
        <w:rPr>
          <w:lang w:val="en-GB"/>
        </w:rPr>
      </w:pPr>
    </w:p>
    <w:p w14:paraId="646E45E6" w14:textId="4BEFE9C9" w:rsidR="00315FF6" w:rsidRDefault="00315FF6" w:rsidP="00315FF6">
      <w:pPr>
        <w:pStyle w:val="1"/>
        <w:numPr>
          <w:ilvl w:val="0"/>
          <w:numId w:val="0"/>
        </w:numPr>
        <w:ind w:left="432" w:hanging="432"/>
        <w:rPr>
          <w:lang w:eastAsia="zh-CN"/>
        </w:rPr>
      </w:pPr>
      <w:r>
        <w:rPr>
          <w:rFonts w:hint="eastAsia"/>
          <w:lang w:eastAsia="zh-CN"/>
        </w:rPr>
        <w:t>Appendix</w:t>
      </w:r>
      <w:r>
        <w:rPr>
          <w:lang w:eastAsia="zh-CN"/>
        </w:rPr>
        <w:t xml:space="preserve"> B</w:t>
      </w:r>
      <w:r>
        <w:rPr>
          <w:rFonts w:hint="eastAsia"/>
          <w:lang w:eastAsia="zh-CN"/>
        </w:rPr>
        <w:t>: RAN</w:t>
      </w:r>
      <w:r>
        <w:rPr>
          <w:lang w:eastAsia="zh-CN"/>
        </w:rPr>
        <w:t>4 agreements related to RAN1 objectives</w:t>
      </w:r>
    </w:p>
    <w:p w14:paraId="4F8E457D" w14:textId="78F4298A" w:rsidR="00771D3F" w:rsidRPr="001802BB" w:rsidRDefault="00C4097E" w:rsidP="001802BB">
      <w:pPr>
        <w:rPr>
          <w:rFonts w:eastAsia="Yu Mincho"/>
          <w:b/>
          <w:u w:val="single"/>
          <w:lang w:eastAsia="ja-JP"/>
        </w:rPr>
      </w:pPr>
      <w:r w:rsidRPr="001802BB">
        <w:rPr>
          <w:rFonts w:eastAsia="Yu Mincho"/>
          <w:b/>
          <w:u w:val="single"/>
          <w:lang w:eastAsia="ja-JP"/>
        </w:rPr>
        <w:t>For NB-IoT 16-QAM</w:t>
      </w:r>
    </w:p>
    <w:p w14:paraId="775DC402" w14:textId="6255EA61" w:rsidR="009F5361" w:rsidRPr="001802BB" w:rsidRDefault="00FB5E3C" w:rsidP="001802BB">
      <w:pPr>
        <w:rPr>
          <w:rFonts w:eastAsia="Yu Mincho"/>
          <w:highlight w:val="green"/>
          <w:lang w:eastAsia="ja-JP"/>
        </w:rPr>
      </w:pPr>
      <w:r w:rsidRPr="001802BB">
        <w:rPr>
          <w:rFonts w:eastAsia="Yu Mincho"/>
          <w:lang w:eastAsia="ja-JP"/>
        </w:rPr>
        <w:t xml:space="preserve">In RAN4#98b-e meeting, </w:t>
      </w:r>
    </w:p>
    <w:p w14:paraId="200C9C49" w14:textId="77777777" w:rsidR="00771D3F" w:rsidRPr="001802BB" w:rsidRDefault="00771D3F" w:rsidP="001802BB">
      <w:pPr>
        <w:rPr>
          <w:rFonts w:eastAsia="Yu Mincho"/>
          <w:lang w:eastAsia="ja-JP"/>
        </w:rPr>
      </w:pPr>
      <w:r w:rsidRPr="001802BB">
        <w:rPr>
          <w:rFonts w:eastAsia="Yu Mincho"/>
          <w:highlight w:val="green"/>
          <w:lang w:eastAsia="ja-JP"/>
        </w:rPr>
        <w:t>R4-2105432</w:t>
      </w:r>
      <w:r w:rsidRPr="001802BB">
        <w:rPr>
          <w:rFonts w:eastAsia="Yu Mincho"/>
          <w:lang w:eastAsia="ja-JP"/>
        </w:rPr>
        <w:tab/>
        <w:t>Way forward on BS RF requirements for R17 NB-IoT 16QAM</w:t>
      </w:r>
      <w:r w:rsidRPr="001802BB">
        <w:rPr>
          <w:rFonts w:eastAsia="Yu Mincho"/>
          <w:lang w:eastAsia="ja-JP"/>
        </w:rPr>
        <w:tab/>
        <w:t>Huawei, HiSilicon, Ericsson</w:t>
      </w:r>
    </w:p>
    <w:p w14:paraId="1ED46820" w14:textId="77777777" w:rsidR="00771D3F" w:rsidRPr="001802BB" w:rsidRDefault="00771D3F" w:rsidP="001802BB">
      <w:pPr>
        <w:autoSpaceDE/>
        <w:autoSpaceDN/>
        <w:adjustRightInd/>
        <w:ind w:leftChars="200" w:left="440"/>
        <w:rPr>
          <w:lang w:eastAsia="zh-CN"/>
        </w:rPr>
      </w:pPr>
      <w:r w:rsidRPr="001802BB">
        <w:rPr>
          <w:rFonts w:eastAsia="+mn-ea"/>
          <w:color w:val="000000"/>
          <w:kern w:val="24"/>
          <w:lang w:eastAsia="zh-CN"/>
        </w:rPr>
        <w:t>The following issues have been identified:</w:t>
      </w:r>
    </w:p>
    <w:p w14:paraId="55AB51AA" w14:textId="77777777" w:rsidR="00771D3F" w:rsidRPr="001802BB" w:rsidRDefault="00771D3F" w:rsidP="00DA475B">
      <w:pPr>
        <w:pStyle w:val="a4"/>
        <w:widowControl w:val="0"/>
        <w:numPr>
          <w:ilvl w:val="0"/>
          <w:numId w:val="8"/>
        </w:numPr>
        <w:spacing w:after="120"/>
        <w:rPr>
          <w:rFonts w:ascii="Times New Roman" w:hAnsi="Times New Roman" w:cs="Times New Roman"/>
          <w:sz w:val="22"/>
          <w:szCs w:val="22"/>
        </w:rPr>
      </w:pPr>
      <w:r w:rsidRPr="001802BB">
        <w:rPr>
          <w:rFonts w:ascii="Times New Roman" w:eastAsia="+mn-ea" w:hAnsi="Times New Roman" w:cs="Times New Roman"/>
          <w:color w:val="000000"/>
          <w:kern w:val="24"/>
          <w:sz w:val="22"/>
          <w:szCs w:val="22"/>
        </w:rPr>
        <w:t xml:space="preserve">NB-IoT RB power dynamic range for in-band or guard band operation or NB-IoT operation </w:t>
      </w:r>
      <w:r w:rsidRPr="001802BB">
        <w:rPr>
          <w:rFonts w:ascii="Times New Roman" w:eastAsia="+mn-ea" w:hAnsi="Times New Roman" w:cs="Times New Roman"/>
          <w:color w:val="000000"/>
          <w:kern w:val="24"/>
          <w:sz w:val="22"/>
          <w:szCs w:val="22"/>
        </w:rPr>
        <w:lastRenderedPageBreak/>
        <w:t>in NR in-band</w:t>
      </w:r>
    </w:p>
    <w:p w14:paraId="2868CFE2" w14:textId="77777777" w:rsidR="00771D3F" w:rsidRPr="001802BB" w:rsidRDefault="00771D3F" w:rsidP="001802BB">
      <w:pPr>
        <w:autoSpaceDE/>
        <w:autoSpaceDN/>
        <w:adjustRightInd/>
        <w:ind w:leftChars="600" w:left="1320"/>
        <w:rPr>
          <w:lang w:eastAsia="zh-CN"/>
        </w:rPr>
      </w:pPr>
      <w:r w:rsidRPr="001802BB">
        <w:rPr>
          <w:rFonts w:eastAsia="+mn-ea"/>
          <w:color w:val="000000"/>
          <w:kern w:val="24"/>
          <w:lang w:eastAsia="zh-CN"/>
        </w:rPr>
        <w:t>RAN4 will decide whether to use the same QPSK requirements for 16QAM.</w:t>
      </w:r>
    </w:p>
    <w:p w14:paraId="57FBE4DF" w14:textId="77777777" w:rsidR="00771D3F" w:rsidRPr="001802BB" w:rsidRDefault="00771D3F" w:rsidP="00DA475B">
      <w:pPr>
        <w:pStyle w:val="a4"/>
        <w:widowControl w:val="0"/>
        <w:numPr>
          <w:ilvl w:val="0"/>
          <w:numId w:val="8"/>
        </w:numPr>
        <w:spacing w:after="120"/>
        <w:rPr>
          <w:rFonts w:ascii="Times New Roman" w:hAnsi="Times New Roman" w:cs="Times New Roman"/>
          <w:sz w:val="22"/>
          <w:szCs w:val="22"/>
        </w:rPr>
      </w:pPr>
      <w:r w:rsidRPr="001802BB">
        <w:rPr>
          <w:rFonts w:ascii="Times New Roman" w:eastAsia="+mn-ea" w:hAnsi="Times New Roman" w:cs="Times New Roman"/>
          <w:color w:val="000000"/>
          <w:kern w:val="24"/>
          <w:sz w:val="22"/>
          <w:szCs w:val="22"/>
        </w:rPr>
        <w:t>EVM limit for 16QAM DL</w:t>
      </w:r>
    </w:p>
    <w:p w14:paraId="75881BB2" w14:textId="77777777" w:rsidR="00771D3F" w:rsidRPr="001802BB" w:rsidRDefault="00771D3F" w:rsidP="001802BB">
      <w:pPr>
        <w:autoSpaceDE/>
        <w:autoSpaceDN/>
        <w:adjustRightInd/>
        <w:ind w:leftChars="600" w:left="1320"/>
        <w:rPr>
          <w:lang w:eastAsia="zh-CN"/>
        </w:rPr>
      </w:pPr>
      <w:r w:rsidRPr="001802BB">
        <w:rPr>
          <w:rFonts w:eastAsia="+mn-ea"/>
          <w:color w:val="000000"/>
          <w:kern w:val="24"/>
          <w:lang w:eastAsia="zh-CN"/>
        </w:rPr>
        <w:t>RAN4 will decide whether to define 12.5% as the limit</w:t>
      </w:r>
    </w:p>
    <w:p w14:paraId="019B6FF5" w14:textId="77777777" w:rsidR="00771D3F" w:rsidRPr="001802BB" w:rsidRDefault="00771D3F" w:rsidP="00DA475B">
      <w:pPr>
        <w:pStyle w:val="a4"/>
        <w:widowControl w:val="0"/>
        <w:numPr>
          <w:ilvl w:val="0"/>
          <w:numId w:val="8"/>
        </w:numPr>
        <w:spacing w:after="120"/>
        <w:rPr>
          <w:rFonts w:ascii="Times New Roman" w:hAnsi="Times New Roman" w:cs="Times New Roman"/>
          <w:sz w:val="22"/>
          <w:szCs w:val="22"/>
        </w:rPr>
      </w:pPr>
      <w:r w:rsidRPr="001802BB">
        <w:rPr>
          <w:rFonts w:ascii="Times New Roman" w:eastAsia="+mn-ea" w:hAnsi="Times New Roman" w:cs="Times New Roman"/>
          <w:color w:val="000000"/>
          <w:kern w:val="24"/>
          <w:sz w:val="22"/>
          <w:szCs w:val="22"/>
        </w:rPr>
        <w:t>16QAM FRC for BS Rx Characteristics</w:t>
      </w:r>
    </w:p>
    <w:p w14:paraId="4322B9E2" w14:textId="77777777" w:rsidR="00771D3F" w:rsidRPr="001802BB" w:rsidRDefault="00771D3F" w:rsidP="001802BB">
      <w:pPr>
        <w:autoSpaceDE/>
        <w:autoSpaceDN/>
        <w:adjustRightInd/>
        <w:ind w:leftChars="600" w:left="1320"/>
        <w:rPr>
          <w:lang w:eastAsia="zh-CN"/>
        </w:rPr>
      </w:pPr>
      <w:r w:rsidRPr="001802BB">
        <w:rPr>
          <w:rFonts w:eastAsia="+mn-ea"/>
          <w:color w:val="000000"/>
          <w:kern w:val="24"/>
          <w:lang w:eastAsia="zh-CN"/>
        </w:rPr>
        <w:t xml:space="preserve">RAN4 will decide whether new 16QAM FRC is needed for NB-IoT BS RF tests. </w:t>
      </w:r>
    </w:p>
    <w:p w14:paraId="2641EF91" w14:textId="77777777" w:rsidR="00771D3F" w:rsidRPr="001802BB" w:rsidRDefault="00771D3F" w:rsidP="001802BB">
      <w:pPr>
        <w:rPr>
          <w:rFonts w:eastAsia="Yu Mincho"/>
          <w:lang w:eastAsia="ja-JP"/>
        </w:rPr>
      </w:pPr>
      <w:r w:rsidRPr="001802BB">
        <w:rPr>
          <w:rFonts w:eastAsia="Yu Mincho"/>
          <w:highlight w:val="green"/>
          <w:lang w:eastAsia="ja-JP"/>
        </w:rPr>
        <w:t>R4-2105433</w:t>
      </w:r>
      <w:r w:rsidRPr="001802BB">
        <w:rPr>
          <w:rFonts w:eastAsia="Yu Mincho"/>
          <w:lang w:eastAsia="ja-JP"/>
        </w:rPr>
        <w:tab/>
        <w:t>Way forward on UE RF requirements for R17 NB-IoT 16QAM</w:t>
      </w:r>
      <w:r w:rsidRPr="001802BB">
        <w:rPr>
          <w:rFonts w:eastAsia="Yu Mincho"/>
          <w:lang w:eastAsia="ja-JP"/>
        </w:rPr>
        <w:tab/>
        <w:t xml:space="preserve"> Nokia</w:t>
      </w:r>
    </w:p>
    <w:p w14:paraId="4A905229" w14:textId="77777777" w:rsidR="00771D3F" w:rsidRPr="001802BB" w:rsidRDefault="00771D3F" w:rsidP="001802BB">
      <w:pPr>
        <w:autoSpaceDE/>
        <w:autoSpaceDN/>
        <w:adjustRightInd/>
        <w:ind w:leftChars="200" w:left="440"/>
        <w:rPr>
          <w:lang w:eastAsia="zh-CN"/>
        </w:rPr>
      </w:pPr>
      <w:r w:rsidRPr="001802BB">
        <w:rPr>
          <w:lang w:eastAsia="zh-CN"/>
        </w:rPr>
        <w:t>On EVM limit</w:t>
      </w:r>
    </w:p>
    <w:p w14:paraId="1DACC97C" w14:textId="77777777" w:rsidR="00771D3F" w:rsidRPr="001802BB" w:rsidRDefault="00771D3F" w:rsidP="00DA475B">
      <w:pPr>
        <w:numPr>
          <w:ilvl w:val="1"/>
          <w:numId w:val="9"/>
        </w:numPr>
        <w:overflowPunct w:val="0"/>
        <w:autoSpaceDE/>
        <w:autoSpaceDN/>
        <w:adjustRightInd/>
        <w:snapToGrid/>
        <w:jc w:val="left"/>
        <w:rPr>
          <w:lang w:eastAsia="zh-CN"/>
        </w:rPr>
      </w:pPr>
      <w:r w:rsidRPr="001802BB">
        <w:rPr>
          <w:rFonts w:eastAsia="+mn-ea"/>
          <w:color w:val="000000"/>
          <w:kern w:val="24"/>
          <w:lang w:eastAsia="zh-CN"/>
        </w:rPr>
        <w:t>RAN4 will decide whether to set the limit to 12.5%.</w:t>
      </w:r>
    </w:p>
    <w:p w14:paraId="08BA64AE" w14:textId="77777777" w:rsidR="00771D3F" w:rsidRPr="001802BB" w:rsidRDefault="00771D3F" w:rsidP="001802BB">
      <w:pPr>
        <w:autoSpaceDE/>
        <w:autoSpaceDN/>
        <w:adjustRightInd/>
        <w:ind w:leftChars="200" w:left="440"/>
        <w:rPr>
          <w:lang w:eastAsia="zh-CN"/>
        </w:rPr>
      </w:pPr>
      <w:r w:rsidRPr="001802BB">
        <w:rPr>
          <w:lang w:eastAsia="zh-CN"/>
        </w:rPr>
        <w:t>On In-band Emission limit</w:t>
      </w:r>
    </w:p>
    <w:p w14:paraId="71B51763"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RAN4 will decide whether to change the current IBE mask and include the EVM limit.</w:t>
      </w:r>
    </w:p>
    <w:p w14:paraId="4B4F294D" w14:textId="77777777" w:rsidR="00771D3F" w:rsidRPr="001802BB" w:rsidRDefault="00771D3F" w:rsidP="001802BB">
      <w:pPr>
        <w:autoSpaceDE/>
        <w:autoSpaceDN/>
        <w:adjustRightInd/>
        <w:ind w:leftChars="200" w:left="440"/>
        <w:rPr>
          <w:lang w:eastAsia="zh-CN"/>
        </w:rPr>
      </w:pPr>
      <w:r w:rsidRPr="001802BB">
        <w:rPr>
          <w:lang w:eastAsia="zh-CN"/>
        </w:rPr>
        <w:t>On MPR simulation assumptions</w:t>
      </w:r>
    </w:p>
    <w:p w14:paraId="36F03E06"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I/Q image: 25 dB, Carrier leakage: 25 dBc, CIM3: 60 dB</w:t>
      </w:r>
    </w:p>
    <w:p w14:paraId="398837DC"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PA calibration point: MPR=0 for single-tone (worst case among 3.75 kHz pi/2 BPSK and pi/4 QPSK, 15 kHz pi/2 BPSK and pi/4 QPSK)</w:t>
      </w:r>
    </w:p>
    <w:p w14:paraId="39D3B7EE"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Whether to include EVM limit: Yes. Companies should declare which option(s) below is(are) used</w:t>
      </w:r>
    </w:p>
    <w:p w14:paraId="0A440A78"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Option 1: 12.5%.</w:t>
      </w:r>
    </w:p>
    <w:p w14:paraId="6F524B5F"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Option 2: Other values which should be clearly stated.</w:t>
      </w:r>
    </w:p>
    <w:p w14:paraId="43227B0A"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 xml:space="preserve">Whether to include IBE mask: Yes. Companies should declare which option(s) below is(are) used </w:t>
      </w:r>
    </w:p>
    <w:p w14:paraId="1CD70E78"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Option 1: Use the existing NB-IoT IBE mask (=</w:t>
      </w:r>
      <m:oMath>
        <m:r>
          <w:rPr>
            <w:rFonts w:ascii="Cambria Math" w:eastAsia="Yu Mincho" w:hAnsi="Cambria Math"/>
            <w:lang w:eastAsia="ja-JP"/>
          </w:rPr>
          <m:t>20 </m:t>
        </m:r>
        <m:sSub>
          <m:sSubPr>
            <m:ctrlPr>
              <w:rPr>
                <w:rFonts w:ascii="Cambria Math" w:eastAsia="Yu Mincho" w:hAnsi="Cambria Math"/>
                <w:i/>
                <w:iCs/>
                <w:lang w:eastAsia="ja-JP"/>
              </w:rPr>
            </m:ctrlPr>
          </m:sSubPr>
          <m:e>
            <m:r>
              <w:rPr>
                <w:rFonts w:ascii="Cambria Math" w:eastAsia="Yu Mincho" w:hAnsi="Cambria Math"/>
                <w:lang w:eastAsia="ja-JP"/>
              </w:rPr>
              <m:t>log</m:t>
            </m:r>
          </m:e>
          <m:sub>
            <m:r>
              <w:rPr>
                <w:rFonts w:ascii="Cambria Math" w:eastAsia="Yu Mincho" w:hAnsi="Cambria Math"/>
                <w:lang w:eastAsia="ja-JP"/>
              </w:rPr>
              <m:t>10</m:t>
            </m:r>
          </m:sub>
        </m:sSub>
        <m:r>
          <w:rPr>
            <w:rFonts w:ascii="Cambria Math" w:eastAsia="Yu Mincho" w:hAnsi="Cambria Math"/>
            <w:lang w:eastAsia="ja-JP"/>
          </w:rPr>
          <m:t>0.175-3-5 </m:t>
        </m:r>
        <m:d>
          <m:dPr>
            <m:ctrlPr>
              <w:rPr>
                <w:rFonts w:ascii="Cambria Math" w:eastAsia="Yu Mincho" w:hAnsi="Cambria Math"/>
                <w:i/>
                <w:iCs/>
                <w:lang w:eastAsia="ja-JP"/>
              </w:rPr>
            </m:ctrlPr>
          </m:dPr>
          <m:e>
            <m:d>
              <m:dPr>
                <m:begChr m:val="|"/>
                <m:endChr m:val="|"/>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D</m:t>
                    </m:r>
                  </m:e>
                  <m:sub>
                    <m:r>
                      <w:rPr>
                        <w:rFonts w:ascii="Cambria Math" w:eastAsia="Yu Mincho" w:hAnsi="Cambria Math"/>
                        <w:lang w:eastAsia="ja-JP"/>
                      </w:rPr>
                      <m:t>tone</m:t>
                    </m:r>
                  </m:sub>
                </m:sSub>
              </m:e>
            </m:d>
            <m:r>
              <w:rPr>
                <w:rFonts w:ascii="Cambria Math" w:eastAsia="Yu Mincho" w:hAnsi="Cambria Math"/>
                <w:lang w:eastAsia="ja-JP"/>
              </w:rPr>
              <m:t>-1</m:t>
            </m:r>
          </m:e>
        </m:d>
        <m:r>
          <w:rPr>
            <w:rFonts w:ascii="Cambria Math" w:eastAsia="Yu Mincho" w:hAnsi="Cambria Math"/>
            <w:lang w:eastAsia="ja-JP"/>
          </w:rPr>
          <m:t> / </m:t>
        </m:r>
        <m:sSub>
          <m:sSubPr>
            <m:ctrlPr>
              <w:rPr>
                <w:rFonts w:ascii="Cambria Math" w:eastAsia="Yu Mincho" w:hAnsi="Cambria Math"/>
                <w:i/>
                <w:iCs/>
                <w:lang w:eastAsia="ja-JP"/>
              </w:rPr>
            </m:ctrlPr>
          </m:sSubPr>
          <m:e>
            <m:r>
              <w:rPr>
                <w:rFonts w:ascii="Cambria Math" w:eastAsia="Yu Mincho" w:hAnsi="Cambria Math"/>
                <w:lang w:eastAsia="ja-JP"/>
              </w:rPr>
              <m:t>L</m:t>
            </m:r>
          </m:e>
          <m:sub>
            <m:r>
              <w:rPr>
                <w:rFonts w:ascii="Cambria Math" w:eastAsia="Yu Mincho" w:hAnsi="Cambria Math"/>
                <w:lang w:eastAsia="ja-JP"/>
              </w:rPr>
              <m:t>Ctone</m:t>
            </m:r>
          </m:sub>
        </m:sSub>
      </m:oMath>
      <w:r w:rsidRPr="001802BB">
        <w:rPr>
          <w:rFonts w:eastAsia="Yu Mincho"/>
          <w:lang w:eastAsia="ja-JP"/>
        </w:rPr>
        <w:t>).</w:t>
      </w:r>
    </w:p>
    <w:p w14:paraId="0152D149"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Option 2: Include the EVM limit in the IBE mask (</w:t>
      </w:r>
      <m:oMath>
        <m:r>
          <m:rPr>
            <m:sty m:val="p"/>
          </m:rPr>
          <w:rPr>
            <w:rFonts w:ascii="Cambria Math" w:eastAsia="Yu Mincho" w:hAnsi="Cambria Math"/>
            <w:lang w:eastAsia="ja-JP"/>
          </w:rPr>
          <m:t>=</m:t>
        </m:r>
        <m:r>
          <w:rPr>
            <w:rFonts w:ascii="Cambria Math" w:eastAsia="Yu Mincho" w:hAnsi="Cambria Math"/>
            <w:lang w:eastAsia="ja-JP"/>
          </w:rPr>
          <m:t>20 </m:t>
        </m:r>
        <m:sSub>
          <m:sSubPr>
            <m:ctrlPr>
              <w:rPr>
                <w:rFonts w:ascii="Cambria Math" w:eastAsia="Yu Mincho" w:hAnsi="Cambria Math"/>
                <w:i/>
                <w:iCs/>
                <w:lang w:eastAsia="ja-JP"/>
              </w:rPr>
            </m:ctrlPr>
          </m:sSubPr>
          <m:e>
            <m:r>
              <w:rPr>
                <w:rFonts w:ascii="Cambria Math" w:eastAsia="Yu Mincho" w:hAnsi="Cambria Math"/>
                <w:lang w:eastAsia="ja-JP"/>
              </w:rPr>
              <m:t>log</m:t>
            </m:r>
          </m:e>
          <m:sub>
            <m:r>
              <w:rPr>
                <w:rFonts w:ascii="Cambria Math" w:eastAsia="Yu Mincho" w:hAnsi="Cambria Math"/>
                <w:lang w:eastAsia="ja-JP"/>
              </w:rPr>
              <m:t>10</m:t>
            </m:r>
          </m:sub>
        </m:sSub>
        <m:r>
          <w:rPr>
            <w:rFonts w:ascii="Cambria Math" w:eastAsia="Yu Mincho" w:hAnsi="Cambria Math"/>
            <w:lang w:eastAsia="ja-JP"/>
          </w:rPr>
          <m:t>EVM</m:t>
        </m:r>
        <m:r>
          <w:rPr>
            <w:rFonts w:ascii="Cambria Math" w:eastAsia="Yu Mincho" w:hAnsi="Cambria Math"/>
            <w:vertAlign w:val="subscript"/>
            <w:lang w:eastAsia="ja-JP"/>
          </w:rPr>
          <m:t>16QAM</m:t>
        </m:r>
        <m:r>
          <w:rPr>
            <w:rFonts w:ascii="Cambria Math" w:eastAsia="Yu Mincho" w:hAnsi="Cambria Math"/>
            <w:lang w:eastAsia="ja-JP"/>
          </w:rPr>
          <m:t>-3-5 </m:t>
        </m:r>
        <m:d>
          <m:dPr>
            <m:ctrlPr>
              <w:rPr>
                <w:rFonts w:ascii="Cambria Math" w:eastAsia="Yu Mincho" w:hAnsi="Cambria Math"/>
                <w:i/>
                <w:iCs/>
                <w:lang w:eastAsia="ja-JP"/>
              </w:rPr>
            </m:ctrlPr>
          </m:dPr>
          <m:e>
            <m:d>
              <m:dPr>
                <m:begChr m:val="|"/>
                <m:endChr m:val="|"/>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D</m:t>
                    </m:r>
                  </m:e>
                  <m:sub>
                    <m:r>
                      <w:rPr>
                        <w:rFonts w:ascii="Cambria Math" w:eastAsia="Yu Mincho" w:hAnsi="Cambria Math"/>
                        <w:lang w:eastAsia="ja-JP"/>
                      </w:rPr>
                      <m:t>tone</m:t>
                    </m:r>
                  </m:sub>
                </m:sSub>
              </m:e>
            </m:d>
            <m:r>
              <w:rPr>
                <w:rFonts w:ascii="Cambria Math" w:eastAsia="Yu Mincho" w:hAnsi="Cambria Math"/>
                <w:lang w:eastAsia="ja-JP"/>
              </w:rPr>
              <m:t>-1</m:t>
            </m:r>
          </m:e>
        </m:d>
        <m:r>
          <w:rPr>
            <w:rFonts w:ascii="Cambria Math" w:eastAsia="Yu Mincho" w:hAnsi="Cambria Math"/>
            <w:lang w:eastAsia="ja-JP"/>
          </w:rPr>
          <m:t> /</m:t>
        </m:r>
        <m:sSub>
          <m:sSubPr>
            <m:ctrlPr>
              <w:rPr>
                <w:rFonts w:ascii="Cambria Math" w:eastAsia="Yu Mincho" w:hAnsi="Cambria Math"/>
                <w:i/>
                <w:iCs/>
                <w:lang w:eastAsia="ja-JP"/>
              </w:rPr>
            </m:ctrlPr>
          </m:sSubPr>
          <m:e>
            <m:r>
              <w:rPr>
                <w:rFonts w:ascii="Cambria Math" w:eastAsia="Yu Mincho" w:hAnsi="Cambria Math"/>
                <w:lang w:eastAsia="ja-JP"/>
              </w:rPr>
              <m:t>L</m:t>
            </m:r>
          </m:e>
          <m:sub>
            <m:r>
              <w:rPr>
                <w:rFonts w:ascii="Cambria Math" w:eastAsia="Yu Mincho" w:hAnsi="Cambria Math"/>
                <w:lang w:eastAsia="ja-JP"/>
              </w:rPr>
              <m:t>Ctone</m:t>
            </m:r>
          </m:sub>
        </m:sSub>
      </m:oMath>
      <w:r w:rsidRPr="001802BB">
        <w:rPr>
          <w:rFonts w:eastAsia="Yu Mincho"/>
          <w:lang w:eastAsia="ja-JP"/>
        </w:rPr>
        <w:t>).</w:t>
      </w:r>
    </w:p>
    <w:p w14:paraId="6133A021"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Option 3: Other options are not precluded but should be clearly stated.</w:t>
      </w:r>
    </w:p>
    <w:p w14:paraId="1492FE30"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Whether to include 12-tone: Yes. Simulate allocations of 3, 6, and 12 tones.</w:t>
      </w:r>
    </w:p>
    <w:p w14:paraId="662E4177" w14:textId="77777777" w:rsidR="00771D3F" w:rsidRPr="001802BB" w:rsidRDefault="00771D3F" w:rsidP="00DA475B">
      <w:pPr>
        <w:numPr>
          <w:ilvl w:val="1"/>
          <w:numId w:val="9"/>
        </w:numPr>
        <w:overflowPunct w:val="0"/>
        <w:snapToGrid/>
        <w:jc w:val="left"/>
        <w:textAlignment w:val="baseline"/>
        <w:rPr>
          <w:rFonts w:eastAsia="Yu Mincho"/>
          <w:lang w:eastAsia="ja-JP"/>
        </w:rPr>
      </w:pPr>
      <w:r w:rsidRPr="001802BB">
        <w:rPr>
          <w:rFonts w:eastAsia="Yu Mincho"/>
          <w:lang w:eastAsia="ja-JP"/>
        </w:rPr>
        <w:t>Power classes to be considered: 3, 5</w:t>
      </w:r>
    </w:p>
    <w:p w14:paraId="17925DC1" w14:textId="77777777" w:rsidR="00771D3F" w:rsidRPr="001802BB" w:rsidRDefault="00771D3F" w:rsidP="00DA475B">
      <w:pPr>
        <w:numPr>
          <w:ilvl w:val="2"/>
          <w:numId w:val="9"/>
        </w:numPr>
        <w:overflowPunct w:val="0"/>
        <w:snapToGrid/>
        <w:jc w:val="left"/>
        <w:textAlignment w:val="baseline"/>
        <w:rPr>
          <w:rFonts w:eastAsia="Yu Mincho"/>
          <w:lang w:eastAsia="ja-JP"/>
        </w:rPr>
      </w:pPr>
      <w:r w:rsidRPr="001802BB">
        <w:rPr>
          <w:rFonts w:eastAsia="Yu Mincho"/>
          <w:lang w:eastAsia="ja-JP"/>
        </w:rPr>
        <w:t>Power class 6 is optional for simulation results in RAN4#99-e.</w:t>
      </w:r>
    </w:p>
    <w:p w14:paraId="6B9DEF1C" w14:textId="34CFAEB0" w:rsidR="00315FF6" w:rsidRPr="001802BB" w:rsidRDefault="001802BB" w:rsidP="001802BB">
      <w:pPr>
        <w:pStyle w:val="References"/>
        <w:numPr>
          <w:ilvl w:val="0"/>
          <w:numId w:val="0"/>
        </w:numPr>
        <w:spacing w:after="120"/>
        <w:rPr>
          <w:sz w:val="22"/>
          <w:szCs w:val="22"/>
        </w:rPr>
      </w:pPr>
      <w:r w:rsidRPr="001802BB">
        <w:rPr>
          <w:sz w:val="22"/>
          <w:szCs w:val="22"/>
          <w:lang w:eastAsia="ja-JP"/>
        </w:rPr>
        <w:t>In RAN4#100-e,</w:t>
      </w:r>
    </w:p>
    <w:p w14:paraId="24EAF2B8" w14:textId="4218A886" w:rsidR="00315FF6" w:rsidRPr="001802BB" w:rsidRDefault="001802BB" w:rsidP="001802BB">
      <w:pPr>
        <w:rPr>
          <w:rFonts w:eastAsia="Yu Mincho"/>
          <w:highlight w:val="green"/>
          <w:lang w:eastAsia="ja-JP"/>
        </w:rPr>
      </w:pPr>
      <w:r w:rsidRPr="001802BB">
        <w:rPr>
          <w:rFonts w:eastAsia="Yu Mincho"/>
          <w:highlight w:val="green"/>
          <w:lang w:eastAsia="ja-JP"/>
        </w:rPr>
        <w:t>WF R4-2114943</w:t>
      </w:r>
    </w:p>
    <w:p w14:paraId="2C8821EE" w14:textId="77777777" w:rsidR="001802BB" w:rsidRPr="001802BB" w:rsidRDefault="001802BB" w:rsidP="001802BB">
      <w:pPr>
        <w:rPr>
          <w:lang w:eastAsia="ja-JP"/>
        </w:rPr>
      </w:pPr>
      <w:r w:rsidRPr="001802BB">
        <w:rPr>
          <w:lang w:eastAsia="ja-JP"/>
        </w:rPr>
        <w:t>Reuse the existing NB-IoT RB power dynamic range requirements for 16QAM for in-band or guard band operation or NB-IoT operation in NR in-band. And no changes to the specifications, nor new test cases for 16QAM RB power dynamic range are needed.</w:t>
      </w:r>
    </w:p>
    <w:p w14:paraId="7D8A7ED3" w14:textId="77777777" w:rsidR="001802BB" w:rsidRPr="001802BB" w:rsidRDefault="001802BB" w:rsidP="00DA475B">
      <w:pPr>
        <w:numPr>
          <w:ilvl w:val="0"/>
          <w:numId w:val="11"/>
        </w:numPr>
        <w:overflowPunct w:val="0"/>
        <w:snapToGrid/>
        <w:jc w:val="left"/>
        <w:textAlignment w:val="baseline"/>
        <w:rPr>
          <w:lang w:eastAsia="ja-JP"/>
        </w:rPr>
      </w:pPr>
      <w:r w:rsidRPr="001802BB">
        <w:rPr>
          <w:lang w:eastAsia="ja-JP"/>
        </w:rPr>
        <w:t xml:space="preserve">The EVM limit for 16QAM uplink is to set to 12.5%. </w:t>
      </w:r>
    </w:p>
    <w:p w14:paraId="45305CEA" w14:textId="77777777" w:rsidR="001802BB" w:rsidRPr="001802BB" w:rsidRDefault="001802BB" w:rsidP="00DA475B">
      <w:pPr>
        <w:numPr>
          <w:ilvl w:val="0"/>
          <w:numId w:val="11"/>
        </w:numPr>
        <w:overflowPunct w:val="0"/>
        <w:snapToGrid/>
        <w:jc w:val="left"/>
        <w:textAlignment w:val="baseline"/>
        <w:rPr>
          <w:lang w:eastAsia="ja-JP"/>
        </w:rPr>
      </w:pPr>
      <w:r w:rsidRPr="001802BB">
        <w:rPr>
          <w:lang w:eastAsia="ja-JP"/>
        </w:rPr>
        <w:t xml:space="preserve">The IBE mask of NB-IoT is modified as in the CR of R4-2114002 </w:t>
      </w:r>
    </w:p>
    <w:p w14:paraId="6B694503" w14:textId="77777777" w:rsidR="001802BB" w:rsidRPr="001802BB" w:rsidRDefault="001802BB" w:rsidP="00DA475B">
      <w:pPr>
        <w:numPr>
          <w:ilvl w:val="0"/>
          <w:numId w:val="11"/>
        </w:numPr>
        <w:overflowPunct w:val="0"/>
        <w:snapToGrid/>
        <w:jc w:val="left"/>
        <w:textAlignment w:val="baseline"/>
        <w:rPr>
          <w:lang w:eastAsia="ja-JP"/>
        </w:rPr>
      </w:pPr>
      <w:r w:rsidRPr="001802BB">
        <w:rPr>
          <w:lang w:eastAsia="ja-JP"/>
        </w:rPr>
        <w:t>The MPR for 16QAM PC3 and PC5 is agreed as the moderator’s proposal. FFS MPR for PC6.</w:t>
      </w:r>
    </w:p>
    <w:p w14:paraId="0ACFDD61" w14:textId="77777777" w:rsidR="00530946" w:rsidRPr="00194953" w:rsidRDefault="00530946" w:rsidP="00984A59">
      <w:pPr>
        <w:pStyle w:val="References"/>
        <w:numPr>
          <w:ilvl w:val="0"/>
          <w:numId w:val="0"/>
        </w:numPr>
      </w:pPr>
    </w:p>
    <w:sectPr w:rsidR="00530946"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91F89" w14:textId="77777777" w:rsidR="00BD79E8" w:rsidRDefault="00BD79E8" w:rsidP="00721F16">
      <w:pPr>
        <w:spacing w:after="0"/>
      </w:pPr>
      <w:r>
        <w:separator/>
      </w:r>
    </w:p>
  </w:endnote>
  <w:endnote w:type="continuationSeparator" w:id="0">
    <w:p w14:paraId="6A685049" w14:textId="77777777" w:rsidR="00BD79E8" w:rsidRDefault="00BD79E8" w:rsidP="00721F16">
      <w:pPr>
        <w:spacing w:after="0"/>
      </w:pPr>
      <w:r>
        <w:continuationSeparator/>
      </w:r>
    </w:p>
  </w:endnote>
  <w:endnote w:type="continuationNotice" w:id="1">
    <w:p w14:paraId="3A304767" w14:textId="77777777" w:rsidR="00BD79E8" w:rsidRDefault="00BD7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9BAB8" w14:textId="77777777" w:rsidR="00BD79E8" w:rsidRDefault="00BD79E8" w:rsidP="00721F16">
      <w:pPr>
        <w:spacing w:after="0"/>
      </w:pPr>
      <w:r>
        <w:separator/>
      </w:r>
    </w:p>
  </w:footnote>
  <w:footnote w:type="continuationSeparator" w:id="0">
    <w:p w14:paraId="11E31716" w14:textId="77777777" w:rsidR="00BD79E8" w:rsidRDefault="00BD79E8" w:rsidP="00721F16">
      <w:pPr>
        <w:spacing w:after="0"/>
      </w:pPr>
      <w:r>
        <w:continuationSeparator/>
      </w:r>
    </w:p>
  </w:footnote>
  <w:footnote w:type="continuationNotice" w:id="1">
    <w:p w14:paraId="2C0ABF87" w14:textId="77777777" w:rsidR="00BD79E8" w:rsidRDefault="00BD79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579E2"/>
    <w:multiLevelType w:val="hybridMultilevel"/>
    <w:tmpl w:val="2B70D116"/>
    <w:lvl w:ilvl="0" w:tplc="E06C0C8C">
      <w:start w:val="1"/>
      <w:numFmt w:val="bullet"/>
      <w:lvlText w:val="•"/>
      <w:lvlJc w:val="left"/>
      <w:pPr>
        <w:tabs>
          <w:tab w:val="num" w:pos="360"/>
        </w:tabs>
        <w:ind w:left="360" w:hanging="360"/>
      </w:pPr>
      <w:rPr>
        <w:rFonts w:ascii="Arial" w:hAnsi="Arial" w:hint="default"/>
      </w:rPr>
    </w:lvl>
    <w:lvl w:ilvl="1" w:tplc="94761BD0">
      <w:start w:val="2138"/>
      <w:numFmt w:val="bullet"/>
      <w:lvlText w:val="-"/>
      <w:lvlJc w:val="left"/>
      <w:pPr>
        <w:tabs>
          <w:tab w:val="num" w:pos="1080"/>
        </w:tabs>
        <w:ind w:left="1080" w:hanging="360"/>
      </w:pPr>
      <w:rPr>
        <w:rFonts w:ascii="Calibri" w:hAnsi="Calibri" w:hint="default"/>
      </w:rPr>
    </w:lvl>
    <w:lvl w:ilvl="2" w:tplc="830AACE6">
      <w:start w:val="2138"/>
      <w:numFmt w:val="bullet"/>
      <w:lvlText w:val="•"/>
      <w:lvlJc w:val="left"/>
      <w:pPr>
        <w:tabs>
          <w:tab w:val="num" w:pos="1800"/>
        </w:tabs>
        <w:ind w:left="1800" w:hanging="360"/>
      </w:pPr>
      <w:rPr>
        <w:rFonts w:ascii="Arial" w:hAnsi="Arial" w:hint="default"/>
      </w:rPr>
    </w:lvl>
    <w:lvl w:ilvl="3" w:tplc="8DC2F18C" w:tentative="1">
      <w:start w:val="1"/>
      <w:numFmt w:val="bullet"/>
      <w:lvlText w:val="•"/>
      <w:lvlJc w:val="left"/>
      <w:pPr>
        <w:tabs>
          <w:tab w:val="num" w:pos="2520"/>
        </w:tabs>
        <w:ind w:left="2520" w:hanging="360"/>
      </w:pPr>
      <w:rPr>
        <w:rFonts w:ascii="Arial" w:hAnsi="Arial" w:hint="default"/>
      </w:rPr>
    </w:lvl>
    <w:lvl w:ilvl="4" w:tplc="2A985892" w:tentative="1">
      <w:start w:val="1"/>
      <w:numFmt w:val="bullet"/>
      <w:lvlText w:val="•"/>
      <w:lvlJc w:val="left"/>
      <w:pPr>
        <w:tabs>
          <w:tab w:val="num" w:pos="3240"/>
        </w:tabs>
        <w:ind w:left="3240" w:hanging="360"/>
      </w:pPr>
      <w:rPr>
        <w:rFonts w:ascii="Arial" w:hAnsi="Arial" w:hint="default"/>
      </w:rPr>
    </w:lvl>
    <w:lvl w:ilvl="5" w:tplc="75301A6E" w:tentative="1">
      <w:start w:val="1"/>
      <w:numFmt w:val="bullet"/>
      <w:lvlText w:val="•"/>
      <w:lvlJc w:val="left"/>
      <w:pPr>
        <w:tabs>
          <w:tab w:val="num" w:pos="3960"/>
        </w:tabs>
        <w:ind w:left="3960" w:hanging="360"/>
      </w:pPr>
      <w:rPr>
        <w:rFonts w:ascii="Arial" w:hAnsi="Arial" w:hint="default"/>
      </w:rPr>
    </w:lvl>
    <w:lvl w:ilvl="6" w:tplc="6A3ACF12" w:tentative="1">
      <w:start w:val="1"/>
      <w:numFmt w:val="bullet"/>
      <w:lvlText w:val="•"/>
      <w:lvlJc w:val="left"/>
      <w:pPr>
        <w:tabs>
          <w:tab w:val="num" w:pos="4680"/>
        </w:tabs>
        <w:ind w:left="4680" w:hanging="360"/>
      </w:pPr>
      <w:rPr>
        <w:rFonts w:ascii="Arial" w:hAnsi="Arial" w:hint="default"/>
      </w:rPr>
    </w:lvl>
    <w:lvl w:ilvl="7" w:tplc="7DF6A260" w:tentative="1">
      <w:start w:val="1"/>
      <w:numFmt w:val="bullet"/>
      <w:lvlText w:val="•"/>
      <w:lvlJc w:val="left"/>
      <w:pPr>
        <w:tabs>
          <w:tab w:val="num" w:pos="5400"/>
        </w:tabs>
        <w:ind w:left="5400" w:hanging="360"/>
      </w:pPr>
      <w:rPr>
        <w:rFonts w:ascii="Arial" w:hAnsi="Arial" w:hint="default"/>
      </w:rPr>
    </w:lvl>
    <w:lvl w:ilvl="8" w:tplc="BE7655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D6C79B7"/>
    <w:multiLevelType w:val="hybridMultilevel"/>
    <w:tmpl w:val="84C4FC9E"/>
    <w:lvl w:ilvl="0" w:tplc="F2B0EB94">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7965304"/>
    <w:multiLevelType w:val="hybridMultilevel"/>
    <w:tmpl w:val="2C60D762"/>
    <w:lvl w:ilvl="0" w:tplc="86482312">
      <w:start w:val="1"/>
      <w:numFmt w:val="bullet"/>
      <w:lvlText w:val="•"/>
      <w:lvlJc w:val="left"/>
      <w:pPr>
        <w:tabs>
          <w:tab w:val="num" w:pos="720"/>
        </w:tabs>
        <w:ind w:left="720" w:hanging="360"/>
      </w:pPr>
      <w:rPr>
        <w:rFonts w:ascii="Arial" w:hAnsi="Arial" w:hint="default"/>
      </w:rPr>
    </w:lvl>
    <w:lvl w:ilvl="1" w:tplc="E604CC9C">
      <w:start w:val="1"/>
      <w:numFmt w:val="bullet"/>
      <w:lvlText w:val="•"/>
      <w:lvlJc w:val="left"/>
      <w:pPr>
        <w:tabs>
          <w:tab w:val="num" w:pos="1440"/>
        </w:tabs>
        <w:ind w:left="1440" w:hanging="360"/>
      </w:pPr>
      <w:rPr>
        <w:rFonts w:ascii="Arial" w:hAnsi="Arial" w:hint="default"/>
      </w:rPr>
    </w:lvl>
    <w:lvl w:ilvl="2" w:tplc="23D61594">
      <w:start w:val="1"/>
      <w:numFmt w:val="bullet"/>
      <w:lvlText w:val="•"/>
      <w:lvlJc w:val="left"/>
      <w:pPr>
        <w:tabs>
          <w:tab w:val="num" w:pos="2160"/>
        </w:tabs>
        <w:ind w:left="2160" w:hanging="360"/>
      </w:pPr>
      <w:rPr>
        <w:rFonts w:ascii="Arial" w:hAnsi="Arial" w:hint="default"/>
      </w:rPr>
    </w:lvl>
    <w:lvl w:ilvl="3" w:tplc="17D49C4C" w:tentative="1">
      <w:start w:val="1"/>
      <w:numFmt w:val="bullet"/>
      <w:lvlText w:val="•"/>
      <w:lvlJc w:val="left"/>
      <w:pPr>
        <w:tabs>
          <w:tab w:val="num" w:pos="2880"/>
        </w:tabs>
        <w:ind w:left="2880" w:hanging="360"/>
      </w:pPr>
      <w:rPr>
        <w:rFonts w:ascii="Arial" w:hAnsi="Arial" w:hint="default"/>
      </w:rPr>
    </w:lvl>
    <w:lvl w:ilvl="4" w:tplc="BC1C2428" w:tentative="1">
      <w:start w:val="1"/>
      <w:numFmt w:val="bullet"/>
      <w:lvlText w:val="•"/>
      <w:lvlJc w:val="left"/>
      <w:pPr>
        <w:tabs>
          <w:tab w:val="num" w:pos="3600"/>
        </w:tabs>
        <w:ind w:left="3600" w:hanging="360"/>
      </w:pPr>
      <w:rPr>
        <w:rFonts w:ascii="Arial" w:hAnsi="Arial" w:hint="default"/>
      </w:rPr>
    </w:lvl>
    <w:lvl w:ilvl="5" w:tplc="8CAC23A4" w:tentative="1">
      <w:start w:val="1"/>
      <w:numFmt w:val="bullet"/>
      <w:lvlText w:val="•"/>
      <w:lvlJc w:val="left"/>
      <w:pPr>
        <w:tabs>
          <w:tab w:val="num" w:pos="4320"/>
        </w:tabs>
        <w:ind w:left="4320" w:hanging="360"/>
      </w:pPr>
      <w:rPr>
        <w:rFonts w:ascii="Arial" w:hAnsi="Arial" w:hint="default"/>
      </w:rPr>
    </w:lvl>
    <w:lvl w:ilvl="6" w:tplc="926A7ECE" w:tentative="1">
      <w:start w:val="1"/>
      <w:numFmt w:val="bullet"/>
      <w:lvlText w:val="•"/>
      <w:lvlJc w:val="left"/>
      <w:pPr>
        <w:tabs>
          <w:tab w:val="num" w:pos="5040"/>
        </w:tabs>
        <w:ind w:left="5040" w:hanging="360"/>
      </w:pPr>
      <w:rPr>
        <w:rFonts w:ascii="Arial" w:hAnsi="Arial" w:hint="default"/>
      </w:rPr>
    </w:lvl>
    <w:lvl w:ilvl="7" w:tplc="3D180F88" w:tentative="1">
      <w:start w:val="1"/>
      <w:numFmt w:val="bullet"/>
      <w:lvlText w:val="•"/>
      <w:lvlJc w:val="left"/>
      <w:pPr>
        <w:tabs>
          <w:tab w:val="num" w:pos="5760"/>
        </w:tabs>
        <w:ind w:left="5760" w:hanging="360"/>
      </w:pPr>
      <w:rPr>
        <w:rFonts w:ascii="Arial" w:hAnsi="Arial" w:hint="default"/>
      </w:rPr>
    </w:lvl>
    <w:lvl w:ilvl="8" w:tplc="17E072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9BA4377"/>
    <w:multiLevelType w:val="hybridMultilevel"/>
    <w:tmpl w:val="99EC8AF2"/>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DDC6CF1"/>
    <w:multiLevelType w:val="hybridMultilevel"/>
    <w:tmpl w:val="5BA8957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5"/>
  </w:num>
  <w:num w:numId="2">
    <w:abstractNumId w:val="8"/>
  </w:num>
  <w:num w:numId="3">
    <w:abstractNumId w:val="12"/>
  </w:num>
  <w:num w:numId="4">
    <w:abstractNumId w:val="7"/>
  </w:num>
  <w:num w:numId="5">
    <w:abstractNumId w:val="2"/>
  </w:num>
  <w:num w:numId="6">
    <w:abstractNumId w:val="9"/>
  </w:num>
  <w:num w:numId="7">
    <w:abstractNumId w:val="3"/>
  </w:num>
  <w:num w:numId="8">
    <w:abstractNumId w:val="6"/>
  </w:num>
  <w:num w:numId="9">
    <w:abstractNumId w:val="4"/>
  </w:num>
  <w:num w:numId="10">
    <w:abstractNumId w:val="1"/>
  </w:num>
  <w:num w:numId="11">
    <w:abstractNumId w:val="0"/>
  </w:num>
  <w:num w:numId="12">
    <w:abstractNumId w:val="11"/>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1CB0"/>
    <w:rsid w:val="000020FE"/>
    <w:rsid w:val="0000230A"/>
    <w:rsid w:val="00002C86"/>
    <w:rsid w:val="000033D2"/>
    <w:rsid w:val="0000360B"/>
    <w:rsid w:val="00003868"/>
    <w:rsid w:val="00003C98"/>
    <w:rsid w:val="00005071"/>
    <w:rsid w:val="00005131"/>
    <w:rsid w:val="00005FE0"/>
    <w:rsid w:val="0000632E"/>
    <w:rsid w:val="0000780D"/>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19C"/>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9EA"/>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6977"/>
    <w:rsid w:val="000571E0"/>
    <w:rsid w:val="00057D10"/>
    <w:rsid w:val="00060276"/>
    <w:rsid w:val="00061786"/>
    <w:rsid w:val="000617AC"/>
    <w:rsid w:val="000629DD"/>
    <w:rsid w:val="00062A20"/>
    <w:rsid w:val="000633DA"/>
    <w:rsid w:val="000640AA"/>
    <w:rsid w:val="00064224"/>
    <w:rsid w:val="00064A7A"/>
    <w:rsid w:val="00064B61"/>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B1"/>
    <w:rsid w:val="000744D6"/>
    <w:rsid w:val="000747CD"/>
    <w:rsid w:val="00074E35"/>
    <w:rsid w:val="00075603"/>
    <w:rsid w:val="000768DE"/>
    <w:rsid w:val="00076E4F"/>
    <w:rsid w:val="00077749"/>
    <w:rsid w:val="00081010"/>
    <w:rsid w:val="00081903"/>
    <w:rsid w:val="00082D83"/>
    <w:rsid w:val="000836C4"/>
    <w:rsid w:val="00084583"/>
    <w:rsid w:val="000852D1"/>
    <w:rsid w:val="0008569D"/>
    <w:rsid w:val="000862F2"/>
    <w:rsid w:val="000866C9"/>
    <w:rsid w:val="000867DD"/>
    <w:rsid w:val="0008739F"/>
    <w:rsid w:val="00090134"/>
    <w:rsid w:val="00091F8E"/>
    <w:rsid w:val="0009325E"/>
    <w:rsid w:val="00093507"/>
    <w:rsid w:val="00094627"/>
    <w:rsid w:val="000948AC"/>
    <w:rsid w:val="00094D54"/>
    <w:rsid w:val="000952FE"/>
    <w:rsid w:val="00096296"/>
    <w:rsid w:val="00096873"/>
    <w:rsid w:val="00096F97"/>
    <w:rsid w:val="000970AC"/>
    <w:rsid w:val="00097407"/>
    <w:rsid w:val="00097986"/>
    <w:rsid w:val="00097BCB"/>
    <w:rsid w:val="00097FEF"/>
    <w:rsid w:val="000A0150"/>
    <w:rsid w:val="000A0442"/>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4259"/>
    <w:rsid w:val="000C5EA0"/>
    <w:rsid w:val="000C7018"/>
    <w:rsid w:val="000C7520"/>
    <w:rsid w:val="000C7551"/>
    <w:rsid w:val="000C7AC3"/>
    <w:rsid w:val="000C7CDF"/>
    <w:rsid w:val="000C7DB7"/>
    <w:rsid w:val="000D03F8"/>
    <w:rsid w:val="000D0A0C"/>
    <w:rsid w:val="000D148A"/>
    <w:rsid w:val="000D1D12"/>
    <w:rsid w:val="000D279F"/>
    <w:rsid w:val="000D3202"/>
    <w:rsid w:val="000D3E4E"/>
    <w:rsid w:val="000D4A42"/>
    <w:rsid w:val="000D4BEB"/>
    <w:rsid w:val="000D4C3A"/>
    <w:rsid w:val="000D502F"/>
    <w:rsid w:val="000D5125"/>
    <w:rsid w:val="000D560B"/>
    <w:rsid w:val="000D5DA1"/>
    <w:rsid w:val="000D6872"/>
    <w:rsid w:val="000E0C3F"/>
    <w:rsid w:val="000E0F98"/>
    <w:rsid w:val="000E10C2"/>
    <w:rsid w:val="000E1575"/>
    <w:rsid w:val="000E1875"/>
    <w:rsid w:val="000E18B4"/>
    <w:rsid w:val="000E1D52"/>
    <w:rsid w:val="000E226B"/>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2E4"/>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D4C"/>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6F32"/>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4F2"/>
    <w:rsid w:val="0017365C"/>
    <w:rsid w:val="00174503"/>
    <w:rsid w:val="0017540A"/>
    <w:rsid w:val="0017554A"/>
    <w:rsid w:val="001759C8"/>
    <w:rsid w:val="001764CD"/>
    <w:rsid w:val="00176692"/>
    <w:rsid w:val="00176B1B"/>
    <w:rsid w:val="00177426"/>
    <w:rsid w:val="001802BB"/>
    <w:rsid w:val="00180AC2"/>
    <w:rsid w:val="00180D96"/>
    <w:rsid w:val="00181C82"/>
    <w:rsid w:val="00181F3A"/>
    <w:rsid w:val="001820FB"/>
    <w:rsid w:val="001827A2"/>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78"/>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32DA"/>
    <w:rsid w:val="001B42F2"/>
    <w:rsid w:val="001B4F44"/>
    <w:rsid w:val="001B56A6"/>
    <w:rsid w:val="001B5BCC"/>
    <w:rsid w:val="001B6688"/>
    <w:rsid w:val="001B69E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553"/>
    <w:rsid w:val="001D2B05"/>
    <w:rsid w:val="001D364E"/>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4970"/>
    <w:rsid w:val="001F5E17"/>
    <w:rsid w:val="001F5F55"/>
    <w:rsid w:val="001F618F"/>
    <w:rsid w:val="001F62E2"/>
    <w:rsid w:val="001F65BD"/>
    <w:rsid w:val="001F6690"/>
    <w:rsid w:val="001F6714"/>
    <w:rsid w:val="001F7A66"/>
    <w:rsid w:val="00201498"/>
    <w:rsid w:val="0020229E"/>
    <w:rsid w:val="002058BB"/>
    <w:rsid w:val="00205C3B"/>
    <w:rsid w:val="0020667C"/>
    <w:rsid w:val="00206C01"/>
    <w:rsid w:val="002078AF"/>
    <w:rsid w:val="0021030C"/>
    <w:rsid w:val="002104BB"/>
    <w:rsid w:val="002119F9"/>
    <w:rsid w:val="00211B73"/>
    <w:rsid w:val="00211D14"/>
    <w:rsid w:val="0021254B"/>
    <w:rsid w:val="00212A0B"/>
    <w:rsid w:val="00212E7C"/>
    <w:rsid w:val="00213113"/>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EE"/>
    <w:rsid w:val="00223815"/>
    <w:rsid w:val="00223E29"/>
    <w:rsid w:val="00223F48"/>
    <w:rsid w:val="002242C9"/>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6EE"/>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27B1"/>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3E8C"/>
    <w:rsid w:val="002946FD"/>
    <w:rsid w:val="00294C02"/>
    <w:rsid w:val="0029517C"/>
    <w:rsid w:val="002951D0"/>
    <w:rsid w:val="00296370"/>
    <w:rsid w:val="00296808"/>
    <w:rsid w:val="00297417"/>
    <w:rsid w:val="00297748"/>
    <w:rsid w:val="0029781A"/>
    <w:rsid w:val="00297883"/>
    <w:rsid w:val="00297944"/>
    <w:rsid w:val="002A0829"/>
    <w:rsid w:val="002A0864"/>
    <w:rsid w:val="002A136E"/>
    <w:rsid w:val="002A1B28"/>
    <w:rsid w:val="002A2942"/>
    <w:rsid w:val="002A296E"/>
    <w:rsid w:val="002A3119"/>
    <w:rsid w:val="002A32F1"/>
    <w:rsid w:val="002A36F6"/>
    <w:rsid w:val="002A37DE"/>
    <w:rsid w:val="002A4144"/>
    <w:rsid w:val="002A4390"/>
    <w:rsid w:val="002A43D5"/>
    <w:rsid w:val="002A485C"/>
    <w:rsid w:val="002A48C4"/>
    <w:rsid w:val="002A4EC9"/>
    <w:rsid w:val="002A5DC2"/>
    <w:rsid w:val="002A6050"/>
    <w:rsid w:val="002A61BB"/>
    <w:rsid w:val="002A6377"/>
    <w:rsid w:val="002A6588"/>
    <w:rsid w:val="002B0315"/>
    <w:rsid w:val="002B0DDB"/>
    <w:rsid w:val="002B10BC"/>
    <w:rsid w:val="002B1F43"/>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013"/>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5FF6"/>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4AE4"/>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506"/>
    <w:rsid w:val="00337567"/>
    <w:rsid w:val="00337702"/>
    <w:rsid w:val="00337CF0"/>
    <w:rsid w:val="0034046E"/>
    <w:rsid w:val="003408E3"/>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3D0"/>
    <w:rsid w:val="00366AFB"/>
    <w:rsid w:val="0036782F"/>
    <w:rsid w:val="0037089F"/>
    <w:rsid w:val="0037148E"/>
    <w:rsid w:val="00372529"/>
    <w:rsid w:val="0037266E"/>
    <w:rsid w:val="00372EDB"/>
    <w:rsid w:val="00372F8B"/>
    <w:rsid w:val="003735FF"/>
    <w:rsid w:val="003737C6"/>
    <w:rsid w:val="003759D1"/>
    <w:rsid w:val="00376743"/>
    <w:rsid w:val="00376862"/>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48"/>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2F94"/>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661D"/>
    <w:rsid w:val="003F73AF"/>
    <w:rsid w:val="003F7E43"/>
    <w:rsid w:val="00400466"/>
    <w:rsid w:val="00400D5D"/>
    <w:rsid w:val="00400F56"/>
    <w:rsid w:val="00401696"/>
    <w:rsid w:val="00401DF3"/>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47FD4"/>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57D83"/>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7A1"/>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004"/>
    <w:rsid w:val="004C3AD9"/>
    <w:rsid w:val="004C3DA8"/>
    <w:rsid w:val="004C4100"/>
    <w:rsid w:val="004C4340"/>
    <w:rsid w:val="004C46FD"/>
    <w:rsid w:val="004C4B2B"/>
    <w:rsid w:val="004C576F"/>
    <w:rsid w:val="004C5FC3"/>
    <w:rsid w:val="004C6149"/>
    <w:rsid w:val="004C63ED"/>
    <w:rsid w:val="004C6C67"/>
    <w:rsid w:val="004C7537"/>
    <w:rsid w:val="004C774F"/>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44F"/>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1615"/>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69B"/>
    <w:rsid w:val="00522872"/>
    <w:rsid w:val="00522FAF"/>
    <w:rsid w:val="005236D3"/>
    <w:rsid w:val="00523BD1"/>
    <w:rsid w:val="00523C79"/>
    <w:rsid w:val="00523CFC"/>
    <w:rsid w:val="0052535C"/>
    <w:rsid w:val="00526420"/>
    <w:rsid w:val="0052771C"/>
    <w:rsid w:val="00527D02"/>
    <w:rsid w:val="00530640"/>
    <w:rsid w:val="00530851"/>
    <w:rsid w:val="00530946"/>
    <w:rsid w:val="00530A40"/>
    <w:rsid w:val="005311F2"/>
    <w:rsid w:val="00531698"/>
    <w:rsid w:val="00531989"/>
    <w:rsid w:val="00531ACD"/>
    <w:rsid w:val="00532028"/>
    <w:rsid w:val="00532137"/>
    <w:rsid w:val="005329A7"/>
    <w:rsid w:val="00532F1D"/>
    <w:rsid w:val="005340FF"/>
    <w:rsid w:val="005350CB"/>
    <w:rsid w:val="00535EB0"/>
    <w:rsid w:val="0053620D"/>
    <w:rsid w:val="00536516"/>
    <w:rsid w:val="0053704D"/>
    <w:rsid w:val="005372FA"/>
    <w:rsid w:val="00537B6C"/>
    <w:rsid w:val="00540511"/>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3"/>
    <w:rsid w:val="005545EB"/>
    <w:rsid w:val="00554C5A"/>
    <w:rsid w:val="00554D52"/>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4C2"/>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2FA"/>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1A18"/>
    <w:rsid w:val="005D2130"/>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370A"/>
    <w:rsid w:val="005E448B"/>
    <w:rsid w:val="005E4955"/>
    <w:rsid w:val="005E4F8A"/>
    <w:rsid w:val="005E5273"/>
    <w:rsid w:val="005E5BFD"/>
    <w:rsid w:val="005E65DF"/>
    <w:rsid w:val="005E683C"/>
    <w:rsid w:val="005E7242"/>
    <w:rsid w:val="005E7986"/>
    <w:rsid w:val="005E7B78"/>
    <w:rsid w:val="005F06BD"/>
    <w:rsid w:val="005F0711"/>
    <w:rsid w:val="005F1616"/>
    <w:rsid w:val="005F2344"/>
    <w:rsid w:val="005F2943"/>
    <w:rsid w:val="005F31C1"/>
    <w:rsid w:val="005F4E44"/>
    <w:rsid w:val="005F50EC"/>
    <w:rsid w:val="005F5B65"/>
    <w:rsid w:val="005F6160"/>
    <w:rsid w:val="005F62FC"/>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17"/>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4B8D"/>
    <w:rsid w:val="00646A03"/>
    <w:rsid w:val="00647130"/>
    <w:rsid w:val="006477B1"/>
    <w:rsid w:val="00650312"/>
    <w:rsid w:val="00650CB0"/>
    <w:rsid w:val="0065240A"/>
    <w:rsid w:val="006529E7"/>
    <w:rsid w:val="00652BBB"/>
    <w:rsid w:val="00654950"/>
    <w:rsid w:val="006555EA"/>
    <w:rsid w:val="006558D3"/>
    <w:rsid w:val="00655E13"/>
    <w:rsid w:val="00655E3A"/>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87AA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24D"/>
    <w:rsid w:val="006C37B9"/>
    <w:rsid w:val="006C520F"/>
    <w:rsid w:val="006C5A0B"/>
    <w:rsid w:val="006C6745"/>
    <w:rsid w:val="006C6788"/>
    <w:rsid w:val="006C72FB"/>
    <w:rsid w:val="006C731D"/>
    <w:rsid w:val="006D0495"/>
    <w:rsid w:val="006D05FC"/>
    <w:rsid w:val="006D0665"/>
    <w:rsid w:val="006D11F4"/>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475C"/>
    <w:rsid w:val="006F582B"/>
    <w:rsid w:val="006F632F"/>
    <w:rsid w:val="006F722D"/>
    <w:rsid w:val="006F72F8"/>
    <w:rsid w:val="00700F14"/>
    <w:rsid w:val="007013C2"/>
    <w:rsid w:val="007014A0"/>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EF8"/>
    <w:rsid w:val="00707F7D"/>
    <w:rsid w:val="007108E5"/>
    <w:rsid w:val="007121FD"/>
    <w:rsid w:val="00713183"/>
    <w:rsid w:val="00713A7F"/>
    <w:rsid w:val="00714CD5"/>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44E5"/>
    <w:rsid w:val="00725860"/>
    <w:rsid w:val="00726ECB"/>
    <w:rsid w:val="00727436"/>
    <w:rsid w:val="007276BC"/>
    <w:rsid w:val="0073195E"/>
    <w:rsid w:val="00731DF0"/>
    <w:rsid w:val="00732769"/>
    <w:rsid w:val="007327B4"/>
    <w:rsid w:val="007341DD"/>
    <w:rsid w:val="007342B0"/>
    <w:rsid w:val="00734985"/>
    <w:rsid w:val="007354C8"/>
    <w:rsid w:val="007361CB"/>
    <w:rsid w:val="007361FB"/>
    <w:rsid w:val="00736E72"/>
    <w:rsid w:val="00737054"/>
    <w:rsid w:val="00737210"/>
    <w:rsid w:val="0073759D"/>
    <w:rsid w:val="00737690"/>
    <w:rsid w:val="00740463"/>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1D3F"/>
    <w:rsid w:val="00772451"/>
    <w:rsid w:val="007744DC"/>
    <w:rsid w:val="00774692"/>
    <w:rsid w:val="00774CF6"/>
    <w:rsid w:val="007752DE"/>
    <w:rsid w:val="00775345"/>
    <w:rsid w:val="00775368"/>
    <w:rsid w:val="00775558"/>
    <w:rsid w:val="00775704"/>
    <w:rsid w:val="00775855"/>
    <w:rsid w:val="0077600C"/>
    <w:rsid w:val="00776874"/>
    <w:rsid w:val="00777567"/>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5C91"/>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35"/>
    <w:rsid w:val="007F3841"/>
    <w:rsid w:val="007F4FE5"/>
    <w:rsid w:val="007F5411"/>
    <w:rsid w:val="007F5B12"/>
    <w:rsid w:val="007F5C0F"/>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C5E"/>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5D0F"/>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2D97"/>
    <w:rsid w:val="008832C7"/>
    <w:rsid w:val="00883D07"/>
    <w:rsid w:val="00884432"/>
    <w:rsid w:val="0088484F"/>
    <w:rsid w:val="008848F9"/>
    <w:rsid w:val="00884F2F"/>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2F7B"/>
    <w:rsid w:val="008D35E2"/>
    <w:rsid w:val="008D3783"/>
    <w:rsid w:val="008D3DCE"/>
    <w:rsid w:val="008D4BD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206"/>
    <w:rsid w:val="00920565"/>
    <w:rsid w:val="00921351"/>
    <w:rsid w:val="00922772"/>
    <w:rsid w:val="00923023"/>
    <w:rsid w:val="00924313"/>
    <w:rsid w:val="00924845"/>
    <w:rsid w:val="00925511"/>
    <w:rsid w:val="00925C5B"/>
    <w:rsid w:val="00925C8B"/>
    <w:rsid w:val="00927C22"/>
    <w:rsid w:val="00931998"/>
    <w:rsid w:val="00931E2F"/>
    <w:rsid w:val="00932507"/>
    <w:rsid w:val="009336F2"/>
    <w:rsid w:val="00933AA5"/>
    <w:rsid w:val="00933E76"/>
    <w:rsid w:val="00934041"/>
    <w:rsid w:val="00935CE5"/>
    <w:rsid w:val="00935FF0"/>
    <w:rsid w:val="00936437"/>
    <w:rsid w:val="00936BA2"/>
    <w:rsid w:val="00937296"/>
    <w:rsid w:val="00937305"/>
    <w:rsid w:val="009376F0"/>
    <w:rsid w:val="009377F4"/>
    <w:rsid w:val="00937F79"/>
    <w:rsid w:val="0094033B"/>
    <w:rsid w:val="00941411"/>
    <w:rsid w:val="00941E74"/>
    <w:rsid w:val="00941F7D"/>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41"/>
    <w:rsid w:val="009919A8"/>
    <w:rsid w:val="00992C5B"/>
    <w:rsid w:val="00993579"/>
    <w:rsid w:val="00993C19"/>
    <w:rsid w:val="00993D3E"/>
    <w:rsid w:val="009944C0"/>
    <w:rsid w:val="009950F8"/>
    <w:rsid w:val="0099599E"/>
    <w:rsid w:val="00995D28"/>
    <w:rsid w:val="00996BD2"/>
    <w:rsid w:val="00996E9E"/>
    <w:rsid w:val="00996FE0"/>
    <w:rsid w:val="00997354"/>
    <w:rsid w:val="00997597"/>
    <w:rsid w:val="009A0A03"/>
    <w:rsid w:val="009A0C6E"/>
    <w:rsid w:val="009A110F"/>
    <w:rsid w:val="009A1C99"/>
    <w:rsid w:val="009A2491"/>
    <w:rsid w:val="009A3095"/>
    <w:rsid w:val="009A4416"/>
    <w:rsid w:val="009A4E33"/>
    <w:rsid w:val="009A5A6C"/>
    <w:rsid w:val="009A68A6"/>
    <w:rsid w:val="009A6B2A"/>
    <w:rsid w:val="009B01B4"/>
    <w:rsid w:val="009B030D"/>
    <w:rsid w:val="009B1152"/>
    <w:rsid w:val="009B16DC"/>
    <w:rsid w:val="009B1CA7"/>
    <w:rsid w:val="009B2635"/>
    <w:rsid w:val="009B3763"/>
    <w:rsid w:val="009B3CDE"/>
    <w:rsid w:val="009B4442"/>
    <w:rsid w:val="009B47F8"/>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9F0"/>
    <w:rsid w:val="009E7EF9"/>
    <w:rsid w:val="009F1246"/>
    <w:rsid w:val="009F1A49"/>
    <w:rsid w:val="009F1A60"/>
    <w:rsid w:val="009F1C40"/>
    <w:rsid w:val="009F2254"/>
    <w:rsid w:val="009F28BF"/>
    <w:rsid w:val="009F29F6"/>
    <w:rsid w:val="009F2F98"/>
    <w:rsid w:val="009F300E"/>
    <w:rsid w:val="009F30D5"/>
    <w:rsid w:val="009F3E83"/>
    <w:rsid w:val="009F43A1"/>
    <w:rsid w:val="009F5361"/>
    <w:rsid w:val="009F5B37"/>
    <w:rsid w:val="009F5F17"/>
    <w:rsid w:val="009F6150"/>
    <w:rsid w:val="009F65E8"/>
    <w:rsid w:val="009F683C"/>
    <w:rsid w:val="009F68F1"/>
    <w:rsid w:val="009F7408"/>
    <w:rsid w:val="009F779B"/>
    <w:rsid w:val="00A01DE0"/>
    <w:rsid w:val="00A02398"/>
    <w:rsid w:val="00A0260A"/>
    <w:rsid w:val="00A0296E"/>
    <w:rsid w:val="00A02D3C"/>
    <w:rsid w:val="00A033E1"/>
    <w:rsid w:val="00A0375A"/>
    <w:rsid w:val="00A03D42"/>
    <w:rsid w:val="00A0421E"/>
    <w:rsid w:val="00A044D0"/>
    <w:rsid w:val="00A04D42"/>
    <w:rsid w:val="00A062C1"/>
    <w:rsid w:val="00A07AB4"/>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5B4C"/>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261"/>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37CE8"/>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B78"/>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0F3A"/>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87F80"/>
    <w:rsid w:val="00A902CB"/>
    <w:rsid w:val="00A903AC"/>
    <w:rsid w:val="00A903ED"/>
    <w:rsid w:val="00A90AC0"/>
    <w:rsid w:val="00A90EFD"/>
    <w:rsid w:val="00A917B3"/>
    <w:rsid w:val="00A92BB6"/>
    <w:rsid w:val="00A92F01"/>
    <w:rsid w:val="00A9375D"/>
    <w:rsid w:val="00A94CA9"/>
    <w:rsid w:val="00A9613F"/>
    <w:rsid w:val="00A9640A"/>
    <w:rsid w:val="00A97329"/>
    <w:rsid w:val="00A97F59"/>
    <w:rsid w:val="00AA119E"/>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3ABD"/>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6388"/>
    <w:rsid w:val="00AC7662"/>
    <w:rsid w:val="00AC7B40"/>
    <w:rsid w:val="00AD026E"/>
    <w:rsid w:val="00AD02F8"/>
    <w:rsid w:val="00AD0392"/>
    <w:rsid w:val="00AD0E7D"/>
    <w:rsid w:val="00AD11D0"/>
    <w:rsid w:val="00AD16D8"/>
    <w:rsid w:val="00AD1777"/>
    <w:rsid w:val="00AD1DBA"/>
    <w:rsid w:val="00AD2BFE"/>
    <w:rsid w:val="00AD398D"/>
    <w:rsid w:val="00AD3B92"/>
    <w:rsid w:val="00AD4972"/>
    <w:rsid w:val="00AD5D9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A30"/>
    <w:rsid w:val="00AF2F7E"/>
    <w:rsid w:val="00AF33B6"/>
    <w:rsid w:val="00AF33B9"/>
    <w:rsid w:val="00AF3D0C"/>
    <w:rsid w:val="00AF3D70"/>
    <w:rsid w:val="00AF3FF6"/>
    <w:rsid w:val="00AF4102"/>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0928"/>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1ECB"/>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E6E"/>
    <w:rsid w:val="00BD5FFB"/>
    <w:rsid w:val="00BD6F3F"/>
    <w:rsid w:val="00BD7746"/>
    <w:rsid w:val="00BD79E8"/>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C8A"/>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006"/>
    <w:rsid w:val="00C2713A"/>
    <w:rsid w:val="00C3111D"/>
    <w:rsid w:val="00C31238"/>
    <w:rsid w:val="00C3143D"/>
    <w:rsid w:val="00C314BB"/>
    <w:rsid w:val="00C319E5"/>
    <w:rsid w:val="00C3207A"/>
    <w:rsid w:val="00C33395"/>
    <w:rsid w:val="00C3400A"/>
    <w:rsid w:val="00C346DC"/>
    <w:rsid w:val="00C357B8"/>
    <w:rsid w:val="00C35A89"/>
    <w:rsid w:val="00C35D73"/>
    <w:rsid w:val="00C36F72"/>
    <w:rsid w:val="00C40313"/>
    <w:rsid w:val="00C4064E"/>
    <w:rsid w:val="00C4097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76"/>
    <w:rsid w:val="00C75ED2"/>
    <w:rsid w:val="00C75FC3"/>
    <w:rsid w:val="00C7631C"/>
    <w:rsid w:val="00C76389"/>
    <w:rsid w:val="00C776DE"/>
    <w:rsid w:val="00C8012B"/>
    <w:rsid w:val="00C8032F"/>
    <w:rsid w:val="00C80E49"/>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06A"/>
    <w:rsid w:val="00CA17C2"/>
    <w:rsid w:val="00CA20FF"/>
    <w:rsid w:val="00CA258A"/>
    <w:rsid w:val="00CA315D"/>
    <w:rsid w:val="00CA36B5"/>
    <w:rsid w:val="00CA42BF"/>
    <w:rsid w:val="00CA4E7E"/>
    <w:rsid w:val="00CA594B"/>
    <w:rsid w:val="00CA5B3B"/>
    <w:rsid w:val="00CA6ED1"/>
    <w:rsid w:val="00CA7DA0"/>
    <w:rsid w:val="00CB1816"/>
    <w:rsid w:val="00CB18A9"/>
    <w:rsid w:val="00CB19BC"/>
    <w:rsid w:val="00CB2729"/>
    <w:rsid w:val="00CB37E0"/>
    <w:rsid w:val="00CB3F98"/>
    <w:rsid w:val="00CB4193"/>
    <w:rsid w:val="00CB4440"/>
    <w:rsid w:val="00CB4737"/>
    <w:rsid w:val="00CB5504"/>
    <w:rsid w:val="00CB5532"/>
    <w:rsid w:val="00CB5BE2"/>
    <w:rsid w:val="00CB5E56"/>
    <w:rsid w:val="00CB6B9A"/>
    <w:rsid w:val="00CB76B2"/>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3EF"/>
    <w:rsid w:val="00CD2479"/>
    <w:rsid w:val="00CD25AA"/>
    <w:rsid w:val="00CD28BE"/>
    <w:rsid w:val="00CD2DC7"/>
    <w:rsid w:val="00CD3CA1"/>
    <w:rsid w:val="00CD3F79"/>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47D8"/>
    <w:rsid w:val="00CE52F1"/>
    <w:rsid w:val="00CE57E7"/>
    <w:rsid w:val="00CE58D6"/>
    <w:rsid w:val="00CE66B6"/>
    <w:rsid w:val="00CE67F0"/>
    <w:rsid w:val="00CE69F2"/>
    <w:rsid w:val="00CF0086"/>
    <w:rsid w:val="00CF0502"/>
    <w:rsid w:val="00CF0A44"/>
    <w:rsid w:val="00CF0D48"/>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056"/>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D56"/>
    <w:rsid w:val="00D93F90"/>
    <w:rsid w:val="00D9418F"/>
    <w:rsid w:val="00D94B91"/>
    <w:rsid w:val="00DA1B4F"/>
    <w:rsid w:val="00DA25F7"/>
    <w:rsid w:val="00DA265C"/>
    <w:rsid w:val="00DA3004"/>
    <w:rsid w:val="00DA3AAC"/>
    <w:rsid w:val="00DA3C64"/>
    <w:rsid w:val="00DA475B"/>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55F8"/>
    <w:rsid w:val="00E06E64"/>
    <w:rsid w:val="00E072B4"/>
    <w:rsid w:val="00E074E7"/>
    <w:rsid w:val="00E104D0"/>
    <w:rsid w:val="00E105A6"/>
    <w:rsid w:val="00E109D4"/>
    <w:rsid w:val="00E10C81"/>
    <w:rsid w:val="00E11200"/>
    <w:rsid w:val="00E117C3"/>
    <w:rsid w:val="00E12008"/>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4F6E"/>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BCE"/>
    <w:rsid w:val="00E85CCA"/>
    <w:rsid w:val="00E85D8F"/>
    <w:rsid w:val="00E869C9"/>
    <w:rsid w:val="00E86D28"/>
    <w:rsid w:val="00E877E7"/>
    <w:rsid w:val="00E917F0"/>
    <w:rsid w:val="00E91ADE"/>
    <w:rsid w:val="00E91C5F"/>
    <w:rsid w:val="00E91F75"/>
    <w:rsid w:val="00E93652"/>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E7CDD"/>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DA5"/>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5D3"/>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25EB3"/>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3C1A"/>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58A6"/>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03F2"/>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865"/>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E3C"/>
    <w:rsid w:val="00FB5FA5"/>
    <w:rsid w:val="00FB6187"/>
    <w:rsid w:val="00FB7269"/>
    <w:rsid w:val="00FB739A"/>
    <w:rsid w:val="00FB782F"/>
    <w:rsid w:val="00FC1822"/>
    <w:rsid w:val="00FC3372"/>
    <w:rsid w:val="00FC4495"/>
    <w:rsid w:val="00FC59AA"/>
    <w:rsid w:val="00FC5EAA"/>
    <w:rsid w:val="00FC6140"/>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895"/>
    <w:rsid w:val="00FF3941"/>
    <w:rsid w:val="00FF48BD"/>
    <w:rsid w:val="00FF4CD3"/>
    <w:rsid w:val="00FF4EC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82978164">
      <w:bodyDiv w:val="1"/>
      <w:marLeft w:val="0"/>
      <w:marRight w:val="0"/>
      <w:marTop w:val="0"/>
      <w:marBottom w:val="0"/>
      <w:divBdr>
        <w:top w:val="none" w:sz="0" w:space="0" w:color="auto"/>
        <w:left w:val="none" w:sz="0" w:space="0" w:color="auto"/>
        <w:bottom w:val="none" w:sz="0" w:space="0" w:color="auto"/>
        <w:right w:val="none" w:sz="0" w:space="0" w:color="auto"/>
      </w:divBdr>
    </w:div>
    <w:div w:id="209418614">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35450468">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5871557">
      <w:bodyDiv w:val="1"/>
      <w:marLeft w:val="0"/>
      <w:marRight w:val="0"/>
      <w:marTop w:val="0"/>
      <w:marBottom w:val="0"/>
      <w:divBdr>
        <w:top w:val="none" w:sz="0" w:space="0" w:color="auto"/>
        <w:left w:val="none" w:sz="0" w:space="0" w:color="auto"/>
        <w:bottom w:val="none" w:sz="0" w:space="0" w:color="auto"/>
        <w:right w:val="none" w:sz="0" w:space="0" w:color="auto"/>
      </w:divBdr>
    </w:div>
    <w:div w:id="122941365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57211010">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5375043">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50E37-101B-463C-9B34-F0C4B263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1461</Words>
  <Characters>7335</Characters>
  <Application>Microsoft Office Word</Application>
  <DocSecurity>0</DocSecurity>
  <Lines>159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175</cp:revision>
  <dcterms:created xsi:type="dcterms:W3CDTF">2021-09-30T09:52:00Z</dcterms:created>
  <dcterms:modified xsi:type="dcterms:W3CDTF">2021-11-06T02:53:00Z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(3)MeF08e1OdikGPqit0uvpTrBRyyrrpwmD6a8u2zc5J5xk+UsKeQRn++B6n8CfrNfCmcKf24/x
JVTwvvg9YPOFAc/r9KafQn62OO56Udu+N/9fL1xns1PBMcA9XtYUhrDM1Dt+KxkmN3cNKKOI
EgmP5ICpgfLFXFn5QjaoKFJKQQBa1ISh1W8u9Qo1nw84Tw2SUmSosaa5ceh1uckyz1nYrIgc
aSNTKNqnA4NZV2N4rt</vt:lpwstr>
  </property>
  <property fmtid="{D5CDD505-2E9C-101B-9397-08002B2CF9AE}" pid="3" name="_2015_ms_pID_7253431">
    <vt:lpwstr>nXBI5Jzkpftn/BWPlGWFsJE4xRdklSobF8Pk60OnSTP1rZrESHXpaJ
jOnUwyrPOg+i2+MKqfRyKHxOLB0qK/ZDem0ZzxFBP26G1tB2jAT1fCHmVuPmHTpH7Dajwpuh
Dfdi/hBt+gfKev9Dh02aj7uUFqQS6QvPcb0hw2HXYZPbwwJAqRKDCREiwh7tb6sZClUTKoDw
TyrGe+xwvQ2NYlr94VzsBig41kSWvkbR4jGu</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1636165777</vt:lpwstr>
  </property>
</Properties>
</file>