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2E0BB22E"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FC40DB">
        <w:rPr>
          <w:rFonts w:ascii="Arial" w:hAnsi="Arial" w:cs="Arial"/>
          <w:bCs/>
          <w:sz w:val="28"/>
          <w:szCs w:val="28"/>
        </w:rPr>
        <w:t>7</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72214A" w:rsidRPr="0072214A">
        <w:t xml:space="preserve"> </w:t>
      </w:r>
      <w:r w:rsidR="006A087E" w:rsidRPr="006A087E">
        <w:rPr>
          <w:rFonts w:ascii="Arial" w:hAnsi="Arial" w:cs="Arial"/>
          <w:bCs/>
          <w:sz w:val="28"/>
          <w:szCs w:val="28"/>
        </w:rPr>
        <w:t>211</w:t>
      </w:r>
      <w:r w:rsidR="002209B3">
        <w:rPr>
          <w:rFonts w:ascii="Arial" w:hAnsi="Arial" w:cs="Arial"/>
          <w:bCs/>
          <w:sz w:val="28"/>
          <w:szCs w:val="28"/>
        </w:rPr>
        <w:t>1892</w:t>
      </w:r>
    </w:p>
    <w:p w14:paraId="3ED772E9" w14:textId="0F9FF45A"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C40DB">
        <w:rPr>
          <w:rFonts w:ascii="Arial" w:eastAsia="MS Mincho" w:hAnsi="Arial" w:cs="Arial"/>
          <w:b/>
          <w:bCs/>
          <w:sz w:val="28"/>
          <w:lang w:eastAsia="ja-JP"/>
        </w:rPr>
        <w:t>November</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2C43D0">
        <w:rPr>
          <w:rFonts w:ascii="Arial" w:eastAsia="MS Mincho" w:hAnsi="Arial" w:cs="Arial"/>
          <w:b/>
          <w:bCs/>
          <w:sz w:val="28"/>
          <w:lang w:eastAsia="ja-JP"/>
        </w:rPr>
        <w:t>1</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2C43D0">
        <w:rPr>
          <w:rFonts w:ascii="Arial" w:eastAsia="MS Mincho" w:hAnsi="Arial" w:cs="Arial"/>
          <w:b/>
          <w:bCs/>
          <w:sz w:val="28"/>
          <w:lang w:eastAsia="ja-JP"/>
        </w:rPr>
        <w:t>19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1FE5C708" w:rsidR="00E90E49" w:rsidRPr="00460F8C" w:rsidRDefault="00E90E49" w:rsidP="00311702">
      <w:pPr>
        <w:pStyle w:val="3GPPHeader"/>
        <w:rPr>
          <w:rFonts w:ascii="Arial" w:hAnsi="Arial" w:cs="Arial"/>
          <w:sz w:val="22"/>
          <w:szCs w:val="22"/>
        </w:rPr>
      </w:pPr>
      <w:r w:rsidRPr="00460F8C">
        <w:rPr>
          <w:rFonts w:ascii="Arial" w:hAnsi="Arial" w:cs="Arial"/>
          <w:sz w:val="22"/>
          <w:szCs w:val="22"/>
        </w:rPr>
        <w:t>Agenda Item:</w:t>
      </w:r>
      <w:r w:rsidRPr="00460F8C">
        <w:rPr>
          <w:rFonts w:ascii="Arial" w:hAnsi="Arial" w:cs="Arial"/>
          <w:sz w:val="22"/>
          <w:szCs w:val="22"/>
        </w:rPr>
        <w:tab/>
      </w:r>
      <w:r w:rsidR="002E78A1" w:rsidRPr="00460F8C">
        <w:rPr>
          <w:rFonts w:ascii="Arial" w:hAnsi="Arial" w:cs="Arial"/>
          <w:sz w:val="22"/>
          <w:szCs w:val="22"/>
        </w:rPr>
        <w:t>8.</w:t>
      </w:r>
      <w:r w:rsidR="005320E9" w:rsidRPr="00460F8C">
        <w:rPr>
          <w:rFonts w:ascii="Arial" w:hAnsi="Arial" w:cs="Arial"/>
          <w:sz w:val="22"/>
          <w:szCs w:val="22"/>
        </w:rPr>
        <w:t>10</w:t>
      </w:r>
      <w:r w:rsidR="002E78A1" w:rsidRPr="00460F8C">
        <w:rPr>
          <w:rFonts w:ascii="Arial" w:hAnsi="Arial" w:cs="Arial"/>
          <w:sz w:val="22"/>
          <w:szCs w:val="22"/>
        </w:rPr>
        <w:t>.</w:t>
      </w:r>
      <w:r w:rsidR="008E5FA7" w:rsidRPr="00460F8C">
        <w:rPr>
          <w:rFonts w:ascii="Arial" w:hAnsi="Arial" w:cs="Arial"/>
          <w:sz w:val="22"/>
          <w:szCs w:val="22"/>
        </w:rPr>
        <w:t>1</w:t>
      </w:r>
    </w:p>
    <w:p w14:paraId="3D5AB017" w14:textId="77777777" w:rsidR="00E90E49" w:rsidRPr="00460F8C" w:rsidRDefault="003D3C45" w:rsidP="00F64C2B">
      <w:pPr>
        <w:pStyle w:val="3GPPHeader"/>
        <w:rPr>
          <w:rFonts w:ascii="Arial" w:hAnsi="Arial" w:cs="Arial"/>
          <w:sz w:val="22"/>
          <w:szCs w:val="22"/>
        </w:rPr>
      </w:pPr>
      <w:r w:rsidRPr="00460F8C">
        <w:rPr>
          <w:rFonts w:ascii="Arial" w:hAnsi="Arial" w:cs="Arial"/>
          <w:sz w:val="22"/>
          <w:szCs w:val="22"/>
        </w:rPr>
        <w:t>Source:</w:t>
      </w:r>
      <w:r w:rsidR="00E90E49" w:rsidRPr="00460F8C">
        <w:rPr>
          <w:rFonts w:ascii="Arial" w:hAnsi="Arial" w:cs="Arial"/>
          <w:sz w:val="22"/>
          <w:szCs w:val="22"/>
        </w:rPr>
        <w:tab/>
      </w:r>
      <w:r w:rsidR="00F12DE8" w:rsidRPr="00460F8C">
        <w:rPr>
          <w:rFonts w:ascii="Arial" w:hAnsi="Arial" w:cs="Arial"/>
          <w:sz w:val="22"/>
          <w:szCs w:val="22"/>
        </w:rPr>
        <w:t>Apple</w:t>
      </w:r>
      <w:r w:rsidR="009A524B" w:rsidRPr="00460F8C">
        <w:rPr>
          <w:rFonts w:ascii="Arial" w:hAnsi="Arial" w:cs="Arial"/>
          <w:sz w:val="22"/>
          <w:szCs w:val="22"/>
        </w:rPr>
        <w:t xml:space="preserve"> </w:t>
      </w:r>
      <w:r w:rsidR="00A20E07" w:rsidRPr="00460F8C">
        <w:rPr>
          <w:rFonts w:ascii="Arial" w:hAnsi="Arial" w:cs="Arial"/>
          <w:sz w:val="22"/>
          <w:szCs w:val="22"/>
        </w:rPr>
        <w:t>Inc.</w:t>
      </w:r>
    </w:p>
    <w:p w14:paraId="5B22300E" w14:textId="0D10EF91" w:rsidR="00E90E49" w:rsidRPr="00460F8C" w:rsidRDefault="003D3C45" w:rsidP="00311702">
      <w:pPr>
        <w:pStyle w:val="3GPPHeader"/>
        <w:rPr>
          <w:rFonts w:ascii="Arial" w:hAnsi="Arial" w:cs="Arial"/>
          <w:sz w:val="22"/>
          <w:szCs w:val="22"/>
        </w:rPr>
      </w:pPr>
      <w:r w:rsidRPr="00460F8C">
        <w:rPr>
          <w:rFonts w:ascii="Arial" w:hAnsi="Arial" w:cs="Arial"/>
          <w:sz w:val="22"/>
          <w:szCs w:val="22"/>
        </w:rPr>
        <w:t>Title:</w:t>
      </w:r>
      <w:r w:rsidR="00193533" w:rsidRPr="00460F8C">
        <w:rPr>
          <w:rFonts w:ascii="Arial" w:hAnsi="Arial" w:cs="Arial"/>
          <w:sz w:val="22"/>
          <w:szCs w:val="22"/>
        </w:rPr>
        <w:tab/>
      </w:r>
      <w:r w:rsidR="002032DA" w:rsidRPr="00460F8C">
        <w:rPr>
          <w:rFonts w:ascii="Arial" w:hAnsi="Arial" w:cs="Arial"/>
          <w:sz w:val="22"/>
          <w:szCs w:val="22"/>
        </w:rPr>
        <w:t xml:space="preserve">Enhanced resource multiplexing within </w:t>
      </w:r>
      <w:r w:rsidR="000709CA" w:rsidRPr="00460F8C">
        <w:rPr>
          <w:rFonts w:ascii="Arial" w:hAnsi="Arial" w:cs="Arial"/>
          <w:sz w:val="22"/>
          <w:szCs w:val="22"/>
        </w:rPr>
        <w:t>an</w:t>
      </w:r>
      <w:r w:rsidR="002032DA" w:rsidRPr="00460F8C">
        <w:rPr>
          <w:rFonts w:ascii="Arial" w:hAnsi="Arial" w:cs="Arial"/>
          <w:sz w:val="22"/>
          <w:szCs w:val="22"/>
        </w:rPr>
        <w:t xml:space="preserve"> IAB node</w:t>
      </w:r>
      <w:r w:rsidR="00502BD9" w:rsidRPr="00460F8C">
        <w:rPr>
          <w:rFonts w:ascii="Arial" w:hAnsi="Arial" w:cs="Arial"/>
          <w:sz w:val="22"/>
          <w:szCs w:val="22"/>
        </w:rPr>
        <w:t xml:space="preserve"> </w:t>
      </w:r>
    </w:p>
    <w:p w14:paraId="499A70C9" w14:textId="77777777" w:rsidR="00E90E49" w:rsidRPr="00460F8C" w:rsidRDefault="00E90E49" w:rsidP="00396685">
      <w:pPr>
        <w:pStyle w:val="3GPPHeader"/>
        <w:rPr>
          <w:rFonts w:ascii="Arial" w:hAnsi="Arial" w:cs="Arial"/>
          <w:sz w:val="22"/>
          <w:szCs w:val="22"/>
        </w:rPr>
      </w:pPr>
      <w:r w:rsidRPr="00460F8C">
        <w:rPr>
          <w:rFonts w:ascii="Arial" w:hAnsi="Arial" w:cs="Arial"/>
          <w:sz w:val="22"/>
          <w:szCs w:val="22"/>
        </w:rPr>
        <w:t>Document for:</w:t>
      </w:r>
      <w:r w:rsidRPr="00460F8C">
        <w:rPr>
          <w:rFonts w:ascii="Arial" w:hAnsi="Arial" w:cs="Arial"/>
          <w:sz w:val="22"/>
          <w:szCs w:val="22"/>
        </w:rPr>
        <w:tab/>
        <w:t>Discussion, Decision</w:t>
      </w:r>
    </w:p>
    <w:p w14:paraId="7C1A2FA9" w14:textId="39155F8B" w:rsidR="004D0D84" w:rsidRPr="00460F8C" w:rsidRDefault="00E90E49" w:rsidP="002050A6">
      <w:pPr>
        <w:pStyle w:val="Heading1"/>
        <w:rPr>
          <w:rFonts w:ascii="Arial" w:hAnsi="Arial" w:cs="Arial"/>
          <w:b/>
          <w:bCs/>
          <w:sz w:val="32"/>
          <w:szCs w:val="32"/>
        </w:rPr>
      </w:pPr>
      <w:bookmarkStart w:id="0" w:name="_Ref4510574"/>
      <w:r w:rsidRPr="00460F8C">
        <w:rPr>
          <w:rFonts w:ascii="Arial" w:hAnsi="Arial" w:cs="Arial"/>
          <w:b/>
          <w:bCs/>
          <w:sz w:val="32"/>
          <w:szCs w:val="32"/>
        </w:rPr>
        <w:t>Introduction</w:t>
      </w:r>
      <w:bookmarkEnd w:id="0"/>
    </w:p>
    <w:p w14:paraId="439E3C9B" w14:textId="27F8AD6D" w:rsidR="00941E13" w:rsidRDefault="00797E71" w:rsidP="00F838FC">
      <w:pPr>
        <w:jc w:val="both"/>
        <w:rPr>
          <w:sz w:val="20"/>
          <w:szCs w:val="20"/>
        </w:rPr>
      </w:pPr>
      <w:r>
        <w:rPr>
          <w:sz w:val="20"/>
          <w:szCs w:val="20"/>
        </w:rPr>
        <w:t>Rel-17</w:t>
      </w:r>
      <w:r w:rsidR="00941E13">
        <w:rPr>
          <w:sz w:val="20"/>
          <w:szCs w:val="20"/>
        </w:rPr>
        <w:t xml:space="preserve"> WI to enhance integrated access and backhaul (IAB)</w:t>
      </w:r>
      <w:r w:rsidR="002516D5">
        <w:rPr>
          <w:sz w:val="20"/>
          <w:szCs w:val="20"/>
        </w:rPr>
        <w:t xml:space="preserve"> </w:t>
      </w:r>
      <w:r w:rsidR="00941E13">
        <w:rPr>
          <w:sz w:val="20"/>
          <w:szCs w:val="20"/>
        </w:rPr>
        <w:t>aims the following RAN1-led objectives, related to duplexing enhancements</w:t>
      </w:r>
      <w:r w:rsidR="002516D5">
        <w:rPr>
          <w:sz w:val="20"/>
          <w:szCs w:val="20"/>
        </w:rPr>
        <w:t xml:space="preserve"> </w:t>
      </w:r>
      <w:r w:rsidR="00941E13">
        <w:rPr>
          <w:sz w:val="20"/>
          <w:szCs w:val="20"/>
        </w:rPr>
        <w:t>[1]:</w:t>
      </w:r>
    </w:p>
    <w:p w14:paraId="2E804EE7" w14:textId="77777777" w:rsidR="00941E13" w:rsidRPr="00941E13" w:rsidRDefault="00941E13" w:rsidP="00941E13">
      <w:pPr>
        <w:numPr>
          <w:ilvl w:val="0"/>
          <w:numId w:val="23"/>
        </w:numPr>
        <w:jc w:val="both"/>
        <w:rPr>
          <w:sz w:val="20"/>
          <w:szCs w:val="20"/>
        </w:rPr>
      </w:pPr>
      <w:r w:rsidRPr="00941E13">
        <w:rPr>
          <w:sz w:val="20"/>
          <w:szCs w:val="20"/>
          <w:lang w:val="en-GB"/>
        </w:rPr>
        <w:t>Specification of enhancements to the resource multiplexing between child and parent links of an IAB node, including:</w:t>
      </w:r>
    </w:p>
    <w:p w14:paraId="0B5FCC1D" w14:textId="77777777" w:rsidR="00941E13" w:rsidRPr="00941E13" w:rsidRDefault="00941E13" w:rsidP="00941E13">
      <w:pPr>
        <w:numPr>
          <w:ilvl w:val="1"/>
          <w:numId w:val="23"/>
        </w:numPr>
        <w:jc w:val="both"/>
        <w:rPr>
          <w:sz w:val="20"/>
          <w:szCs w:val="20"/>
          <w:lang w:val="en-GB"/>
        </w:rPr>
      </w:pPr>
      <w:bookmarkStart w:id="1" w:name="_Hlk26193173"/>
      <w:r w:rsidRPr="00941E13">
        <w:rPr>
          <w:sz w:val="20"/>
          <w:szCs w:val="20"/>
          <w:lang w:val="en-GB"/>
        </w:rPr>
        <w:t>Support of simultaneous operation (transmission and/or reception) of IAB-node’s child and parent links (i.e., MT Tx/DU Tx, MT Tx/DU Rx, MT Rx/DU Tx, MT Rx/DU Rx).</w:t>
      </w:r>
    </w:p>
    <w:p w14:paraId="75261FFE" w14:textId="77777777" w:rsidR="00941E13" w:rsidRPr="00941E13" w:rsidRDefault="00941E13" w:rsidP="00941E13">
      <w:pPr>
        <w:numPr>
          <w:ilvl w:val="1"/>
          <w:numId w:val="23"/>
        </w:numPr>
        <w:jc w:val="both"/>
        <w:rPr>
          <w:sz w:val="20"/>
          <w:szCs w:val="20"/>
          <w:lang w:val="en-GB"/>
        </w:rPr>
      </w:pPr>
      <w:r w:rsidRPr="00941E13">
        <w:rPr>
          <w:sz w:val="20"/>
          <w:szCs w:val="20"/>
          <w:lang w:val="en-GB"/>
        </w:rPr>
        <w:t>Support for dual-connectivity scenarios defined by RAN2/RAN3 in the context of topology redundancy for improved robustness and load balancing.</w:t>
      </w:r>
    </w:p>
    <w:bookmarkEnd w:id="1"/>
    <w:p w14:paraId="52A63A99" w14:textId="77777777" w:rsidR="00941E13" w:rsidRPr="00941E13" w:rsidRDefault="00941E13" w:rsidP="00941E13">
      <w:pPr>
        <w:numPr>
          <w:ilvl w:val="0"/>
          <w:numId w:val="23"/>
        </w:numPr>
        <w:jc w:val="both"/>
        <w:rPr>
          <w:sz w:val="20"/>
          <w:szCs w:val="20"/>
          <w:lang w:val="en-GB"/>
        </w:rPr>
      </w:pPr>
      <w:r w:rsidRPr="00941E13">
        <w:rPr>
          <w:sz w:val="20"/>
          <w:szCs w:val="20"/>
          <w:lang w:val="en-GB"/>
        </w:rPr>
        <w:t>Specification of IAB-node timing mode(s), extensions for DL/UL power control, and CLI and interference measurements of BH links, as needed, to support simultaneous operation (transmission and/or reception) by IAB-node’s child and parent links.</w:t>
      </w:r>
    </w:p>
    <w:p w14:paraId="5C1BB757" w14:textId="77777777" w:rsidR="00941E13" w:rsidRDefault="00941E13" w:rsidP="00F838FC">
      <w:pPr>
        <w:jc w:val="both"/>
        <w:rPr>
          <w:sz w:val="20"/>
          <w:szCs w:val="20"/>
        </w:rPr>
      </w:pPr>
    </w:p>
    <w:p w14:paraId="6B6CA718" w14:textId="77777777" w:rsidR="00F838FC" w:rsidRPr="00F838FC" w:rsidRDefault="00F838FC" w:rsidP="00F838FC">
      <w:pPr>
        <w:jc w:val="both"/>
        <w:rPr>
          <w:sz w:val="20"/>
          <w:szCs w:val="20"/>
        </w:rPr>
      </w:pPr>
    </w:p>
    <w:p w14:paraId="56BEE1FA" w14:textId="02CBFFD1" w:rsidR="005B1FBD" w:rsidRDefault="00F838FC" w:rsidP="000D07AC">
      <w:pPr>
        <w:jc w:val="both"/>
        <w:rPr>
          <w:sz w:val="20"/>
          <w:szCs w:val="20"/>
          <w:lang w:val="en-GB"/>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w:t>
      </w:r>
      <w:r w:rsidR="00D12C2E">
        <w:rPr>
          <w:sz w:val="20"/>
          <w:szCs w:val="20"/>
          <w:lang w:val="en-GB"/>
        </w:rPr>
        <w:t xml:space="preserve">resource </w:t>
      </w:r>
      <w:r w:rsidR="008C2B48">
        <w:rPr>
          <w:sz w:val="20"/>
          <w:szCs w:val="20"/>
          <w:lang w:val="en-GB"/>
        </w:rPr>
        <w:t>multiplexing</w:t>
      </w:r>
      <w:r w:rsidR="001B1922">
        <w:rPr>
          <w:sz w:val="20"/>
          <w:szCs w:val="20"/>
          <w:lang w:val="en-GB"/>
        </w:rPr>
        <w:t xml:space="preserve"> </w:t>
      </w:r>
      <w:r w:rsidR="008C2B48">
        <w:rPr>
          <w:sz w:val="20"/>
          <w:szCs w:val="20"/>
          <w:lang w:val="en-GB"/>
        </w:rPr>
        <w:t>between IAB node’s child and parent links</w:t>
      </w:r>
      <w:r w:rsidR="001B1922">
        <w:rPr>
          <w:sz w:val="20"/>
          <w:szCs w:val="20"/>
          <w:lang w:val="en-GB"/>
        </w:rPr>
        <w:t>.</w:t>
      </w:r>
    </w:p>
    <w:p w14:paraId="67219D29" w14:textId="77777777" w:rsidR="007F1196" w:rsidRDefault="007F1196" w:rsidP="000D07AC">
      <w:pPr>
        <w:jc w:val="both"/>
        <w:rPr>
          <w:sz w:val="20"/>
          <w:szCs w:val="20"/>
        </w:rPr>
      </w:pPr>
    </w:p>
    <w:p w14:paraId="07ED24B1" w14:textId="2B864EB9" w:rsidR="00177341" w:rsidRPr="00460F8C" w:rsidRDefault="00335040" w:rsidP="00177341">
      <w:pPr>
        <w:pStyle w:val="Heading1"/>
        <w:rPr>
          <w:rFonts w:ascii="Arial" w:hAnsi="Arial" w:cs="Arial"/>
          <w:b/>
          <w:bCs/>
          <w:sz w:val="32"/>
          <w:szCs w:val="32"/>
        </w:rPr>
      </w:pPr>
      <w:r>
        <w:rPr>
          <w:rFonts w:ascii="Arial" w:hAnsi="Arial" w:cs="Arial"/>
          <w:b/>
          <w:bCs/>
          <w:sz w:val="32"/>
          <w:szCs w:val="32"/>
        </w:rPr>
        <w:t>Indication of non-TDM multiplexing mode</w:t>
      </w:r>
    </w:p>
    <w:p w14:paraId="2FA55306" w14:textId="7B77D561" w:rsidR="00177341" w:rsidRDefault="007F1196" w:rsidP="00177341">
      <w:pPr>
        <w:jc w:val="both"/>
        <w:rPr>
          <w:sz w:val="20"/>
          <w:szCs w:val="20"/>
        </w:rPr>
      </w:pPr>
      <w:r>
        <w:rPr>
          <w:sz w:val="20"/>
          <w:szCs w:val="20"/>
        </w:rPr>
        <w:t>In RAN1#106b-e, it was</w:t>
      </w:r>
      <w:r w:rsidR="00335040">
        <w:rPr>
          <w:sz w:val="20"/>
          <w:szCs w:val="20"/>
        </w:rPr>
        <w:t xml:space="preserve"> further </w:t>
      </w:r>
      <w:r>
        <w:rPr>
          <w:sz w:val="20"/>
          <w:szCs w:val="20"/>
        </w:rPr>
        <w:t xml:space="preserve">discussed </w:t>
      </w:r>
      <w:r w:rsidR="00335040">
        <w:rPr>
          <w:sz w:val="20"/>
          <w:szCs w:val="20"/>
        </w:rPr>
        <w:t xml:space="preserve">how the IAB node is indicated about the multiplexing mode, and more precisely </w:t>
      </w:r>
      <w:r>
        <w:rPr>
          <w:sz w:val="20"/>
          <w:szCs w:val="20"/>
        </w:rPr>
        <w:t xml:space="preserve">about </w:t>
      </w:r>
      <w:r w:rsidR="00335040">
        <w:rPr>
          <w:sz w:val="20"/>
          <w:szCs w:val="20"/>
        </w:rPr>
        <w:t>non-TDM vs R16 TDM multiplexing</w:t>
      </w:r>
      <w:r>
        <w:rPr>
          <w:sz w:val="20"/>
          <w:szCs w:val="20"/>
        </w:rPr>
        <w:t>. Although no consensus was reached but the following two aspects were proposed</w:t>
      </w:r>
      <w:r w:rsidR="00F61D6A">
        <w:rPr>
          <w:sz w:val="20"/>
          <w:szCs w:val="20"/>
        </w:rPr>
        <w:t xml:space="preserve"> </w:t>
      </w:r>
      <w:r>
        <w:rPr>
          <w:sz w:val="20"/>
          <w:szCs w:val="20"/>
        </w:rPr>
        <w:t xml:space="preserve">to be further discussed in RAN1#107-e </w:t>
      </w:r>
      <w:r w:rsidR="00F61D6A">
        <w:rPr>
          <w:sz w:val="20"/>
          <w:szCs w:val="20"/>
        </w:rPr>
        <w:t>[2]</w:t>
      </w:r>
      <w:r w:rsidR="00177341">
        <w:rPr>
          <w:sz w:val="20"/>
          <w:szCs w:val="20"/>
        </w:rPr>
        <w:t>:</w:t>
      </w:r>
    </w:p>
    <w:p w14:paraId="7C13E314" w14:textId="77777777" w:rsidR="007F1196" w:rsidRPr="007F1196" w:rsidRDefault="007F1196" w:rsidP="007F1196">
      <w:pPr>
        <w:numPr>
          <w:ilvl w:val="0"/>
          <w:numId w:val="39"/>
        </w:numPr>
        <w:jc w:val="both"/>
        <w:rPr>
          <w:sz w:val="20"/>
          <w:szCs w:val="20"/>
        </w:rPr>
      </w:pPr>
      <w:r w:rsidRPr="007F1196">
        <w:rPr>
          <w:sz w:val="20"/>
          <w:szCs w:val="20"/>
        </w:rPr>
        <w:t>Alt. 1: All required conditions and parameters which have been directly indicated/requested to the parent node (</w:t>
      </w:r>
      <w:proofErr w:type="gramStart"/>
      <w:r w:rsidRPr="007F1196">
        <w:rPr>
          <w:sz w:val="20"/>
          <w:szCs w:val="20"/>
        </w:rPr>
        <w:t>e.g.</w:t>
      </w:r>
      <w:proofErr w:type="gramEnd"/>
      <w:r w:rsidRPr="007F1196">
        <w:rPr>
          <w:sz w:val="20"/>
          <w:szCs w:val="20"/>
        </w:rPr>
        <w:t xml:space="preserve"> via MAC-CE) are explicitly acknowledged by the parent node.</w:t>
      </w:r>
    </w:p>
    <w:p w14:paraId="21FB8049" w14:textId="77777777" w:rsidR="007F1196" w:rsidRPr="007F1196" w:rsidRDefault="007F1196" w:rsidP="007F1196">
      <w:pPr>
        <w:numPr>
          <w:ilvl w:val="0"/>
          <w:numId w:val="39"/>
        </w:numPr>
        <w:jc w:val="both"/>
        <w:rPr>
          <w:sz w:val="20"/>
          <w:szCs w:val="20"/>
        </w:rPr>
      </w:pPr>
      <w:r w:rsidRPr="007F1196">
        <w:rPr>
          <w:sz w:val="20"/>
          <w:szCs w:val="20"/>
        </w:rPr>
        <w:t>Alt. 2: All required conditions and parameters which have been directly indicated/requested to the parent node (</w:t>
      </w:r>
      <w:proofErr w:type="gramStart"/>
      <w:r w:rsidRPr="007F1196">
        <w:rPr>
          <w:sz w:val="20"/>
          <w:szCs w:val="20"/>
        </w:rPr>
        <w:t>e.g.</w:t>
      </w:r>
      <w:proofErr w:type="gramEnd"/>
      <w:r w:rsidRPr="007F1196">
        <w:rPr>
          <w:sz w:val="20"/>
          <w:szCs w:val="20"/>
        </w:rPr>
        <w:t xml:space="preserve"> via MAC-CE) are implicitly acknowledged by the parent node or implicitly determined at the child node</w:t>
      </w:r>
    </w:p>
    <w:p w14:paraId="377EFF45" w14:textId="2B02A525" w:rsidR="00F61D6A" w:rsidRDefault="00F61D6A" w:rsidP="00177341">
      <w:pPr>
        <w:jc w:val="both"/>
        <w:rPr>
          <w:sz w:val="20"/>
          <w:szCs w:val="20"/>
        </w:rPr>
      </w:pPr>
    </w:p>
    <w:p w14:paraId="46D8B607" w14:textId="120CFE38" w:rsidR="007F1196" w:rsidRDefault="007F1196" w:rsidP="00177341">
      <w:pPr>
        <w:jc w:val="both"/>
        <w:rPr>
          <w:sz w:val="20"/>
          <w:szCs w:val="20"/>
        </w:rPr>
      </w:pPr>
      <w:r>
        <w:rPr>
          <w:sz w:val="20"/>
          <w:szCs w:val="20"/>
        </w:rPr>
        <w:t xml:space="preserve">In our view, the demand/indication from the IAB node to its parent mainly serves on desired parameters which may or may not be further granted by the parent IAB-DU. </w:t>
      </w:r>
      <w:r w:rsidR="00A570D5">
        <w:rPr>
          <w:sz w:val="20"/>
          <w:szCs w:val="20"/>
        </w:rPr>
        <w:t>In other words</w:t>
      </w:r>
      <w:r w:rsidR="00BC4846">
        <w:rPr>
          <w:sz w:val="20"/>
          <w:szCs w:val="20"/>
        </w:rPr>
        <w:t>,</w:t>
      </w:r>
      <w:r>
        <w:rPr>
          <w:sz w:val="20"/>
          <w:szCs w:val="20"/>
        </w:rPr>
        <w:t xml:space="preserve"> IAB node asking for desired parameters, may be capable to operate in non-TDM mode even under the worst conditions that is such </w:t>
      </w:r>
      <w:r w:rsidR="00BC4846">
        <w:rPr>
          <w:sz w:val="20"/>
          <w:szCs w:val="20"/>
        </w:rPr>
        <w:t xml:space="preserve">a </w:t>
      </w:r>
      <w:r>
        <w:rPr>
          <w:sz w:val="20"/>
          <w:szCs w:val="20"/>
        </w:rPr>
        <w:t xml:space="preserve">demand from the parent IAB is not </w:t>
      </w:r>
      <w:r w:rsidR="00BC4846">
        <w:rPr>
          <w:sz w:val="20"/>
          <w:szCs w:val="20"/>
        </w:rPr>
        <w:t>approved</w:t>
      </w:r>
      <w:r>
        <w:rPr>
          <w:sz w:val="20"/>
          <w:szCs w:val="20"/>
        </w:rPr>
        <w:t xml:space="preserve">. For example, non-TDM operation </w:t>
      </w:r>
      <w:r w:rsidR="00BC4846">
        <w:rPr>
          <w:sz w:val="20"/>
          <w:szCs w:val="20"/>
        </w:rPr>
        <w:t>mode can be</w:t>
      </w:r>
      <w:r>
        <w:rPr>
          <w:sz w:val="20"/>
          <w:szCs w:val="20"/>
        </w:rPr>
        <w:t xml:space="preserve"> achievable </w:t>
      </w:r>
      <w:r w:rsidR="00BC4846">
        <w:rPr>
          <w:sz w:val="20"/>
          <w:szCs w:val="20"/>
        </w:rPr>
        <w:t xml:space="preserve">at the IAB node without parent’s approval </w:t>
      </w:r>
      <w:r>
        <w:rPr>
          <w:sz w:val="20"/>
          <w:szCs w:val="20"/>
        </w:rPr>
        <w:t xml:space="preserve">by just adjusting Tx power at IAB-DU’s, and/or IAB node’s child Tx power. </w:t>
      </w:r>
      <w:r w:rsidR="00BC4846">
        <w:rPr>
          <w:sz w:val="20"/>
          <w:szCs w:val="20"/>
        </w:rPr>
        <w:t>In addition</w:t>
      </w:r>
      <w:r>
        <w:rPr>
          <w:sz w:val="20"/>
          <w:szCs w:val="20"/>
        </w:rPr>
        <w:t xml:space="preserve">, Alt1 is more preferred given that it requires less signaling overhead in comparison with Alt2. </w:t>
      </w:r>
      <w:r w:rsidR="00672C5D">
        <w:rPr>
          <w:sz w:val="20"/>
          <w:szCs w:val="20"/>
        </w:rPr>
        <w:t>Thus,</w:t>
      </w:r>
      <w:r>
        <w:rPr>
          <w:sz w:val="20"/>
          <w:szCs w:val="20"/>
        </w:rPr>
        <w:t xml:space="preserve"> we support the following:</w:t>
      </w:r>
    </w:p>
    <w:p w14:paraId="1F863E61" w14:textId="34CB7AA5" w:rsidR="007F1196" w:rsidRDefault="007F1196" w:rsidP="00177341">
      <w:pPr>
        <w:jc w:val="both"/>
        <w:rPr>
          <w:sz w:val="20"/>
          <w:szCs w:val="20"/>
        </w:rPr>
      </w:pPr>
      <w:r>
        <w:rPr>
          <w:sz w:val="20"/>
          <w:szCs w:val="20"/>
        </w:rPr>
        <w:t xml:space="preserve"> </w:t>
      </w:r>
    </w:p>
    <w:p w14:paraId="3C9DB0AB" w14:textId="777AE74B" w:rsidR="007F1196" w:rsidRDefault="007F1196" w:rsidP="007F1196">
      <w:pPr>
        <w:jc w:val="both"/>
        <w:rPr>
          <w:sz w:val="20"/>
          <w:szCs w:val="20"/>
        </w:rPr>
      </w:pPr>
      <w:r w:rsidRPr="00A21ECE">
        <w:rPr>
          <w:b/>
          <w:bCs/>
          <w:sz w:val="20"/>
          <w:szCs w:val="20"/>
        </w:rPr>
        <w:t xml:space="preserve">Proposal </w:t>
      </w:r>
      <w:r>
        <w:rPr>
          <w:b/>
          <w:bCs/>
          <w:sz w:val="20"/>
          <w:szCs w:val="20"/>
        </w:rPr>
        <w:t>1</w:t>
      </w:r>
      <w:r w:rsidRPr="00A21ECE">
        <w:rPr>
          <w:sz w:val="20"/>
          <w:szCs w:val="20"/>
        </w:rPr>
        <w:t xml:space="preserve">: </w:t>
      </w:r>
      <w:r w:rsidR="007D7934">
        <w:rPr>
          <w:sz w:val="20"/>
          <w:szCs w:val="20"/>
        </w:rPr>
        <w:t>Alt1 is more preferred given that it requires less signaling overhead in comparison with Alt2.</w:t>
      </w:r>
    </w:p>
    <w:p w14:paraId="5705CD21" w14:textId="77777777" w:rsidR="00E17B90" w:rsidRPr="00E17B90" w:rsidRDefault="00E17B90" w:rsidP="00E17B90">
      <w:pPr>
        <w:rPr>
          <w:lang w:eastAsia="zh-CN"/>
        </w:rPr>
      </w:pPr>
    </w:p>
    <w:p w14:paraId="1E94BB73" w14:textId="7BA4A76E" w:rsidR="00672C5D" w:rsidRPr="00672C5D" w:rsidRDefault="00672C5D" w:rsidP="00672C5D">
      <w:pPr>
        <w:pStyle w:val="Heading1"/>
        <w:rPr>
          <w:rFonts w:ascii="Arial" w:hAnsi="Arial" w:cs="Arial"/>
          <w:b/>
          <w:bCs/>
          <w:sz w:val="32"/>
          <w:szCs w:val="32"/>
        </w:rPr>
      </w:pPr>
      <w:r w:rsidRPr="00672C5D">
        <w:rPr>
          <w:rFonts w:ascii="Arial" w:hAnsi="Arial" w:cs="Arial"/>
          <w:b/>
          <w:bCs/>
          <w:sz w:val="32"/>
          <w:szCs w:val="32"/>
        </w:rPr>
        <w:t>Rel-17 frequency domain H/S/NA configuration</w:t>
      </w:r>
    </w:p>
    <w:p w14:paraId="00CDC9A0" w14:textId="0707912F" w:rsidR="00672C5D" w:rsidRDefault="00672C5D" w:rsidP="00672C5D">
      <w:pPr>
        <w:jc w:val="both"/>
        <w:rPr>
          <w:sz w:val="20"/>
          <w:szCs w:val="20"/>
        </w:rPr>
      </w:pPr>
      <w:r>
        <w:rPr>
          <w:sz w:val="20"/>
          <w:szCs w:val="20"/>
        </w:rPr>
        <w:t>For frequency domain H/S/NA configuration in R17, the following agreements were made in RAN1#106-e [3]:</w:t>
      </w:r>
    </w:p>
    <w:p w14:paraId="24CAE35B" w14:textId="77777777" w:rsidR="00672C5D" w:rsidRPr="00672C5D" w:rsidRDefault="00672C5D" w:rsidP="00672C5D">
      <w:pPr>
        <w:jc w:val="both"/>
        <w:rPr>
          <w:b/>
          <w:sz w:val="20"/>
          <w:szCs w:val="20"/>
        </w:rPr>
      </w:pPr>
      <w:r w:rsidRPr="00672C5D">
        <w:rPr>
          <w:b/>
          <w:sz w:val="20"/>
          <w:szCs w:val="20"/>
          <w:highlight w:val="green"/>
        </w:rPr>
        <w:t>Agreement</w:t>
      </w:r>
    </w:p>
    <w:p w14:paraId="1680D721" w14:textId="77777777" w:rsidR="00672C5D" w:rsidRPr="00672C5D" w:rsidRDefault="00672C5D" w:rsidP="00672C5D">
      <w:pPr>
        <w:jc w:val="both"/>
        <w:rPr>
          <w:bCs/>
          <w:sz w:val="20"/>
          <w:szCs w:val="20"/>
        </w:rPr>
      </w:pPr>
      <w:r w:rsidRPr="00672C5D">
        <w:rPr>
          <w:bCs/>
          <w:sz w:val="20"/>
          <w:szCs w:val="20"/>
        </w:rPr>
        <w:lastRenderedPageBreak/>
        <w:t>The semi-static configuration of H/S/NA resource type in frequency domain is provided per RB set, per D/U/F resource type within a slot.</w:t>
      </w:r>
    </w:p>
    <w:p w14:paraId="2F4A869E" w14:textId="77777777" w:rsidR="00672C5D" w:rsidRPr="00672C5D" w:rsidRDefault="00672C5D" w:rsidP="00672C5D">
      <w:pPr>
        <w:jc w:val="both"/>
        <w:rPr>
          <w:sz w:val="20"/>
          <w:szCs w:val="20"/>
        </w:rPr>
      </w:pPr>
    </w:p>
    <w:p w14:paraId="591B395B" w14:textId="77777777" w:rsidR="00672C5D" w:rsidRPr="00672C5D" w:rsidRDefault="00672C5D" w:rsidP="00672C5D">
      <w:pPr>
        <w:jc w:val="both"/>
        <w:rPr>
          <w:b/>
          <w:sz w:val="20"/>
          <w:szCs w:val="20"/>
        </w:rPr>
      </w:pPr>
      <w:r w:rsidRPr="00672C5D">
        <w:rPr>
          <w:b/>
          <w:sz w:val="20"/>
          <w:szCs w:val="20"/>
          <w:highlight w:val="green"/>
        </w:rPr>
        <w:t>Agreement</w:t>
      </w:r>
    </w:p>
    <w:p w14:paraId="04744FB9" w14:textId="77777777" w:rsidR="00672C5D" w:rsidRPr="00672C5D" w:rsidRDefault="00672C5D" w:rsidP="00672C5D">
      <w:pPr>
        <w:jc w:val="both"/>
        <w:rPr>
          <w:sz w:val="20"/>
          <w:szCs w:val="20"/>
        </w:rPr>
      </w:pPr>
      <w:r w:rsidRPr="00672C5D">
        <w:rPr>
          <w:sz w:val="20"/>
          <w:szCs w:val="20"/>
        </w:rPr>
        <w:t>For a given RB set at a symbol, if Rel-17 frequency domain H/S/NA configuration is not provided, the Rel-</w:t>
      </w:r>
      <w:proofErr w:type="gramStart"/>
      <w:r w:rsidRPr="00672C5D">
        <w:rPr>
          <w:sz w:val="20"/>
          <w:szCs w:val="20"/>
        </w:rPr>
        <w:t>16 time</w:t>
      </w:r>
      <w:proofErr w:type="gramEnd"/>
      <w:r w:rsidRPr="00672C5D">
        <w:rPr>
          <w:sz w:val="20"/>
          <w:szCs w:val="20"/>
        </w:rPr>
        <w:t xml:space="preserve"> domain H/S/NA is applied</w:t>
      </w:r>
    </w:p>
    <w:p w14:paraId="7DB85CBE" w14:textId="77777777" w:rsidR="00672C5D" w:rsidRDefault="00672C5D" w:rsidP="00672C5D">
      <w:pPr>
        <w:jc w:val="both"/>
        <w:rPr>
          <w:sz w:val="20"/>
          <w:szCs w:val="20"/>
        </w:rPr>
      </w:pPr>
    </w:p>
    <w:p w14:paraId="6BE394BC" w14:textId="77777777" w:rsidR="00672C5D" w:rsidRDefault="00672C5D" w:rsidP="00672C5D">
      <w:pPr>
        <w:jc w:val="both"/>
        <w:rPr>
          <w:sz w:val="20"/>
          <w:szCs w:val="20"/>
        </w:rPr>
      </w:pPr>
    </w:p>
    <w:p w14:paraId="75FA5E5C" w14:textId="065093E4" w:rsidR="00484329" w:rsidRDefault="00672C5D" w:rsidP="00672C5D">
      <w:pPr>
        <w:jc w:val="both"/>
        <w:rPr>
          <w:sz w:val="20"/>
          <w:szCs w:val="20"/>
        </w:rPr>
      </w:pPr>
      <w:r>
        <w:rPr>
          <w:sz w:val="20"/>
          <w:szCs w:val="20"/>
        </w:rPr>
        <w:t xml:space="preserve">The discussion was further </w:t>
      </w:r>
      <w:r w:rsidR="00A570D5">
        <w:rPr>
          <w:sz w:val="20"/>
          <w:szCs w:val="20"/>
        </w:rPr>
        <w:t>continued</w:t>
      </w:r>
      <w:r w:rsidR="00360537">
        <w:rPr>
          <w:sz w:val="20"/>
          <w:szCs w:val="20"/>
        </w:rPr>
        <w:t xml:space="preserve"> in RAN1#106b-e, mainly on the interaction between R16 H/S/NA and R17 H/S/NA if both are configured, where the </w:t>
      </w:r>
      <w:r w:rsidR="00A570D5">
        <w:rPr>
          <w:sz w:val="20"/>
          <w:szCs w:val="20"/>
        </w:rPr>
        <w:t xml:space="preserve">following </w:t>
      </w:r>
      <w:r w:rsidR="00360537">
        <w:rPr>
          <w:sz w:val="20"/>
          <w:szCs w:val="20"/>
        </w:rPr>
        <w:t>working assumption was agreed [2]:</w:t>
      </w:r>
    </w:p>
    <w:p w14:paraId="46CAEB15" w14:textId="77777777" w:rsidR="00360537" w:rsidRDefault="00360537" w:rsidP="00672C5D">
      <w:pPr>
        <w:jc w:val="both"/>
        <w:rPr>
          <w:sz w:val="20"/>
          <w:szCs w:val="20"/>
        </w:rPr>
      </w:pPr>
    </w:p>
    <w:p w14:paraId="63DD2EFA" w14:textId="77777777" w:rsidR="00360537" w:rsidRPr="00360537" w:rsidRDefault="00360537" w:rsidP="00360537">
      <w:pPr>
        <w:jc w:val="both"/>
        <w:rPr>
          <w:b/>
          <w:sz w:val="20"/>
          <w:szCs w:val="20"/>
        </w:rPr>
      </w:pPr>
      <w:r w:rsidRPr="00360537">
        <w:rPr>
          <w:b/>
          <w:sz w:val="20"/>
          <w:szCs w:val="20"/>
          <w:highlight w:val="darkYellow"/>
        </w:rPr>
        <w:t>Working Assumption</w:t>
      </w:r>
    </w:p>
    <w:p w14:paraId="37601BA4" w14:textId="77777777" w:rsidR="00360537" w:rsidRPr="00360537" w:rsidRDefault="00360537" w:rsidP="00360537">
      <w:pPr>
        <w:jc w:val="both"/>
        <w:rPr>
          <w:bCs/>
          <w:sz w:val="20"/>
          <w:szCs w:val="20"/>
        </w:rPr>
      </w:pPr>
      <w:r w:rsidRPr="00360537">
        <w:rPr>
          <w:bCs/>
          <w:sz w:val="20"/>
          <w:szCs w:val="20"/>
        </w:rPr>
        <w:t>If both the Rel-</w:t>
      </w:r>
      <w:proofErr w:type="gramStart"/>
      <w:r w:rsidRPr="00360537">
        <w:rPr>
          <w:bCs/>
          <w:sz w:val="20"/>
          <w:szCs w:val="20"/>
        </w:rPr>
        <w:t>16 time</w:t>
      </w:r>
      <w:proofErr w:type="gramEnd"/>
      <w:r w:rsidRPr="00360537">
        <w:rPr>
          <w:bCs/>
          <w:sz w:val="20"/>
          <w:szCs w:val="20"/>
        </w:rPr>
        <w:t xml:space="preserve"> domain H/S/NA configuration and Rel-17 frequency domain H/S/NA configuration are provided for a given RB set within a slot, one of the following is selected:</w:t>
      </w:r>
    </w:p>
    <w:p w14:paraId="7D112EDA" w14:textId="77777777" w:rsidR="00360537" w:rsidRPr="00360537" w:rsidRDefault="00360537" w:rsidP="00360537">
      <w:pPr>
        <w:numPr>
          <w:ilvl w:val="0"/>
          <w:numId w:val="42"/>
        </w:numPr>
        <w:jc w:val="both"/>
        <w:rPr>
          <w:i/>
          <w:sz w:val="20"/>
          <w:szCs w:val="20"/>
        </w:rPr>
      </w:pPr>
      <w:r w:rsidRPr="00360537">
        <w:rPr>
          <w:bCs/>
          <w:sz w:val="20"/>
          <w:szCs w:val="20"/>
        </w:rPr>
        <w:t>Alt. 1: An IAB node applies the frequency domain H/S/NA only if the IAB node is currently operating in a non-TDM multiplexing mode in the slot, otherwise the Rel-</w:t>
      </w:r>
      <w:proofErr w:type="gramStart"/>
      <w:r w:rsidRPr="00360537">
        <w:rPr>
          <w:bCs/>
          <w:sz w:val="20"/>
          <w:szCs w:val="20"/>
        </w:rPr>
        <w:t>16 time</w:t>
      </w:r>
      <w:proofErr w:type="gramEnd"/>
      <w:r w:rsidRPr="00360537">
        <w:rPr>
          <w:bCs/>
          <w:sz w:val="20"/>
          <w:szCs w:val="20"/>
        </w:rPr>
        <w:t xml:space="preserve"> domain H/S/NA configuration is applied.</w:t>
      </w:r>
    </w:p>
    <w:p w14:paraId="245ECCA2" w14:textId="77777777" w:rsidR="00360537" w:rsidRDefault="00360537" w:rsidP="00672C5D">
      <w:pPr>
        <w:jc w:val="both"/>
        <w:rPr>
          <w:sz w:val="20"/>
          <w:szCs w:val="20"/>
        </w:rPr>
      </w:pPr>
    </w:p>
    <w:p w14:paraId="1A6D991C" w14:textId="3411BE23" w:rsidR="00360537" w:rsidRDefault="002A79CE" w:rsidP="00672C5D">
      <w:pPr>
        <w:jc w:val="both"/>
        <w:rPr>
          <w:sz w:val="20"/>
          <w:szCs w:val="20"/>
        </w:rPr>
      </w:pPr>
      <w:r>
        <w:rPr>
          <w:sz w:val="20"/>
          <w:szCs w:val="20"/>
        </w:rPr>
        <w:t>There were some concerns raised by some companies, mainly regarding the conditions that IAB node is indicated about the multiplexing mode, as there could be an ambiguity between the IAB node and its parent, in terms of non-TDM vs TDM multiplexing mode. In our view, this concern can be addressed by the discussion in previous section</w:t>
      </w:r>
      <w:r w:rsidR="00A570D5">
        <w:rPr>
          <w:sz w:val="20"/>
          <w:szCs w:val="20"/>
        </w:rPr>
        <w:t xml:space="preserve"> of this paper. In our view,</w:t>
      </w:r>
      <w:r>
        <w:rPr>
          <w:sz w:val="20"/>
          <w:szCs w:val="20"/>
        </w:rPr>
        <w:t xml:space="preserve"> either Alt1 or Alt2 (where we prefer Alt1 as discussed before)</w:t>
      </w:r>
      <w:r w:rsidR="00A570D5">
        <w:rPr>
          <w:sz w:val="20"/>
          <w:szCs w:val="20"/>
        </w:rPr>
        <w:t xml:space="preserve"> can address this concern</w:t>
      </w:r>
      <w:r>
        <w:rPr>
          <w:sz w:val="20"/>
          <w:szCs w:val="20"/>
        </w:rPr>
        <w:t>. So, we support to confirm the working assumption.</w:t>
      </w:r>
    </w:p>
    <w:p w14:paraId="1C2D26D7" w14:textId="5BF72D47" w:rsidR="002A79CE" w:rsidRDefault="002A79CE" w:rsidP="00672C5D">
      <w:pPr>
        <w:jc w:val="both"/>
        <w:rPr>
          <w:sz w:val="20"/>
          <w:szCs w:val="20"/>
        </w:rPr>
      </w:pPr>
    </w:p>
    <w:p w14:paraId="3490E5EB" w14:textId="1C847018" w:rsidR="002A79CE" w:rsidRDefault="002A79CE" w:rsidP="00672C5D">
      <w:pPr>
        <w:jc w:val="both"/>
        <w:rPr>
          <w:sz w:val="20"/>
          <w:szCs w:val="20"/>
        </w:rPr>
      </w:pPr>
      <w:r w:rsidRPr="00A21ECE">
        <w:rPr>
          <w:b/>
          <w:bCs/>
          <w:sz w:val="20"/>
          <w:szCs w:val="20"/>
        </w:rPr>
        <w:t xml:space="preserve">Proposal </w:t>
      </w:r>
      <w:r>
        <w:rPr>
          <w:b/>
          <w:bCs/>
          <w:sz w:val="20"/>
          <w:szCs w:val="20"/>
        </w:rPr>
        <w:t>2</w:t>
      </w:r>
      <w:r w:rsidRPr="00A21ECE">
        <w:rPr>
          <w:sz w:val="20"/>
          <w:szCs w:val="20"/>
        </w:rPr>
        <w:t>:</w:t>
      </w:r>
      <w:r>
        <w:rPr>
          <w:sz w:val="20"/>
          <w:szCs w:val="20"/>
        </w:rPr>
        <w:t xml:space="preserve"> Confirm the working assumption, that is an </w:t>
      </w:r>
      <w:r w:rsidRPr="00360537">
        <w:rPr>
          <w:bCs/>
          <w:sz w:val="20"/>
          <w:szCs w:val="20"/>
        </w:rPr>
        <w:t>IAB node applies the frequency domain H/S/NA only if the IAB node is currently operating in a non-TDM multiplexing mode in the slot, otherwise the Rel-</w:t>
      </w:r>
      <w:proofErr w:type="gramStart"/>
      <w:r w:rsidRPr="00360537">
        <w:rPr>
          <w:bCs/>
          <w:sz w:val="20"/>
          <w:szCs w:val="20"/>
        </w:rPr>
        <w:t>16 time</w:t>
      </w:r>
      <w:proofErr w:type="gramEnd"/>
      <w:r w:rsidRPr="00360537">
        <w:rPr>
          <w:bCs/>
          <w:sz w:val="20"/>
          <w:szCs w:val="20"/>
        </w:rPr>
        <w:t xml:space="preserve"> domain H/S/NA configuration is applied.</w:t>
      </w:r>
      <w:r>
        <w:rPr>
          <w:sz w:val="20"/>
          <w:szCs w:val="20"/>
        </w:rPr>
        <w:t xml:space="preserve"> </w:t>
      </w:r>
    </w:p>
    <w:p w14:paraId="1FCCFB5F" w14:textId="77777777" w:rsidR="00036875" w:rsidRPr="00F001D5" w:rsidRDefault="00036875" w:rsidP="00672C5D">
      <w:pPr>
        <w:jc w:val="both"/>
        <w:rPr>
          <w:sz w:val="20"/>
          <w:szCs w:val="20"/>
        </w:rPr>
      </w:pPr>
    </w:p>
    <w:p w14:paraId="35183B4C" w14:textId="77777777" w:rsidR="00854A60" w:rsidRPr="00460F8C" w:rsidRDefault="009C5A97" w:rsidP="00FB330B">
      <w:pPr>
        <w:pStyle w:val="Heading1"/>
        <w:rPr>
          <w:rFonts w:ascii="Arial" w:hAnsi="Arial" w:cs="Arial"/>
          <w:b/>
          <w:bCs/>
          <w:sz w:val="32"/>
          <w:szCs w:val="32"/>
        </w:rPr>
      </w:pPr>
      <w:r w:rsidRPr="00460F8C">
        <w:rPr>
          <w:rFonts w:ascii="Arial" w:hAnsi="Arial" w:cs="Arial"/>
          <w:b/>
          <w:bCs/>
          <w:sz w:val="32"/>
          <w:szCs w:val="32"/>
        </w:rPr>
        <w:t>Conclusion</w:t>
      </w:r>
      <w:r w:rsidR="004424BC" w:rsidRPr="00460F8C">
        <w:rPr>
          <w:rFonts w:ascii="Arial" w:hAnsi="Arial" w:cs="Arial"/>
          <w:b/>
          <w:bCs/>
          <w:sz w:val="32"/>
          <w:szCs w:val="32"/>
        </w:rPr>
        <w:t>s</w:t>
      </w:r>
    </w:p>
    <w:p w14:paraId="378F3811" w14:textId="60518510" w:rsidR="00757D0E" w:rsidRPr="0007782F" w:rsidRDefault="00757D0E" w:rsidP="00757D0E">
      <w:pPr>
        <w:jc w:val="both"/>
        <w:rPr>
          <w:sz w:val="20"/>
          <w:szCs w:val="20"/>
        </w:rPr>
      </w:pPr>
      <w:r w:rsidRPr="0007782F">
        <w:rPr>
          <w:sz w:val="20"/>
          <w:szCs w:val="20"/>
        </w:rPr>
        <w:t xml:space="preserve">In this contribution, we provided our thoughts on potential techniques to enhance </w:t>
      </w:r>
      <w:r w:rsidR="0079242B">
        <w:rPr>
          <w:sz w:val="20"/>
          <w:szCs w:val="20"/>
        </w:rPr>
        <w:t>resource multiplexing between IAB</w:t>
      </w:r>
      <w:r>
        <w:rPr>
          <w:sz w:val="20"/>
          <w:szCs w:val="20"/>
        </w:rPr>
        <w:t xml:space="preserve"> </w:t>
      </w:r>
      <w:r w:rsidR="0079242B">
        <w:rPr>
          <w:sz w:val="20"/>
          <w:szCs w:val="20"/>
        </w:rPr>
        <w:t>node’s parent and child links</w:t>
      </w:r>
      <w:r w:rsidRPr="0007782F">
        <w:rPr>
          <w:sz w:val="20"/>
          <w:szCs w:val="20"/>
        </w:rPr>
        <w:t xml:space="preserve">. Based on views shared in this paper, we </w:t>
      </w:r>
      <w:r>
        <w:rPr>
          <w:sz w:val="20"/>
          <w:szCs w:val="20"/>
        </w:rPr>
        <w:t>make</w:t>
      </w:r>
      <w:r w:rsidRPr="0007782F">
        <w:rPr>
          <w:sz w:val="20"/>
          <w:szCs w:val="20"/>
        </w:rPr>
        <w:t xml:space="preserve"> the following proposal:</w:t>
      </w:r>
    </w:p>
    <w:p w14:paraId="21E1462B" w14:textId="77777777" w:rsidR="00BC4846" w:rsidRDefault="00BC4846" w:rsidP="00BC4846">
      <w:pPr>
        <w:jc w:val="both"/>
        <w:rPr>
          <w:sz w:val="20"/>
          <w:szCs w:val="20"/>
        </w:rPr>
      </w:pPr>
    </w:p>
    <w:p w14:paraId="5A4DAD18" w14:textId="33576248" w:rsidR="00BC4846" w:rsidRDefault="00BC4846" w:rsidP="00BC4846">
      <w:pPr>
        <w:jc w:val="both"/>
        <w:rPr>
          <w:sz w:val="20"/>
          <w:szCs w:val="20"/>
        </w:rPr>
      </w:pPr>
      <w:r w:rsidRPr="00A21ECE">
        <w:rPr>
          <w:b/>
          <w:bCs/>
          <w:sz w:val="20"/>
          <w:szCs w:val="20"/>
        </w:rPr>
        <w:t xml:space="preserve">Proposal </w:t>
      </w:r>
      <w:r>
        <w:rPr>
          <w:b/>
          <w:bCs/>
          <w:sz w:val="20"/>
          <w:szCs w:val="20"/>
        </w:rPr>
        <w:t>1</w:t>
      </w:r>
      <w:r w:rsidRPr="00A21ECE">
        <w:rPr>
          <w:sz w:val="20"/>
          <w:szCs w:val="20"/>
        </w:rPr>
        <w:t xml:space="preserve">: </w:t>
      </w:r>
      <w:r>
        <w:rPr>
          <w:sz w:val="20"/>
          <w:szCs w:val="20"/>
        </w:rPr>
        <w:t>Alt1 is more preferred given that it requires less signaling overhead in comparison with Alt2.</w:t>
      </w:r>
    </w:p>
    <w:p w14:paraId="3A623D2C" w14:textId="77777777" w:rsidR="002A79CE" w:rsidRDefault="002A79CE" w:rsidP="00BC4846">
      <w:pPr>
        <w:jc w:val="both"/>
        <w:rPr>
          <w:sz w:val="20"/>
          <w:szCs w:val="20"/>
        </w:rPr>
      </w:pPr>
    </w:p>
    <w:p w14:paraId="1B7D5CA2" w14:textId="77777777" w:rsidR="002A79CE" w:rsidRPr="00F001D5" w:rsidRDefault="002A79CE" w:rsidP="002A79CE">
      <w:pPr>
        <w:jc w:val="both"/>
        <w:rPr>
          <w:sz w:val="20"/>
          <w:szCs w:val="20"/>
        </w:rPr>
      </w:pPr>
      <w:r w:rsidRPr="00A21ECE">
        <w:rPr>
          <w:b/>
          <w:bCs/>
          <w:sz w:val="20"/>
          <w:szCs w:val="20"/>
        </w:rPr>
        <w:t xml:space="preserve">Proposal </w:t>
      </w:r>
      <w:r>
        <w:rPr>
          <w:b/>
          <w:bCs/>
          <w:sz w:val="20"/>
          <w:szCs w:val="20"/>
        </w:rPr>
        <w:t>2</w:t>
      </w:r>
      <w:r w:rsidRPr="00A21ECE">
        <w:rPr>
          <w:sz w:val="20"/>
          <w:szCs w:val="20"/>
        </w:rPr>
        <w:t>:</w:t>
      </w:r>
      <w:r>
        <w:rPr>
          <w:sz w:val="20"/>
          <w:szCs w:val="20"/>
        </w:rPr>
        <w:t xml:space="preserve"> Confirm the working assumption, that is an </w:t>
      </w:r>
      <w:r w:rsidRPr="00360537">
        <w:rPr>
          <w:bCs/>
          <w:sz w:val="20"/>
          <w:szCs w:val="20"/>
        </w:rPr>
        <w:t>IAB node applies the frequency domain H/S/NA only if the IAB node is currently operating in a non-TDM multiplexing mode in the slot, otherwise the Rel-</w:t>
      </w:r>
      <w:proofErr w:type="gramStart"/>
      <w:r w:rsidRPr="00360537">
        <w:rPr>
          <w:bCs/>
          <w:sz w:val="20"/>
          <w:szCs w:val="20"/>
        </w:rPr>
        <w:t>16 time</w:t>
      </w:r>
      <w:proofErr w:type="gramEnd"/>
      <w:r w:rsidRPr="00360537">
        <w:rPr>
          <w:bCs/>
          <w:sz w:val="20"/>
          <w:szCs w:val="20"/>
        </w:rPr>
        <w:t xml:space="preserve"> domain H/S/NA configuration is applied.</w:t>
      </w:r>
      <w:r>
        <w:rPr>
          <w:sz w:val="20"/>
          <w:szCs w:val="20"/>
        </w:rPr>
        <w:t xml:space="preserve"> </w:t>
      </w:r>
    </w:p>
    <w:p w14:paraId="71EF8D6E" w14:textId="77777777" w:rsidR="00945309" w:rsidRPr="00450183" w:rsidRDefault="00945309" w:rsidP="00450183">
      <w:pPr>
        <w:jc w:val="both"/>
        <w:rPr>
          <w:sz w:val="20"/>
          <w:szCs w:val="20"/>
          <w:highlight w:val="yellow"/>
          <w:lang w:eastAsia="zh-CN"/>
        </w:rPr>
      </w:pPr>
    </w:p>
    <w:p w14:paraId="0B7D9668" w14:textId="77777777" w:rsidR="00E05C62" w:rsidRPr="00460F8C" w:rsidRDefault="005C63AE" w:rsidP="00E05C62">
      <w:pPr>
        <w:pStyle w:val="Heading1"/>
        <w:rPr>
          <w:rFonts w:ascii="Arial" w:hAnsi="Arial" w:cs="Arial"/>
          <w:b/>
          <w:bCs/>
          <w:sz w:val="32"/>
          <w:szCs w:val="32"/>
        </w:rPr>
      </w:pPr>
      <w:r w:rsidRPr="00460F8C">
        <w:rPr>
          <w:rFonts w:ascii="Arial" w:hAnsi="Arial" w:cs="Arial"/>
          <w:b/>
          <w:bCs/>
          <w:sz w:val="32"/>
          <w:szCs w:val="32"/>
        </w:rPr>
        <w:t>References</w:t>
      </w:r>
    </w:p>
    <w:p w14:paraId="04E49CEC" w14:textId="670A45B8" w:rsidR="0091063F" w:rsidRPr="00410281" w:rsidRDefault="0091063F" w:rsidP="0091063F">
      <w:pPr>
        <w:pStyle w:val="ListParagraph"/>
        <w:numPr>
          <w:ilvl w:val="0"/>
          <w:numId w:val="12"/>
        </w:numPr>
        <w:rPr>
          <w:bCs/>
          <w:sz w:val="20"/>
          <w:szCs w:val="20"/>
          <w:lang w:val="en-GB" w:eastAsia="zh-CN"/>
        </w:rPr>
      </w:pPr>
      <w:bookmarkStart w:id="2" w:name="_Ref528337287"/>
      <w:bookmarkStart w:id="3" w:name="_Ref506125467"/>
      <w:bookmarkStart w:id="4" w:name="_Ref513106987"/>
      <w:r w:rsidRPr="00410281">
        <w:rPr>
          <w:rFonts w:hint="eastAsia"/>
          <w:bCs/>
          <w:sz w:val="20"/>
          <w:szCs w:val="20"/>
          <w:lang w:val="en-GB" w:eastAsia="zh-CN"/>
        </w:rPr>
        <w:t>RP-</w:t>
      </w:r>
      <w:r>
        <w:rPr>
          <w:bCs/>
          <w:sz w:val="20"/>
          <w:szCs w:val="20"/>
          <w:lang w:val="en-GB" w:eastAsia="zh-CN"/>
        </w:rPr>
        <w:t>210758</w:t>
      </w:r>
      <w:r w:rsidRPr="00410281">
        <w:rPr>
          <w:rFonts w:hint="eastAsia"/>
          <w:bCs/>
          <w:sz w:val="20"/>
          <w:szCs w:val="20"/>
          <w:lang w:val="en-GB" w:eastAsia="zh-CN"/>
        </w:rPr>
        <w:t xml:space="preserve">, </w:t>
      </w:r>
      <w:r w:rsidRPr="00410281">
        <w:rPr>
          <w:bCs/>
          <w:sz w:val="20"/>
          <w:szCs w:val="20"/>
          <w:lang w:val="en-GB" w:eastAsia="zh-CN"/>
        </w:rPr>
        <w:t>“</w:t>
      </w:r>
      <w:r w:rsidRPr="0091063F">
        <w:rPr>
          <w:sz w:val="20"/>
          <w:szCs w:val="20"/>
          <w:lang w:val="en-GB" w:eastAsia="zh-CN"/>
        </w:rPr>
        <w:t>New WID on Enhancements to Integrated Access and Backhaul</w:t>
      </w:r>
      <w:r w:rsidRPr="00410281">
        <w:rPr>
          <w:bCs/>
          <w:sz w:val="20"/>
          <w:szCs w:val="20"/>
          <w:lang w:val="en-GB" w:eastAsia="zh-CN"/>
        </w:rPr>
        <w:t>”</w:t>
      </w:r>
      <w:r w:rsidRPr="00410281">
        <w:rPr>
          <w:rFonts w:hint="eastAsia"/>
          <w:bCs/>
          <w:sz w:val="20"/>
          <w:szCs w:val="20"/>
          <w:lang w:val="en-GB" w:eastAsia="zh-CN"/>
        </w:rPr>
        <w:t xml:space="preserve">, </w:t>
      </w:r>
      <w:r>
        <w:rPr>
          <w:bCs/>
          <w:sz w:val="20"/>
          <w:szCs w:val="20"/>
          <w:lang w:val="en-GB" w:eastAsia="zh-CN"/>
        </w:rPr>
        <w:t>March</w:t>
      </w:r>
      <w:r w:rsidRPr="00410281">
        <w:rPr>
          <w:rFonts w:hint="eastAsia"/>
          <w:bCs/>
          <w:sz w:val="20"/>
          <w:szCs w:val="20"/>
          <w:lang w:val="en-GB" w:eastAsia="zh-CN"/>
        </w:rPr>
        <w:t xml:space="preserve"> </w:t>
      </w:r>
      <w:r>
        <w:rPr>
          <w:bCs/>
          <w:sz w:val="20"/>
          <w:szCs w:val="20"/>
          <w:lang w:val="en-GB" w:eastAsia="zh-CN"/>
        </w:rPr>
        <w:t>2021</w:t>
      </w:r>
    </w:p>
    <w:p w14:paraId="1C39EA8C" w14:textId="5EF53DFA" w:rsidR="00D67025" w:rsidRDefault="00D67025" w:rsidP="00D67025">
      <w:pPr>
        <w:pStyle w:val="ListParagraph"/>
        <w:numPr>
          <w:ilvl w:val="0"/>
          <w:numId w:val="12"/>
        </w:numPr>
        <w:rPr>
          <w:bCs/>
          <w:sz w:val="20"/>
          <w:szCs w:val="20"/>
          <w:lang w:eastAsia="zh-CN"/>
        </w:rPr>
      </w:pPr>
      <w:r w:rsidRPr="00410281">
        <w:rPr>
          <w:bCs/>
          <w:sz w:val="20"/>
          <w:szCs w:val="20"/>
          <w:lang w:eastAsia="zh-CN"/>
        </w:rPr>
        <w:t>Chairman’s Notes RAN1#10</w:t>
      </w:r>
      <w:r w:rsidR="00F61D6A">
        <w:rPr>
          <w:bCs/>
          <w:sz w:val="20"/>
          <w:szCs w:val="20"/>
          <w:lang w:eastAsia="zh-CN"/>
        </w:rPr>
        <w:t>6</w:t>
      </w:r>
      <w:r w:rsidR="007F1196">
        <w:rPr>
          <w:bCs/>
          <w:sz w:val="20"/>
          <w:szCs w:val="20"/>
          <w:lang w:eastAsia="zh-CN"/>
        </w:rPr>
        <w:t>b</w:t>
      </w:r>
      <w:r w:rsidRPr="00410281">
        <w:rPr>
          <w:bCs/>
          <w:sz w:val="20"/>
          <w:szCs w:val="20"/>
          <w:lang w:eastAsia="zh-CN"/>
        </w:rPr>
        <w:t>-e final</w:t>
      </w:r>
    </w:p>
    <w:p w14:paraId="1652DE01" w14:textId="73E7569A" w:rsidR="00672C5D" w:rsidRDefault="00672C5D" w:rsidP="00672C5D">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6</w:t>
      </w:r>
      <w:r w:rsidRPr="00410281">
        <w:rPr>
          <w:bCs/>
          <w:sz w:val="20"/>
          <w:szCs w:val="20"/>
          <w:lang w:eastAsia="zh-CN"/>
        </w:rPr>
        <w:t>-e final</w:t>
      </w:r>
    </w:p>
    <w:p w14:paraId="015789EC" w14:textId="77777777" w:rsidR="00672C5D" w:rsidRPr="00672C5D" w:rsidRDefault="00672C5D" w:rsidP="00672C5D">
      <w:pPr>
        <w:rPr>
          <w:bCs/>
          <w:sz w:val="20"/>
          <w:szCs w:val="20"/>
          <w:lang w:eastAsia="zh-CN"/>
        </w:rPr>
      </w:pPr>
    </w:p>
    <w:p w14:paraId="5936B27C" w14:textId="77777777" w:rsidR="0091063F" w:rsidRDefault="0091063F" w:rsidP="0091063F">
      <w:pPr>
        <w:pStyle w:val="ListParagraph"/>
        <w:ind w:left="420"/>
        <w:rPr>
          <w:bCs/>
          <w:sz w:val="20"/>
          <w:szCs w:val="20"/>
          <w:lang w:eastAsia="zh-CN"/>
        </w:rPr>
      </w:pPr>
    </w:p>
    <w:p w14:paraId="7CCB2BAB" w14:textId="77777777" w:rsidR="002F0C08" w:rsidRPr="00410281" w:rsidRDefault="002F0C08" w:rsidP="002F0C08">
      <w:pPr>
        <w:pStyle w:val="ListParagraph"/>
        <w:ind w:left="420"/>
        <w:rPr>
          <w:bCs/>
          <w:sz w:val="20"/>
          <w:szCs w:val="20"/>
          <w:lang w:eastAsia="zh-CN"/>
        </w:rPr>
      </w:pPr>
    </w:p>
    <w:bookmarkEnd w:id="2"/>
    <w:bookmarkEnd w:id="3"/>
    <w:bookmarkEnd w:id="4"/>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87D3" w14:textId="77777777" w:rsidR="00713FD8" w:rsidRDefault="00713FD8">
      <w:r>
        <w:separator/>
      </w:r>
    </w:p>
  </w:endnote>
  <w:endnote w:type="continuationSeparator" w:id="0">
    <w:p w14:paraId="1D8B169B" w14:textId="77777777" w:rsidR="00713FD8" w:rsidRDefault="00713FD8">
      <w:r>
        <w:continuationSeparator/>
      </w:r>
    </w:p>
  </w:endnote>
  <w:endnote w:type="continuationNotice" w:id="1">
    <w:p w14:paraId="1856E102" w14:textId="77777777" w:rsidR="00713FD8" w:rsidRDefault="00713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CCF3" w14:textId="77777777" w:rsidR="00713FD8" w:rsidRDefault="00713FD8">
      <w:r>
        <w:separator/>
      </w:r>
    </w:p>
  </w:footnote>
  <w:footnote w:type="continuationSeparator" w:id="0">
    <w:p w14:paraId="4D8D260E" w14:textId="77777777" w:rsidR="00713FD8" w:rsidRDefault="00713FD8">
      <w:r>
        <w:continuationSeparator/>
      </w:r>
    </w:p>
  </w:footnote>
  <w:footnote w:type="continuationNotice" w:id="1">
    <w:p w14:paraId="1A655608" w14:textId="77777777" w:rsidR="00713FD8" w:rsidRDefault="00713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851117"/>
    <w:multiLevelType w:val="hybridMultilevel"/>
    <w:tmpl w:val="9D88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4"/>
  </w:num>
  <w:num w:numId="4">
    <w:abstractNumId w:val="16"/>
  </w:num>
  <w:num w:numId="5">
    <w:abstractNumId w:val="8"/>
  </w:num>
  <w:num w:numId="6">
    <w:abstractNumId w:val="20"/>
  </w:num>
  <w:num w:numId="7">
    <w:abstractNumId w:val="30"/>
  </w:num>
  <w:num w:numId="8">
    <w:abstractNumId w:val="9"/>
  </w:num>
  <w:num w:numId="9">
    <w:abstractNumId w:val="25"/>
  </w:num>
  <w:num w:numId="10">
    <w:abstractNumId w:val="33"/>
  </w:num>
  <w:num w:numId="11">
    <w:abstractNumId w:val="13"/>
  </w:num>
  <w:num w:numId="12">
    <w:abstractNumId w:val="11"/>
  </w:num>
  <w:num w:numId="13">
    <w:abstractNumId w:val="3"/>
  </w:num>
  <w:num w:numId="14">
    <w:abstractNumId w:val="34"/>
  </w:num>
  <w:num w:numId="15">
    <w:abstractNumId w:val="12"/>
  </w:num>
  <w:num w:numId="16">
    <w:abstractNumId w:val="5"/>
  </w:num>
  <w:num w:numId="17">
    <w:abstractNumId w:val="27"/>
  </w:num>
  <w:num w:numId="18">
    <w:abstractNumId w:val="0"/>
  </w:num>
  <w:num w:numId="19">
    <w:abstractNumId w:val="7"/>
  </w:num>
  <w:num w:numId="20">
    <w:abstractNumId w:val="22"/>
  </w:num>
  <w:num w:numId="21">
    <w:abstractNumId w:val="10"/>
  </w:num>
  <w:num w:numId="22">
    <w:abstractNumId w:val="35"/>
  </w:num>
  <w:num w:numId="23">
    <w:abstractNumId w:val="18"/>
  </w:num>
  <w:num w:numId="24">
    <w:abstractNumId w:val="31"/>
  </w:num>
  <w:num w:numId="25">
    <w:abstractNumId w:val="1"/>
  </w:num>
  <w:num w:numId="26">
    <w:abstractNumId w:val="17"/>
  </w:num>
  <w:num w:numId="27">
    <w:abstractNumId w:val="26"/>
  </w:num>
  <w:num w:numId="28">
    <w:abstractNumId w:val="28"/>
  </w:num>
  <w:num w:numId="29">
    <w:abstractNumId w:val="6"/>
  </w:num>
  <w:num w:numId="30">
    <w:abstractNumId w:val="15"/>
  </w:num>
  <w:num w:numId="31">
    <w:abstractNumId w:val="21"/>
  </w:num>
  <w:num w:numId="32">
    <w:abstractNumId w:val="29"/>
  </w:num>
  <w:num w:numId="33">
    <w:abstractNumId w:val="4"/>
  </w:num>
  <w:num w:numId="34">
    <w:abstractNumId w:val="19"/>
  </w:num>
  <w:num w:numId="35">
    <w:abstractNumId w:val="2"/>
  </w:num>
  <w:num w:numId="36">
    <w:abstractNumId w:val="2"/>
  </w:num>
  <w:num w:numId="37">
    <w:abstractNumId w:val="2"/>
  </w:num>
  <w:num w:numId="38">
    <w:abstractNumId w:val="2"/>
  </w:num>
  <w:num w:numId="39">
    <w:abstractNumId w:val="32"/>
  </w:num>
  <w:num w:numId="40">
    <w:abstractNumId w:val="36"/>
  </w:num>
  <w:num w:numId="41">
    <w:abstractNumId w:val="37"/>
  </w:num>
  <w:num w:numId="4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3DE"/>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875"/>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0EFB"/>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9CA"/>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9E6"/>
    <w:rsid w:val="000E1C03"/>
    <w:rsid w:val="000E1E92"/>
    <w:rsid w:val="000E2114"/>
    <w:rsid w:val="000E2513"/>
    <w:rsid w:val="000E2A85"/>
    <w:rsid w:val="000E2FE5"/>
    <w:rsid w:val="000E3413"/>
    <w:rsid w:val="000E382E"/>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BFC"/>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D62"/>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2F"/>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55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341"/>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2DA"/>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B94"/>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9B3"/>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6D5"/>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59E"/>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9CE"/>
    <w:rsid w:val="002A7EA6"/>
    <w:rsid w:val="002A7F49"/>
    <w:rsid w:val="002B007F"/>
    <w:rsid w:val="002B0189"/>
    <w:rsid w:val="002B0B06"/>
    <w:rsid w:val="002B0B4D"/>
    <w:rsid w:val="002B0F95"/>
    <w:rsid w:val="002B1373"/>
    <w:rsid w:val="002B1602"/>
    <w:rsid w:val="002B1625"/>
    <w:rsid w:val="002B16C6"/>
    <w:rsid w:val="002B18C8"/>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B7920"/>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3D0"/>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40"/>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537"/>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966"/>
    <w:rsid w:val="003C2A1A"/>
    <w:rsid w:val="003C2D3B"/>
    <w:rsid w:val="003C345C"/>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CA3"/>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0F8C"/>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8F3"/>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29"/>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67"/>
    <w:rsid w:val="004D2BC7"/>
    <w:rsid w:val="004D2C8F"/>
    <w:rsid w:val="004D2CD3"/>
    <w:rsid w:val="004D2CDE"/>
    <w:rsid w:val="004D3045"/>
    <w:rsid w:val="004D3381"/>
    <w:rsid w:val="004D3429"/>
    <w:rsid w:val="004D36B1"/>
    <w:rsid w:val="004D377B"/>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4E00"/>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15"/>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0E9"/>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5D5"/>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2E92"/>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85B"/>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5D"/>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87E"/>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E74"/>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3FD8"/>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14A"/>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3F2"/>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3C06"/>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1D7"/>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D6E"/>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2B"/>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E71"/>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2F9"/>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934"/>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196"/>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B48"/>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3F"/>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268"/>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E13"/>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A0E"/>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07C"/>
    <w:rsid w:val="009902EF"/>
    <w:rsid w:val="00990630"/>
    <w:rsid w:val="00990C27"/>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3FE"/>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5CD1"/>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091"/>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1EC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1C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0D5"/>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794"/>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1E09"/>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846"/>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88F"/>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885"/>
    <w:rsid w:val="00CA2BF4"/>
    <w:rsid w:val="00CA331B"/>
    <w:rsid w:val="00CA3474"/>
    <w:rsid w:val="00CA34C1"/>
    <w:rsid w:val="00CA3634"/>
    <w:rsid w:val="00CA374B"/>
    <w:rsid w:val="00CA38BC"/>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5E7"/>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AAD"/>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2C2E"/>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06C"/>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25"/>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21"/>
    <w:rsid w:val="00E16CCF"/>
    <w:rsid w:val="00E172AB"/>
    <w:rsid w:val="00E174B1"/>
    <w:rsid w:val="00E17B90"/>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BCD"/>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1E7"/>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7DA"/>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7D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7C"/>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1D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0D88"/>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1D6A"/>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874"/>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0DB"/>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41B71"/>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570</TotalTime>
  <Pages>2</Pages>
  <Words>836</Words>
  <Characters>4419</Characters>
  <Application>Microsoft Office Word</Application>
  <DocSecurity>0</DocSecurity>
  <Lines>105</Lines>
  <Paragraphs>78</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5177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142</cp:revision>
  <cp:lastPrinted>2019-05-08T01:41:00Z</cp:lastPrinted>
  <dcterms:created xsi:type="dcterms:W3CDTF">2020-08-07T04:23:00Z</dcterms:created>
  <dcterms:modified xsi:type="dcterms:W3CDTF">2021-11-05T20:42:00Z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