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AFB26" w14:textId="069C301C" w:rsidR="002A34EF" w:rsidRPr="00E66086" w:rsidRDefault="002A34EF" w:rsidP="002A34EF">
      <w:pPr>
        <w:tabs>
          <w:tab w:val="left" w:pos="4590"/>
          <w:tab w:val="right" w:pos="10000"/>
        </w:tabs>
        <w:spacing w:after="0"/>
        <w:jc w:val="both"/>
        <w:rPr>
          <w:rFonts w:ascii="Arial" w:hAnsi="Arial" w:cs="Arial"/>
          <w:b/>
          <w:sz w:val="24"/>
          <w:lang w:val="en-US" w:eastAsia="zh-CN"/>
        </w:rPr>
      </w:pPr>
      <w:r w:rsidRPr="00E66086">
        <w:rPr>
          <w:rFonts w:ascii="Arial" w:hAnsi="Arial" w:cs="Arial"/>
          <w:b/>
          <w:sz w:val="24"/>
          <w:lang w:val="de-DE"/>
        </w:rPr>
        <w:t xml:space="preserve">3GPP TSG-RAN </w:t>
      </w:r>
      <w:r w:rsidRPr="00E66086">
        <w:rPr>
          <w:rFonts w:ascii="Arial" w:hAnsi="Arial" w:cs="Arial"/>
          <w:b/>
          <w:sz w:val="24"/>
          <w:szCs w:val="24"/>
          <w:lang w:val="de-DE"/>
        </w:rPr>
        <w:t xml:space="preserve">WG1 </w:t>
      </w:r>
      <w:r w:rsidRPr="00E66086">
        <w:rPr>
          <w:rFonts w:ascii="Arial" w:hAnsi="Arial" w:cs="Arial"/>
          <w:b/>
          <w:bCs/>
          <w:sz w:val="24"/>
          <w:szCs w:val="24"/>
          <w:lang w:val="de-DE"/>
        </w:rPr>
        <w:t>#10</w:t>
      </w:r>
      <w:r>
        <w:rPr>
          <w:rFonts w:ascii="Arial" w:hAnsi="Arial" w:cs="Arial"/>
          <w:b/>
          <w:bCs/>
          <w:sz w:val="24"/>
          <w:szCs w:val="24"/>
          <w:lang w:val="de-DE"/>
        </w:rPr>
        <w:t>7</w:t>
      </w:r>
      <w:r w:rsidRPr="00E66086">
        <w:rPr>
          <w:rFonts w:ascii="Arial" w:hAnsi="Arial" w:cs="Arial"/>
          <w:b/>
          <w:bCs/>
          <w:sz w:val="24"/>
          <w:szCs w:val="24"/>
          <w:lang w:val="de-DE"/>
        </w:rPr>
        <w:t>-e</w:t>
      </w:r>
      <w:r w:rsidRPr="00E66086">
        <w:rPr>
          <w:rFonts w:ascii="Arial" w:hAnsi="Arial" w:cs="Arial"/>
          <w:b/>
          <w:sz w:val="24"/>
          <w:lang w:val="de-DE"/>
        </w:rPr>
        <w:tab/>
      </w:r>
      <w:r w:rsidRPr="00E66086">
        <w:rPr>
          <w:rFonts w:ascii="Arial" w:hAnsi="Arial" w:cs="Arial"/>
          <w:b/>
          <w:sz w:val="24"/>
          <w:lang w:val="de-DE"/>
        </w:rPr>
        <w:tab/>
      </w:r>
      <w:r w:rsidR="00761DE3" w:rsidRPr="00761DE3">
        <w:rPr>
          <w:rFonts w:ascii="Arial" w:hAnsi="Arial" w:cs="Arial"/>
          <w:b/>
          <w:color w:val="000000" w:themeColor="text1"/>
          <w:sz w:val="24"/>
          <w:lang w:val="de-DE"/>
        </w:rPr>
        <w:t>R1-2111864</w:t>
      </w:r>
    </w:p>
    <w:p w14:paraId="2E51BA7F" w14:textId="77777777" w:rsidR="002A34EF" w:rsidRPr="00E75501" w:rsidRDefault="002A34EF" w:rsidP="002A34EF">
      <w:pPr>
        <w:tabs>
          <w:tab w:val="center" w:pos="4536"/>
          <w:tab w:val="right" w:pos="9072"/>
        </w:tabs>
        <w:rPr>
          <w:rFonts w:ascii="Arial" w:hAnsi="Arial" w:cs="Arial"/>
          <w:b/>
          <w:sz w:val="24"/>
          <w:lang w:val="de-DE"/>
        </w:rPr>
      </w:pPr>
      <w:r w:rsidRPr="00E66086">
        <w:rPr>
          <w:rFonts w:ascii="Arial" w:hAnsi="Arial" w:cs="Arial"/>
          <w:b/>
          <w:sz w:val="24"/>
          <w:lang w:val="de-DE"/>
        </w:rPr>
        <w:t xml:space="preserve">e-Meeting, </w:t>
      </w:r>
      <w:r w:rsidRPr="00A71D5F">
        <w:rPr>
          <w:rFonts w:ascii="Arial" w:eastAsia="MS Mincho" w:hAnsi="Arial" w:cs="Arial"/>
          <w:b/>
          <w:bCs/>
          <w:sz w:val="24"/>
          <w:szCs w:val="18"/>
          <w:lang w:eastAsia="ja-JP"/>
        </w:rPr>
        <w:t>November 11</w:t>
      </w:r>
      <w:r w:rsidRPr="00A71D5F">
        <w:rPr>
          <w:rFonts w:ascii="Arial" w:eastAsia="MS Mincho" w:hAnsi="Arial" w:cs="Arial"/>
          <w:b/>
          <w:bCs/>
          <w:sz w:val="24"/>
          <w:szCs w:val="18"/>
          <w:vertAlign w:val="superscript"/>
          <w:lang w:eastAsia="ja-JP"/>
        </w:rPr>
        <w:t>th</w:t>
      </w:r>
      <w:r w:rsidRPr="00A71D5F">
        <w:rPr>
          <w:rFonts w:ascii="Arial" w:eastAsia="MS Mincho" w:hAnsi="Arial" w:cs="Arial"/>
          <w:b/>
          <w:bCs/>
          <w:sz w:val="24"/>
          <w:szCs w:val="18"/>
          <w:lang w:eastAsia="ja-JP"/>
        </w:rPr>
        <w:t xml:space="preserve"> – 19</w:t>
      </w:r>
      <w:r w:rsidRPr="00A71D5F">
        <w:rPr>
          <w:rFonts w:ascii="Arial" w:eastAsia="MS Mincho" w:hAnsi="Arial" w:cs="Arial"/>
          <w:b/>
          <w:bCs/>
          <w:sz w:val="24"/>
          <w:szCs w:val="18"/>
          <w:vertAlign w:val="superscript"/>
          <w:lang w:eastAsia="ja-JP"/>
        </w:rPr>
        <w:t>th</w:t>
      </w:r>
      <w:r w:rsidRPr="00A71D5F">
        <w:rPr>
          <w:rFonts w:ascii="Arial" w:eastAsia="MS Mincho" w:hAnsi="Arial" w:cs="Arial"/>
          <w:b/>
          <w:bCs/>
          <w:sz w:val="24"/>
          <w:szCs w:val="18"/>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63DA0471"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477625" w:rsidRPr="00477625">
        <w:rPr>
          <w:rFonts w:ascii="Arial" w:hAnsi="Arial" w:cs="Arial"/>
          <w:b/>
          <w:sz w:val="24"/>
          <w:lang w:val="en-US"/>
        </w:rPr>
        <w:t>Beam Management for New SCSs</w:t>
      </w:r>
    </w:p>
    <w:p w14:paraId="7B288F5E" w14:textId="01EDD041"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697031" w:rsidRPr="00404C4B">
        <w:rPr>
          <w:rFonts w:ascii="Arial" w:hAnsi="Arial" w:cs="Arial"/>
          <w:b/>
          <w:sz w:val="24"/>
          <w:lang w:val="en-US"/>
        </w:rPr>
        <w:t>8.</w:t>
      </w:r>
      <w:r w:rsidR="00751C62">
        <w:rPr>
          <w:rFonts w:ascii="Arial" w:hAnsi="Arial" w:cs="Arial"/>
          <w:b/>
          <w:sz w:val="24"/>
          <w:lang w:val="en-US"/>
        </w:rPr>
        <w:t>2</w:t>
      </w:r>
      <w:r w:rsidR="00697031" w:rsidRPr="00404C4B">
        <w:rPr>
          <w:rFonts w:ascii="Arial" w:hAnsi="Arial" w:cs="Arial"/>
          <w:b/>
          <w:sz w:val="24"/>
          <w:lang w:val="en-US"/>
        </w:rPr>
        <w:t>.</w:t>
      </w:r>
      <w:r w:rsidR="00477625">
        <w:rPr>
          <w:rFonts w:ascii="Arial" w:hAnsi="Arial" w:cs="Arial"/>
          <w:b/>
          <w:sz w:val="24"/>
          <w:lang w:val="en-US"/>
        </w:rPr>
        <w:t>4</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1DF978DE" w14:textId="1E4DC3B8" w:rsidR="00EE1EE4" w:rsidRDefault="006E09AB" w:rsidP="00D72C40">
      <w:pPr>
        <w:spacing w:before="120"/>
        <w:jc w:val="both"/>
        <w:rPr>
          <w:rFonts w:ascii="Arial" w:hAnsi="Arial" w:cs="Arial"/>
          <w:lang w:val="en-US" w:eastAsia="zh-CN"/>
        </w:rPr>
      </w:pPr>
      <w:r>
        <w:rPr>
          <w:rFonts w:ascii="Arial" w:hAnsi="Arial" w:cs="Arial"/>
          <w:lang w:val="en-US" w:eastAsia="zh-CN"/>
        </w:rPr>
        <w:t>In RAN1 #10</w:t>
      </w:r>
      <w:r w:rsidR="000A2BEF">
        <w:rPr>
          <w:rFonts w:ascii="Arial" w:hAnsi="Arial" w:cs="Arial"/>
          <w:lang w:val="en-US" w:eastAsia="zh-CN"/>
        </w:rPr>
        <w:t>6</w:t>
      </w:r>
      <w:r>
        <w:rPr>
          <w:rFonts w:ascii="Arial" w:hAnsi="Arial" w:cs="Arial"/>
          <w:lang w:val="en-US" w:eastAsia="zh-CN"/>
        </w:rPr>
        <w:t xml:space="preserve"> e-meeting, the following was agreed for </w:t>
      </w:r>
      <w:r w:rsidR="00D56275">
        <w:rPr>
          <w:rFonts w:ascii="Arial" w:hAnsi="Arial" w:cs="Arial"/>
          <w:lang w:val="en-US" w:eastAsia="zh-CN"/>
        </w:rPr>
        <w:t>beam management for new SCSs</w:t>
      </w:r>
      <w:r>
        <w:rPr>
          <w:rFonts w:ascii="Arial" w:hAnsi="Arial" w:cs="Arial"/>
          <w:lang w:val="en-US" w:eastAsia="zh-CN"/>
        </w:rPr>
        <w:t xml:space="preserve"> </w:t>
      </w:r>
      <w:proofErr w:type="gramStart"/>
      <w:r>
        <w:rPr>
          <w:rFonts w:ascii="Arial" w:hAnsi="Arial" w:cs="Arial"/>
          <w:lang w:val="en-US" w:eastAsia="zh-CN"/>
        </w:rPr>
        <w:t>so as to</w:t>
      </w:r>
      <w:proofErr w:type="gramEnd"/>
      <w:r>
        <w:rPr>
          <w:rFonts w:ascii="Arial" w:hAnsi="Arial" w:cs="Arial"/>
          <w:lang w:val="en-US" w:eastAsia="zh-CN"/>
        </w:rPr>
        <w:t xml:space="preserve"> extend current NR operation to 71GHz</w:t>
      </w:r>
      <w:r w:rsidR="003628C0">
        <w:rPr>
          <w:rFonts w:ascii="Arial" w:hAnsi="Arial" w:cs="Arial"/>
          <w:lang w:val="en-US" w:eastAsia="zh-CN"/>
        </w:rPr>
        <w:t xml:space="preserve"> [1]</w:t>
      </w:r>
      <w:r>
        <w:rPr>
          <w:rFonts w:ascii="Arial" w:hAnsi="Arial" w:cs="Arial"/>
          <w:lang w:val="en-US" w:eastAsia="zh-CN"/>
        </w:rPr>
        <w:t xml:space="preserve">:  </w:t>
      </w:r>
    </w:p>
    <w:tbl>
      <w:tblPr>
        <w:tblStyle w:val="TableGrid"/>
        <w:tblpPr w:leftFromText="180" w:rightFromText="180" w:vertAnchor="text" w:horzAnchor="margin" w:tblpY="15"/>
        <w:tblW w:w="0" w:type="auto"/>
        <w:tblLook w:val="04A0" w:firstRow="1" w:lastRow="0" w:firstColumn="1" w:lastColumn="0" w:noHBand="0" w:noVBand="1"/>
      </w:tblPr>
      <w:tblGrid>
        <w:gridCol w:w="9962"/>
      </w:tblGrid>
      <w:tr w:rsidR="008A5BE5" w14:paraId="6E2419C4" w14:textId="77777777" w:rsidTr="008A5BE5">
        <w:tc>
          <w:tcPr>
            <w:tcW w:w="9962" w:type="dxa"/>
          </w:tcPr>
          <w:p w14:paraId="575798D6" w14:textId="77777777" w:rsidR="008A5BE5" w:rsidRDefault="008A5BE5" w:rsidP="008A5BE5">
            <w:pPr>
              <w:spacing w:after="0"/>
              <w:rPr>
                <w:iCs/>
              </w:rPr>
            </w:pPr>
            <w:r w:rsidRPr="00902FE5">
              <w:rPr>
                <w:iCs/>
                <w:highlight w:val="green"/>
              </w:rPr>
              <w:t>Agreement:</w:t>
            </w:r>
          </w:p>
          <w:p w14:paraId="568F3E08" w14:textId="77777777" w:rsidR="008A5BE5" w:rsidRPr="00DD37A7" w:rsidRDefault="008A5BE5" w:rsidP="008A5BE5">
            <w:pPr>
              <w:spacing w:after="0"/>
              <w:rPr>
                <w:iCs/>
                <w:lang w:val="en-US"/>
              </w:rPr>
            </w:pPr>
            <w:r w:rsidRPr="00DD37A7">
              <w:rPr>
                <w:iCs/>
                <w:lang w:val="en-US"/>
              </w:rPr>
              <w:t xml:space="preserve">For </w:t>
            </w:r>
            <w:proofErr w:type="spellStart"/>
            <w:r w:rsidRPr="00DD37A7">
              <w:rPr>
                <w:iCs/>
                <w:lang w:val="en-US"/>
              </w:rPr>
              <w:t>maxNumberRxTxBeamSwitchDL</w:t>
            </w:r>
            <w:proofErr w:type="spellEnd"/>
            <w:r w:rsidRPr="00DD37A7">
              <w:rPr>
                <w:iCs/>
                <w:lang w:val="en-US"/>
              </w:rPr>
              <w:t>,</w:t>
            </w:r>
          </w:p>
          <w:p w14:paraId="504B8F26" w14:textId="77777777" w:rsidR="008A5BE5" w:rsidRDefault="008A5BE5" w:rsidP="008A5BE5">
            <w:pPr>
              <w:numPr>
                <w:ilvl w:val="0"/>
                <w:numId w:val="33"/>
              </w:numPr>
              <w:overflowPunct/>
              <w:autoSpaceDE/>
              <w:autoSpaceDN/>
              <w:adjustRightInd/>
              <w:spacing w:after="0"/>
              <w:textAlignment w:val="auto"/>
              <w:rPr>
                <w:iCs/>
                <w:lang w:val="en-US"/>
              </w:rPr>
            </w:pPr>
            <w:r w:rsidRPr="00DD37A7">
              <w:rPr>
                <w:iCs/>
                <w:lang w:val="en-US"/>
              </w:rPr>
              <w:t>Support at least 2</w:t>
            </w:r>
            <w:r>
              <w:rPr>
                <w:iCs/>
                <w:lang w:val="en-US"/>
              </w:rPr>
              <w:t xml:space="preserve"> and 4 </w:t>
            </w:r>
            <w:r w:rsidRPr="00DD37A7">
              <w:rPr>
                <w:iCs/>
                <w:lang w:val="en-US"/>
              </w:rPr>
              <w:t>as candidate values for 480 kHz</w:t>
            </w:r>
          </w:p>
          <w:p w14:paraId="7DBF8143" w14:textId="77777777" w:rsidR="008A5BE5" w:rsidRPr="00DD37A7" w:rsidRDefault="008A5BE5" w:rsidP="008A5BE5">
            <w:pPr>
              <w:numPr>
                <w:ilvl w:val="1"/>
                <w:numId w:val="33"/>
              </w:numPr>
              <w:overflowPunct/>
              <w:autoSpaceDE/>
              <w:autoSpaceDN/>
              <w:adjustRightInd/>
              <w:spacing w:after="0"/>
              <w:textAlignment w:val="auto"/>
              <w:rPr>
                <w:iCs/>
                <w:lang w:val="en-US"/>
              </w:rPr>
            </w:pPr>
            <w:r>
              <w:rPr>
                <w:iCs/>
                <w:lang w:val="en-US"/>
              </w:rPr>
              <w:t>FFS: 7</w:t>
            </w:r>
          </w:p>
          <w:p w14:paraId="36CEED16" w14:textId="77777777" w:rsidR="008A5BE5" w:rsidRPr="00DD37A7" w:rsidRDefault="008A5BE5" w:rsidP="008A5BE5">
            <w:pPr>
              <w:numPr>
                <w:ilvl w:val="0"/>
                <w:numId w:val="33"/>
              </w:numPr>
              <w:overflowPunct/>
              <w:autoSpaceDE/>
              <w:autoSpaceDN/>
              <w:adjustRightInd/>
              <w:spacing w:after="0"/>
              <w:textAlignment w:val="auto"/>
              <w:rPr>
                <w:iCs/>
                <w:lang w:val="en-US"/>
              </w:rPr>
            </w:pPr>
            <w:r w:rsidRPr="00DD37A7">
              <w:rPr>
                <w:iCs/>
                <w:lang w:val="en-US"/>
              </w:rPr>
              <w:t>Support at least 2 as a candidate value for 960 kHz</w:t>
            </w:r>
          </w:p>
          <w:p w14:paraId="3B6A47AC" w14:textId="77777777" w:rsidR="008A5BE5" w:rsidRDefault="008A5BE5" w:rsidP="008A5BE5">
            <w:pPr>
              <w:numPr>
                <w:ilvl w:val="1"/>
                <w:numId w:val="33"/>
              </w:numPr>
              <w:overflowPunct/>
              <w:autoSpaceDE/>
              <w:autoSpaceDN/>
              <w:adjustRightInd/>
              <w:spacing w:after="0"/>
              <w:textAlignment w:val="auto"/>
              <w:rPr>
                <w:iCs/>
                <w:lang w:val="en-US"/>
              </w:rPr>
            </w:pPr>
            <w:r w:rsidRPr="00DD37A7">
              <w:rPr>
                <w:iCs/>
                <w:lang w:val="en-US"/>
              </w:rPr>
              <w:t>FFS: Support for additional candidate value(s)</w:t>
            </w:r>
            <w:r>
              <w:rPr>
                <w:iCs/>
                <w:lang w:val="en-US"/>
              </w:rPr>
              <w:t xml:space="preserve"> including 4</w:t>
            </w:r>
          </w:p>
          <w:p w14:paraId="774C73CA" w14:textId="77777777" w:rsidR="008A5BE5" w:rsidRPr="00DD37A7" w:rsidRDefault="008A5BE5" w:rsidP="008A5BE5">
            <w:pPr>
              <w:overflowPunct/>
              <w:autoSpaceDE/>
              <w:autoSpaceDN/>
              <w:adjustRightInd/>
              <w:spacing w:after="0"/>
              <w:ind w:left="1080"/>
              <w:textAlignment w:val="auto"/>
              <w:rPr>
                <w:iCs/>
                <w:lang w:val="en-US"/>
              </w:rPr>
            </w:pPr>
          </w:p>
          <w:p w14:paraId="4B02F236" w14:textId="77777777" w:rsidR="008A5BE5" w:rsidRDefault="008A5BE5" w:rsidP="008A5BE5">
            <w:pPr>
              <w:spacing w:after="0"/>
              <w:rPr>
                <w:iCs/>
              </w:rPr>
            </w:pPr>
            <w:r w:rsidRPr="004B5363">
              <w:rPr>
                <w:iCs/>
                <w:highlight w:val="green"/>
              </w:rPr>
              <w:t>Agreement:</w:t>
            </w:r>
          </w:p>
          <w:p w14:paraId="4B12D5C3" w14:textId="77777777" w:rsidR="008A5BE5" w:rsidRPr="002C1961" w:rsidRDefault="008A5BE5" w:rsidP="008A5BE5">
            <w:pPr>
              <w:spacing w:after="0"/>
              <w:rPr>
                <w:iCs/>
                <w:lang w:val="en-US"/>
              </w:rPr>
            </w:pPr>
            <w:r w:rsidRPr="002C1961">
              <w:rPr>
                <w:iCs/>
                <w:lang w:val="en-US"/>
              </w:rPr>
              <w:t xml:space="preserve">For </w:t>
            </w:r>
            <w:proofErr w:type="spellStart"/>
            <w:r w:rsidRPr="002C1961">
              <w:rPr>
                <w:iCs/>
                <w:lang w:val="en-US"/>
              </w:rPr>
              <w:t>maxNumberRxTxBeamSwitchDL</w:t>
            </w:r>
            <w:proofErr w:type="spellEnd"/>
            <w:r w:rsidRPr="002C1961">
              <w:rPr>
                <w:iCs/>
                <w:lang w:val="en-US"/>
              </w:rPr>
              <w:t>,</w:t>
            </w:r>
          </w:p>
          <w:p w14:paraId="2C9F7302" w14:textId="77777777" w:rsidR="008A5BE5" w:rsidRPr="002C1961" w:rsidRDefault="008A5BE5" w:rsidP="008A5BE5">
            <w:pPr>
              <w:numPr>
                <w:ilvl w:val="0"/>
                <w:numId w:val="33"/>
              </w:numPr>
              <w:overflowPunct/>
              <w:autoSpaceDE/>
              <w:autoSpaceDN/>
              <w:adjustRightInd/>
              <w:spacing w:after="0"/>
              <w:textAlignment w:val="auto"/>
              <w:rPr>
                <w:iCs/>
                <w:lang w:val="en-US"/>
              </w:rPr>
            </w:pPr>
            <w:r w:rsidRPr="002C1961">
              <w:rPr>
                <w:iCs/>
                <w:lang w:val="en-US"/>
              </w:rPr>
              <w:t>For 480 kHz, support 7 as a candidate value for 480 kHz in addition to the agreed candidate values 2 and 4</w:t>
            </w:r>
          </w:p>
          <w:p w14:paraId="7C0BCD0B" w14:textId="77777777" w:rsidR="008A5BE5" w:rsidRPr="002C1961" w:rsidRDefault="008A5BE5" w:rsidP="008A5BE5">
            <w:pPr>
              <w:numPr>
                <w:ilvl w:val="0"/>
                <w:numId w:val="33"/>
              </w:numPr>
              <w:overflowPunct/>
              <w:autoSpaceDE/>
              <w:autoSpaceDN/>
              <w:adjustRightInd/>
              <w:spacing w:after="0"/>
              <w:textAlignment w:val="auto"/>
              <w:rPr>
                <w:iCs/>
                <w:lang w:val="en-US"/>
              </w:rPr>
            </w:pPr>
            <w:r w:rsidRPr="002C1961">
              <w:rPr>
                <w:iCs/>
                <w:lang w:val="en-US"/>
              </w:rPr>
              <w:t>For 960 kHz, support one of the following alternatives</w:t>
            </w:r>
          </w:p>
          <w:p w14:paraId="6BC61D79" w14:textId="77777777" w:rsidR="008A5BE5" w:rsidRPr="002C1961" w:rsidRDefault="008A5BE5" w:rsidP="008A5BE5">
            <w:pPr>
              <w:numPr>
                <w:ilvl w:val="1"/>
                <w:numId w:val="33"/>
              </w:numPr>
              <w:overflowPunct/>
              <w:autoSpaceDE/>
              <w:autoSpaceDN/>
              <w:adjustRightInd/>
              <w:spacing w:after="0"/>
              <w:textAlignment w:val="auto"/>
              <w:rPr>
                <w:iCs/>
                <w:lang w:val="en-US"/>
              </w:rPr>
            </w:pPr>
            <w:r w:rsidRPr="002C1961">
              <w:rPr>
                <w:iCs/>
                <w:lang w:val="en-US"/>
              </w:rPr>
              <w:t xml:space="preserve">Alt-1: Support 1, 4 and </w:t>
            </w:r>
            <w:r>
              <w:rPr>
                <w:iCs/>
                <w:lang w:val="en-US"/>
              </w:rPr>
              <w:t>[</w:t>
            </w:r>
            <w:r w:rsidRPr="002C1961">
              <w:rPr>
                <w:iCs/>
                <w:lang w:val="en-US"/>
              </w:rPr>
              <w:t>7</w:t>
            </w:r>
            <w:r>
              <w:rPr>
                <w:iCs/>
                <w:lang w:val="en-US"/>
              </w:rPr>
              <w:t>]</w:t>
            </w:r>
            <w:r w:rsidRPr="002C1961">
              <w:rPr>
                <w:iCs/>
                <w:lang w:val="en-US"/>
              </w:rPr>
              <w:t xml:space="preserve"> as candidate values for 960 kHz in addition to the agreed candidate values 2</w:t>
            </w:r>
          </w:p>
          <w:p w14:paraId="2A659C2D" w14:textId="77777777" w:rsidR="008A5BE5" w:rsidRPr="002C1961" w:rsidRDefault="008A5BE5" w:rsidP="008A5BE5">
            <w:pPr>
              <w:numPr>
                <w:ilvl w:val="1"/>
                <w:numId w:val="33"/>
              </w:numPr>
              <w:overflowPunct/>
              <w:autoSpaceDE/>
              <w:autoSpaceDN/>
              <w:adjustRightInd/>
              <w:spacing w:after="0"/>
              <w:textAlignment w:val="auto"/>
              <w:rPr>
                <w:iCs/>
                <w:lang w:val="en-US"/>
              </w:rPr>
            </w:pPr>
            <w:r w:rsidRPr="002C1961">
              <w:rPr>
                <w:iCs/>
                <w:lang w:val="en-US"/>
              </w:rPr>
              <w:t>Alt-2: Support 4 as a candidate value for 960 kHz in addition to the agreed candidate values 2</w:t>
            </w:r>
          </w:p>
          <w:p w14:paraId="17252F82" w14:textId="77777777" w:rsidR="008A5BE5" w:rsidRPr="006D54B0" w:rsidRDefault="008A5BE5" w:rsidP="008A5BE5">
            <w:pPr>
              <w:numPr>
                <w:ilvl w:val="0"/>
                <w:numId w:val="33"/>
              </w:numPr>
              <w:overflowPunct/>
              <w:autoSpaceDE/>
              <w:autoSpaceDN/>
              <w:adjustRightInd/>
              <w:spacing w:after="0"/>
              <w:textAlignment w:val="auto"/>
              <w:rPr>
                <w:iCs/>
                <w:lang w:val="en-US"/>
              </w:rPr>
            </w:pPr>
            <w:r w:rsidRPr="002C1961">
              <w:rPr>
                <w:iCs/>
                <w:lang w:val="en-US"/>
              </w:rPr>
              <w:t>No additional candidate values are supported</w:t>
            </w:r>
          </w:p>
          <w:p w14:paraId="089C5ACF" w14:textId="77777777" w:rsidR="008A5BE5" w:rsidRDefault="008A5BE5" w:rsidP="008A5BE5">
            <w:pPr>
              <w:spacing w:after="0"/>
              <w:rPr>
                <w:iCs/>
                <w:highlight w:val="green"/>
              </w:rPr>
            </w:pPr>
          </w:p>
          <w:p w14:paraId="71545CBC" w14:textId="77777777" w:rsidR="008A5BE5" w:rsidRPr="00C73E84" w:rsidRDefault="008A5BE5" w:rsidP="008A5BE5">
            <w:pPr>
              <w:spacing w:after="0"/>
              <w:rPr>
                <w:iCs/>
              </w:rPr>
            </w:pPr>
            <w:bookmarkStart w:id="2" w:name="_Hlk80957802"/>
            <w:r w:rsidRPr="00ED58D4">
              <w:rPr>
                <w:iCs/>
                <w:highlight w:val="green"/>
              </w:rPr>
              <w:t>Agreement:</w:t>
            </w:r>
          </w:p>
          <w:p w14:paraId="4C769893" w14:textId="77777777" w:rsidR="008A5BE5" w:rsidRPr="00C73E84" w:rsidRDefault="008A5BE5" w:rsidP="008A5BE5">
            <w:pPr>
              <w:spacing w:after="0"/>
              <w:rPr>
                <w:iCs/>
                <w:lang w:val="en-US"/>
              </w:rPr>
            </w:pPr>
            <w:r w:rsidRPr="00C73E84">
              <w:rPr>
                <w:iCs/>
                <w:lang w:val="en-US"/>
              </w:rPr>
              <w:t xml:space="preserve">For candidate values of timeDurationForQCL, </w:t>
            </w:r>
            <w:proofErr w:type="spellStart"/>
            <w:r w:rsidRPr="00C73E84">
              <w:rPr>
                <w:iCs/>
                <w:lang w:val="en-US"/>
              </w:rPr>
              <w:t>beamSwitchTiming</w:t>
            </w:r>
            <w:proofErr w:type="spellEnd"/>
            <w:r w:rsidRPr="00C73E84">
              <w:rPr>
                <w:iCs/>
                <w:lang w:val="en-US"/>
              </w:rPr>
              <w:t xml:space="preserve"> and </w:t>
            </w:r>
            <w:proofErr w:type="spellStart"/>
            <w:r w:rsidRPr="00C73E84">
              <w:rPr>
                <w:iCs/>
                <w:lang w:val="en-US"/>
              </w:rPr>
              <w:t>beamReportTiming</w:t>
            </w:r>
            <w:proofErr w:type="spellEnd"/>
            <w:r w:rsidRPr="00C73E84">
              <w:rPr>
                <w:iCs/>
                <w:lang w:val="en-US"/>
              </w:rPr>
              <w:t xml:space="preserve">, </w:t>
            </w:r>
          </w:p>
          <w:p w14:paraId="7CC8180A" w14:textId="77777777" w:rsidR="008A5BE5" w:rsidRPr="00C73E84" w:rsidRDefault="008A5BE5" w:rsidP="008A5BE5">
            <w:pPr>
              <w:numPr>
                <w:ilvl w:val="0"/>
                <w:numId w:val="38"/>
              </w:numPr>
              <w:overflowPunct/>
              <w:autoSpaceDE/>
              <w:autoSpaceDN/>
              <w:adjustRightInd/>
              <w:spacing w:after="0"/>
              <w:textAlignment w:val="auto"/>
              <w:rPr>
                <w:iCs/>
                <w:lang w:val="en-US"/>
              </w:rPr>
            </w:pPr>
            <w:r w:rsidRPr="00C73E84">
              <w:rPr>
                <w:iCs/>
                <w:lang w:val="en-US"/>
              </w:rPr>
              <w:t>Support one of the following alternatives</w:t>
            </w:r>
          </w:p>
          <w:p w14:paraId="234F3344" w14:textId="77777777" w:rsidR="008A5BE5" w:rsidRPr="00C73E84" w:rsidRDefault="008A5BE5" w:rsidP="008A5BE5">
            <w:pPr>
              <w:numPr>
                <w:ilvl w:val="1"/>
                <w:numId w:val="38"/>
              </w:numPr>
              <w:overflowPunct/>
              <w:autoSpaceDE/>
              <w:autoSpaceDN/>
              <w:adjustRightInd/>
              <w:spacing w:after="0"/>
              <w:textAlignment w:val="auto"/>
              <w:rPr>
                <w:iCs/>
                <w:lang w:val="en-US"/>
              </w:rPr>
            </w:pPr>
            <w:r w:rsidRPr="00C73E84">
              <w:rPr>
                <w:iCs/>
                <w:lang w:val="en-US"/>
              </w:rPr>
              <w:t xml:space="preserve">Alt-1: No additional candidate values are supported for 120 kHz, 480 </w:t>
            </w:r>
            <w:proofErr w:type="gramStart"/>
            <w:r w:rsidRPr="00C73E84">
              <w:rPr>
                <w:iCs/>
                <w:lang w:val="en-US"/>
              </w:rPr>
              <w:t>kHz</w:t>
            </w:r>
            <w:proofErr w:type="gramEnd"/>
            <w:r w:rsidRPr="00C73E84">
              <w:rPr>
                <w:iCs/>
                <w:lang w:val="en-US"/>
              </w:rPr>
              <w:t xml:space="preserve"> and 960 kHz </w:t>
            </w:r>
          </w:p>
          <w:p w14:paraId="306E8674" w14:textId="77777777" w:rsidR="008A5BE5" w:rsidRPr="00C73E84" w:rsidRDefault="008A5BE5" w:rsidP="008A5BE5">
            <w:pPr>
              <w:numPr>
                <w:ilvl w:val="1"/>
                <w:numId w:val="38"/>
              </w:numPr>
              <w:overflowPunct/>
              <w:autoSpaceDE/>
              <w:autoSpaceDN/>
              <w:adjustRightInd/>
              <w:spacing w:after="0"/>
              <w:textAlignment w:val="auto"/>
              <w:rPr>
                <w:iCs/>
                <w:lang w:val="en-US"/>
              </w:rPr>
            </w:pPr>
            <w:r w:rsidRPr="00C73E84">
              <w:rPr>
                <w:iCs/>
                <w:lang w:val="en-US"/>
              </w:rPr>
              <w:t xml:space="preserve">Alt-2: 28 and 56 symbols are supported as additional candidate values for 480 kHz and 960 kHz, respectively </w:t>
            </w:r>
          </w:p>
          <w:p w14:paraId="1B28E650" w14:textId="77777777" w:rsidR="008A5BE5" w:rsidRPr="00C73E84" w:rsidRDefault="008A5BE5" w:rsidP="008A5BE5">
            <w:pPr>
              <w:numPr>
                <w:ilvl w:val="0"/>
                <w:numId w:val="38"/>
              </w:numPr>
              <w:overflowPunct/>
              <w:autoSpaceDE/>
              <w:autoSpaceDN/>
              <w:adjustRightInd/>
              <w:spacing w:after="0"/>
              <w:textAlignment w:val="auto"/>
              <w:rPr>
                <w:iCs/>
                <w:lang w:val="en-US"/>
              </w:rPr>
            </w:pPr>
            <w:r w:rsidRPr="00C73E84">
              <w:rPr>
                <w:iCs/>
                <w:lang w:val="en-US"/>
              </w:rPr>
              <w:t>For UE capability signaling, UE reports one value of the candidate values in OFDM symbols per each SCS</w:t>
            </w:r>
          </w:p>
          <w:p w14:paraId="0B183A32" w14:textId="77777777" w:rsidR="008A5BE5" w:rsidRPr="00C73E84" w:rsidRDefault="008A5BE5" w:rsidP="008A5BE5">
            <w:pPr>
              <w:rPr>
                <w:iCs/>
                <w:lang w:val="en-US"/>
              </w:rPr>
            </w:pPr>
          </w:p>
          <w:p w14:paraId="3B7D4D4E" w14:textId="77777777" w:rsidR="008A5BE5" w:rsidRPr="00C73E84" w:rsidRDefault="008A5BE5" w:rsidP="008A5BE5">
            <w:pPr>
              <w:spacing w:after="0"/>
              <w:rPr>
                <w:iCs/>
              </w:rPr>
            </w:pPr>
            <w:r w:rsidRPr="00ED58D4">
              <w:rPr>
                <w:iCs/>
                <w:highlight w:val="green"/>
              </w:rPr>
              <w:t>Agreement:</w:t>
            </w:r>
          </w:p>
          <w:p w14:paraId="510B8B91" w14:textId="77777777" w:rsidR="008A5BE5" w:rsidRPr="00C73E84" w:rsidRDefault="008A5BE5" w:rsidP="008A5BE5">
            <w:pPr>
              <w:numPr>
                <w:ilvl w:val="0"/>
                <w:numId w:val="36"/>
              </w:numPr>
              <w:overflowPunct/>
              <w:autoSpaceDE/>
              <w:autoSpaceDN/>
              <w:adjustRightInd/>
              <w:spacing w:after="0"/>
              <w:textAlignment w:val="auto"/>
              <w:rPr>
                <w:iCs/>
                <w:lang w:val="en-US"/>
              </w:rPr>
            </w:pPr>
            <w:r w:rsidRPr="00C73E84">
              <w:rPr>
                <w:iCs/>
                <w:lang w:val="en-US"/>
              </w:rPr>
              <w:t>For additional beam switching time delay d of 120 kHz, support one of the following alternatives</w:t>
            </w:r>
          </w:p>
          <w:p w14:paraId="42F61889" w14:textId="77777777" w:rsidR="008A5BE5" w:rsidRPr="00C73E84" w:rsidRDefault="008A5BE5" w:rsidP="008A5BE5">
            <w:pPr>
              <w:numPr>
                <w:ilvl w:val="1"/>
                <w:numId w:val="38"/>
              </w:numPr>
              <w:overflowPunct/>
              <w:autoSpaceDE/>
              <w:autoSpaceDN/>
              <w:adjustRightInd/>
              <w:spacing w:after="0"/>
              <w:textAlignment w:val="auto"/>
              <w:rPr>
                <w:iCs/>
                <w:lang w:val="en-US"/>
              </w:rPr>
            </w:pPr>
            <w:r w:rsidRPr="00C73E84">
              <w:rPr>
                <w:iCs/>
                <w:lang w:val="en-US"/>
              </w:rPr>
              <w:t>Alt-1: 14 symbols</w:t>
            </w:r>
          </w:p>
          <w:p w14:paraId="761817F5" w14:textId="77777777" w:rsidR="008A5BE5" w:rsidRPr="00C73E84" w:rsidRDefault="008A5BE5" w:rsidP="008A5BE5">
            <w:pPr>
              <w:numPr>
                <w:ilvl w:val="1"/>
                <w:numId w:val="38"/>
              </w:numPr>
              <w:overflowPunct/>
              <w:autoSpaceDE/>
              <w:autoSpaceDN/>
              <w:adjustRightInd/>
              <w:spacing w:after="0"/>
              <w:textAlignment w:val="auto"/>
              <w:rPr>
                <w:iCs/>
                <w:lang w:val="en-US"/>
              </w:rPr>
            </w:pPr>
            <w:r w:rsidRPr="00C73E84">
              <w:rPr>
                <w:iCs/>
                <w:lang w:val="en-US"/>
              </w:rPr>
              <w:t>Alt-2: 28 symbols</w:t>
            </w:r>
          </w:p>
          <w:p w14:paraId="155C0A31" w14:textId="77777777" w:rsidR="008A5BE5" w:rsidRPr="00C73E84" w:rsidRDefault="008A5BE5" w:rsidP="008A5BE5">
            <w:pPr>
              <w:numPr>
                <w:ilvl w:val="0"/>
                <w:numId w:val="36"/>
              </w:numPr>
              <w:overflowPunct/>
              <w:autoSpaceDE/>
              <w:autoSpaceDN/>
              <w:adjustRightInd/>
              <w:spacing w:after="0"/>
              <w:textAlignment w:val="auto"/>
              <w:rPr>
                <w:iCs/>
                <w:lang w:val="en-US"/>
              </w:rPr>
            </w:pPr>
            <w:r w:rsidRPr="00C73E84">
              <w:rPr>
                <w:iCs/>
                <w:lang w:val="en-US"/>
              </w:rPr>
              <w:t>FFS: value for 480 kHz</w:t>
            </w:r>
          </w:p>
          <w:bookmarkEnd w:id="2"/>
          <w:p w14:paraId="06FFBAC4" w14:textId="77777777" w:rsidR="008A5BE5" w:rsidRDefault="008A5BE5" w:rsidP="008A5BE5">
            <w:pPr>
              <w:spacing w:after="0"/>
              <w:rPr>
                <w:iCs/>
                <w:highlight w:val="green"/>
              </w:rPr>
            </w:pPr>
          </w:p>
          <w:p w14:paraId="1BACB730" w14:textId="77777777" w:rsidR="008A5BE5" w:rsidRDefault="008A5BE5" w:rsidP="008A5BE5">
            <w:pPr>
              <w:spacing w:after="0"/>
              <w:rPr>
                <w:iCs/>
                <w:highlight w:val="green"/>
              </w:rPr>
            </w:pPr>
          </w:p>
          <w:p w14:paraId="4BFC78F0" w14:textId="77777777" w:rsidR="008A5BE5" w:rsidRDefault="008A5BE5" w:rsidP="008A5BE5">
            <w:pPr>
              <w:spacing w:after="0"/>
              <w:rPr>
                <w:iCs/>
              </w:rPr>
            </w:pPr>
            <w:r w:rsidRPr="00FB318C">
              <w:rPr>
                <w:iCs/>
                <w:highlight w:val="green"/>
              </w:rPr>
              <w:t>Agreement:</w:t>
            </w:r>
          </w:p>
          <w:p w14:paraId="2FB87A7C" w14:textId="77777777" w:rsidR="008A5BE5" w:rsidRDefault="008A5BE5" w:rsidP="008A5BE5">
            <w:pPr>
              <w:rPr>
                <w:rFonts w:cs="Times"/>
                <w:iCs/>
              </w:rPr>
            </w:pPr>
            <w:r w:rsidRPr="00FB318C">
              <w:rPr>
                <w:rFonts w:eastAsia="Malgun Gothic" w:cs="Times"/>
                <w:color w:val="000000"/>
              </w:rPr>
              <w:t xml:space="preserve">For the threshold values 48 or </w:t>
            </w:r>
            <w:r w:rsidRPr="00FB318C">
              <w:rPr>
                <w:rFonts w:cs="Times"/>
              </w:rPr>
              <w:t xml:space="preserve">48+ </w:t>
            </w:r>
            <w:r w:rsidRPr="00FB318C">
              <w:rPr>
                <w:rFonts w:cs="Times"/>
              </w:rPr>
              <w:fldChar w:fldCharType="begin"/>
            </w:r>
            <w:r w:rsidRPr="00FB318C">
              <w:rPr>
                <w:rFonts w:cs="Times"/>
              </w:rPr>
              <w:instrText xml:space="preserve"> QUOTE </w:instrText>
            </w:r>
            <w:r w:rsidR="00C84280">
              <w:rPr>
                <w:rFonts w:cs="Times"/>
                <w:noProof/>
                <w:position w:val="-5"/>
              </w:rPr>
              <w:pict w14:anchorId="79FD6D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80.45pt;height:1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0F6&quot;/&gt;&lt;wsp:rsid wsp:val=&quot;000041B1&quot;/&gt;&lt;wsp:rsid wsp:val=&quot;00013252&quot;/&gt;&lt;wsp:rsid wsp:val=&quot;00073C45&quot;/&gt;&lt;wsp:rsid wsp:val=&quot;00076C50&quot;/&gt;&lt;wsp:rsid wsp:val=&quot;00081DD2&quot;/&gt;&lt;wsp:rsid wsp:val=&quot;00084952&quot;/&gt;&lt;wsp:rsid wsp:val=&quot;000906E0&quot;/&gt;&lt;wsp:rsid wsp:val=&quot;000963AE&quot;/&gt;&lt;wsp:rsid wsp:val=&quot;000A2FF1&quot;/&gt;&lt;wsp:rsid wsp:val=&quot;000A5C4E&quot;/&gt;&lt;wsp:rsid wsp:val=&quot;000B283D&quot;/&gt;&lt;wsp:rsid wsp:val=&quot;000C256E&quot;/&gt;&lt;wsp:rsid wsp:val=&quot;000C555F&quot;/&gt;&lt;wsp:rsid wsp:val=&quot;000E422B&quot;/&gt;&lt;wsp:rsid wsp:val=&quot;000E428A&quot;/&gt;&lt;wsp:rsid wsp:val=&quot;000E794C&quot;/&gt;&lt;wsp:rsid wsp:val=&quot;00106336&quot;/&gt;&lt;wsp:rsid wsp:val=&quot;00125A76&quot;/&gt;&lt;wsp:rsid wsp:val=&quot;00154C89&quot;/&gt;&lt;wsp:rsid wsp:val=&quot;0016631D&quot;/&gt;&lt;wsp:rsid wsp:val=&quot;00192E48&quot;/&gt;&lt;wsp:rsid wsp:val=&quot;001C40D9&quot;/&gt;&lt;wsp:rsid wsp:val=&quot;001F4B2C&quot;/&gt;&lt;wsp:rsid wsp:val=&quot;00204643&quot;/&gt;&lt;wsp:rsid wsp:val=&quot;00240372&quot;/&gt;&lt;wsp:rsid wsp:val=&quot;00242AFE&quot;/&gt;&lt;wsp:rsid wsp:val=&quot;0027082D&quot;/&gt;&lt;wsp:rsid wsp:val=&quot;00276CB7&quot;/&gt;&lt;wsp:rsid wsp:val=&quot;00293C36&quot;/&gt;&lt;wsp:rsid wsp:val=&quot;002A1E7D&quot;/&gt;&lt;wsp:rsid wsp:val=&quot;002A2988&quot;/&gt;&lt;wsp:rsid wsp:val=&quot;00345EEA&quot;/&gt;&lt;wsp:rsid wsp:val=&quot;003811A6&quot;/&gt;&lt;wsp:rsid wsp:val=&quot;003E076D&quot;/&gt;&lt;wsp:rsid wsp:val=&quot;003E7DF2&quot;/&gt;&lt;wsp:rsid wsp:val=&quot;003F30E5&quot;/&gt;&lt;wsp:rsid wsp:val=&quot;0042538D&quot;/&gt;&lt;wsp:rsid wsp:val=&quot;00434061&quot;/&gt;&lt;wsp:rsid wsp:val=&quot;00462BD0&quot;/&gt;&lt;wsp:rsid wsp:val=&quot;00483E4C&quot;/&gt;&lt;wsp:rsid wsp:val=&quot;004952EA&quot;/&gt;&lt;wsp:rsid wsp:val=&quot;004A269D&quot;/&gt;&lt;wsp:rsid wsp:val=&quot;004B60A8&quot;/&gt;&lt;wsp:rsid wsp:val=&quot;004E40C3&quot;/&gt;&lt;wsp:rsid wsp:val=&quot;005018C8&quot;/&gt;&lt;wsp:rsid wsp:val=&quot;00514701&quot;/&gt;&lt;wsp:rsid wsp:val=&quot;00515FB3&quot;/&gt;&lt;wsp:rsid wsp:val=&quot;00543449&quot;/&gt;&lt;wsp:rsid wsp:val=&quot;00570536&quot;/&gt;&lt;wsp:rsid wsp:val=&quot;00576499&quot;/&gt;&lt;wsp:rsid wsp:val=&quot;00594116&quot;/&gt;&lt;wsp:rsid wsp:val=&quot;005B5782&quot;/&gt;&lt;wsp:rsid wsp:val=&quot;005D02EF&quot;/&gt;&lt;wsp:rsid wsp:val=&quot;0060310C&quot;/&gt;&lt;wsp:rsid wsp:val=&quot;00646379&quot;/&gt;&lt;wsp:rsid wsp:val=&quot;00663643&quot;/&gt;&lt;wsp:rsid wsp:val=&quot;00677A23&quot;/&gt;&lt;wsp:rsid wsp:val=&quot;006D2D97&quot;/&gt;&lt;wsp:rsid wsp:val=&quot;006F2F56&quot;/&gt;&lt;wsp:rsid wsp:val=&quot;006F4CE1&quot;/&gt;&lt;wsp:rsid wsp:val=&quot;006F4F14&quot;/&gt;&lt;wsp:rsid wsp:val=&quot;007436B8&quot;/&gt;&lt;wsp:rsid wsp:val=&quot;007616EC&quot;/&gt;&lt;wsp:rsid wsp:val=&quot;0078631B&quot;/&gt;&lt;wsp:rsid wsp:val=&quot;007B5261&quot;/&gt;&lt;wsp:rsid wsp:val=&quot;007C3C20&quot;/&gt;&lt;wsp:rsid wsp:val=&quot;007E0EED&quot;/&gt;&lt;wsp:rsid wsp:val=&quot;007E329A&quot;/&gt;&lt;wsp:rsid wsp:val=&quot;00860A4B&quot;/&gt;&lt;wsp:rsid wsp:val=&quot;00864FCD&quot;/&gt;&lt;wsp:rsid wsp:val=&quot;00881BE1&quot;/&gt;&lt;wsp:rsid wsp:val=&quot;008A34F1&quot;/&gt;&lt;wsp:rsid wsp:val=&quot;008E39EC&quot;/&gt;&lt;wsp:rsid wsp:val=&quot;008E4F63&quot;/&gt;&lt;wsp:rsid wsp:val=&quot;008F3AB4&quot;/&gt;&lt;wsp:rsid wsp:val=&quot;008F7C25&quot;/&gt;&lt;wsp:rsid wsp:val=&quot;00902FE5&quot;/&gt;&lt;wsp:rsid wsp:val=&quot;00915049&quot;/&gt;&lt;wsp:rsid wsp:val=&quot;00927607&quot;/&gt;&lt;wsp:rsid wsp:val=&quot;0094656F&quot;/&gt;&lt;wsp:rsid wsp:val=&quot;009478C6&quot;/&gt;&lt;wsp:rsid wsp:val=&quot;00961B8C&quot;/&gt;&lt;wsp:rsid wsp:val=&quot;00976D07&quot;/&gt;&lt;wsp:rsid wsp:val=&quot;0098076F&quot;/&gt;&lt;wsp:rsid wsp:val=&quot;009B64D0&quot;/&gt;&lt;wsp:rsid wsp:val=&quot;00A51263&quot;/&gt;&lt;wsp:rsid wsp:val=&quot;00A710C1&quot;/&gt;&lt;wsp:rsid wsp:val=&quot;00AA179F&quot;/&gt;&lt;wsp:rsid wsp:val=&quot;00AA1F42&quot;/&gt;&lt;wsp:rsid wsp:val=&quot;00AA357B&quot;/&gt;&lt;wsp:rsid wsp:val=&quot;00AE0F8F&quot;/&gt;&lt;wsp:rsid wsp:val=&quot;00B040D2&quot;/&gt;&lt;wsp:rsid wsp:val=&quot;00B10EC3&quot;/&gt;&lt;wsp:rsid wsp:val=&quot;00B264E8&quot;/&gt;&lt;wsp:rsid wsp:val=&quot;00B640E8&quot;/&gt;&lt;wsp:rsid wsp:val=&quot;00B75DE1&quot;/&gt;&lt;wsp:rsid wsp:val=&quot;00B837EC&quot;/&gt;&lt;wsp:rsid wsp:val=&quot;00B83F2E&quot;/&gt;&lt;wsp:rsid wsp:val=&quot;00B856A9&quot;/&gt;&lt;wsp:rsid wsp:val=&quot;00B902B2&quot;/&gt;&lt;wsp:rsid wsp:val=&quot;00B912AD&quot;/&gt;&lt;wsp:rsid wsp:val=&quot;00BF1F78&quot;/&gt;&lt;wsp:rsid wsp:val=&quot;00BF2461&quot;/&gt;&lt;wsp:rsid wsp:val=&quot;00C0638B&quot;/&gt;&lt;wsp:rsid wsp:val=&quot;00C447E1&quot;/&gt;&lt;wsp:rsid wsp:val=&quot;00C55E89&quot;/&gt;&lt;wsp:rsid wsp:val=&quot;00C6510F&quot;/&gt;&lt;wsp:rsid wsp:val=&quot;00C86B16&quot;/&gt;&lt;wsp:rsid wsp:val=&quot;00C87DA9&quot;/&gt;&lt;wsp:rsid wsp:val=&quot;00C92CE1&quot;/&gt;&lt;wsp:rsid wsp:val=&quot;00CA4A7A&quot;/&gt;&lt;wsp:rsid wsp:val=&quot;00CB0011&quot;/&gt;&lt;wsp:rsid wsp:val=&quot;00CB3FBF&quot;/&gt;&lt;wsp:rsid wsp:val=&quot;00CC16EC&quot;/&gt;&lt;wsp:rsid wsp:val=&quot;00CC5BD0&quot;/&gt;&lt;wsp:rsid wsp:val=&quot;00CD1153&quot;/&gt;&lt;wsp:rsid wsp:val=&quot;00D01882&quot;/&gt;&lt;wsp:rsid wsp:val=&quot;00D75213&quot;/&gt;&lt;wsp:rsid wsp:val=&quot;00DA7563&quot;/&gt;&lt;wsp:rsid wsp:val=&quot;00DC1738&quot;/&gt;&lt;wsp:rsid wsp:val=&quot;00DC552F&quot;/&gt;&lt;wsp:rsid wsp:val=&quot;00DD08C9&quot;/&gt;&lt;wsp:rsid wsp:val=&quot;00DD37A7&quot;/&gt;&lt;wsp:rsid wsp:val=&quot;00E017E4&quot;/&gt;&lt;wsp:rsid wsp:val=&quot;00E05A8E&quot;/&gt;&lt;wsp:rsid wsp:val=&quot;00E463F2&quot;/&gt;&lt;wsp:rsid wsp:val=&quot;00E467C5&quot;/&gt;&lt;wsp:rsid wsp:val=&quot;00E6248B&quot;/&gt;&lt;wsp:rsid wsp:val=&quot;00E73DFF&quot;/&gt;&lt;wsp:rsid wsp:val=&quot;00E84307&quot;/&gt;&lt;wsp:rsid wsp:val=&quot;00E957D9&quot;/&gt;&lt;wsp:rsid wsp:val=&quot;00E96E10&quot;/&gt;&lt;wsp:rsid wsp:val=&quot;00EA7990&quot;/&gt;&lt;wsp:rsid wsp:val=&quot;00EC7B40&quot;/&gt;&lt;wsp:rsid wsp:val=&quot;00ED2E01&quot;/&gt;&lt;wsp:rsid wsp:val=&quot;00F52B54&quot;/&gt;&lt;wsp:rsid wsp:val=&quot;00F724AE&quot;/&gt;&lt;wsp:rsid wsp:val=&quot;00FA1599&quot;/&gt;&lt;wsp:rsid wsp:val=&quot;00FB2FD3&quot;/&gt;&lt;wsp:rsid wsp:val=&quot;00FB318C&quot;/&gt;&lt;wsp:rsid wsp:val=&quot;00FD43E6&quot;/&gt;&lt;wsp:rsid wsp:val=&quot;00FE6A52&quot;/&gt;&lt;/wsp:rsids&gt;&lt;/w:docPr&gt;&lt;w:body&gt;&lt;wx:sect&gt;&lt;w:p wsp:rsidR=&quot;00000000&quot; wsp:rsidRDefault=&quot;006F4F14&quot; wsp:rsidP=&quot;006F4F14&quot;&gt;&lt;m:oMathPara&gt;&lt;m:oMath&gt;&lt;m:r&gt;&lt;w:rPr&gt;&lt;w:rFonts w:ascii=&quot;Cambria Math&quot; w:h-ansi=&quot;Cambria Math&quot;/&gt;&lt;wx:font wx:val=&quot;Cambria Math&quot;/&gt;&lt;w:i/&gt;&lt;/w:rPr&gt;&lt;m:t&gt;d&lt;/m:t&gt;&lt;/m:r&gt;&lt;m:r&gt;&lt;m:rPr&gt;&lt;m:sty m:val=&quot;p&quot;/&gt;&lt;/m:rPr&gt;&lt;w:rPr&gt;&lt;w:rFonts w:ascii=&quot;Cambria Math&quot; w:h-ansi=&quot;Cambria Math&quot;/&gt;&lt;wx:font wx:val=&quot;Cambria Math&quot;/&gt;&lt;/w:rPr&gt;&lt;m:t&gt;‚àô&lt;/m:t&gt;&lt;/m:r&gt;&lt;m:sSup&gt;&lt;m:sSupPr&gt;&lt;m:ctrlPr&gt;&lt;w:rPr&gt;&lt;w:rFonts w:ascii=&quot;Cambria Math&quot; w:h-ansi=&quot;Cambria Math&quot;/&gt;&lt;wx:font wx:val=&quot;Cambria Math&quot;/&gt;&lt;w:i-cs/&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Œº&lt;/m:t&gt;&lt;/m:r&gt;&lt;/m:e&gt;&lt;m:sub&gt;&lt;m:r&gt;&lt;w:rPr&gt;&lt;w:rFonts w:ascii=&quot;Cambria Math&quot; w:h-ansi=&quot;Cambria Math&quot;/&gt;&lt;wx:font wx:val=&quot;Cambria Math&quot;/&gt;&lt;w:i/&gt;&lt;/w:rPr&gt;&lt;m:t&gt;CSIRS&lt;/m:t&gt;&lt;/m:r&gt;&lt;/m:sub&gt;&lt;/m:sSub&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i-cs/&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Œº&lt;/m:t&gt;&lt;/m:r&gt;&lt;/m:e&gt;&lt;m:sub&gt;&lt;m:r&gt;&lt;w:rPr&gt;&lt;w:rFonts w:ascii=&quot;Cambria Math&quot; w:h-ansi=&quot;Cambria Math&quot;/&gt;&lt;wx:font wx:val=&quot;Cambria Math&quot;/&gt;&lt;w:i/&gt;&lt;/w:rPr&gt;&lt;m:t&gt;PDCCH&lt;/m:t&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B318C">
              <w:rPr>
                <w:rFonts w:cs="Times"/>
              </w:rPr>
              <w:instrText xml:space="preserve"> </w:instrText>
            </w:r>
            <w:r w:rsidRPr="00FB318C">
              <w:rPr>
                <w:rFonts w:cs="Times"/>
              </w:rPr>
              <w:fldChar w:fldCharType="separate"/>
            </w:r>
            <w:r w:rsidR="00C84280">
              <w:rPr>
                <w:rFonts w:cs="Times"/>
                <w:noProof/>
                <w:position w:val="-5"/>
              </w:rPr>
              <w:pict w14:anchorId="323C6EFE">
                <v:shape id="_x0000_i1025" type="#_x0000_t75" alt="" style="width:80.45pt;height:1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0F6&quot;/&gt;&lt;wsp:rsid wsp:val=&quot;000041B1&quot;/&gt;&lt;wsp:rsid wsp:val=&quot;00013252&quot;/&gt;&lt;wsp:rsid wsp:val=&quot;00073C45&quot;/&gt;&lt;wsp:rsid wsp:val=&quot;00076C50&quot;/&gt;&lt;wsp:rsid wsp:val=&quot;00081DD2&quot;/&gt;&lt;wsp:rsid wsp:val=&quot;00084952&quot;/&gt;&lt;wsp:rsid wsp:val=&quot;000906E0&quot;/&gt;&lt;wsp:rsid wsp:val=&quot;000963AE&quot;/&gt;&lt;wsp:rsid wsp:val=&quot;000A2FF1&quot;/&gt;&lt;wsp:rsid wsp:val=&quot;000A5C4E&quot;/&gt;&lt;wsp:rsid wsp:val=&quot;000B283D&quot;/&gt;&lt;wsp:rsid wsp:val=&quot;000C256E&quot;/&gt;&lt;wsp:rsid wsp:val=&quot;000C555F&quot;/&gt;&lt;wsp:rsid wsp:val=&quot;000E422B&quot;/&gt;&lt;wsp:rsid wsp:val=&quot;000E428A&quot;/&gt;&lt;wsp:rsid wsp:val=&quot;000E794C&quot;/&gt;&lt;wsp:rsid wsp:val=&quot;00106336&quot;/&gt;&lt;wsp:rsid wsp:val=&quot;00125A76&quot;/&gt;&lt;wsp:rsid wsp:val=&quot;00154C89&quot;/&gt;&lt;wsp:rsid wsp:val=&quot;0016631D&quot;/&gt;&lt;wsp:rsid wsp:val=&quot;00192E48&quot;/&gt;&lt;wsp:rsid wsp:val=&quot;001C40D9&quot;/&gt;&lt;wsp:rsid wsp:val=&quot;001F4B2C&quot;/&gt;&lt;wsp:rsid wsp:val=&quot;00204643&quot;/&gt;&lt;wsp:rsid wsp:val=&quot;00240372&quot;/&gt;&lt;wsp:rsid wsp:val=&quot;00242AFE&quot;/&gt;&lt;wsp:rsid wsp:val=&quot;0027082D&quot;/&gt;&lt;wsp:rsid wsp:val=&quot;00276CB7&quot;/&gt;&lt;wsp:rsid wsp:val=&quot;00293C36&quot;/&gt;&lt;wsp:rsid wsp:val=&quot;002A1E7D&quot;/&gt;&lt;wsp:rsid wsp:val=&quot;002A2988&quot;/&gt;&lt;wsp:rsid wsp:val=&quot;00345EEA&quot;/&gt;&lt;wsp:rsid wsp:val=&quot;003811A6&quot;/&gt;&lt;wsp:rsid wsp:val=&quot;003E076D&quot;/&gt;&lt;wsp:rsid wsp:val=&quot;003E7DF2&quot;/&gt;&lt;wsp:rsid wsp:val=&quot;003F30E5&quot;/&gt;&lt;wsp:rsid wsp:val=&quot;0042538D&quot;/&gt;&lt;wsp:rsid wsp:val=&quot;00434061&quot;/&gt;&lt;wsp:rsid wsp:val=&quot;00462BD0&quot;/&gt;&lt;wsp:rsid wsp:val=&quot;00483E4C&quot;/&gt;&lt;wsp:rsid wsp:val=&quot;004952EA&quot;/&gt;&lt;wsp:rsid wsp:val=&quot;004A269D&quot;/&gt;&lt;wsp:rsid wsp:val=&quot;004B60A8&quot;/&gt;&lt;wsp:rsid wsp:val=&quot;004E40C3&quot;/&gt;&lt;wsp:rsid wsp:val=&quot;005018C8&quot;/&gt;&lt;wsp:rsid wsp:val=&quot;00514701&quot;/&gt;&lt;wsp:rsid wsp:val=&quot;00515FB3&quot;/&gt;&lt;wsp:rsid wsp:val=&quot;00543449&quot;/&gt;&lt;wsp:rsid wsp:val=&quot;00570536&quot;/&gt;&lt;wsp:rsid wsp:val=&quot;00576499&quot;/&gt;&lt;wsp:rsid wsp:val=&quot;00594116&quot;/&gt;&lt;wsp:rsid wsp:val=&quot;005B5782&quot;/&gt;&lt;wsp:rsid wsp:val=&quot;005D02EF&quot;/&gt;&lt;wsp:rsid wsp:val=&quot;0060310C&quot;/&gt;&lt;wsp:rsid wsp:val=&quot;00646379&quot;/&gt;&lt;wsp:rsid wsp:val=&quot;00663643&quot;/&gt;&lt;wsp:rsid wsp:val=&quot;00677A23&quot;/&gt;&lt;wsp:rsid wsp:val=&quot;006D2D97&quot;/&gt;&lt;wsp:rsid wsp:val=&quot;006F2F56&quot;/&gt;&lt;wsp:rsid wsp:val=&quot;006F4CE1&quot;/&gt;&lt;wsp:rsid wsp:val=&quot;006F4F14&quot;/&gt;&lt;wsp:rsid wsp:val=&quot;007436B8&quot;/&gt;&lt;wsp:rsid wsp:val=&quot;007616EC&quot;/&gt;&lt;wsp:rsid wsp:val=&quot;0078631B&quot;/&gt;&lt;wsp:rsid wsp:val=&quot;007B5261&quot;/&gt;&lt;wsp:rsid wsp:val=&quot;007C3C20&quot;/&gt;&lt;wsp:rsid wsp:val=&quot;007E0EED&quot;/&gt;&lt;wsp:rsid wsp:val=&quot;007E329A&quot;/&gt;&lt;wsp:rsid wsp:val=&quot;00860A4B&quot;/&gt;&lt;wsp:rsid wsp:val=&quot;00864FCD&quot;/&gt;&lt;wsp:rsid wsp:val=&quot;00881BE1&quot;/&gt;&lt;wsp:rsid wsp:val=&quot;008A34F1&quot;/&gt;&lt;wsp:rsid wsp:val=&quot;008E39EC&quot;/&gt;&lt;wsp:rsid wsp:val=&quot;008E4F63&quot;/&gt;&lt;wsp:rsid wsp:val=&quot;008F3AB4&quot;/&gt;&lt;wsp:rsid wsp:val=&quot;008F7C25&quot;/&gt;&lt;wsp:rsid wsp:val=&quot;00902FE5&quot;/&gt;&lt;wsp:rsid wsp:val=&quot;00915049&quot;/&gt;&lt;wsp:rsid wsp:val=&quot;00927607&quot;/&gt;&lt;wsp:rsid wsp:val=&quot;0094656F&quot;/&gt;&lt;wsp:rsid wsp:val=&quot;009478C6&quot;/&gt;&lt;wsp:rsid wsp:val=&quot;00961B8C&quot;/&gt;&lt;wsp:rsid wsp:val=&quot;00976D07&quot;/&gt;&lt;wsp:rsid wsp:val=&quot;0098076F&quot;/&gt;&lt;wsp:rsid wsp:val=&quot;009B64D0&quot;/&gt;&lt;wsp:rsid wsp:val=&quot;00A51263&quot;/&gt;&lt;wsp:rsid wsp:val=&quot;00A710C1&quot;/&gt;&lt;wsp:rsid wsp:val=&quot;00AA179F&quot;/&gt;&lt;wsp:rsid wsp:val=&quot;00AA1F42&quot;/&gt;&lt;wsp:rsid wsp:val=&quot;00AA357B&quot;/&gt;&lt;wsp:rsid wsp:val=&quot;00AE0F8F&quot;/&gt;&lt;wsp:rsid wsp:val=&quot;00B040D2&quot;/&gt;&lt;wsp:rsid wsp:val=&quot;00B10EC3&quot;/&gt;&lt;wsp:rsid wsp:val=&quot;00B264E8&quot;/&gt;&lt;wsp:rsid wsp:val=&quot;00B640E8&quot;/&gt;&lt;wsp:rsid wsp:val=&quot;00B75DE1&quot;/&gt;&lt;wsp:rsid wsp:val=&quot;00B837EC&quot;/&gt;&lt;wsp:rsid wsp:val=&quot;00B83F2E&quot;/&gt;&lt;wsp:rsid wsp:val=&quot;00B856A9&quot;/&gt;&lt;wsp:rsid wsp:val=&quot;00B902B2&quot;/&gt;&lt;wsp:rsid wsp:val=&quot;00B912AD&quot;/&gt;&lt;wsp:rsid wsp:val=&quot;00BF1F78&quot;/&gt;&lt;wsp:rsid wsp:val=&quot;00BF2461&quot;/&gt;&lt;wsp:rsid wsp:val=&quot;00C0638B&quot;/&gt;&lt;wsp:rsid wsp:val=&quot;00C447E1&quot;/&gt;&lt;wsp:rsid wsp:val=&quot;00C55E89&quot;/&gt;&lt;wsp:rsid wsp:val=&quot;00C6510F&quot;/&gt;&lt;wsp:rsid wsp:val=&quot;00C86B16&quot;/&gt;&lt;wsp:rsid wsp:val=&quot;00C87DA9&quot;/&gt;&lt;wsp:rsid wsp:val=&quot;00C92CE1&quot;/&gt;&lt;wsp:rsid wsp:val=&quot;00CA4A7A&quot;/&gt;&lt;wsp:rsid wsp:val=&quot;00CB0011&quot;/&gt;&lt;wsp:rsid wsp:val=&quot;00CB3FBF&quot;/&gt;&lt;wsp:rsid wsp:val=&quot;00CC16EC&quot;/&gt;&lt;wsp:rsid wsp:val=&quot;00CC5BD0&quot;/&gt;&lt;wsp:rsid wsp:val=&quot;00CD1153&quot;/&gt;&lt;wsp:rsid wsp:val=&quot;00D01882&quot;/&gt;&lt;wsp:rsid wsp:val=&quot;00D75213&quot;/&gt;&lt;wsp:rsid wsp:val=&quot;00DA7563&quot;/&gt;&lt;wsp:rsid wsp:val=&quot;00DC1738&quot;/&gt;&lt;wsp:rsid wsp:val=&quot;00DC552F&quot;/&gt;&lt;wsp:rsid wsp:val=&quot;00DD08C9&quot;/&gt;&lt;wsp:rsid wsp:val=&quot;00DD37A7&quot;/&gt;&lt;wsp:rsid wsp:val=&quot;00E017E4&quot;/&gt;&lt;wsp:rsid wsp:val=&quot;00E05A8E&quot;/&gt;&lt;wsp:rsid wsp:val=&quot;00E463F2&quot;/&gt;&lt;wsp:rsid wsp:val=&quot;00E467C5&quot;/&gt;&lt;wsp:rsid wsp:val=&quot;00E6248B&quot;/&gt;&lt;wsp:rsid wsp:val=&quot;00E73DFF&quot;/&gt;&lt;wsp:rsid wsp:val=&quot;00E84307&quot;/&gt;&lt;wsp:rsid wsp:val=&quot;00E957D9&quot;/&gt;&lt;wsp:rsid wsp:val=&quot;00E96E10&quot;/&gt;&lt;wsp:rsid wsp:val=&quot;00EA7990&quot;/&gt;&lt;wsp:rsid wsp:val=&quot;00EC7B40&quot;/&gt;&lt;wsp:rsid wsp:val=&quot;00ED2E01&quot;/&gt;&lt;wsp:rsid wsp:val=&quot;00F52B54&quot;/&gt;&lt;wsp:rsid wsp:val=&quot;00F724AE&quot;/&gt;&lt;wsp:rsid wsp:val=&quot;00FA1599&quot;/&gt;&lt;wsp:rsid wsp:val=&quot;00FB2FD3&quot;/&gt;&lt;wsp:rsid wsp:val=&quot;00FB318C&quot;/&gt;&lt;wsp:rsid wsp:val=&quot;00FD43E6&quot;/&gt;&lt;wsp:rsid wsp:val=&quot;00FE6A52&quot;/&gt;&lt;/wsp:rsids&gt;&lt;/w:docPr&gt;&lt;w:body&gt;&lt;wx:sect&gt;&lt;w:p wsp:rsidR=&quot;00000000&quot; wsp:rsidRDefault=&quot;006F4F14&quot; wsp:rsidP=&quot;006F4F14&quot;&gt;&lt;m:oMathPara&gt;&lt;m:oMath&gt;&lt;m:r&gt;&lt;w:rPr&gt;&lt;w:rFonts w:ascii=&quot;Cambria Math&quot; w:h-ansi=&quot;Cambria Math&quot;/&gt;&lt;wx:font wx:val=&quot;Cambria Math&quot;/&gt;&lt;w:i/&gt;&lt;/w:rPr&gt;&lt;m:t&gt;d&lt;/m:t&gt;&lt;/m:r&gt;&lt;m:r&gt;&lt;m:rPr&gt;&lt;m:sty m:val=&quot;p&quot;/&gt;&lt;/m:rPr&gt;&lt;w:rPr&gt;&lt;w:rFonts w:ascii=&quot;Cambria Math&quot; w:h-ansi=&quot;Cambria Math&quot;/&gt;&lt;wx:font wx:val=&quot;Cambria Math&quot;/&gt;&lt;/w:rPr&gt;&lt;m:t&gt;‚àô&lt;/m:t&gt;&lt;/m:r&gt;&lt;m:sSup&gt;&lt;m:sSupPr&gt;&lt;m:ctrlPr&gt;&lt;w:rPr&gt;&lt;w:rFonts w:ascii=&quot;Cambria Math&quot; w:h-ansi=&quot;Cambria Math&quot;/&gt;&lt;wx:font wx:val=&quot;Cambria Math&quot;/&gt;&lt;w:i-cs/&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Œº&lt;/m:t&gt;&lt;/m:r&gt;&lt;/m:e&gt;&lt;m:sub&gt;&lt;m:r&gt;&lt;w:rPr&gt;&lt;w:rFonts w:ascii=&quot;Cambria Math&quot; w:h-ansi=&quot;Cambria Math&quot;/&gt;&lt;wx:font wx:val=&quot;Cambria Math&quot;/&gt;&lt;w:i/&gt;&lt;/w:rPr&gt;&lt;m:t&gt;CSIRS&lt;/m:t&gt;&lt;/m:r&gt;&lt;/m:sub&gt;&lt;/m:sSub&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i-cs/&gt;&lt;/w:rPr&gt;&lt;/m:ctrlPr&gt;&lt;/m:sSupPr&gt;&lt;m:e&gt;&lt;m:r&gt;&lt;w:rPr&gt;&lt;w:rFonts w:ascii=&quot;Cambria Math&quot; w:h-ansi=&quot;Cambria Math&quot;/&gt;&lt;wx:font wx:val=&quot;Cambria Math&quot;/&gt;&lt;w:i/&gt;&lt;/w:rPr&gt;&lt;m:t&gt;2&lt;/m:t&gt;&lt;/m:r&gt;&lt;/m:e&gt;&lt;m:sup&gt;&lt;m:sSub&gt;&lt;m:sSubPr&gt;&lt;m:ctrlPr&gt;&lt;w:rPr&gt;&lt;w:rFonts w:ascii=&quot;Cambria Math&quot; w:h-ansi=&quot;Cambria Math&quot;/&gt;&lt;wx:font wx:val=&quot;Cambria Math&quot;/&gt;&lt;w:i/&gt;&lt;w:i-cs/&gt;&lt;/w:rPr&gt;&lt;/m:ctrlPr&gt;&lt;/m:sSubPr&gt;&lt;m:e&gt;&lt;m:r&gt;&lt;w:rPr&gt;&lt;w:rFonts w:ascii=&quot;Cambria Math&quot; w:h-ansi=&quot;Cambria Math&quot;/&gt;&lt;wx:font wx:val=&quot;Cambria Math&quot;/&gt;&lt;w:i/&gt;&lt;/w:rPr&gt;&lt;m:t&gt;Œº&lt;/m:t&gt;&lt;/m:r&gt;&lt;/m:e&gt;&lt;m:sub&gt;&lt;m:r&gt;&lt;w:rPr&gt;&lt;w:rFonts w:ascii=&quot;Cambria Math&quot; w:h-ansi=&quot;Cambria Math&quot;/&gt;&lt;wx:font wx:val=&quot;Cambria Math&quot;/&gt;&lt;w:i/&gt;&lt;/w:rPr&gt;&lt;m:t&gt;PDCCH&lt;/m:t&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FB318C">
              <w:rPr>
                <w:rFonts w:cs="Times"/>
              </w:rPr>
              <w:fldChar w:fldCharType="end"/>
            </w:r>
            <w:r w:rsidRPr="00FB318C">
              <w:rPr>
                <w:rFonts w:cs="Times"/>
              </w:rPr>
              <w:t xml:space="preserve"> mentioned in Clauses </w:t>
            </w:r>
            <w:r w:rsidRPr="00FB318C">
              <w:rPr>
                <w:rFonts w:eastAsia="Malgun Gothic" w:cs="Times"/>
                <w:color w:val="000000"/>
              </w:rPr>
              <w:t xml:space="preserve">5.2.1.5.1 and 5.2.1.5.1a of 38.214, scale 48 to 4*48 for 480 kHz and 8*48 </w:t>
            </w:r>
            <w:r>
              <w:rPr>
                <w:rFonts w:eastAsia="Malgun Gothic" w:cs="Times"/>
                <w:color w:val="000000"/>
              </w:rPr>
              <w:t>for</w:t>
            </w:r>
            <w:r w:rsidRPr="00FB318C">
              <w:rPr>
                <w:rFonts w:eastAsia="Malgun Gothic" w:cs="Times"/>
                <w:color w:val="000000"/>
              </w:rPr>
              <w:t xml:space="preserve"> 960 kHz</w:t>
            </w:r>
            <w:r w:rsidRPr="00FB318C">
              <w:rPr>
                <w:rFonts w:cs="Times"/>
                <w:iCs/>
              </w:rPr>
              <w:t>.</w:t>
            </w:r>
          </w:p>
          <w:p w14:paraId="533FC515" w14:textId="77777777" w:rsidR="008A5BE5" w:rsidRPr="006D54B0" w:rsidRDefault="008A5BE5" w:rsidP="008A5BE5">
            <w:pPr>
              <w:rPr>
                <w:rFonts w:cs="Times"/>
                <w:iCs/>
              </w:rPr>
            </w:pPr>
          </w:p>
          <w:p w14:paraId="50788EE5" w14:textId="77777777" w:rsidR="008A5BE5" w:rsidRDefault="008A5BE5" w:rsidP="008A5BE5">
            <w:pPr>
              <w:spacing w:after="0"/>
              <w:rPr>
                <w:iCs/>
              </w:rPr>
            </w:pPr>
            <w:r w:rsidRPr="00C8211A">
              <w:rPr>
                <w:iCs/>
                <w:highlight w:val="darkYellow"/>
              </w:rPr>
              <w:t>Working assumption:</w:t>
            </w:r>
          </w:p>
          <w:p w14:paraId="3C0EBFFB" w14:textId="77777777" w:rsidR="008A5BE5" w:rsidRPr="00A54374" w:rsidRDefault="008A5BE5" w:rsidP="008A5BE5">
            <w:pPr>
              <w:rPr>
                <w:iCs/>
                <w:lang w:val="en-US"/>
              </w:rPr>
            </w:pPr>
            <w:r w:rsidRPr="00A54374">
              <w:rPr>
                <w:iCs/>
                <w:lang w:val="en-US"/>
              </w:rPr>
              <w:t xml:space="preserve">For multi-PDSCH scheduling for multi-TRPs, support a single DCI field ‘Transmission Configuration Indication’ </w:t>
            </w:r>
            <w:r>
              <w:rPr>
                <w:iCs/>
                <w:lang w:val="en-US"/>
              </w:rPr>
              <w:t>as in</w:t>
            </w:r>
            <w:r w:rsidRPr="00A54374">
              <w:rPr>
                <w:iCs/>
                <w:lang w:val="en-US"/>
              </w:rPr>
              <w:t xml:space="preserve"> Rel-16 TCI state indication mechanism for multi-TRPs</w:t>
            </w:r>
          </w:p>
          <w:p w14:paraId="1CE7E364" w14:textId="77777777" w:rsidR="008A5BE5" w:rsidRDefault="008A5BE5" w:rsidP="008A5BE5">
            <w:pPr>
              <w:numPr>
                <w:ilvl w:val="0"/>
                <w:numId w:val="35"/>
              </w:numPr>
              <w:overflowPunct/>
              <w:autoSpaceDE/>
              <w:autoSpaceDN/>
              <w:adjustRightInd/>
              <w:spacing w:after="0"/>
              <w:textAlignment w:val="auto"/>
              <w:rPr>
                <w:iCs/>
                <w:lang w:val="en-US"/>
              </w:rPr>
            </w:pPr>
            <w:r w:rsidRPr="00A54374">
              <w:rPr>
                <w:iCs/>
                <w:lang w:val="en-US"/>
              </w:rPr>
              <w:t>The single DCI field ‘Transmission Configuration Indication’ indicates one or two TCI states associated with a code point</w:t>
            </w:r>
            <w:r>
              <w:rPr>
                <w:iCs/>
                <w:lang w:val="en-US"/>
              </w:rPr>
              <w:t xml:space="preserve"> for single DCI based multi-TRP mechanism</w:t>
            </w:r>
          </w:p>
          <w:p w14:paraId="070B39B1" w14:textId="77777777" w:rsidR="008A5BE5" w:rsidRPr="00A54374" w:rsidRDefault="008A5BE5" w:rsidP="008A5BE5">
            <w:pPr>
              <w:numPr>
                <w:ilvl w:val="0"/>
                <w:numId w:val="35"/>
              </w:numPr>
              <w:overflowPunct/>
              <w:autoSpaceDE/>
              <w:autoSpaceDN/>
              <w:adjustRightInd/>
              <w:spacing w:after="0"/>
              <w:textAlignment w:val="auto"/>
              <w:rPr>
                <w:iCs/>
                <w:lang w:val="en-US"/>
              </w:rPr>
            </w:pPr>
            <w:r w:rsidRPr="00A54374">
              <w:rPr>
                <w:iCs/>
                <w:lang w:val="en-US"/>
              </w:rPr>
              <w:lastRenderedPageBreak/>
              <w:t>The sing</w:t>
            </w:r>
            <w:r>
              <w:rPr>
                <w:iCs/>
                <w:lang w:val="en-US"/>
              </w:rPr>
              <w:t>le</w:t>
            </w:r>
            <w:r w:rsidRPr="00A54374">
              <w:rPr>
                <w:iCs/>
                <w:lang w:val="en-US"/>
              </w:rPr>
              <w:t xml:space="preserve"> DCI field ‘Transmission Configuration Indication’ indicates </w:t>
            </w:r>
            <w:r>
              <w:rPr>
                <w:iCs/>
                <w:lang w:val="en-US"/>
              </w:rPr>
              <w:t xml:space="preserve">only </w:t>
            </w:r>
            <w:r w:rsidRPr="00A54374">
              <w:rPr>
                <w:iCs/>
                <w:lang w:val="en-US"/>
              </w:rPr>
              <w:t>one TCI state associated with a code poin</w:t>
            </w:r>
            <w:r>
              <w:rPr>
                <w:iCs/>
                <w:lang w:val="en-US"/>
              </w:rPr>
              <w:t>t for multi-DCI based multi-TRP mechanism</w:t>
            </w:r>
          </w:p>
          <w:p w14:paraId="54B0DDEB" w14:textId="77777777" w:rsidR="008A5BE5" w:rsidRPr="00A54374" w:rsidRDefault="008A5BE5" w:rsidP="008A5BE5">
            <w:pPr>
              <w:numPr>
                <w:ilvl w:val="0"/>
                <w:numId w:val="35"/>
              </w:numPr>
              <w:overflowPunct/>
              <w:autoSpaceDE/>
              <w:autoSpaceDN/>
              <w:adjustRightInd/>
              <w:spacing w:after="0"/>
              <w:textAlignment w:val="auto"/>
              <w:rPr>
                <w:iCs/>
                <w:lang w:val="en-US"/>
              </w:rPr>
            </w:pPr>
            <w:r w:rsidRPr="00A54374">
              <w:rPr>
                <w:iCs/>
                <w:lang w:val="en-US"/>
              </w:rPr>
              <w:t>Reuse Rel-16 RRC configuration and MAC CE activation/deactivation methods for the one or two TCI states</w:t>
            </w:r>
          </w:p>
          <w:p w14:paraId="203E5711" w14:textId="77777777" w:rsidR="008A5BE5" w:rsidRPr="00A54374" w:rsidRDefault="008A5BE5" w:rsidP="008A5BE5">
            <w:pPr>
              <w:numPr>
                <w:ilvl w:val="0"/>
                <w:numId w:val="35"/>
              </w:numPr>
              <w:overflowPunct/>
              <w:autoSpaceDE/>
              <w:autoSpaceDN/>
              <w:adjustRightInd/>
              <w:spacing w:after="0"/>
              <w:textAlignment w:val="auto"/>
              <w:rPr>
                <w:iCs/>
                <w:lang w:val="en-US"/>
              </w:rPr>
            </w:pPr>
            <w:r w:rsidRPr="00A54374">
              <w:rPr>
                <w:iCs/>
                <w:lang w:val="en-US"/>
              </w:rPr>
              <w:t>FFS: Details of multiple TCI state association with multiple PDSCHs</w:t>
            </w:r>
          </w:p>
          <w:p w14:paraId="129EE0B9" w14:textId="77777777" w:rsidR="008A5BE5" w:rsidRDefault="008A5BE5" w:rsidP="008A5BE5">
            <w:pPr>
              <w:rPr>
                <w:iCs/>
              </w:rPr>
            </w:pPr>
          </w:p>
          <w:p w14:paraId="741FDFDD" w14:textId="77777777" w:rsidR="008A5BE5" w:rsidRDefault="008A5BE5" w:rsidP="008A5BE5">
            <w:pPr>
              <w:rPr>
                <w:iCs/>
              </w:rPr>
            </w:pPr>
          </w:p>
          <w:p w14:paraId="05DC0624" w14:textId="77777777" w:rsidR="008A5BE5" w:rsidRDefault="008A5BE5" w:rsidP="008A5BE5">
            <w:pPr>
              <w:spacing w:after="0"/>
              <w:rPr>
                <w:iCs/>
              </w:rPr>
            </w:pPr>
            <w:r w:rsidRPr="00886227">
              <w:rPr>
                <w:iCs/>
                <w:highlight w:val="green"/>
              </w:rPr>
              <w:t>Agreement:</w:t>
            </w:r>
          </w:p>
          <w:p w14:paraId="64E4596F" w14:textId="77777777" w:rsidR="008A5BE5" w:rsidRPr="00886227" w:rsidRDefault="008A5BE5" w:rsidP="008A5BE5">
            <w:pPr>
              <w:rPr>
                <w:iCs/>
                <w:lang w:val="en-US"/>
              </w:rPr>
            </w:pPr>
            <w:r>
              <w:rPr>
                <w:iCs/>
                <w:lang w:val="en-US"/>
              </w:rPr>
              <w:t>For the single TRP case, f</w:t>
            </w:r>
            <w:r w:rsidRPr="00886227">
              <w:rPr>
                <w:iCs/>
                <w:lang w:val="en-US"/>
              </w:rPr>
              <w:t xml:space="preserve">or multi-PDSCHs scheduled by a single DCI with a single DCI field ‘Transmission Configuration Indication’ that indicates a single TCI state (if the DCI field is present), </w:t>
            </w:r>
          </w:p>
          <w:p w14:paraId="2747E6AB" w14:textId="77777777" w:rsidR="008A5BE5" w:rsidRPr="00886227" w:rsidRDefault="008A5BE5" w:rsidP="008A5BE5">
            <w:pPr>
              <w:numPr>
                <w:ilvl w:val="0"/>
                <w:numId w:val="37"/>
              </w:numPr>
              <w:overflowPunct/>
              <w:autoSpaceDE/>
              <w:autoSpaceDN/>
              <w:adjustRightInd/>
              <w:spacing w:after="0"/>
              <w:textAlignment w:val="auto"/>
              <w:rPr>
                <w:iCs/>
              </w:rPr>
            </w:pPr>
            <w:r w:rsidRPr="00886227">
              <w:rPr>
                <w:iCs/>
              </w:rPr>
              <w:t xml:space="preserve">Case 1: PDSCH scheduling </w:t>
            </w:r>
            <w:proofErr w:type="gramStart"/>
            <w:r w:rsidRPr="00886227">
              <w:rPr>
                <w:iCs/>
              </w:rPr>
              <w:t>offset</w:t>
            </w:r>
            <w:proofErr w:type="gramEnd"/>
            <w:r w:rsidRPr="00886227">
              <w:rPr>
                <w:iCs/>
              </w:rPr>
              <w:t xml:space="preserve"> for all PDSCHs ≥ </w:t>
            </w:r>
            <w:r w:rsidRPr="00886227">
              <w:rPr>
                <w:i/>
                <w:iCs/>
              </w:rPr>
              <w:t>timeDurationForQCL</w:t>
            </w:r>
            <w:r w:rsidRPr="00886227">
              <w:rPr>
                <w:iCs/>
              </w:rPr>
              <w:t xml:space="preserve"> </w:t>
            </w:r>
          </w:p>
          <w:p w14:paraId="0C6904D1" w14:textId="77777777" w:rsidR="008A5BE5" w:rsidRPr="00886227" w:rsidRDefault="008A5BE5" w:rsidP="008A5BE5">
            <w:pPr>
              <w:numPr>
                <w:ilvl w:val="1"/>
                <w:numId w:val="37"/>
              </w:numPr>
              <w:overflowPunct/>
              <w:autoSpaceDE/>
              <w:autoSpaceDN/>
              <w:adjustRightInd/>
              <w:spacing w:after="0"/>
              <w:textAlignment w:val="auto"/>
              <w:rPr>
                <w:iCs/>
                <w:lang w:val="en-US"/>
              </w:rPr>
            </w:pPr>
            <w:r w:rsidRPr="00886227">
              <w:rPr>
                <w:iCs/>
                <w:lang w:val="en-US"/>
              </w:rPr>
              <w:t xml:space="preserve">Case 1-1: </w:t>
            </w:r>
            <w:proofErr w:type="spellStart"/>
            <w:r w:rsidRPr="00886227">
              <w:rPr>
                <w:i/>
                <w:iCs/>
                <w:lang w:val="en-US"/>
              </w:rPr>
              <w:t>tci-PresentInDCI</w:t>
            </w:r>
            <w:proofErr w:type="spellEnd"/>
            <w:r w:rsidRPr="00886227">
              <w:rPr>
                <w:iCs/>
                <w:lang w:val="en-US"/>
              </w:rPr>
              <w:t xml:space="preserve"> enabled </w:t>
            </w:r>
          </w:p>
          <w:p w14:paraId="33EA7F79" w14:textId="77777777" w:rsidR="008A5BE5" w:rsidRPr="00886227" w:rsidRDefault="008A5BE5" w:rsidP="008A5BE5">
            <w:pPr>
              <w:numPr>
                <w:ilvl w:val="2"/>
                <w:numId w:val="37"/>
              </w:numPr>
              <w:overflowPunct/>
              <w:autoSpaceDE/>
              <w:autoSpaceDN/>
              <w:adjustRightInd/>
              <w:spacing w:after="0"/>
              <w:textAlignment w:val="auto"/>
              <w:rPr>
                <w:iCs/>
                <w:lang w:val="en-US"/>
              </w:rPr>
            </w:pPr>
            <w:r w:rsidRPr="00886227">
              <w:rPr>
                <w:iCs/>
                <w:lang w:val="en-US"/>
              </w:rPr>
              <w:t>Single QCL assumption based on the indicated codepoint of the single DCI field ‘Transmission Configuration Indication’ is applied for all scheduled PDSCHs</w:t>
            </w:r>
          </w:p>
          <w:p w14:paraId="46290B9D" w14:textId="77777777" w:rsidR="008A5BE5" w:rsidRPr="00886227" w:rsidRDefault="008A5BE5" w:rsidP="008A5BE5">
            <w:pPr>
              <w:numPr>
                <w:ilvl w:val="1"/>
                <w:numId w:val="37"/>
              </w:numPr>
              <w:overflowPunct/>
              <w:autoSpaceDE/>
              <w:autoSpaceDN/>
              <w:adjustRightInd/>
              <w:spacing w:after="0"/>
              <w:textAlignment w:val="auto"/>
              <w:rPr>
                <w:iCs/>
                <w:lang w:val="en-US"/>
              </w:rPr>
            </w:pPr>
            <w:r w:rsidRPr="00886227">
              <w:rPr>
                <w:iCs/>
                <w:lang w:val="en-US"/>
              </w:rPr>
              <w:t xml:space="preserve">Case 1-2: </w:t>
            </w:r>
            <w:proofErr w:type="spellStart"/>
            <w:r w:rsidRPr="00886227">
              <w:rPr>
                <w:i/>
                <w:iCs/>
                <w:lang w:val="en-US"/>
              </w:rPr>
              <w:t>tci-PresentInDCI</w:t>
            </w:r>
            <w:proofErr w:type="spellEnd"/>
            <w:r w:rsidRPr="00886227">
              <w:rPr>
                <w:iCs/>
                <w:lang w:val="en-US"/>
              </w:rPr>
              <w:t xml:space="preserve"> not present </w:t>
            </w:r>
          </w:p>
          <w:p w14:paraId="2FAF6AE4" w14:textId="77777777" w:rsidR="008A5BE5" w:rsidRPr="00886227" w:rsidRDefault="008A5BE5" w:rsidP="008A5BE5">
            <w:pPr>
              <w:numPr>
                <w:ilvl w:val="2"/>
                <w:numId w:val="37"/>
              </w:numPr>
              <w:overflowPunct/>
              <w:autoSpaceDE/>
              <w:autoSpaceDN/>
              <w:adjustRightInd/>
              <w:spacing w:after="0"/>
              <w:textAlignment w:val="auto"/>
              <w:rPr>
                <w:iCs/>
                <w:lang w:val="en-US"/>
              </w:rPr>
            </w:pPr>
            <w:r w:rsidRPr="00886227">
              <w:rPr>
                <w:iCs/>
                <w:lang w:val="en-US"/>
              </w:rPr>
              <w:t>Single QCL assumption of the single scheduling DCI scheduled multi-PDSCHs is applied for all scheduled PDSCHs</w:t>
            </w:r>
          </w:p>
          <w:p w14:paraId="77A47308" w14:textId="77777777" w:rsidR="008A5BE5" w:rsidRPr="00886227" w:rsidRDefault="008A5BE5" w:rsidP="008A5BE5">
            <w:pPr>
              <w:numPr>
                <w:ilvl w:val="0"/>
                <w:numId w:val="37"/>
              </w:numPr>
              <w:overflowPunct/>
              <w:autoSpaceDE/>
              <w:autoSpaceDN/>
              <w:adjustRightInd/>
              <w:spacing w:after="0"/>
              <w:textAlignment w:val="auto"/>
              <w:rPr>
                <w:i/>
                <w:iCs/>
                <w:lang w:val="en-US"/>
              </w:rPr>
            </w:pPr>
            <w:r w:rsidRPr="00886227">
              <w:rPr>
                <w:iCs/>
                <w:lang w:val="en-US"/>
              </w:rPr>
              <w:t xml:space="preserve">Case 2: PDSCH scheduling offset for any scheduled PDSCH &lt; </w:t>
            </w:r>
            <w:r w:rsidRPr="00886227">
              <w:rPr>
                <w:i/>
                <w:iCs/>
                <w:lang w:val="en-US"/>
              </w:rPr>
              <w:t>timeDurationForQCL</w:t>
            </w:r>
            <w:r w:rsidRPr="00886227">
              <w:rPr>
                <w:iCs/>
                <w:lang w:val="en-US"/>
              </w:rPr>
              <w:t xml:space="preserve"> </w:t>
            </w:r>
          </w:p>
          <w:p w14:paraId="7ADE01AC" w14:textId="77777777" w:rsidR="008A5BE5" w:rsidRPr="00886227" w:rsidRDefault="008A5BE5" w:rsidP="008A5BE5">
            <w:pPr>
              <w:numPr>
                <w:ilvl w:val="1"/>
                <w:numId w:val="37"/>
              </w:numPr>
              <w:overflowPunct/>
              <w:autoSpaceDE/>
              <w:autoSpaceDN/>
              <w:adjustRightInd/>
              <w:spacing w:after="0"/>
              <w:textAlignment w:val="auto"/>
              <w:rPr>
                <w:iCs/>
                <w:lang w:val="en-US"/>
              </w:rPr>
            </w:pPr>
            <w:r w:rsidRPr="00886227">
              <w:rPr>
                <w:iCs/>
                <w:lang w:val="en-US"/>
              </w:rPr>
              <w:t xml:space="preserve">Down select one of the following alternatives </w:t>
            </w:r>
          </w:p>
          <w:p w14:paraId="31F328C8" w14:textId="77777777" w:rsidR="008A5BE5" w:rsidRPr="00886227" w:rsidRDefault="008A5BE5" w:rsidP="008A5BE5">
            <w:pPr>
              <w:numPr>
                <w:ilvl w:val="2"/>
                <w:numId w:val="37"/>
              </w:numPr>
              <w:overflowPunct/>
              <w:autoSpaceDE/>
              <w:autoSpaceDN/>
              <w:adjustRightInd/>
              <w:spacing w:after="0"/>
              <w:textAlignment w:val="auto"/>
              <w:rPr>
                <w:iCs/>
                <w:lang w:val="en-US"/>
              </w:rPr>
            </w:pPr>
            <w:r w:rsidRPr="00886227">
              <w:rPr>
                <w:iCs/>
                <w:lang w:val="en-US"/>
              </w:rPr>
              <w:t xml:space="preserve">Alt 1: Single QCL assumption is applied for all scheduled PDSCHs </w:t>
            </w:r>
          </w:p>
          <w:p w14:paraId="58705FE4" w14:textId="77777777" w:rsidR="008A5BE5" w:rsidRPr="00886227" w:rsidRDefault="008A5BE5" w:rsidP="008A5BE5">
            <w:pPr>
              <w:numPr>
                <w:ilvl w:val="3"/>
                <w:numId w:val="37"/>
              </w:numPr>
              <w:overflowPunct/>
              <w:autoSpaceDE/>
              <w:autoSpaceDN/>
              <w:adjustRightInd/>
              <w:spacing w:after="0"/>
              <w:textAlignment w:val="auto"/>
              <w:rPr>
                <w:iCs/>
                <w:lang w:val="en-US"/>
              </w:rPr>
            </w:pPr>
            <w:r w:rsidRPr="00886227">
              <w:rPr>
                <w:iCs/>
                <w:lang w:val="en-US"/>
              </w:rPr>
              <w:t>FFS: Details of single QCL assumption</w:t>
            </w:r>
          </w:p>
          <w:p w14:paraId="6A1B827F" w14:textId="77777777" w:rsidR="008A5BE5" w:rsidRPr="00886227" w:rsidRDefault="008A5BE5" w:rsidP="008A5BE5">
            <w:pPr>
              <w:numPr>
                <w:ilvl w:val="2"/>
                <w:numId w:val="37"/>
              </w:numPr>
              <w:overflowPunct/>
              <w:autoSpaceDE/>
              <w:autoSpaceDN/>
              <w:adjustRightInd/>
              <w:spacing w:after="0"/>
              <w:textAlignment w:val="auto"/>
              <w:rPr>
                <w:iCs/>
                <w:lang w:val="en-US"/>
              </w:rPr>
            </w:pPr>
            <w:r w:rsidRPr="00886227">
              <w:rPr>
                <w:iCs/>
                <w:lang w:val="en-US"/>
              </w:rPr>
              <w:t xml:space="preserve">Alt 2: multiple QCL assumptions are applied </w:t>
            </w:r>
          </w:p>
          <w:p w14:paraId="3C6A25B8" w14:textId="77777777" w:rsidR="008A5BE5" w:rsidRPr="00886227" w:rsidRDefault="008A5BE5" w:rsidP="008A5BE5">
            <w:pPr>
              <w:numPr>
                <w:ilvl w:val="3"/>
                <w:numId w:val="37"/>
              </w:numPr>
              <w:overflowPunct/>
              <w:autoSpaceDE/>
              <w:autoSpaceDN/>
              <w:adjustRightInd/>
              <w:spacing w:after="0"/>
              <w:textAlignment w:val="auto"/>
              <w:rPr>
                <w:iCs/>
              </w:rPr>
            </w:pPr>
            <w:r w:rsidRPr="00886227">
              <w:rPr>
                <w:iCs/>
                <w:lang w:val="en-US"/>
              </w:rPr>
              <w:t>FFS: Details of multiple QCL assumptions</w:t>
            </w:r>
          </w:p>
          <w:p w14:paraId="4F35C6AE" w14:textId="77777777" w:rsidR="008A5BE5" w:rsidRPr="00886227" w:rsidRDefault="008A5BE5" w:rsidP="008A5BE5">
            <w:pPr>
              <w:numPr>
                <w:ilvl w:val="0"/>
                <w:numId w:val="37"/>
              </w:numPr>
              <w:overflowPunct/>
              <w:autoSpaceDE/>
              <w:autoSpaceDN/>
              <w:adjustRightInd/>
              <w:spacing w:after="0"/>
              <w:textAlignment w:val="auto"/>
              <w:rPr>
                <w:i/>
                <w:iCs/>
                <w:lang w:val="en-US"/>
              </w:rPr>
            </w:pPr>
            <w:r w:rsidRPr="00886227">
              <w:rPr>
                <w:iCs/>
                <w:lang w:val="en-US"/>
              </w:rPr>
              <w:t xml:space="preserve">FFS: </w:t>
            </w:r>
            <w:r>
              <w:rPr>
                <w:iCs/>
              </w:rPr>
              <w:t>W</w:t>
            </w:r>
            <w:r w:rsidRPr="00886227">
              <w:rPr>
                <w:iCs/>
              </w:rPr>
              <w:t>hen some of PDSCHs are collided with semi-static UL symbols and then skipped</w:t>
            </w:r>
          </w:p>
          <w:p w14:paraId="5D13DBF3" w14:textId="77777777" w:rsidR="008A5BE5" w:rsidRPr="00886227" w:rsidRDefault="008A5BE5" w:rsidP="008A5BE5">
            <w:pPr>
              <w:numPr>
                <w:ilvl w:val="0"/>
                <w:numId w:val="37"/>
              </w:numPr>
              <w:overflowPunct/>
              <w:autoSpaceDE/>
              <w:autoSpaceDN/>
              <w:adjustRightInd/>
              <w:spacing w:after="0"/>
              <w:textAlignment w:val="auto"/>
              <w:rPr>
                <w:i/>
                <w:iCs/>
                <w:lang w:val="en-US"/>
              </w:rPr>
            </w:pPr>
            <w:r w:rsidRPr="00886227">
              <w:rPr>
                <w:iCs/>
              </w:rPr>
              <w:t>FFS: The multi-TRP case</w:t>
            </w:r>
          </w:p>
          <w:p w14:paraId="5DE9D1D7" w14:textId="77777777" w:rsidR="008A5BE5" w:rsidRDefault="008A5BE5" w:rsidP="008A5BE5">
            <w:pPr>
              <w:overflowPunct/>
              <w:autoSpaceDE/>
              <w:autoSpaceDN/>
              <w:adjustRightInd/>
              <w:spacing w:after="0"/>
              <w:textAlignment w:val="auto"/>
              <w:rPr>
                <w:rFonts w:ascii="Arial" w:hAnsi="Arial" w:cs="Arial"/>
                <w:lang w:val="en-US" w:eastAsia="zh-CN"/>
              </w:rPr>
            </w:pPr>
          </w:p>
        </w:tc>
      </w:tr>
    </w:tbl>
    <w:p w14:paraId="2FCE2671" w14:textId="77777777" w:rsidR="006A36F1" w:rsidRDefault="006A36F1" w:rsidP="001202FA">
      <w:pPr>
        <w:spacing w:before="120"/>
        <w:rPr>
          <w:rFonts w:ascii="Arial" w:hAnsi="Arial" w:cs="Arial"/>
          <w:lang w:val="en-US" w:eastAsia="zh-CN"/>
        </w:rPr>
      </w:pPr>
    </w:p>
    <w:p w14:paraId="623295D4" w14:textId="1A53D918" w:rsidR="00FD3462" w:rsidRDefault="00D56275" w:rsidP="001202FA">
      <w:pPr>
        <w:spacing w:before="120"/>
        <w:rPr>
          <w:rFonts w:ascii="Arial" w:hAnsi="Arial" w:cs="Arial"/>
          <w:lang w:val="en-US" w:eastAsia="zh-CN"/>
        </w:rPr>
      </w:pPr>
      <w:r>
        <w:rPr>
          <w:rFonts w:ascii="Arial" w:hAnsi="Arial" w:cs="Arial"/>
          <w:lang w:val="en-US" w:eastAsia="zh-CN"/>
        </w:rPr>
        <w:t>The following was further agreed in RAN1 106</w:t>
      </w:r>
      <w:r w:rsidR="000A2BEF">
        <w:rPr>
          <w:rFonts w:ascii="Arial" w:hAnsi="Arial" w:cs="Arial"/>
          <w:lang w:val="en-US" w:eastAsia="zh-CN"/>
        </w:rPr>
        <w:t xml:space="preserve">bis </w:t>
      </w:r>
      <w:r>
        <w:rPr>
          <w:rFonts w:ascii="Arial" w:hAnsi="Arial" w:cs="Arial"/>
          <w:lang w:val="en-US" w:eastAsia="zh-CN"/>
        </w:rPr>
        <w:t>e</w:t>
      </w:r>
      <w:r w:rsidR="000A2BEF">
        <w:rPr>
          <w:rFonts w:ascii="Arial" w:hAnsi="Arial" w:cs="Arial"/>
          <w:lang w:val="en-US" w:eastAsia="zh-CN"/>
        </w:rPr>
        <w:t>-</w:t>
      </w:r>
      <w:r>
        <w:rPr>
          <w:rFonts w:ascii="Arial" w:hAnsi="Arial" w:cs="Arial"/>
          <w:lang w:val="en-US" w:eastAsia="zh-CN"/>
        </w:rPr>
        <w:t>meeting</w:t>
      </w:r>
      <w:r w:rsidR="006A36F1">
        <w:rPr>
          <w:rFonts w:ascii="Arial" w:hAnsi="Arial" w:cs="Arial"/>
          <w:lang w:val="en-US" w:eastAsia="zh-CN"/>
        </w:rPr>
        <w:t xml:space="preserve"> [2]</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8A5BE5" w14:paraId="045569A2" w14:textId="77777777" w:rsidTr="008A5BE5">
        <w:tc>
          <w:tcPr>
            <w:tcW w:w="9962" w:type="dxa"/>
          </w:tcPr>
          <w:p w14:paraId="5BC21F53" w14:textId="77777777" w:rsidR="008A5BE5" w:rsidRDefault="008A5BE5" w:rsidP="008A5BE5">
            <w:pPr>
              <w:spacing w:after="0"/>
              <w:rPr>
                <w:iCs/>
              </w:rPr>
            </w:pPr>
            <w:r w:rsidRPr="006A3A79">
              <w:rPr>
                <w:iCs/>
                <w:highlight w:val="green"/>
              </w:rPr>
              <w:t>Agreement:</w:t>
            </w:r>
          </w:p>
          <w:p w14:paraId="4138AB30" w14:textId="77777777" w:rsidR="008A5BE5" w:rsidRPr="00AE7531" w:rsidRDefault="008A5BE5" w:rsidP="008A5BE5">
            <w:pPr>
              <w:spacing w:after="0"/>
              <w:rPr>
                <w:iCs/>
              </w:rPr>
            </w:pPr>
            <w:r w:rsidRPr="00AE7531">
              <w:rPr>
                <w:iCs/>
              </w:rPr>
              <w:t xml:space="preserve">For </w:t>
            </w:r>
            <w:proofErr w:type="spellStart"/>
            <w:r w:rsidRPr="00AE7531">
              <w:rPr>
                <w:iCs/>
              </w:rPr>
              <w:t>maxNumberRxTxBeamSwitchDL</w:t>
            </w:r>
            <w:proofErr w:type="spellEnd"/>
            <w:r w:rsidRPr="00AE7531">
              <w:rPr>
                <w:iCs/>
              </w:rPr>
              <w:t xml:space="preserve">, support </w:t>
            </w:r>
            <w:r>
              <w:rPr>
                <w:iCs/>
              </w:rPr>
              <w:t xml:space="preserve">1, </w:t>
            </w:r>
            <w:r w:rsidRPr="00AE7531">
              <w:rPr>
                <w:iCs/>
              </w:rPr>
              <w:t xml:space="preserve">4 </w:t>
            </w:r>
            <w:r>
              <w:rPr>
                <w:iCs/>
              </w:rPr>
              <w:t xml:space="preserve">and 7 </w:t>
            </w:r>
            <w:r w:rsidRPr="00AE7531">
              <w:rPr>
                <w:iCs/>
              </w:rPr>
              <w:t>as candidate value</w:t>
            </w:r>
            <w:r>
              <w:rPr>
                <w:iCs/>
              </w:rPr>
              <w:t>s</w:t>
            </w:r>
            <w:r w:rsidRPr="00AE7531">
              <w:rPr>
                <w:iCs/>
              </w:rPr>
              <w:t xml:space="preserve"> for 960 kHz in addition to the agreed candidate value 2.</w:t>
            </w:r>
          </w:p>
          <w:p w14:paraId="360C29D4" w14:textId="77777777" w:rsidR="008A5BE5" w:rsidRDefault="008A5BE5" w:rsidP="008A5BE5">
            <w:pPr>
              <w:numPr>
                <w:ilvl w:val="0"/>
                <w:numId w:val="39"/>
              </w:numPr>
              <w:overflowPunct/>
              <w:autoSpaceDE/>
              <w:autoSpaceDN/>
              <w:adjustRightInd/>
              <w:spacing w:after="0"/>
              <w:textAlignment w:val="auto"/>
              <w:rPr>
                <w:iCs/>
              </w:rPr>
            </w:pPr>
            <w:r w:rsidRPr="00AE7531">
              <w:rPr>
                <w:iCs/>
              </w:rPr>
              <w:t>Note: this is Alt-</w:t>
            </w:r>
            <w:r>
              <w:rPr>
                <w:iCs/>
              </w:rPr>
              <w:t>1</w:t>
            </w:r>
            <w:r w:rsidRPr="00AE7531">
              <w:rPr>
                <w:iCs/>
              </w:rPr>
              <w:t xml:space="preserve"> from the RAN1#106 agreement.</w:t>
            </w:r>
          </w:p>
          <w:p w14:paraId="0BAD783F" w14:textId="77777777" w:rsidR="008A5BE5" w:rsidRDefault="008A5BE5" w:rsidP="008A5BE5">
            <w:pPr>
              <w:spacing w:after="0"/>
              <w:rPr>
                <w:iCs/>
              </w:rPr>
            </w:pPr>
          </w:p>
          <w:p w14:paraId="18EAAE47" w14:textId="77777777" w:rsidR="008A5BE5" w:rsidRDefault="008A5BE5" w:rsidP="008A5BE5">
            <w:pPr>
              <w:spacing w:after="0"/>
              <w:rPr>
                <w:iCs/>
              </w:rPr>
            </w:pPr>
          </w:p>
          <w:p w14:paraId="7E2CA5C4" w14:textId="77777777" w:rsidR="008A5BE5" w:rsidRDefault="008A5BE5" w:rsidP="008A5BE5">
            <w:pPr>
              <w:spacing w:after="0"/>
              <w:rPr>
                <w:iCs/>
              </w:rPr>
            </w:pPr>
            <w:r w:rsidRPr="00DE3F4A">
              <w:rPr>
                <w:iCs/>
                <w:highlight w:val="green"/>
              </w:rPr>
              <w:t>Agreement:</w:t>
            </w:r>
          </w:p>
          <w:p w14:paraId="11E05774" w14:textId="77777777" w:rsidR="008A5BE5" w:rsidRPr="006A3A79" w:rsidRDefault="008A5BE5" w:rsidP="008A5BE5">
            <w:pPr>
              <w:spacing w:after="0"/>
              <w:rPr>
                <w:iCs/>
              </w:rPr>
            </w:pPr>
            <w:r w:rsidRPr="006A3A79">
              <w:rPr>
                <w:iCs/>
              </w:rPr>
              <w:t xml:space="preserve">For additional beam switching time delay d of 120 kHz, support 28 symbols. </w:t>
            </w:r>
          </w:p>
          <w:p w14:paraId="6687AB5F" w14:textId="77777777" w:rsidR="008A5BE5" w:rsidRDefault="008A5BE5" w:rsidP="008A5BE5">
            <w:pPr>
              <w:numPr>
                <w:ilvl w:val="0"/>
                <w:numId w:val="40"/>
              </w:numPr>
              <w:overflowPunct/>
              <w:autoSpaceDE/>
              <w:autoSpaceDN/>
              <w:adjustRightInd/>
              <w:spacing w:after="0"/>
              <w:textAlignment w:val="auto"/>
              <w:rPr>
                <w:iCs/>
              </w:rPr>
            </w:pPr>
            <w:r w:rsidRPr="006A3A79">
              <w:rPr>
                <w:iCs/>
              </w:rPr>
              <w:t>Note: this is Alt-2 from the RAN1#106 agreement.</w:t>
            </w:r>
          </w:p>
          <w:p w14:paraId="7DC6381F" w14:textId="77777777" w:rsidR="008A5BE5" w:rsidRDefault="008A5BE5" w:rsidP="008A5BE5">
            <w:pPr>
              <w:spacing w:after="0"/>
              <w:rPr>
                <w:iCs/>
              </w:rPr>
            </w:pPr>
          </w:p>
          <w:p w14:paraId="3863EA95" w14:textId="77777777" w:rsidR="008A5BE5" w:rsidRDefault="008A5BE5" w:rsidP="008A5BE5">
            <w:pPr>
              <w:spacing w:after="0"/>
              <w:rPr>
                <w:iCs/>
              </w:rPr>
            </w:pPr>
            <w:r w:rsidRPr="00824360">
              <w:rPr>
                <w:iCs/>
                <w:highlight w:val="green"/>
              </w:rPr>
              <w:t>Agreement:</w:t>
            </w:r>
          </w:p>
          <w:p w14:paraId="6C2B3091" w14:textId="77777777" w:rsidR="008A5BE5" w:rsidRDefault="008A5BE5" w:rsidP="008A5BE5">
            <w:pPr>
              <w:spacing w:after="0"/>
              <w:rPr>
                <w:rFonts w:cs="Times"/>
                <w:iCs/>
              </w:rPr>
            </w:pPr>
            <w:r w:rsidRPr="002D4269">
              <w:rPr>
                <w:rFonts w:cs="Times"/>
                <w:iCs/>
              </w:rPr>
              <w:t>For additional beam switching time delay d of 480 kHz, introduce UE capability signal</w:t>
            </w:r>
            <w:r>
              <w:rPr>
                <w:rFonts w:cs="Times"/>
                <w:iCs/>
              </w:rPr>
              <w:t>l</w:t>
            </w:r>
            <w:r w:rsidRPr="002D4269">
              <w:rPr>
                <w:rFonts w:cs="Times"/>
                <w:iCs/>
              </w:rPr>
              <w:t>ing which indicates 56 symbols or 112 symbols.</w:t>
            </w:r>
          </w:p>
          <w:p w14:paraId="4FF30DBB" w14:textId="77777777" w:rsidR="008A5BE5" w:rsidRDefault="008A5BE5" w:rsidP="008A5BE5">
            <w:pPr>
              <w:spacing w:after="0"/>
              <w:rPr>
                <w:rFonts w:cs="Times"/>
                <w:iCs/>
              </w:rPr>
            </w:pPr>
          </w:p>
          <w:p w14:paraId="3A629DDE" w14:textId="77777777" w:rsidR="008A5BE5" w:rsidRPr="009E69BF" w:rsidRDefault="008A5BE5" w:rsidP="008A5BE5">
            <w:pPr>
              <w:spacing w:after="0"/>
              <w:rPr>
                <w:rFonts w:cs="Times"/>
                <w:iCs/>
                <w:u w:val="single"/>
              </w:rPr>
            </w:pPr>
            <w:r w:rsidRPr="009E69BF">
              <w:rPr>
                <w:rFonts w:cs="Times"/>
                <w:iCs/>
                <w:u w:val="single"/>
              </w:rPr>
              <w:t>Conclusion:</w:t>
            </w:r>
          </w:p>
          <w:p w14:paraId="744F2CCE" w14:textId="77777777" w:rsidR="008A5BE5" w:rsidRPr="00824360" w:rsidRDefault="008A5BE5" w:rsidP="008A5BE5">
            <w:pPr>
              <w:spacing w:after="0"/>
              <w:rPr>
                <w:rFonts w:cs="Times"/>
                <w:iCs/>
              </w:rPr>
            </w:pPr>
            <w:r w:rsidRPr="00824360">
              <w:rPr>
                <w:rFonts w:cs="Times"/>
                <w:iCs/>
              </w:rPr>
              <w:t xml:space="preserve">For candidate values of timeDurationForQCL, </w:t>
            </w:r>
            <w:proofErr w:type="spellStart"/>
            <w:r w:rsidRPr="00824360">
              <w:rPr>
                <w:rFonts w:cs="Times"/>
                <w:iCs/>
              </w:rPr>
              <w:t>beamSwitchTiming</w:t>
            </w:r>
            <w:proofErr w:type="spellEnd"/>
            <w:r w:rsidRPr="00824360">
              <w:rPr>
                <w:rFonts w:cs="Times"/>
                <w:iCs/>
              </w:rPr>
              <w:t xml:space="preserve"> and </w:t>
            </w:r>
            <w:proofErr w:type="spellStart"/>
            <w:r w:rsidRPr="00824360">
              <w:rPr>
                <w:rFonts w:cs="Times"/>
                <w:iCs/>
              </w:rPr>
              <w:t>beamReportTiming</w:t>
            </w:r>
            <w:proofErr w:type="spellEnd"/>
            <w:r w:rsidRPr="00824360">
              <w:rPr>
                <w:rFonts w:cs="Times"/>
                <w:iCs/>
              </w:rPr>
              <w:t xml:space="preserve">, </w:t>
            </w:r>
          </w:p>
          <w:p w14:paraId="1C76CEE7" w14:textId="77777777" w:rsidR="008A5BE5" w:rsidRDefault="008A5BE5" w:rsidP="008A5BE5">
            <w:pPr>
              <w:numPr>
                <w:ilvl w:val="0"/>
                <w:numId w:val="40"/>
              </w:numPr>
              <w:overflowPunct/>
              <w:autoSpaceDE/>
              <w:autoSpaceDN/>
              <w:adjustRightInd/>
              <w:spacing w:after="0"/>
              <w:textAlignment w:val="auto"/>
              <w:rPr>
                <w:rFonts w:cs="Times"/>
                <w:iCs/>
              </w:rPr>
            </w:pPr>
            <w:r w:rsidRPr="00824360">
              <w:rPr>
                <w:rFonts w:cs="Times"/>
                <w:iCs/>
              </w:rPr>
              <w:t xml:space="preserve">No additional candidate values are supported for 120 kHz, 480 </w:t>
            </w:r>
            <w:proofErr w:type="gramStart"/>
            <w:r w:rsidRPr="00824360">
              <w:rPr>
                <w:rFonts w:cs="Times"/>
                <w:iCs/>
              </w:rPr>
              <w:t>kHz</w:t>
            </w:r>
            <w:proofErr w:type="gramEnd"/>
            <w:r w:rsidRPr="00824360">
              <w:rPr>
                <w:rFonts w:cs="Times"/>
                <w:iCs/>
              </w:rPr>
              <w:t xml:space="preserve"> and 960 kHz </w:t>
            </w:r>
          </w:p>
          <w:p w14:paraId="14EC3555" w14:textId="77777777" w:rsidR="008A5BE5" w:rsidRPr="00906818" w:rsidRDefault="008A5BE5" w:rsidP="008A5BE5">
            <w:pPr>
              <w:numPr>
                <w:ilvl w:val="0"/>
                <w:numId w:val="40"/>
              </w:numPr>
              <w:overflowPunct/>
              <w:autoSpaceDE/>
              <w:autoSpaceDN/>
              <w:adjustRightInd/>
              <w:spacing w:after="0"/>
              <w:textAlignment w:val="auto"/>
              <w:rPr>
                <w:rFonts w:cs="Times"/>
                <w:iCs/>
              </w:rPr>
            </w:pPr>
            <w:r w:rsidRPr="00824360">
              <w:rPr>
                <w:rFonts w:cs="Times"/>
                <w:iCs/>
              </w:rPr>
              <w:t>Note: this is Alt-1 from the RAN1#106 agreement.</w:t>
            </w:r>
          </w:p>
          <w:p w14:paraId="44C6C74F" w14:textId="77777777" w:rsidR="008A5BE5" w:rsidRDefault="008A5BE5" w:rsidP="008A5BE5">
            <w:pPr>
              <w:spacing w:after="0"/>
              <w:rPr>
                <w:rFonts w:cs="Times"/>
                <w:iCs/>
              </w:rPr>
            </w:pPr>
          </w:p>
          <w:p w14:paraId="18D8FBD7" w14:textId="77777777" w:rsidR="008A5BE5" w:rsidRDefault="008A5BE5" w:rsidP="008A5BE5">
            <w:pPr>
              <w:spacing w:after="0"/>
              <w:rPr>
                <w:rFonts w:cs="Times"/>
                <w:iCs/>
              </w:rPr>
            </w:pPr>
            <w:r w:rsidRPr="006C3C50">
              <w:rPr>
                <w:rFonts w:cs="Times"/>
                <w:iCs/>
                <w:highlight w:val="green"/>
              </w:rPr>
              <w:t>Agreement:</w:t>
            </w:r>
          </w:p>
          <w:p w14:paraId="57422E49" w14:textId="77777777" w:rsidR="008A5BE5" w:rsidRPr="006C3C50" w:rsidRDefault="008A5BE5" w:rsidP="008A5BE5">
            <w:pPr>
              <w:spacing w:after="0"/>
              <w:rPr>
                <w:rFonts w:eastAsia="Calibri"/>
                <w:szCs w:val="22"/>
                <w:lang w:val="en-US"/>
              </w:rPr>
            </w:pPr>
            <w:r>
              <w:t>Like in Rel-15, a minimum guard period Y between two SRS resources of an SRS resource set for antenna switching is supported for 480 kHz and 960 kHz</w:t>
            </w:r>
          </w:p>
          <w:p w14:paraId="20F695CA" w14:textId="77777777" w:rsidR="008A5BE5" w:rsidRDefault="008A5BE5" w:rsidP="008A5BE5">
            <w:pPr>
              <w:numPr>
                <w:ilvl w:val="0"/>
                <w:numId w:val="41"/>
              </w:numPr>
              <w:overflowPunct/>
              <w:autoSpaceDE/>
              <w:autoSpaceDN/>
              <w:adjustRightInd/>
              <w:spacing w:after="0"/>
              <w:textAlignment w:val="auto"/>
              <w:rPr>
                <w:rFonts w:eastAsia="Times New Roman"/>
              </w:rPr>
            </w:pPr>
            <w:r>
              <w:rPr>
                <w:rFonts w:eastAsia="Times New Roman"/>
              </w:rPr>
              <w:t>FFS: Whether to define different values of Y for 480 kHz and 960 kHz or not</w:t>
            </w:r>
          </w:p>
          <w:p w14:paraId="2EDD361C" w14:textId="77777777" w:rsidR="008A5BE5" w:rsidRDefault="008A5BE5" w:rsidP="008A5BE5">
            <w:pPr>
              <w:numPr>
                <w:ilvl w:val="0"/>
                <w:numId w:val="41"/>
              </w:numPr>
              <w:overflowPunct/>
              <w:autoSpaceDE/>
              <w:autoSpaceDN/>
              <w:adjustRightInd/>
              <w:spacing w:after="0"/>
              <w:textAlignment w:val="auto"/>
              <w:rPr>
                <w:rFonts w:eastAsia="Times New Roman"/>
              </w:rPr>
            </w:pPr>
            <w:r>
              <w:rPr>
                <w:rFonts w:eastAsia="Times New Roman"/>
              </w:rPr>
              <w:t>FFS: Values of Y dependent on RAN4 feedback on the switching time requirement</w:t>
            </w:r>
          </w:p>
          <w:p w14:paraId="77718DD6" w14:textId="77777777" w:rsidR="008A5BE5" w:rsidRPr="006C3C50" w:rsidRDefault="008A5BE5" w:rsidP="008A5BE5">
            <w:pPr>
              <w:spacing w:after="0"/>
              <w:rPr>
                <w:rFonts w:ascii="Calibri" w:eastAsia="Calibri" w:hAnsi="Calibri" w:cs="Calibri"/>
              </w:rPr>
            </w:pPr>
          </w:p>
          <w:p w14:paraId="5A5B3763" w14:textId="77777777" w:rsidR="008A5BE5" w:rsidRDefault="008A5BE5" w:rsidP="008A5BE5">
            <w:pPr>
              <w:spacing w:after="0"/>
              <w:rPr>
                <w:rFonts w:cs="Times"/>
                <w:iCs/>
              </w:rPr>
            </w:pPr>
            <w:r w:rsidRPr="006C3C50">
              <w:rPr>
                <w:rFonts w:cs="Times"/>
                <w:iCs/>
                <w:highlight w:val="green"/>
              </w:rPr>
              <w:lastRenderedPageBreak/>
              <w:t>Agreement:</w:t>
            </w:r>
          </w:p>
          <w:p w14:paraId="7868B97D" w14:textId="77777777" w:rsidR="008A5BE5" w:rsidRPr="006C3C50" w:rsidRDefault="008A5BE5" w:rsidP="008A5BE5">
            <w:pPr>
              <w:spacing w:after="0"/>
              <w:rPr>
                <w:rFonts w:eastAsia="Calibri"/>
                <w:sz w:val="22"/>
                <w:szCs w:val="22"/>
              </w:rPr>
            </w:pPr>
            <w:r>
              <w:t>The working assumption in RAN1#106-e is confirmed with the following update:</w:t>
            </w:r>
          </w:p>
          <w:p w14:paraId="64A0D928" w14:textId="77777777" w:rsidR="008A5BE5" w:rsidRDefault="008A5BE5" w:rsidP="008A5BE5">
            <w:pPr>
              <w:spacing w:after="0"/>
            </w:pPr>
            <w:r>
              <w:t>For multi-PDSCH scheduling for multi-TRPs, support a single DCI field ‘Transmission Configuration Indication’ as in Rel-16 TCI state indication mechanism for multi-TRPs</w:t>
            </w:r>
          </w:p>
          <w:p w14:paraId="09B7D157" w14:textId="77777777" w:rsidR="008A5BE5" w:rsidRDefault="008A5BE5" w:rsidP="008A5BE5">
            <w:pPr>
              <w:numPr>
                <w:ilvl w:val="0"/>
                <w:numId w:val="41"/>
              </w:numPr>
              <w:overflowPunct/>
              <w:autoSpaceDE/>
              <w:autoSpaceDN/>
              <w:adjustRightInd/>
              <w:spacing w:after="0"/>
              <w:textAlignment w:val="auto"/>
              <w:rPr>
                <w:rFonts w:eastAsia="Times New Roman"/>
              </w:rPr>
            </w:pPr>
            <w:r>
              <w:rPr>
                <w:rFonts w:eastAsia="Times New Roman"/>
              </w:rPr>
              <w:t>The single DCI field ‘Transmission Configuration Indication’ indicates one or two TCI states associated with a code point for single DCI based multi-TRP mechanism</w:t>
            </w:r>
          </w:p>
          <w:p w14:paraId="6BE6A91B" w14:textId="77777777" w:rsidR="008A5BE5" w:rsidRDefault="008A5BE5" w:rsidP="008A5BE5">
            <w:pPr>
              <w:numPr>
                <w:ilvl w:val="1"/>
                <w:numId w:val="41"/>
              </w:numPr>
              <w:overflowPunct/>
              <w:autoSpaceDE/>
              <w:autoSpaceDN/>
              <w:adjustRightInd/>
              <w:spacing w:after="0"/>
              <w:textAlignment w:val="auto"/>
              <w:rPr>
                <w:rFonts w:eastAsia="Times New Roman"/>
                <w:color w:val="FF0000"/>
              </w:rPr>
            </w:pPr>
            <w:r>
              <w:rPr>
                <w:rFonts w:eastAsia="Times New Roman"/>
                <w:color w:val="FF0000"/>
              </w:rPr>
              <w:t>When two TCI states are indicated, reuse Rel-16 association rules to apply the two TCI states for each PDSCH scheduled by a multi-PDSCH scheduling DCI</w:t>
            </w:r>
          </w:p>
          <w:p w14:paraId="0AF25AFC" w14:textId="77777777" w:rsidR="008A5BE5" w:rsidRDefault="008A5BE5" w:rsidP="008A5BE5">
            <w:pPr>
              <w:numPr>
                <w:ilvl w:val="0"/>
                <w:numId w:val="41"/>
              </w:numPr>
              <w:overflowPunct/>
              <w:autoSpaceDE/>
              <w:autoSpaceDN/>
              <w:adjustRightInd/>
              <w:spacing w:after="0"/>
              <w:textAlignment w:val="auto"/>
              <w:rPr>
                <w:rFonts w:eastAsia="Times New Roman"/>
              </w:rPr>
            </w:pPr>
            <w:r>
              <w:rPr>
                <w:rFonts w:eastAsia="Times New Roman"/>
              </w:rPr>
              <w:t>The single DCI field ‘Transmission Configuration Indication’ indicates only one TCI state associated with a code point for multi-DCI based multi-TRP mechanism</w:t>
            </w:r>
          </w:p>
          <w:p w14:paraId="0E9937DD" w14:textId="77777777" w:rsidR="008A5BE5" w:rsidRDefault="008A5BE5" w:rsidP="008A5BE5">
            <w:pPr>
              <w:numPr>
                <w:ilvl w:val="0"/>
                <w:numId w:val="41"/>
              </w:numPr>
              <w:overflowPunct/>
              <w:autoSpaceDE/>
              <w:autoSpaceDN/>
              <w:adjustRightInd/>
              <w:spacing w:after="0"/>
              <w:textAlignment w:val="auto"/>
              <w:rPr>
                <w:rFonts w:eastAsia="Times New Roman"/>
              </w:rPr>
            </w:pPr>
            <w:r>
              <w:rPr>
                <w:rFonts w:eastAsia="Times New Roman"/>
              </w:rPr>
              <w:t>Reuse Rel-16 RRC configuration and MAC CE activation/deactivation methods for the one or two TCI states</w:t>
            </w:r>
          </w:p>
          <w:p w14:paraId="634F16EF" w14:textId="77777777" w:rsidR="008A5BE5" w:rsidRDefault="008A5BE5" w:rsidP="008A5BE5">
            <w:pPr>
              <w:numPr>
                <w:ilvl w:val="0"/>
                <w:numId w:val="41"/>
              </w:numPr>
              <w:overflowPunct/>
              <w:autoSpaceDE/>
              <w:autoSpaceDN/>
              <w:adjustRightInd/>
              <w:spacing w:after="0"/>
              <w:textAlignment w:val="auto"/>
              <w:rPr>
                <w:rFonts w:eastAsia="Times New Roman"/>
                <w:strike/>
                <w:color w:val="FF0000"/>
              </w:rPr>
            </w:pPr>
            <w:r>
              <w:rPr>
                <w:rFonts w:eastAsia="Times New Roman"/>
                <w:color w:val="FF0000"/>
              </w:rPr>
              <w:t xml:space="preserve">Within the TDRA table for multi-PDSCH scheduling, the UE does not expect to be configured with the higher layer parameter </w:t>
            </w:r>
            <w:proofErr w:type="spellStart"/>
            <w:r>
              <w:rPr>
                <w:rFonts w:eastAsia="Times New Roman"/>
                <w:color w:val="FF0000"/>
              </w:rPr>
              <w:t>repetitionNumber</w:t>
            </w:r>
            <w:proofErr w:type="spellEnd"/>
          </w:p>
          <w:p w14:paraId="77A4B234" w14:textId="77777777" w:rsidR="008A5BE5" w:rsidRDefault="008A5BE5" w:rsidP="001202FA">
            <w:pPr>
              <w:spacing w:before="120"/>
              <w:rPr>
                <w:rFonts w:ascii="Arial" w:hAnsi="Arial" w:cs="Arial"/>
                <w:lang w:val="en-US" w:eastAsia="zh-CN"/>
              </w:rPr>
            </w:pPr>
          </w:p>
        </w:tc>
      </w:tr>
    </w:tbl>
    <w:p w14:paraId="2007D438" w14:textId="77777777" w:rsidR="00D56275" w:rsidRDefault="00D56275" w:rsidP="001202FA">
      <w:pPr>
        <w:spacing w:before="120"/>
        <w:rPr>
          <w:rFonts w:ascii="Arial" w:hAnsi="Arial" w:cs="Arial"/>
          <w:lang w:val="en-US" w:eastAsia="zh-CN"/>
        </w:rPr>
      </w:pPr>
    </w:p>
    <w:p w14:paraId="122AB613" w14:textId="2C619F21" w:rsidR="00583C0C" w:rsidRDefault="00583C0C" w:rsidP="00D72C40">
      <w:pPr>
        <w:spacing w:before="120"/>
        <w:jc w:val="both"/>
        <w:rPr>
          <w:rFonts w:ascii="Arial" w:hAnsi="Arial" w:cs="Arial"/>
          <w:lang w:val="en-US" w:eastAsia="zh-CN"/>
        </w:rPr>
      </w:pPr>
      <w:r>
        <w:rPr>
          <w:rFonts w:ascii="Arial" w:hAnsi="Arial" w:cs="Arial"/>
          <w:lang w:val="en-US" w:eastAsia="zh-CN"/>
        </w:rPr>
        <w:t>In this contribution, we discuss</w:t>
      </w:r>
      <w:r w:rsidR="006E09AB">
        <w:rPr>
          <w:rFonts w:ascii="Arial" w:hAnsi="Arial" w:cs="Arial"/>
          <w:lang w:val="en-US" w:eastAsia="zh-CN"/>
        </w:rPr>
        <w:t xml:space="preserve"> the</w:t>
      </w:r>
      <w:r>
        <w:rPr>
          <w:rFonts w:ascii="Arial" w:hAnsi="Arial" w:cs="Arial"/>
          <w:lang w:val="en-US" w:eastAsia="zh-CN"/>
        </w:rPr>
        <w:t xml:space="preserve"> </w:t>
      </w:r>
      <w:r w:rsidR="006E09AB">
        <w:rPr>
          <w:rFonts w:ascii="Arial" w:hAnsi="Arial" w:cs="Arial"/>
          <w:lang w:val="en-US" w:eastAsia="zh-CN"/>
        </w:rPr>
        <w:t>remaining issues of</w:t>
      </w:r>
      <w:r>
        <w:rPr>
          <w:rFonts w:ascii="Arial" w:hAnsi="Arial" w:cs="Arial"/>
          <w:lang w:val="en-US" w:eastAsia="zh-CN"/>
        </w:rPr>
        <w:t xml:space="preserve"> initial access</w:t>
      </w:r>
      <w:r w:rsidR="006E09AB">
        <w:rPr>
          <w:rFonts w:ascii="Arial" w:hAnsi="Arial" w:cs="Arial"/>
          <w:lang w:val="en-US" w:eastAsia="zh-CN"/>
        </w:rPr>
        <w:t xml:space="preserve"> channels</w:t>
      </w:r>
      <w:r>
        <w:rPr>
          <w:rFonts w:ascii="Arial" w:hAnsi="Arial" w:cs="Arial"/>
          <w:lang w:val="en-US" w:eastAsia="zh-CN"/>
        </w:rPr>
        <w:t xml:space="preserve">, </w:t>
      </w:r>
      <w:r w:rsidR="006E09AB">
        <w:rPr>
          <w:rFonts w:ascii="Arial" w:hAnsi="Arial" w:cs="Arial"/>
          <w:lang w:val="en-US" w:eastAsia="zh-CN"/>
        </w:rPr>
        <w:t>focusing on</w:t>
      </w:r>
      <w:r>
        <w:rPr>
          <w:rFonts w:ascii="Arial" w:hAnsi="Arial" w:cs="Arial"/>
          <w:lang w:val="en-US" w:eastAsia="zh-CN"/>
        </w:rPr>
        <w:t xml:space="preserve"> the perspectives</w:t>
      </w:r>
      <w:r w:rsidR="006E09AB">
        <w:rPr>
          <w:rFonts w:ascii="Arial" w:hAnsi="Arial" w:cs="Arial"/>
          <w:lang w:val="en-US" w:eastAsia="zh-CN"/>
        </w:rPr>
        <w:t xml:space="preserve"> below</w:t>
      </w:r>
      <w:r>
        <w:rPr>
          <w:rFonts w:ascii="Arial" w:hAnsi="Arial" w:cs="Arial"/>
          <w:lang w:val="en-US" w:eastAsia="zh-CN"/>
        </w:rPr>
        <w:t xml:space="preserve">: </w:t>
      </w:r>
    </w:p>
    <w:p w14:paraId="17534CE6" w14:textId="39E94E3C" w:rsidR="00583C0C" w:rsidRDefault="008C02E6" w:rsidP="00544BEC">
      <w:pPr>
        <w:pStyle w:val="ListParagraph"/>
        <w:numPr>
          <w:ilvl w:val="0"/>
          <w:numId w:val="3"/>
        </w:numPr>
        <w:spacing w:before="120"/>
        <w:jc w:val="both"/>
        <w:rPr>
          <w:rFonts w:ascii="Arial" w:hAnsi="Arial" w:cs="Arial"/>
          <w:lang w:val="en-US" w:eastAsia="zh-CN"/>
        </w:rPr>
      </w:pPr>
      <w:r>
        <w:rPr>
          <w:rFonts w:ascii="Arial" w:hAnsi="Arial" w:cs="Arial"/>
          <w:lang w:val="en-US" w:eastAsia="zh-CN"/>
        </w:rPr>
        <w:t>Leftover t</w:t>
      </w:r>
      <w:r w:rsidR="008E4304" w:rsidRPr="008E4304">
        <w:rPr>
          <w:rFonts w:ascii="Arial" w:hAnsi="Arial" w:cs="Arial"/>
          <w:lang w:val="en-US" w:eastAsia="zh-CN"/>
        </w:rPr>
        <w:t xml:space="preserve">iming </w:t>
      </w:r>
      <w:r w:rsidR="008E4304">
        <w:rPr>
          <w:rFonts w:ascii="Arial" w:hAnsi="Arial" w:cs="Arial"/>
          <w:lang w:val="en-US" w:eastAsia="zh-CN"/>
        </w:rPr>
        <w:t>associated</w:t>
      </w:r>
      <w:r w:rsidR="008E4304" w:rsidRPr="008E4304">
        <w:rPr>
          <w:rFonts w:ascii="Arial" w:hAnsi="Arial" w:cs="Arial"/>
          <w:lang w:val="en-US" w:eastAsia="zh-CN"/>
        </w:rPr>
        <w:t xml:space="preserve"> </w:t>
      </w:r>
      <w:r w:rsidR="008E4304">
        <w:rPr>
          <w:rFonts w:ascii="Arial" w:hAnsi="Arial" w:cs="Arial"/>
          <w:lang w:val="en-US" w:eastAsia="zh-CN"/>
        </w:rPr>
        <w:t>with</w:t>
      </w:r>
      <w:r w:rsidR="008E4304" w:rsidRPr="008E4304">
        <w:rPr>
          <w:rFonts w:ascii="Arial" w:hAnsi="Arial" w:cs="Arial"/>
          <w:lang w:val="en-US" w:eastAsia="zh-CN"/>
        </w:rPr>
        <w:t xml:space="preserve"> Beam Management</w:t>
      </w:r>
      <w:r w:rsidR="008E4304">
        <w:rPr>
          <w:rFonts w:ascii="Arial" w:hAnsi="Arial" w:cs="Arial"/>
          <w:lang w:val="en-US" w:eastAsia="zh-CN"/>
        </w:rPr>
        <w:t xml:space="preserve">. </w:t>
      </w:r>
    </w:p>
    <w:p w14:paraId="443173FD" w14:textId="43B1209E" w:rsidR="008E4304" w:rsidRPr="00583C0C" w:rsidRDefault="008E4304" w:rsidP="00544BEC">
      <w:pPr>
        <w:pStyle w:val="ListParagraph"/>
        <w:numPr>
          <w:ilvl w:val="0"/>
          <w:numId w:val="3"/>
        </w:numPr>
        <w:spacing w:before="120"/>
        <w:jc w:val="both"/>
        <w:rPr>
          <w:rFonts w:ascii="Arial" w:hAnsi="Arial" w:cs="Arial"/>
          <w:lang w:val="en-US" w:eastAsia="zh-CN"/>
        </w:rPr>
      </w:pPr>
      <w:r w:rsidRPr="008E4304">
        <w:rPr>
          <w:rFonts w:ascii="Arial" w:hAnsi="Arial" w:cs="Arial"/>
          <w:lang w:val="en-US" w:eastAsia="zh-CN"/>
        </w:rPr>
        <w:t>Potential Enhancements for BM operation</w:t>
      </w:r>
      <w:r>
        <w:rPr>
          <w:rFonts w:ascii="Arial" w:hAnsi="Arial" w:cs="Arial"/>
          <w:lang w:val="en-US" w:eastAsia="zh-CN"/>
        </w:rPr>
        <w:t xml:space="preserve">. </w:t>
      </w:r>
    </w:p>
    <w:p w14:paraId="3C800B44" w14:textId="383C9B36" w:rsidR="007D05CA" w:rsidRDefault="00B975F2" w:rsidP="006F0588">
      <w:pPr>
        <w:pStyle w:val="Heading1"/>
        <w:rPr>
          <w:rFonts w:cs="Arial"/>
          <w:lang w:val="en-US"/>
        </w:rPr>
      </w:pPr>
      <w:r w:rsidRPr="00404C4B">
        <w:rPr>
          <w:rFonts w:cs="Arial"/>
          <w:lang w:val="en-US"/>
        </w:rPr>
        <w:t>2. Discussion</w:t>
      </w:r>
    </w:p>
    <w:p w14:paraId="6E9EBE02" w14:textId="45E1DC73" w:rsidR="00544BEC" w:rsidRPr="00F75FEE" w:rsidRDefault="00F44AAE" w:rsidP="00544BEC">
      <w:pPr>
        <w:pStyle w:val="Heading2"/>
        <w:spacing w:before="180" w:after="180"/>
        <w:ind w:left="1134" w:hanging="1134"/>
        <w:rPr>
          <w:rFonts w:ascii="Arial" w:hAnsi="Arial" w:cs="Arial"/>
          <w:lang w:eastAsia="ja-JP"/>
        </w:rPr>
      </w:pPr>
      <w:r w:rsidRPr="00F44AAE">
        <w:rPr>
          <w:rFonts w:ascii="Arial" w:eastAsia="Times New Roman" w:hAnsi="Arial" w:cs="Times New Roman"/>
          <w:color w:val="auto"/>
          <w:sz w:val="32"/>
          <w:szCs w:val="20"/>
          <w:lang w:eastAsia="ja-JP"/>
        </w:rPr>
        <w:t xml:space="preserve">2.1 </w:t>
      </w:r>
      <w:r w:rsidR="008E4304">
        <w:rPr>
          <w:rFonts w:ascii="Arial" w:eastAsia="Times New Roman" w:hAnsi="Arial" w:cs="Times New Roman"/>
          <w:color w:val="auto"/>
          <w:sz w:val="32"/>
          <w:szCs w:val="20"/>
          <w:lang w:eastAsia="ja-JP"/>
        </w:rPr>
        <w:t xml:space="preserve">Timing associated with Beam Management </w:t>
      </w:r>
    </w:p>
    <w:p w14:paraId="54883146" w14:textId="117D3299" w:rsidR="00BB0E7E" w:rsidRDefault="00D02F45" w:rsidP="008A5BE5">
      <w:pPr>
        <w:spacing w:before="120"/>
        <w:rPr>
          <w:rFonts w:ascii="Arial" w:hAnsi="Arial" w:cs="Arial"/>
          <w:lang w:eastAsia="ja-JP"/>
        </w:rPr>
      </w:pPr>
      <w:r w:rsidRPr="00D02F45">
        <w:rPr>
          <w:rFonts w:ascii="Arial" w:hAnsi="Arial" w:cs="Arial"/>
          <w:lang w:eastAsia="ja-JP"/>
        </w:rPr>
        <w:t xml:space="preserve">For </w:t>
      </w:r>
      <w:r>
        <w:rPr>
          <w:rFonts w:ascii="Arial" w:hAnsi="Arial" w:cs="Arial"/>
          <w:lang w:eastAsia="ja-JP"/>
        </w:rPr>
        <w:t xml:space="preserve">SRS resource set used for DL CSI acquisition, the UE is configured with a guard period of Y symbols in Rel-15/16, in which the UE does not transmit any other signal. The value of Y is hard encoded in [3] based on the SRS numerologies as follows [3]: </w:t>
      </w:r>
    </w:p>
    <w:p w14:paraId="07D27FB6" w14:textId="5E0BF584" w:rsidR="00D02F45" w:rsidRPr="00D02F45" w:rsidRDefault="00D02F45" w:rsidP="008A5BE5">
      <w:pPr>
        <w:spacing w:before="120"/>
        <w:rPr>
          <w:rFonts w:ascii="Arial" w:hAnsi="Arial" w:cs="Arial"/>
          <w:lang w:eastAsia="ja-JP"/>
        </w:rPr>
      </w:pPr>
      <w:r>
        <w:rPr>
          <w:rFonts w:ascii="Arial" w:hAnsi="Arial" w:cs="Arial"/>
          <w:noProof/>
          <w:lang w:eastAsia="ja-JP"/>
        </w:rPr>
        <w:drawing>
          <wp:inline distT="0" distB="0" distL="0" distR="0" wp14:anchorId="0BD6AA10" wp14:editId="6FE07E38">
            <wp:extent cx="6332220" cy="1411605"/>
            <wp:effectExtent l="0" t="0" r="5080"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1411605"/>
                    </a:xfrm>
                    <a:prstGeom prst="rect">
                      <a:avLst/>
                    </a:prstGeom>
                  </pic:spPr>
                </pic:pic>
              </a:graphicData>
            </a:graphic>
          </wp:inline>
        </w:drawing>
      </w:r>
    </w:p>
    <w:p w14:paraId="4EC8797E" w14:textId="39C37D23" w:rsidR="007E3863" w:rsidRDefault="00F633BF" w:rsidP="000E56F3">
      <w:pPr>
        <w:jc w:val="both"/>
        <w:rPr>
          <w:rFonts w:ascii="Arial" w:hAnsi="Arial" w:cs="Arial"/>
          <w:lang w:eastAsia="zh-CN"/>
        </w:rPr>
      </w:pPr>
      <w:r>
        <w:rPr>
          <w:rFonts w:ascii="Arial" w:hAnsi="Arial" w:cs="Arial"/>
          <w:lang w:eastAsia="zh-CN"/>
        </w:rPr>
        <w:t xml:space="preserve">The values in Table above </w:t>
      </w:r>
      <w:r w:rsidR="007E3863">
        <w:rPr>
          <w:rFonts w:ascii="Arial" w:hAnsi="Arial" w:cs="Arial"/>
          <w:lang w:eastAsia="zh-CN"/>
        </w:rPr>
        <w:t>are</w:t>
      </w:r>
      <w:r>
        <w:rPr>
          <w:rFonts w:ascii="Arial" w:hAnsi="Arial" w:cs="Arial"/>
          <w:lang w:eastAsia="zh-CN"/>
        </w:rPr>
        <w:t xml:space="preserve"> determined based on RAN4 decision that </w:t>
      </w:r>
      <w:r w:rsidR="007E3863" w:rsidRPr="007E3863">
        <w:rPr>
          <w:rFonts w:ascii="Arial" w:hAnsi="Arial" w:cs="Arial"/>
          <w:lang w:eastAsia="zh-CN"/>
        </w:rPr>
        <w:t>antenna switching time is 15 usec</w:t>
      </w:r>
      <w:r w:rsidR="007E3863">
        <w:rPr>
          <w:rFonts w:ascii="Arial" w:hAnsi="Arial" w:cs="Arial"/>
          <w:lang w:eastAsia="zh-CN"/>
        </w:rPr>
        <w:t>. Assuming the same absolute switching time, the corresponding number would be approximately 8 symbols and 16 symbols for 480kHz SCS and 960kHz SCS, respectively. We recommend agreeing these numbers in RAN1 as working assumption and revisit them subject to new values</w:t>
      </w:r>
      <w:r w:rsidR="007E423A">
        <w:rPr>
          <w:rFonts w:ascii="Arial" w:hAnsi="Arial" w:cs="Arial"/>
          <w:lang w:eastAsia="zh-CN"/>
        </w:rPr>
        <w:t xml:space="preserve"> agreed in</w:t>
      </w:r>
      <w:r w:rsidR="007E3863">
        <w:rPr>
          <w:rFonts w:ascii="Arial" w:hAnsi="Arial" w:cs="Arial"/>
          <w:lang w:eastAsia="zh-CN"/>
        </w:rPr>
        <w:t xml:space="preserve"> RAN4. </w:t>
      </w:r>
      <w:r w:rsidR="007E423A">
        <w:rPr>
          <w:rFonts w:ascii="Arial" w:hAnsi="Arial" w:cs="Arial"/>
          <w:lang w:eastAsia="zh-CN"/>
        </w:rPr>
        <w:t>With this approach</w:t>
      </w:r>
      <w:r w:rsidR="007E3863">
        <w:rPr>
          <w:rFonts w:ascii="Arial" w:hAnsi="Arial" w:cs="Arial"/>
          <w:lang w:eastAsia="zh-CN"/>
        </w:rPr>
        <w:t>, RAN1’s</w:t>
      </w:r>
      <w:r w:rsidR="007E423A">
        <w:rPr>
          <w:rFonts w:ascii="Arial" w:hAnsi="Arial" w:cs="Arial"/>
          <w:lang w:eastAsia="zh-CN"/>
        </w:rPr>
        <w:t xml:space="preserve"> beam management</w:t>
      </w:r>
      <w:r w:rsidR="007E3863">
        <w:rPr>
          <w:rFonts w:ascii="Arial" w:hAnsi="Arial" w:cs="Arial"/>
          <w:lang w:eastAsia="zh-CN"/>
        </w:rPr>
        <w:t xml:space="preserve"> desig</w:t>
      </w:r>
      <w:r w:rsidR="007E423A">
        <w:rPr>
          <w:rFonts w:ascii="Arial" w:hAnsi="Arial" w:cs="Arial"/>
          <w:lang w:eastAsia="zh-CN"/>
        </w:rPr>
        <w:t>n</w:t>
      </w:r>
      <w:r w:rsidR="007E3863">
        <w:rPr>
          <w:rFonts w:ascii="Arial" w:hAnsi="Arial" w:cs="Arial"/>
          <w:lang w:eastAsia="zh-CN"/>
        </w:rPr>
        <w:t xml:space="preserve"> can be completed</w:t>
      </w:r>
      <w:r w:rsidR="007E423A">
        <w:rPr>
          <w:rFonts w:ascii="Arial" w:hAnsi="Arial" w:cs="Arial"/>
          <w:lang w:eastAsia="zh-CN"/>
        </w:rPr>
        <w:t xml:space="preserve"> on time by avoiding dependency with RAN4 progress</w:t>
      </w:r>
      <w:r w:rsidR="007E3863">
        <w:rPr>
          <w:rFonts w:ascii="Arial" w:hAnsi="Arial" w:cs="Arial"/>
          <w:lang w:eastAsia="zh-CN"/>
        </w:rPr>
        <w:t xml:space="preserve">. </w:t>
      </w:r>
    </w:p>
    <w:p w14:paraId="0639D1C8" w14:textId="19CE4BF1" w:rsidR="000E56F3" w:rsidRDefault="007E3863" w:rsidP="001D42A4">
      <w:pPr>
        <w:ind w:left="1170" w:hanging="1170"/>
        <w:rPr>
          <w:rFonts w:ascii="Arial" w:hAnsi="Arial" w:cs="Arial"/>
          <w:lang w:eastAsia="zh-CN"/>
        </w:rPr>
      </w:pPr>
      <w:r w:rsidRPr="008E4304">
        <w:rPr>
          <w:rFonts w:ascii="Arial" w:hAnsi="Arial" w:cs="Arial"/>
          <w:b/>
          <w:bCs/>
          <w:lang w:eastAsia="ja-JP"/>
        </w:rPr>
        <w:t xml:space="preserve">Proposal </w:t>
      </w:r>
      <w:r>
        <w:rPr>
          <w:rFonts w:ascii="Arial" w:hAnsi="Arial" w:cs="Arial"/>
          <w:b/>
          <w:bCs/>
          <w:lang w:eastAsia="ja-JP"/>
        </w:rPr>
        <w:t>1</w:t>
      </w:r>
      <w:r w:rsidRPr="008E4304">
        <w:rPr>
          <w:rFonts w:ascii="Arial" w:hAnsi="Arial" w:cs="Arial"/>
          <w:b/>
          <w:bCs/>
          <w:lang w:eastAsia="ja-JP"/>
        </w:rPr>
        <w:t xml:space="preserve">: </w:t>
      </w:r>
      <w:r>
        <w:rPr>
          <w:rFonts w:ascii="Arial" w:hAnsi="Arial" w:cs="Arial"/>
          <w:b/>
          <w:bCs/>
          <w:lang w:eastAsia="ja-JP"/>
        </w:rPr>
        <w:t xml:space="preserve">The minimum guard period between two SRS resources of an SRS resource set for antenna switching are defined as ‘8’ symbols and ‘16’ symbols for 480kHz and 960kHz SCS, respectively.    </w:t>
      </w:r>
      <w:r>
        <w:rPr>
          <w:rFonts w:ascii="Arial" w:hAnsi="Arial" w:cs="Arial"/>
          <w:lang w:eastAsia="zh-CN"/>
        </w:rPr>
        <w:t xml:space="preserve">     </w:t>
      </w:r>
    </w:p>
    <w:p w14:paraId="3F7CF91A" w14:textId="77777777" w:rsidR="000E56F3" w:rsidRDefault="000E56F3" w:rsidP="007E3863">
      <w:pPr>
        <w:ind w:left="1170" w:hanging="1170"/>
        <w:rPr>
          <w:rFonts w:ascii="Arial" w:hAnsi="Arial" w:cs="Arial"/>
          <w:lang w:eastAsia="zh-CN"/>
        </w:rPr>
      </w:pPr>
    </w:p>
    <w:p w14:paraId="377377C0" w14:textId="00F6790F" w:rsidR="008E4304" w:rsidRDefault="008E4304" w:rsidP="008E4304">
      <w:pPr>
        <w:pStyle w:val="Heading2"/>
        <w:spacing w:before="180" w:after="180"/>
        <w:ind w:left="1134" w:hanging="1134"/>
        <w:rPr>
          <w:rFonts w:ascii="Arial" w:eastAsia="Times New Roman" w:hAnsi="Arial" w:cs="Times New Roman"/>
          <w:color w:val="auto"/>
          <w:sz w:val="32"/>
          <w:szCs w:val="20"/>
          <w:lang w:eastAsia="ja-JP"/>
        </w:rPr>
      </w:pPr>
      <w:r w:rsidRPr="00F44AAE">
        <w:rPr>
          <w:rFonts w:ascii="Arial" w:eastAsia="Times New Roman" w:hAnsi="Arial" w:cs="Times New Roman"/>
          <w:color w:val="auto"/>
          <w:sz w:val="32"/>
          <w:szCs w:val="20"/>
          <w:lang w:eastAsia="ja-JP"/>
        </w:rPr>
        <w:lastRenderedPageBreak/>
        <w:t>2.</w:t>
      </w:r>
      <w:r>
        <w:rPr>
          <w:rFonts w:ascii="Arial" w:eastAsia="Times New Roman" w:hAnsi="Arial" w:cs="Times New Roman"/>
          <w:color w:val="auto"/>
          <w:sz w:val="32"/>
          <w:szCs w:val="20"/>
          <w:lang w:eastAsia="ja-JP"/>
        </w:rPr>
        <w:t>2</w:t>
      </w:r>
      <w:r w:rsidRPr="00F44AAE">
        <w:rPr>
          <w:rFonts w:ascii="Arial" w:eastAsia="Times New Roman" w:hAnsi="Arial" w:cs="Times New Roman"/>
          <w:color w:val="auto"/>
          <w:sz w:val="32"/>
          <w:szCs w:val="20"/>
          <w:lang w:eastAsia="ja-JP"/>
        </w:rPr>
        <w:t xml:space="preserve"> </w:t>
      </w:r>
      <w:r>
        <w:rPr>
          <w:rFonts w:ascii="Arial" w:eastAsia="Times New Roman" w:hAnsi="Arial" w:cs="Times New Roman"/>
          <w:color w:val="auto"/>
          <w:sz w:val="32"/>
          <w:szCs w:val="20"/>
          <w:lang w:eastAsia="ja-JP"/>
        </w:rPr>
        <w:t>Potential Enhancements for BM operation</w:t>
      </w:r>
    </w:p>
    <w:p w14:paraId="6B91021D" w14:textId="3215E0F5" w:rsidR="003C4E70" w:rsidRPr="003C4E70" w:rsidRDefault="003C4E70" w:rsidP="004C542B">
      <w:pPr>
        <w:jc w:val="both"/>
        <w:rPr>
          <w:rFonts w:ascii="Arial" w:hAnsi="Arial" w:cs="Arial"/>
          <w:lang w:val="en-US" w:eastAsia="ja-JP"/>
        </w:rPr>
      </w:pPr>
      <w:r w:rsidRPr="003C4E70">
        <w:rPr>
          <w:rFonts w:ascii="Arial" w:hAnsi="Arial" w:cs="Arial"/>
          <w:lang w:val="en-US" w:eastAsia="ja-JP"/>
        </w:rPr>
        <w:t>In RAN1 104 e-meeting, support of Multiple Beams for Multiple PDSCHs was discussed</w:t>
      </w:r>
      <w:r>
        <w:rPr>
          <w:rFonts w:ascii="Arial" w:hAnsi="Arial" w:cs="Arial"/>
          <w:lang w:val="en-US" w:eastAsia="ja-JP"/>
        </w:rPr>
        <w:t>. It</w:t>
      </w:r>
      <w:r w:rsidRPr="003C4E70">
        <w:rPr>
          <w:rFonts w:ascii="Arial" w:hAnsi="Arial" w:cs="Arial"/>
          <w:lang w:val="en-US" w:eastAsia="ja-JP"/>
        </w:rPr>
        <w:t xml:space="preserve"> was agreed</w:t>
      </w:r>
      <w:r>
        <w:rPr>
          <w:rFonts w:ascii="Arial" w:hAnsi="Arial" w:cs="Arial"/>
          <w:lang w:val="en-US" w:eastAsia="ja-JP"/>
        </w:rPr>
        <w:t xml:space="preserve"> to f</w:t>
      </w:r>
      <w:r w:rsidRPr="003C4E70">
        <w:rPr>
          <w:rFonts w:ascii="Arial" w:hAnsi="Arial" w:cs="Arial"/>
          <w:lang w:val="en-US" w:eastAsia="ja-JP"/>
        </w:rPr>
        <w:t>urther study the QCL assumption(s) the UE should apply for each PDSCH in multi-PDSCH scheduled by a single DCI</w:t>
      </w:r>
      <w:r>
        <w:rPr>
          <w:rFonts w:ascii="Arial" w:hAnsi="Arial" w:cs="Arial"/>
          <w:lang w:val="en-US" w:eastAsia="ja-JP"/>
        </w:rPr>
        <w:t xml:space="preserve"> as shown in FIG.2</w:t>
      </w:r>
      <w:r w:rsidRPr="003C4E70">
        <w:rPr>
          <w:rFonts w:ascii="Arial" w:hAnsi="Arial" w:cs="Arial"/>
          <w:lang w:val="en-US" w:eastAsia="ja-JP"/>
        </w:rPr>
        <w:t xml:space="preserve">: </w:t>
      </w:r>
    </w:p>
    <w:p w14:paraId="350B1031" w14:textId="77777777" w:rsidR="003C4E70" w:rsidRPr="003C4E70" w:rsidRDefault="003C4E70" w:rsidP="004C542B">
      <w:pPr>
        <w:pStyle w:val="ListParagraph"/>
        <w:numPr>
          <w:ilvl w:val="0"/>
          <w:numId w:val="32"/>
        </w:numPr>
        <w:jc w:val="both"/>
        <w:rPr>
          <w:rFonts w:ascii="Arial" w:hAnsi="Arial" w:cs="Arial"/>
          <w:lang w:val="en-US" w:eastAsia="ja-JP"/>
        </w:rPr>
      </w:pPr>
      <w:r w:rsidRPr="003C4E70">
        <w:rPr>
          <w:rFonts w:ascii="Arial" w:hAnsi="Arial" w:cs="Arial"/>
          <w:lang w:val="en-US" w:eastAsia="ja-JP"/>
        </w:rPr>
        <w:t xml:space="preserve">Case 1: When all of the scheduled PDSCHs have scheduling offset less than timeDurationForQCL. </w:t>
      </w:r>
    </w:p>
    <w:p w14:paraId="733DCF6E" w14:textId="72FD2DAD" w:rsidR="00EA3C1A" w:rsidRPr="00D02F45" w:rsidRDefault="003C4E70" w:rsidP="008C0231">
      <w:pPr>
        <w:pStyle w:val="ListParagraph"/>
        <w:numPr>
          <w:ilvl w:val="0"/>
          <w:numId w:val="32"/>
        </w:numPr>
        <w:jc w:val="both"/>
        <w:rPr>
          <w:rFonts w:ascii="Arial" w:hAnsi="Arial" w:cs="Arial"/>
          <w:lang w:val="en-US" w:eastAsia="ja-JP"/>
        </w:rPr>
      </w:pPr>
      <w:r w:rsidRPr="003C4E70">
        <w:rPr>
          <w:rFonts w:ascii="Arial" w:hAnsi="Arial" w:cs="Arial"/>
          <w:lang w:val="en-US" w:eastAsia="ja-JP"/>
        </w:rPr>
        <w:t>Case 2: When some of the scheduled PDSCHs have scheduling offset less than timeDurationForQCL while some have scheduling offset equal to or greater than timeDurationForQCL.</w:t>
      </w:r>
    </w:p>
    <w:p w14:paraId="0483DE3B" w14:textId="0FBA2583" w:rsidR="00C92668" w:rsidRDefault="003C4E70" w:rsidP="008C0231">
      <w:pPr>
        <w:jc w:val="both"/>
        <w:rPr>
          <w:rFonts w:ascii="Arial" w:hAnsi="Arial" w:cs="Arial"/>
          <w:lang w:val="en-US" w:eastAsia="ja-JP"/>
        </w:rPr>
      </w:pPr>
      <w:r w:rsidRPr="003C4E70">
        <w:rPr>
          <w:rFonts w:ascii="Arial" w:hAnsi="Arial" w:cs="Arial"/>
          <w:lang w:val="en-US" w:eastAsia="ja-JP"/>
        </w:rPr>
        <w:t xml:space="preserve">In </w:t>
      </w:r>
      <w:r>
        <w:rPr>
          <w:rFonts w:ascii="Arial" w:hAnsi="Arial" w:cs="Arial"/>
          <w:lang w:val="en-US" w:eastAsia="ja-JP"/>
        </w:rPr>
        <w:t>Rel-15/16,</w:t>
      </w:r>
      <w:r w:rsidR="0062068F">
        <w:rPr>
          <w:rFonts w:ascii="Arial" w:hAnsi="Arial" w:cs="Arial"/>
          <w:lang w:val="en-US" w:eastAsia="ja-JP"/>
        </w:rPr>
        <w:t xml:space="preserve"> for Case 1 and 2,</w:t>
      </w:r>
      <w:r>
        <w:rPr>
          <w:rFonts w:ascii="Arial" w:hAnsi="Arial" w:cs="Arial"/>
          <w:lang w:val="en-US" w:eastAsia="ja-JP"/>
        </w:rPr>
        <w:t xml:space="preserve"> </w:t>
      </w:r>
      <w:r w:rsidR="0062068F">
        <w:rPr>
          <w:rFonts w:ascii="Arial" w:hAnsi="Arial" w:cs="Arial"/>
          <w:lang w:val="en-US" w:eastAsia="ja-JP"/>
        </w:rPr>
        <w:t xml:space="preserve">a </w:t>
      </w:r>
      <w:r w:rsidR="0062068F" w:rsidRPr="0062068F">
        <w:rPr>
          <w:rFonts w:ascii="Arial" w:hAnsi="Arial" w:cs="Arial"/>
          <w:lang w:val="en-US" w:eastAsia="ja-JP"/>
        </w:rPr>
        <w:t xml:space="preserve">UE </w:t>
      </w:r>
      <w:r w:rsidR="0062068F">
        <w:rPr>
          <w:rFonts w:ascii="Arial" w:hAnsi="Arial" w:cs="Arial"/>
          <w:lang w:val="en-US" w:eastAsia="ja-JP"/>
        </w:rPr>
        <w:t>assumes</w:t>
      </w:r>
      <w:r w:rsidR="0062068F" w:rsidRPr="0062068F">
        <w:rPr>
          <w:rFonts w:ascii="Arial" w:hAnsi="Arial" w:cs="Arial"/>
          <w:lang w:val="en-US" w:eastAsia="ja-JP"/>
        </w:rPr>
        <w:t xml:space="preserve"> that the DM-RS ports of PDSCH of a serving cell are </w:t>
      </w:r>
      <w:r w:rsidR="0062068F">
        <w:rPr>
          <w:rFonts w:ascii="Arial" w:hAnsi="Arial" w:cs="Arial"/>
          <w:lang w:val="en-US" w:eastAsia="ja-JP"/>
        </w:rPr>
        <w:t>QCLed</w:t>
      </w:r>
      <w:r w:rsidR="0062068F" w:rsidRPr="0062068F">
        <w:rPr>
          <w:rFonts w:ascii="Arial" w:hAnsi="Arial" w:cs="Arial"/>
          <w:lang w:val="en-US" w:eastAsia="ja-JP"/>
        </w:rPr>
        <w:t xml:space="preserve"> with the RS(s) </w:t>
      </w:r>
      <w:r w:rsidR="0062068F">
        <w:rPr>
          <w:rFonts w:ascii="Arial" w:hAnsi="Arial" w:cs="Arial"/>
          <w:lang w:val="en-US" w:eastAsia="ja-JP"/>
        </w:rPr>
        <w:t>in the</w:t>
      </w:r>
      <w:r w:rsidR="0062068F" w:rsidRPr="0062068F">
        <w:rPr>
          <w:rFonts w:ascii="Arial" w:hAnsi="Arial" w:cs="Arial"/>
          <w:lang w:val="en-US" w:eastAsia="ja-JP"/>
        </w:rPr>
        <w:t xml:space="preserve"> CORESET associated with</w:t>
      </w:r>
      <w:r w:rsidR="0062068F">
        <w:rPr>
          <w:rFonts w:ascii="Arial" w:hAnsi="Arial" w:cs="Arial"/>
          <w:lang w:val="en-US" w:eastAsia="ja-JP"/>
        </w:rPr>
        <w:t xml:space="preserve"> </w:t>
      </w:r>
      <w:r w:rsidR="0062068F" w:rsidRPr="0062068F">
        <w:rPr>
          <w:rFonts w:ascii="Arial" w:hAnsi="Arial" w:cs="Arial"/>
          <w:lang w:val="en-US" w:eastAsia="ja-JP"/>
        </w:rPr>
        <w:t xml:space="preserve">a monitored search space with the lowest </w:t>
      </w:r>
      <w:r w:rsidR="0062068F">
        <w:rPr>
          <w:rFonts w:ascii="Arial" w:hAnsi="Arial" w:cs="Arial"/>
          <w:lang w:val="en-US" w:eastAsia="ja-JP"/>
        </w:rPr>
        <w:t>CORESET ID</w:t>
      </w:r>
      <w:r w:rsidR="0062068F" w:rsidRPr="0062068F">
        <w:rPr>
          <w:rFonts w:ascii="Arial" w:hAnsi="Arial" w:cs="Arial"/>
          <w:lang w:val="en-US" w:eastAsia="ja-JP"/>
        </w:rPr>
        <w:t xml:space="preserve"> in the latest slot within the active BWP of the serving cell are monitored by the UE.</w:t>
      </w:r>
      <w:r w:rsidR="0062068F">
        <w:rPr>
          <w:rFonts w:ascii="Arial" w:hAnsi="Arial" w:cs="Arial"/>
          <w:lang w:val="en-US" w:eastAsia="ja-JP"/>
        </w:rPr>
        <w:t xml:space="preserve"> </w:t>
      </w:r>
      <w:r w:rsidR="00517154">
        <w:rPr>
          <w:rFonts w:ascii="Arial" w:hAnsi="Arial" w:cs="Arial"/>
          <w:lang w:val="en-US" w:eastAsia="ja-JP"/>
        </w:rPr>
        <w:t>Consequently</w:t>
      </w:r>
      <w:r w:rsidR="0062068F">
        <w:rPr>
          <w:rFonts w:ascii="Arial" w:hAnsi="Arial" w:cs="Arial"/>
          <w:lang w:val="en-US" w:eastAsia="ja-JP"/>
        </w:rPr>
        <w:t xml:space="preserve">, </w:t>
      </w:r>
      <w:r w:rsidR="00517154">
        <w:rPr>
          <w:rFonts w:ascii="Arial" w:hAnsi="Arial" w:cs="Arial"/>
          <w:lang w:val="en-US" w:eastAsia="ja-JP"/>
        </w:rPr>
        <w:t xml:space="preserve">QCL assumption for the TBs in Case 1 and TB1/TB2 in Case 2 maybe varied if the QCL assumption of CORESETs in the latest slot are different. </w:t>
      </w:r>
    </w:p>
    <w:p w14:paraId="379C3FBB" w14:textId="70AD0A36" w:rsidR="006D54B0" w:rsidRDefault="00517154" w:rsidP="008C0231">
      <w:pPr>
        <w:jc w:val="both"/>
        <w:rPr>
          <w:rFonts w:ascii="Arial" w:hAnsi="Arial" w:cs="Arial"/>
          <w:lang w:val="en-US" w:eastAsia="ja-JP"/>
        </w:rPr>
      </w:pPr>
      <w:r>
        <w:rPr>
          <w:rFonts w:ascii="Arial" w:hAnsi="Arial" w:cs="Arial"/>
          <w:lang w:val="en-US" w:eastAsia="ja-JP"/>
        </w:rPr>
        <w:t>For 480kHz and 960kHz</w:t>
      </w:r>
      <w:r w:rsidR="00C92668">
        <w:rPr>
          <w:rFonts w:ascii="Arial" w:hAnsi="Arial" w:cs="Arial"/>
          <w:lang w:val="en-US" w:eastAsia="ja-JP"/>
        </w:rPr>
        <w:t xml:space="preserve"> SCS</w:t>
      </w:r>
      <w:r>
        <w:rPr>
          <w:rFonts w:ascii="Arial" w:hAnsi="Arial" w:cs="Arial"/>
          <w:lang w:val="en-US" w:eastAsia="ja-JP"/>
        </w:rPr>
        <w:t xml:space="preserve">, the slot duration becomes much shorter compared to SCSs supported for FR2 in earlier release. It motivates to introduce a new mechanism </w:t>
      </w:r>
      <w:r w:rsidR="0007538E">
        <w:rPr>
          <w:rFonts w:ascii="Arial" w:hAnsi="Arial" w:cs="Arial"/>
          <w:lang w:val="en-US" w:eastAsia="ja-JP"/>
        </w:rPr>
        <w:t>to allow a single</w:t>
      </w:r>
      <w:r>
        <w:rPr>
          <w:rFonts w:ascii="Arial" w:hAnsi="Arial" w:cs="Arial"/>
          <w:lang w:val="en-US" w:eastAsia="ja-JP"/>
        </w:rPr>
        <w:t xml:space="preserve"> default </w:t>
      </w:r>
      <w:r w:rsidR="0007538E">
        <w:rPr>
          <w:rFonts w:ascii="Arial" w:hAnsi="Arial" w:cs="Arial"/>
          <w:lang w:val="en-US" w:eastAsia="ja-JP"/>
        </w:rPr>
        <w:t>QCL assumption</w:t>
      </w:r>
      <w:r>
        <w:rPr>
          <w:rFonts w:ascii="Arial" w:hAnsi="Arial" w:cs="Arial"/>
          <w:lang w:val="en-US" w:eastAsia="ja-JP"/>
        </w:rPr>
        <w:t xml:space="preserve"> for TBs that </w:t>
      </w:r>
      <w:r w:rsidR="00C92668" w:rsidRPr="00477625">
        <w:rPr>
          <w:rFonts w:ascii="Arial" w:hAnsi="Arial" w:cs="Arial"/>
          <w:lang w:eastAsia="x-none"/>
        </w:rPr>
        <w:t>have scheduling offset less than timeDurationForQCL</w:t>
      </w:r>
      <w:r>
        <w:rPr>
          <w:rFonts w:ascii="Arial" w:hAnsi="Arial" w:cs="Arial"/>
          <w:lang w:val="en-US" w:eastAsia="ja-JP"/>
        </w:rPr>
        <w:t xml:space="preserve">. </w:t>
      </w:r>
      <w:r w:rsidR="006D54B0">
        <w:rPr>
          <w:rFonts w:ascii="Arial" w:hAnsi="Arial" w:cs="Arial"/>
          <w:lang w:val="en-US" w:eastAsia="ja-JP"/>
        </w:rPr>
        <w:t xml:space="preserve">In RAN1 106-e meeting, two alternatives were identified as follows: </w:t>
      </w:r>
    </w:p>
    <w:tbl>
      <w:tblPr>
        <w:tblStyle w:val="TableGrid"/>
        <w:tblW w:w="0" w:type="auto"/>
        <w:tblLook w:val="04A0" w:firstRow="1" w:lastRow="0" w:firstColumn="1" w:lastColumn="0" w:noHBand="0" w:noVBand="1"/>
      </w:tblPr>
      <w:tblGrid>
        <w:gridCol w:w="9962"/>
      </w:tblGrid>
      <w:tr w:rsidR="006D54B0" w14:paraId="26E97639" w14:textId="77777777" w:rsidTr="006D54B0">
        <w:tc>
          <w:tcPr>
            <w:tcW w:w="9962" w:type="dxa"/>
          </w:tcPr>
          <w:p w14:paraId="7219C98F" w14:textId="77777777" w:rsidR="00B026DA" w:rsidRDefault="00B026DA" w:rsidP="00B026DA">
            <w:pPr>
              <w:spacing w:after="0"/>
              <w:rPr>
                <w:iCs/>
                <w:highlight w:val="green"/>
              </w:rPr>
            </w:pPr>
          </w:p>
          <w:p w14:paraId="5E08205D" w14:textId="26ED210D" w:rsidR="00B026DA" w:rsidRDefault="00B026DA" w:rsidP="00B026DA">
            <w:pPr>
              <w:spacing w:after="0"/>
              <w:rPr>
                <w:iCs/>
              </w:rPr>
            </w:pPr>
            <w:r w:rsidRPr="00886227">
              <w:rPr>
                <w:iCs/>
                <w:highlight w:val="green"/>
              </w:rPr>
              <w:t>Agreement:</w:t>
            </w:r>
          </w:p>
          <w:p w14:paraId="4AA9EE8A" w14:textId="62566AFC" w:rsidR="00B026DA" w:rsidRPr="00886227" w:rsidRDefault="00B026DA" w:rsidP="00B026DA">
            <w:pPr>
              <w:numPr>
                <w:ilvl w:val="0"/>
                <w:numId w:val="37"/>
              </w:numPr>
              <w:overflowPunct/>
              <w:autoSpaceDE/>
              <w:autoSpaceDN/>
              <w:adjustRightInd/>
              <w:spacing w:after="0"/>
              <w:textAlignment w:val="auto"/>
              <w:rPr>
                <w:i/>
                <w:iCs/>
                <w:lang w:val="en-US"/>
              </w:rPr>
            </w:pPr>
            <w:r w:rsidRPr="00886227">
              <w:rPr>
                <w:iCs/>
                <w:lang w:val="en-US"/>
              </w:rPr>
              <w:t xml:space="preserve">PDSCH scheduling offset for any scheduled PDSCH &lt; </w:t>
            </w:r>
            <w:r w:rsidRPr="00886227">
              <w:rPr>
                <w:i/>
                <w:iCs/>
                <w:lang w:val="en-US"/>
              </w:rPr>
              <w:t>timeDurationForQCL</w:t>
            </w:r>
            <w:r w:rsidRPr="00886227">
              <w:rPr>
                <w:iCs/>
                <w:lang w:val="en-US"/>
              </w:rPr>
              <w:t xml:space="preserve"> </w:t>
            </w:r>
          </w:p>
          <w:p w14:paraId="74310C48" w14:textId="77777777" w:rsidR="00B026DA" w:rsidRPr="00886227" w:rsidRDefault="00B026DA" w:rsidP="00B026DA">
            <w:pPr>
              <w:numPr>
                <w:ilvl w:val="1"/>
                <w:numId w:val="37"/>
              </w:numPr>
              <w:overflowPunct/>
              <w:autoSpaceDE/>
              <w:autoSpaceDN/>
              <w:adjustRightInd/>
              <w:spacing w:after="0"/>
              <w:textAlignment w:val="auto"/>
              <w:rPr>
                <w:iCs/>
                <w:lang w:val="en-US"/>
              </w:rPr>
            </w:pPr>
            <w:r w:rsidRPr="00886227">
              <w:rPr>
                <w:iCs/>
                <w:lang w:val="en-US"/>
              </w:rPr>
              <w:t xml:space="preserve">Down select one of the following alternatives </w:t>
            </w:r>
          </w:p>
          <w:p w14:paraId="18B1126E" w14:textId="77777777" w:rsidR="00B026DA" w:rsidRPr="00886227" w:rsidRDefault="00B026DA" w:rsidP="00B026DA">
            <w:pPr>
              <w:numPr>
                <w:ilvl w:val="2"/>
                <w:numId w:val="37"/>
              </w:numPr>
              <w:overflowPunct/>
              <w:autoSpaceDE/>
              <w:autoSpaceDN/>
              <w:adjustRightInd/>
              <w:spacing w:after="0"/>
              <w:textAlignment w:val="auto"/>
              <w:rPr>
                <w:iCs/>
                <w:lang w:val="en-US"/>
              </w:rPr>
            </w:pPr>
            <w:r w:rsidRPr="00886227">
              <w:rPr>
                <w:iCs/>
                <w:lang w:val="en-US"/>
              </w:rPr>
              <w:t xml:space="preserve">Alt 1: Single QCL assumption is applied for all scheduled PDSCHs </w:t>
            </w:r>
          </w:p>
          <w:p w14:paraId="5C1CCB91" w14:textId="77777777" w:rsidR="00B026DA" w:rsidRPr="00886227" w:rsidRDefault="00B026DA" w:rsidP="00B026DA">
            <w:pPr>
              <w:numPr>
                <w:ilvl w:val="3"/>
                <w:numId w:val="37"/>
              </w:numPr>
              <w:overflowPunct/>
              <w:autoSpaceDE/>
              <w:autoSpaceDN/>
              <w:adjustRightInd/>
              <w:spacing w:after="0"/>
              <w:textAlignment w:val="auto"/>
              <w:rPr>
                <w:iCs/>
                <w:lang w:val="en-US"/>
              </w:rPr>
            </w:pPr>
            <w:r w:rsidRPr="00886227">
              <w:rPr>
                <w:iCs/>
                <w:lang w:val="en-US"/>
              </w:rPr>
              <w:t>FFS: Details of single QCL assumption</w:t>
            </w:r>
          </w:p>
          <w:p w14:paraId="57BA7010" w14:textId="77777777" w:rsidR="00B026DA" w:rsidRPr="00886227" w:rsidRDefault="00B026DA" w:rsidP="00B026DA">
            <w:pPr>
              <w:numPr>
                <w:ilvl w:val="2"/>
                <w:numId w:val="37"/>
              </w:numPr>
              <w:overflowPunct/>
              <w:autoSpaceDE/>
              <w:autoSpaceDN/>
              <w:adjustRightInd/>
              <w:spacing w:after="0"/>
              <w:textAlignment w:val="auto"/>
              <w:rPr>
                <w:iCs/>
                <w:lang w:val="en-US"/>
              </w:rPr>
            </w:pPr>
            <w:r w:rsidRPr="00886227">
              <w:rPr>
                <w:iCs/>
                <w:lang w:val="en-US"/>
              </w:rPr>
              <w:t xml:space="preserve">Alt 2: multiple QCL assumptions are applied </w:t>
            </w:r>
          </w:p>
          <w:p w14:paraId="2669EF5B" w14:textId="77777777" w:rsidR="00B026DA" w:rsidRPr="00886227" w:rsidRDefault="00B026DA" w:rsidP="00B026DA">
            <w:pPr>
              <w:numPr>
                <w:ilvl w:val="3"/>
                <w:numId w:val="37"/>
              </w:numPr>
              <w:overflowPunct/>
              <w:autoSpaceDE/>
              <w:autoSpaceDN/>
              <w:adjustRightInd/>
              <w:spacing w:after="0"/>
              <w:textAlignment w:val="auto"/>
              <w:rPr>
                <w:iCs/>
              </w:rPr>
            </w:pPr>
            <w:r w:rsidRPr="00886227">
              <w:rPr>
                <w:iCs/>
                <w:lang w:val="en-US"/>
              </w:rPr>
              <w:t>FFS: Details of multiple QCL assumptions</w:t>
            </w:r>
          </w:p>
          <w:p w14:paraId="49102BDB" w14:textId="77777777" w:rsidR="00B026DA" w:rsidRPr="00886227" w:rsidRDefault="00B026DA" w:rsidP="00B026DA">
            <w:pPr>
              <w:numPr>
                <w:ilvl w:val="0"/>
                <w:numId w:val="37"/>
              </w:numPr>
              <w:overflowPunct/>
              <w:autoSpaceDE/>
              <w:autoSpaceDN/>
              <w:adjustRightInd/>
              <w:spacing w:after="0"/>
              <w:textAlignment w:val="auto"/>
              <w:rPr>
                <w:i/>
                <w:iCs/>
                <w:lang w:val="en-US"/>
              </w:rPr>
            </w:pPr>
            <w:r w:rsidRPr="00886227">
              <w:rPr>
                <w:iCs/>
                <w:lang w:val="en-US"/>
              </w:rPr>
              <w:t xml:space="preserve">FFS: </w:t>
            </w:r>
            <w:r>
              <w:rPr>
                <w:iCs/>
              </w:rPr>
              <w:t>W</w:t>
            </w:r>
            <w:r w:rsidRPr="00886227">
              <w:rPr>
                <w:iCs/>
              </w:rPr>
              <w:t>hen some of PDSCHs are collided with semi-static UL symbols and then skipped</w:t>
            </w:r>
          </w:p>
          <w:p w14:paraId="0C6F5A70" w14:textId="77777777" w:rsidR="00B026DA" w:rsidRPr="00886227" w:rsidRDefault="00B026DA" w:rsidP="00B026DA">
            <w:pPr>
              <w:numPr>
                <w:ilvl w:val="0"/>
                <w:numId w:val="37"/>
              </w:numPr>
              <w:overflowPunct/>
              <w:autoSpaceDE/>
              <w:autoSpaceDN/>
              <w:adjustRightInd/>
              <w:spacing w:after="0"/>
              <w:textAlignment w:val="auto"/>
              <w:rPr>
                <w:i/>
                <w:iCs/>
                <w:lang w:val="en-US"/>
              </w:rPr>
            </w:pPr>
            <w:r w:rsidRPr="00886227">
              <w:rPr>
                <w:iCs/>
              </w:rPr>
              <w:t>FFS: The multi-TRP case</w:t>
            </w:r>
          </w:p>
          <w:p w14:paraId="41BDBC31" w14:textId="77777777" w:rsidR="006D54B0" w:rsidRDefault="006D54B0" w:rsidP="008C0231">
            <w:pPr>
              <w:jc w:val="both"/>
              <w:rPr>
                <w:rFonts w:ascii="Arial" w:hAnsi="Arial" w:cs="Arial"/>
                <w:lang w:val="en-US" w:eastAsia="ja-JP"/>
              </w:rPr>
            </w:pPr>
          </w:p>
        </w:tc>
      </w:tr>
    </w:tbl>
    <w:p w14:paraId="1005EF54" w14:textId="77777777" w:rsidR="006D54B0" w:rsidRDefault="006D54B0" w:rsidP="008C0231">
      <w:pPr>
        <w:jc w:val="both"/>
        <w:rPr>
          <w:rFonts w:ascii="Arial" w:hAnsi="Arial" w:cs="Arial"/>
          <w:lang w:val="en-US" w:eastAsia="ja-JP"/>
        </w:rPr>
      </w:pPr>
    </w:p>
    <w:p w14:paraId="7E07A10A" w14:textId="1DFD8344" w:rsidR="00B026DA" w:rsidRDefault="00C6167C" w:rsidP="008C0231">
      <w:pPr>
        <w:jc w:val="both"/>
        <w:rPr>
          <w:rFonts w:ascii="Arial" w:hAnsi="Arial" w:cs="Arial"/>
          <w:lang w:val="en-US" w:eastAsia="ja-JP"/>
        </w:rPr>
      </w:pPr>
      <w:r>
        <w:rPr>
          <w:rFonts w:ascii="Arial" w:hAnsi="Arial" w:cs="Arial"/>
          <w:lang w:val="en-US" w:eastAsia="ja-JP"/>
        </w:rPr>
        <w:t xml:space="preserve">As already mentioned above, a key design principle for beam management with larger 480/960kHz SCSs is to as much as possible avoid beam switching times due to quite short slot duration. For this reason, Alt.1 is preferable compared to Alt.2. Regarding the single QCL, one possible way is to make it configurable by network based on the latest beam management report from UE. A new MAC CE or scheduling DCI adopted by Rel-17 </w:t>
      </w:r>
      <w:proofErr w:type="spellStart"/>
      <w:r>
        <w:rPr>
          <w:rFonts w:ascii="Arial" w:hAnsi="Arial" w:cs="Arial"/>
          <w:lang w:val="en-US" w:eastAsia="ja-JP"/>
        </w:rPr>
        <w:t>FeMIMO</w:t>
      </w:r>
      <w:proofErr w:type="spellEnd"/>
      <w:r>
        <w:rPr>
          <w:rFonts w:ascii="Arial" w:hAnsi="Arial" w:cs="Arial"/>
          <w:lang w:val="en-US" w:eastAsia="ja-JP"/>
        </w:rPr>
        <w:t xml:space="preserve"> can be further utilized to achieve a faster update of the default QCL assumption.  </w:t>
      </w:r>
    </w:p>
    <w:p w14:paraId="44E5E8D3" w14:textId="5AEDBD33" w:rsidR="00E96998" w:rsidRPr="00E96998" w:rsidRDefault="00E96998" w:rsidP="00E96998">
      <w:pPr>
        <w:spacing w:before="120"/>
        <w:ind w:left="1170" w:hanging="1170"/>
        <w:rPr>
          <w:rFonts w:ascii="Arial" w:hAnsi="Arial" w:cs="Arial"/>
          <w:b/>
          <w:bCs/>
          <w:lang w:eastAsia="ja-JP"/>
        </w:rPr>
      </w:pPr>
      <w:r w:rsidRPr="008E4304">
        <w:rPr>
          <w:rFonts w:ascii="Arial" w:hAnsi="Arial" w:cs="Arial"/>
          <w:b/>
          <w:bCs/>
          <w:lang w:eastAsia="ja-JP"/>
        </w:rPr>
        <w:t xml:space="preserve">Proposal </w:t>
      </w:r>
      <w:r w:rsidR="001D42A4">
        <w:rPr>
          <w:rFonts w:ascii="Arial" w:hAnsi="Arial" w:cs="Arial"/>
          <w:b/>
          <w:bCs/>
          <w:lang w:eastAsia="ja-JP"/>
        </w:rPr>
        <w:t>2</w:t>
      </w:r>
      <w:r w:rsidRPr="008E4304">
        <w:rPr>
          <w:rFonts w:ascii="Arial" w:hAnsi="Arial" w:cs="Arial"/>
          <w:b/>
          <w:bCs/>
          <w:lang w:eastAsia="ja-JP"/>
        </w:rPr>
        <w:t xml:space="preserve">: </w:t>
      </w:r>
      <w:r>
        <w:rPr>
          <w:rFonts w:ascii="Arial" w:hAnsi="Arial" w:cs="Arial"/>
          <w:b/>
          <w:bCs/>
          <w:lang w:eastAsia="ja-JP"/>
        </w:rPr>
        <w:t xml:space="preserve">Support a mechanism to allow a single QCL assumption at least for </w:t>
      </w:r>
      <w:r w:rsidRPr="00C73521">
        <w:rPr>
          <w:rFonts w:ascii="Arial" w:hAnsi="Arial" w:cs="Arial"/>
          <w:b/>
          <w:bCs/>
          <w:lang w:eastAsia="ja-JP"/>
        </w:rPr>
        <w:t>multi-PDSCH schedul</w:t>
      </w:r>
      <w:r>
        <w:rPr>
          <w:rFonts w:ascii="Arial" w:hAnsi="Arial" w:cs="Arial"/>
          <w:b/>
          <w:bCs/>
          <w:lang w:eastAsia="ja-JP"/>
        </w:rPr>
        <w:t>ed</w:t>
      </w:r>
      <w:r w:rsidRPr="00C73521">
        <w:rPr>
          <w:rFonts w:ascii="Arial" w:hAnsi="Arial" w:cs="Arial"/>
          <w:b/>
          <w:bCs/>
          <w:lang w:eastAsia="ja-JP"/>
        </w:rPr>
        <w:t xml:space="preserve"> </w:t>
      </w:r>
      <w:r>
        <w:rPr>
          <w:rFonts w:ascii="Arial" w:hAnsi="Arial" w:cs="Arial"/>
          <w:b/>
          <w:bCs/>
          <w:lang w:eastAsia="ja-JP"/>
        </w:rPr>
        <w:t>by</w:t>
      </w:r>
      <w:r w:rsidRPr="00C73521">
        <w:rPr>
          <w:rFonts w:ascii="Arial" w:hAnsi="Arial" w:cs="Arial"/>
          <w:b/>
          <w:bCs/>
          <w:lang w:eastAsia="ja-JP"/>
        </w:rPr>
        <w:t xml:space="preserve"> a single DCI</w:t>
      </w:r>
      <w:r>
        <w:rPr>
          <w:rFonts w:ascii="Arial" w:hAnsi="Arial" w:cs="Arial"/>
          <w:b/>
          <w:bCs/>
          <w:lang w:eastAsia="ja-JP"/>
        </w:rPr>
        <w:t xml:space="preserve"> that have</w:t>
      </w:r>
      <w:r w:rsidRPr="00477625">
        <w:rPr>
          <w:rFonts w:ascii="Arial" w:hAnsi="Arial" w:cs="Arial"/>
          <w:lang w:eastAsia="x-none"/>
        </w:rPr>
        <w:t xml:space="preserve"> </w:t>
      </w:r>
      <w:r w:rsidRPr="00C92668">
        <w:rPr>
          <w:rFonts w:ascii="Arial" w:hAnsi="Arial" w:cs="Arial"/>
          <w:b/>
          <w:bCs/>
          <w:lang w:eastAsia="ja-JP"/>
        </w:rPr>
        <w:t>scheduling offset less than timeDurationForQCL</w:t>
      </w:r>
      <w:r>
        <w:rPr>
          <w:rFonts w:ascii="Arial" w:hAnsi="Arial" w:cs="Arial"/>
          <w:b/>
          <w:bCs/>
          <w:lang w:eastAsia="ja-JP"/>
        </w:rPr>
        <w:t xml:space="preserve">.   </w:t>
      </w:r>
    </w:p>
    <w:p w14:paraId="0830A7F2" w14:textId="77777777" w:rsidR="00BF15D2" w:rsidRDefault="00BF15D2" w:rsidP="008F72B1">
      <w:pPr>
        <w:jc w:val="both"/>
        <w:rPr>
          <w:rFonts w:ascii="Arial" w:hAnsi="Arial" w:cs="Arial"/>
          <w:lang w:val="en-US" w:eastAsia="ja-JP"/>
        </w:rPr>
      </w:pPr>
    </w:p>
    <w:p w14:paraId="5BA5D7B4" w14:textId="051DE18F" w:rsidR="008A5BE5" w:rsidRDefault="00C6167C" w:rsidP="008F72B1">
      <w:pPr>
        <w:jc w:val="both"/>
        <w:rPr>
          <w:rFonts w:ascii="Arial" w:hAnsi="Arial" w:cs="Arial"/>
          <w:lang w:val="en-US" w:eastAsia="ja-JP"/>
        </w:rPr>
      </w:pPr>
      <w:r>
        <w:rPr>
          <w:rFonts w:ascii="Arial" w:hAnsi="Arial" w:cs="Arial"/>
          <w:lang w:val="en-US" w:eastAsia="ja-JP"/>
        </w:rPr>
        <w:t>One more relevant FFS aspect is how to handle the MOs within different QCL</w:t>
      </w:r>
      <w:r w:rsidR="006C3967">
        <w:rPr>
          <w:rFonts w:ascii="Arial" w:hAnsi="Arial" w:cs="Arial"/>
          <w:lang w:val="en-US" w:eastAsia="ja-JP"/>
        </w:rPr>
        <w:t xml:space="preserve"> assumptions</w:t>
      </w:r>
      <w:r>
        <w:rPr>
          <w:rFonts w:ascii="Arial" w:hAnsi="Arial" w:cs="Arial"/>
          <w:lang w:val="en-US" w:eastAsia="ja-JP"/>
        </w:rPr>
        <w:t xml:space="preserve"> within a multi-PDSCH duration.</w:t>
      </w:r>
      <w:r w:rsidR="006C3967">
        <w:rPr>
          <w:rFonts w:ascii="Arial" w:hAnsi="Arial" w:cs="Arial"/>
          <w:lang w:val="en-US" w:eastAsia="ja-JP"/>
        </w:rPr>
        <w:t xml:space="preserve"> It should be noted that it can happen in principle due to separate configurations of MOs and multi-PDSCH scheduling.</w:t>
      </w:r>
      <w:r>
        <w:rPr>
          <w:rFonts w:ascii="Arial" w:hAnsi="Arial" w:cs="Arial"/>
          <w:lang w:val="en-US" w:eastAsia="ja-JP"/>
        </w:rPr>
        <w:t xml:space="preserve"> </w:t>
      </w:r>
      <w:r w:rsidR="008A5BE5">
        <w:rPr>
          <w:rFonts w:ascii="Arial" w:hAnsi="Arial" w:cs="Arial"/>
          <w:lang w:val="en-US" w:eastAsia="ja-JP"/>
        </w:rPr>
        <w:t xml:space="preserve">In </w:t>
      </w:r>
      <w:r w:rsidR="008F72B1">
        <w:rPr>
          <w:rFonts w:ascii="Arial" w:hAnsi="Arial" w:cs="Arial"/>
          <w:lang w:val="en-US" w:eastAsia="ja-JP"/>
        </w:rPr>
        <w:t>the light</w:t>
      </w:r>
      <w:r w:rsidR="008A5BE5">
        <w:rPr>
          <w:rFonts w:ascii="Arial" w:hAnsi="Arial" w:cs="Arial"/>
          <w:lang w:val="en-US" w:eastAsia="ja-JP"/>
        </w:rPr>
        <w:t xml:space="preserve"> of </w:t>
      </w:r>
      <w:r w:rsidR="008F72B1">
        <w:rPr>
          <w:rFonts w:ascii="Arial" w:hAnsi="Arial" w:cs="Arial"/>
          <w:lang w:val="en-US" w:eastAsia="ja-JP"/>
        </w:rPr>
        <w:t xml:space="preserve">a </w:t>
      </w:r>
      <w:r w:rsidR="008A5BE5">
        <w:rPr>
          <w:rFonts w:ascii="Arial" w:hAnsi="Arial" w:cs="Arial"/>
          <w:lang w:val="en-US" w:eastAsia="ja-JP"/>
        </w:rPr>
        <w:t xml:space="preserve">single QCL for </w:t>
      </w:r>
      <w:r w:rsidR="008F72B1">
        <w:rPr>
          <w:rFonts w:ascii="Arial" w:hAnsi="Arial" w:cs="Arial"/>
          <w:lang w:val="en-US" w:eastAsia="ja-JP"/>
        </w:rPr>
        <w:t xml:space="preserve">the </w:t>
      </w:r>
      <w:r w:rsidR="008A5BE5">
        <w:rPr>
          <w:rFonts w:ascii="Arial" w:hAnsi="Arial" w:cs="Arial"/>
          <w:lang w:val="en-US" w:eastAsia="ja-JP"/>
        </w:rPr>
        <w:t xml:space="preserve">PDSCHs </w:t>
      </w:r>
      <w:r w:rsidR="008F72B1">
        <w:rPr>
          <w:rFonts w:ascii="Arial" w:hAnsi="Arial" w:cs="Arial"/>
          <w:lang w:val="en-US" w:eastAsia="ja-JP"/>
        </w:rPr>
        <w:t>with</w:t>
      </w:r>
      <w:r w:rsidR="008A5BE5">
        <w:rPr>
          <w:rFonts w:ascii="Arial" w:hAnsi="Arial" w:cs="Arial"/>
          <w:lang w:val="en-US" w:eastAsia="ja-JP"/>
        </w:rPr>
        <w:t xml:space="preserve"> scheduling offset less than </w:t>
      </w:r>
      <w:r w:rsidR="008A5BE5" w:rsidRPr="008A5BE5">
        <w:rPr>
          <w:rFonts w:ascii="Arial" w:hAnsi="Arial" w:cs="Arial"/>
          <w:i/>
          <w:iCs/>
          <w:lang w:val="en-US" w:eastAsia="ja-JP"/>
        </w:rPr>
        <w:t>timeDurationForQCL</w:t>
      </w:r>
      <w:r w:rsidR="008A5BE5">
        <w:rPr>
          <w:rFonts w:ascii="Arial" w:hAnsi="Arial" w:cs="Arial"/>
          <w:lang w:val="en-US" w:eastAsia="ja-JP"/>
        </w:rPr>
        <w:t xml:space="preserve">, the PDCCH MOs with different QCL assumption with the single default beam should be skipped such that beam switching for PDCCH monitoring can be mitigated. </w:t>
      </w:r>
      <w:r w:rsidR="008A5BE5" w:rsidRPr="008A5BE5">
        <w:rPr>
          <w:rFonts w:ascii="Arial" w:hAnsi="Arial" w:cs="Arial"/>
          <w:lang w:val="en-US" w:eastAsia="ja-JP"/>
        </w:rPr>
        <w:t xml:space="preserve">   </w:t>
      </w:r>
    </w:p>
    <w:p w14:paraId="74F754DF" w14:textId="5ACD4418" w:rsidR="00A02225" w:rsidRDefault="008C0231" w:rsidP="008C0231">
      <w:pPr>
        <w:jc w:val="both"/>
        <w:rPr>
          <w:rFonts w:ascii="Arial" w:hAnsi="Arial" w:cs="Arial"/>
          <w:lang w:val="en-US" w:eastAsia="ja-JP"/>
        </w:rPr>
      </w:pPr>
      <w:r>
        <w:rPr>
          <w:rFonts w:ascii="Arial" w:hAnsi="Arial" w:cs="Arial"/>
          <w:lang w:val="en-US" w:eastAsia="ja-JP"/>
        </w:rPr>
        <w:t xml:space="preserve"> </w:t>
      </w:r>
    </w:p>
    <w:p w14:paraId="0E438F8C" w14:textId="6B2213E9" w:rsidR="00A02225" w:rsidRPr="003C4E70" w:rsidRDefault="00E96998" w:rsidP="00E96998">
      <w:pPr>
        <w:ind w:left="1170" w:hanging="1170"/>
        <w:rPr>
          <w:rFonts w:ascii="Arial" w:hAnsi="Arial" w:cs="Arial"/>
          <w:lang w:val="en-US" w:eastAsia="ja-JP"/>
        </w:rPr>
      </w:pPr>
      <w:r w:rsidRPr="008E4304">
        <w:rPr>
          <w:rFonts w:ascii="Arial" w:hAnsi="Arial" w:cs="Arial"/>
          <w:b/>
          <w:bCs/>
          <w:lang w:eastAsia="ja-JP"/>
        </w:rPr>
        <w:t xml:space="preserve">Proposal </w:t>
      </w:r>
      <w:r w:rsidR="001D42A4">
        <w:rPr>
          <w:rFonts w:ascii="Arial" w:hAnsi="Arial" w:cs="Arial"/>
          <w:b/>
          <w:bCs/>
          <w:lang w:eastAsia="ja-JP"/>
        </w:rPr>
        <w:t>3</w:t>
      </w:r>
      <w:r w:rsidRPr="008E4304">
        <w:rPr>
          <w:rFonts w:ascii="Arial" w:hAnsi="Arial" w:cs="Arial"/>
          <w:b/>
          <w:bCs/>
          <w:lang w:eastAsia="ja-JP"/>
        </w:rPr>
        <w:t>:</w:t>
      </w:r>
      <w:r>
        <w:rPr>
          <w:rFonts w:ascii="Arial" w:hAnsi="Arial" w:cs="Arial"/>
          <w:b/>
          <w:bCs/>
          <w:lang w:eastAsia="ja-JP"/>
        </w:rPr>
        <w:t xml:space="preserve"> </w:t>
      </w:r>
      <w:r w:rsidR="008A5BE5">
        <w:rPr>
          <w:rFonts w:ascii="Arial" w:hAnsi="Arial" w:cs="Arial"/>
          <w:b/>
          <w:bCs/>
          <w:lang w:eastAsia="ja-JP"/>
        </w:rPr>
        <w:t>A UE skips</w:t>
      </w:r>
      <w:r>
        <w:rPr>
          <w:rFonts w:ascii="Arial" w:hAnsi="Arial" w:cs="Arial"/>
          <w:b/>
          <w:bCs/>
          <w:lang w:eastAsia="ja-JP"/>
        </w:rPr>
        <w:t xml:space="preserve"> PDCCH monitoring</w:t>
      </w:r>
      <w:r w:rsidR="008A5BE5">
        <w:rPr>
          <w:rFonts w:ascii="Arial" w:hAnsi="Arial" w:cs="Arial"/>
          <w:b/>
          <w:bCs/>
          <w:lang w:eastAsia="ja-JP"/>
        </w:rPr>
        <w:t xml:space="preserve"> for MOs </w:t>
      </w:r>
      <w:r>
        <w:rPr>
          <w:rFonts w:ascii="Arial" w:hAnsi="Arial" w:cs="Arial"/>
          <w:b/>
          <w:bCs/>
          <w:lang w:eastAsia="ja-JP"/>
        </w:rPr>
        <w:t>within the multi-PDSCH duration</w:t>
      </w:r>
      <w:r w:rsidR="008A5BE5">
        <w:rPr>
          <w:rFonts w:ascii="Arial" w:hAnsi="Arial" w:cs="Arial"/>
          <w:b/>
          <w:bCs/>
          <w:lang w:eastAsia="ja-JP"/>
        </w:rPr>
        <w:t xml:space="preserve"> </w:t>
      </w:r>
      <w:r w:rsidR="008A5BE5" w:rsidRPr="008A5BE5">
        <w:rPr>
          <w:rFonts w:ascii="Arial" w:hAnsi="Arial" w:cs="Arial"/>
          <w:b/>
          <w:bCs/>
          <w:lang w:eastAsia="ja-JP"/>
        </w:rPr>
        <w:t xml:space="preserve">that have scheduling offset less than </w:t>
      </w:r>
      <w:r w:rsidR="008A5BE5" w:rsidRPr="008A5BE5">
        <w:rPr>
          <w:rFonts w:ascii="Arial" w:hAnsi="Arial" w:cs="Arial"/>
          <w:b/>
          <w:bCs/>
          <w:i/>
          <w:iCs/>
          <w:lang w:eastAsia="ja-JP"/>
        </w:rPr>
        <w:t>timeDurationForQCL</w:t>
      </w:r>
      <w:r w:rsidR="00B84AC7">
        <w:rPr>
          <w:rFonts w:ascii="Arial" w:hAnsi="Arial" w:cs="Arial"/>
          <w:b/>
          <w:bCs/>
          <w:i/>
          <w:iCs/>
          <w:lang w:eastAsia="ja-JP"/>
        </w:rPr>
        <w:t xml:space="preserve">, </w:t>
      </w:r>
      <w:r w:rsidR="00B84AC7" w:rsidRPr="00B84AC7">
        <w:rPr>
          <w:rFonts w:ascii="Arial" w:hAnsi="Arial" w:cs="Arial"/>
          <w:b/>
          <w:bCs/>
          <w:lang w:eastAsia="ja-JP"/>
        </w:rPr>
        <w:t xml:space="preserve">if they </w:t>
      </w:r>
      <w:r w:rsidR="00B84AC7">
        <w:rPr>
          <w:rFonts w:ascii="Arial" w:hAnsi="Arial" w:cs="Arial"/>
          <w:b/>
          <w:bCs/>
          <w:lang w:eastAsia="ja-JP"/>
        </w:rPr>
        <w:t>have different QCL assumptions with the overlapped PDSCH</w:t>
      </w:r>
      <w:r>
        <w:rPr>
          <w:rFonts w:ascii="Arial" w:hAnsi="Arial" w:cs="Arial"/>
          <w:b/>
          <w:bCs/>
          <w:lang w:eastAsia="ja-JP"/>
        </w:rPr>
        <w:t xml:space="preserve">. </w:t>
      </w:r>
    </w:p>
    <w:p w14:paraId="7B4EFC78" w14:textId="77777777" w:rsidR="008E4304" w:rsidRPr="00484947" w:rsidRDefault="008E4304" w:rsidP="00F4219B">
      <w:pPr>
        <w:rPr>
          <w:rFonts w:ascii="Arial" w:hAnsi="Arial" w:cs="Arial"/>
          <w:lang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lastRenderedPageBreak/>
        <w:t>3. C</w:t>
      </w:r>
      <w:r w:rsidRPr="00404C4B">
        <w:rPr>
          <w:rFonts w:cs="Arial"/>
          <w:lang w:val="en-US" w:eastAsia="zh-CN"/>
        </w:rPr>
        <w:t xml:space="preserve">onclusion </w:t>
      </w:r>
    </w:p>
    <w:p w14:paraId="2A691B3E" w14:textId="28F3DCBC" w:rsidR="00D3488C" w:rsidRPr="001258B7" w:rsidRDefault="006E2C0F" w:rsidP="001258B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on </w:t>
      </w:r>
      <w:r w:rsidR="00F44AAE">
        <w:rPr>
          <w:rFonts w:ascii="Arial" w:hAnsi="Arial" w:cs="Arial"/>
          <w:lang w:val="en-US"/>
        </w:rPr>
        <w:t>open issues</w:t>
      </w:r>
      <w:r w:rsidR="001258B7">
        <w:rPr>
          <w:rFonts w:ascii="Arial" w:hAnsi="Arial" w:cs="Arial"/>
          <w:lang w:val="en-US"/>
        </w:rPr>
        <w:t xml:space="preserve"> related to </w:t>
      </w:r>
      <w:r w:rsidR="00544BEC">
        <w:rPr>
          <w:rFonts w:ascii="Arial" w:hAnsi="Arial" w:cs="Arial"/>
          <w:lang w:val="en-US"/>
        </w:rPr>
        <w:t>beam management enhancement</w:t>
      </w:r>
      <w:r w:rsidR="0036562B">
        <w:rPr>
          <w:rFonts w:ascii="Arial" w:hAnsi="Arial" w:cs="Arial"/>
          <w:lang w:val="en-US"/>
        </w:rPr>
        <w:t xml:space="preserve"> with new SCSs</w:t>
      </w:r>
      <w:r w:rsidR="00544BEC">
        <w:rPr>
          <w:rFonts w:ascii="Arial" w:hAnsi="Arial" w:cs="Arial"/>
          <w:lang w:val="en-US"/>
        </w:rPr>
        <w:t xml:space="preserve"> </w:t>
      </w:r>
      <w:r w:rsidR="001258B7">
        <w:rPr>
          <w:rFonts w:ascii="Arial" w:hAnsi="Arial" w:cs="Arial"/>
          <w:lang w:val="en-US"/>
        </w:rPr>
        <w:t>on above 52.6GHz frequency bands.</w:t>
      </w:r>
      <w:r w:rsidR="00F44AAE">
        <w:rPr>
          <w:rFonts w:ascii="Arial" w:hAnsi="Arial" w:cs="Arial"/>
          <w:lang w:val="en-US"/>
        </w:rPr>
        <w:t xml:space="preserve"> </w:t>
      </w:r>
      <w:r w:rsidR="00E100E8" w:rsidRPr="00404C4B">
        <w:rPr>
          <w:rFonts w:ascii="Arial" w:hAnsi="Arial" w:cs="Arial"/>
          <w:lang w:val="en-US"/>
        </w:rPr>
        <w:t>Based on the discussions above,</w:t>
      </w:r>
      <w:r w:rsidR="0010617E" w:rsidRPr="00404C4B">
        <w:rPr>
          <w:rFonts w:ascii="Arial" w:hAnsi="Arial" w:cs="Arial"/>
          <w:lang w:val="en-US"/>
        </w:rPr>
        <w:t xml:space="preserve"> the following was proposed: </w:t>
      </w:r>
    </w:p>
    <w:p w14:paraId="532AB6D7" w14:textId="77777777" w:rsidR="00CE6384" w:rsidRDefault="00CE6384" w:rsidP="00CE6384">
      <w:pPr>
        <w:ind w:left="1170" w:hanging="1170"/>
        <w:rPr>
          <w:rFonts w:ascii="Arial" w:hAnsi="Arial" w:cs="Arial"/>
          <w:lang w:eastAsia="zh-CN"/>
        </w:rPr>
      </w:pPr>
      <w:r w:rsidRPr="008E4304">
        <w:rPr>
          <w:rFonts w:ascii="Arial" w:hAnsi="Arial" w:cs="Arial"/>
          <w:b/>
          <w:bCs/>
          <w:lang w:eastAsia="ja-JP"/>
        </w:rPr>
        <w:t xml:space="preserve">Proposal </w:t>
      </w:r>
      <w:r>
        <w:rPr>
          <w:rFonts w:ascii="Arial" w:hAnsi="Arial" w:cs="Arial"/>
          <w:b/>
          <w:bCs/>
          <w:lang w:eastAsia="ja-JP"/>
        </w:rPr>
        <w:t>1</w:t>
      </w:r>
      <w:r w:rsidRPr="008E4304">
        <w:rPr>
          <w:rFonts w:ascii="Arial" w:hAnsi="Arial" w:cs="Arial"/>
          <w:b/>
          <w:bCs/>
          <w:lang w:eastAsia="ja-JP"/>
        </w:rPr>
        <w:t xml:space="preserve">: </w:t>
      </w:r>
      <w:r>
        <w:rPr>
          <w:rFonts w:ascii="Arial" w:hAnsi="Arial" w:cs="Arial"/>
          <w:b/>
          <w:bCs/>
          <w:lang w:eastAsia="ja-JP"/>
        </w:rPr>
        <w:t xml:space="preserve">The minimum guard period between two SRS resources of an SRS resource set for antenna switching are defined as ‘8’ symbols and ‘16’ symbols for 480kHz and 960kHz SCS, respectively.    </w:t>
      </w:r>
      <w:r>
        <w:rPr>
          <w:rFonts w:ascii="Arial" w:hAnsi="Arial" w:cs="Arial"/>
          <w:lang w:eastAsia="zh-CN"/>
        </w:rPr>
        <w:t xml:space="preserve">     </w:t>
      </w:r>
    </w:p>
    <w:p w14:paraId="2B9FC5AB" w14:textId="43AB65BC" w:rsidR="00CE6384" w:rsidRPr="00E96998" w:rsidRDefault="00CE6384" w:rsidP="00CE6384">
      <w:pPr>
        <w:spacing w:before="120"/>
        <w:ind w:left="1170" w:hanging="1170"/>
        <w:rPr>
          <w:rFonts w:ascii="Arial" w:hAnsi="Arial" w:cs="Arial"/>
          <w:b/>
          <w:bCs/>
          <w:lang w:eastAsia="ja-JP"/>
        </w:rPr>
      </w:pPr>
      <w:r w:rsidRPr="008E4304">
        <w:rPr>
          <w:rFonts w:ascii="Arial" w:hAnsi="Arial" w:cs="Arial"/>
          <w:b/>
          <w:bCs/>
          <w:lang w:eastAsia="ja-JP"/>
        </w:rPr>
        <w:t xml:space="preserve">Proposal </w:t>
      </w:r>
      <w:r w:rsidR="001D42A4">
        <w:rPr>
          <w:rFonts w:ascii="Arial" w:hAnsi="Arial" w:cs="Arial"/>
          <w:b/>
          <w:bCs/>
          <w:lang w:eastAsia="ja-JP"/>
        </w:rPr>
        <w:t>2</w:t>
      </w:r>
      <w:r w:rsidRPr="008E4304">
        <w:rPr>
          <w:rFonts w:ascii="Arial" w:hAnsi="Arial" w:cs="Arial"/>
          <w:b/>
          <w:bCs/>
          <w:lang w:eastAsia="ja-JP"/>
        </w:rPr>
        <w:t xml:space="preserve">: </w:t>
      </w:r>
      <w:r>
        <w:rPr>
          <w:rFonts w:ascii="Arial" w:hAnsi="Arial" w:cs="Arial"/>
          <w:b/>
          <w:bCs/>
          <w:lang w:eastAsia="ja-JP"/>
        </w:rPr>
        <w:t xml:space="preserve">Support a mechanism to allow a single QCL assumption at least for </w:t>
      </w:r>
      <w:r w:rsidRPr="00C73521">
        <w:rPr>
          <w:rFonts w:ascii="Arial" w:hAnsi="Arial" w:cs="Arial"/>
          <w:b/>
          <w:bCs/>
          <w:lang w:eastAsia="ja-JP"/>
        </w:rPr>
        <w:t>multi-PDSCH schedul</w:t>
      </w:r>
      <w:r>
        <w:rPr>
          <w:rFonts w:ascii="Arial" w:hAnsi="Arial" w:cs="Arial"/>
          <w:b/>
          <w:bCs/>
          <w:lang w:eastAsia="ja-JP"/>
        </w:rPr>
        <w:t>ed</w:t>
      </w:r>
      <w:r w:rsidRPr="00C73521">
        <w:rPr>
          <w:rFonts w:ascii="Arial" w:hAnsi="Arial" w:cs="Arial"/>
          <w:b/>
          <w:bCs/>
          <w:lang w:eastAsia="ja-JP"/>
        </w:rPr>
        <w:t xml:space="preserve"> </w:t>
      </w:r>
      <w:r>
        <w:rPr>
          <w:rFonts w:ascii="Arial" w:hAnsi="Arial" w:cs="Arial"/>
          <w:b/>
          <w:bCs/>
          <w:lang w:eastAsia="ja-JP"/>
        </w:rPr>
        <w:t>by</w:t>
      </w:r>
      <w:r w:rsidRPr="00C73521">
        <w:rPr>
          <w:rFonts w:ascii="Arial" w:hAnsi="Arial" w:cs="Arial"/>
          <w:b/>
          <w:bCs/>
          <w:lang w:eastAsia="ja-JP"/>
        </w:rPr>
        <w:t xml:space="preserve"> a single DCI</w:t>
      </w:r>
      <w:r>
        <w:rPr>
          <w:rFonts w:ascii="Arial" w:hAnsi="Arial" w:cs="Arial"/>
          <w:b/>
          <w:bCs/>
          <w:lang w:eastAsia="ja-JP"/>
        </w:rPr>
        <w:t xml:space="preserve"> that have</w:t>
      </w:r>
      <w:r w:rsidRPr="00477625">
        <w:rPr>
          <w:rFonts w:ascii="Arial" w:hAnsi="Arial" w:cs="Arial"/>
          <w:lang w:eastAsia="x-none"/>
        </w:rPr>
        <w:t xml:space="preserve"> </w:t>
      </w:r>
      <w:r w:rsidRPr="00C92668">
        <w:rPr>
          <w:rFonts w:ascii="Arial" w:hAnsi="Arial" w:cs="Arial"/>
          <w:b/>
          <w:bCs/>
          <w:lang w:eastAsia="ja-JP"/>
        </w:rPr>
        <w:t>scheduling offset less than timeDurationForQCL</w:t>
      </w:r>
      <w:r>
        <w:rPr>
          <w:rFonts w:ascii="Arial" w:hAnsi="Arial" w:cs="Arial"/>
          <w:b/>
          <w:bCs/>
          <w:lang w:eastAsia="ja-JP"/>
        </w:rPr>
        <w:t xml:space="preserve">.   </w:t>
      </w:r>
    </w:p>
    <w:p w14:paraId="7EABE54C" w14:textId="181A1335" w:rsidR="005534DB" w:rsidRPr="003C4E70" w:rsidRDefault="005534DB" w:rsidP="005534DB">
      <w:pPr>
        <w:ind w:left="1170" w:hanging="1170"/>
        <w:rPr>
          <w:rFonts w:ascii="Arial" w:hAnsi="Arial" w:cs="Arial"/>
          <w:lang w:val="en-US" w:eastAsia="ja-JP"/>
        </w:rPr>
      </w:pPr>
      <w:r w:rsidRPr="008E4304">
        <w:rPr>
          <w:rFonts w:ascii="Arial" w:hAnsi="Arial" w:cs="Arial"/>
          <w:b/>
          <w:bCs/>
          <w:lang w:eastAsia="ja-JP"/>
        </w:rPr>
        <w:t xml:space="preserve">Proposal </w:t>
      </w:r>
      <w:r w:rsidR="001D42A4">
        <w:rPr>
          <w:rFonts w:ascii="Arial" w:hAnsi="Arial" w:cs="Arial"/>
          <w:b/>
          <w:bCs/>
          <w:lang w:eastAsia="ja-JP"/>
        </w:rPr>
        <w:t>3</w:t>
      </w:r>
      <w:r w:rsidRPr="008E4304">
        <w:rPr>
          <w:rFonts w:ascii="Arial" w:hAnsi="Arial" w:cs="Arial"/>
          <w:b/>
          <w:bCs/>
          <w:lang w:eastAsia="ja-JP"/>
        </w:rPr>
        <w:t>:</w:t>
      </w:r>
      <w:r>
        <w:rPr>
          <w:rFonts w:ascii="Arial" w:hAnsi="Arial" w:cs="Arial"/>
          <w:b/>
          <w:bCs/>
          <w:lang w:eastAsia="ja-JP"/>
        </w:rPr>
        <w:t xml:space="preserve"> A UE skips PDCCH monitoring for MOs within the multi-PDSCH duration </w:t>
      </w:r>
      <w:r w:rsidRPr="008A5BE5">
        <w:rPr>
          <w:rFonts w:ascii="Arial" w:hAnsi="Arial" w:cs="Arial"/>
          <w:b/>
          <w:bCs/>
          <w:lang w:eastAsia="ja-JP"/>
        </w:rPr>
        <w:t xml:space="preserve">that have scheduling offset less than </w:t>
      </w:r>
      <w:proofErr w:type="gramStart"/>
      <w:r w:rsidRPr="008A5BE5">
        <w:rPr>
          <w:rFonts w:ascii="Arial" w:hAnsi="Arial" w:cs="Arial"/>
          <w:b/>
          <w:bCs/>
          <w:i/>
          <w:iCs/>
          <w:lang w:eastAsia="ja-JP"/>
        </w:rPr>
        <w:t>timeDurationForQCL</w:t>
      </w:r>
      <w:r>
        <w:rPr>
          <w:rFonts w:ascii="Arial" w:hAnsi="Arial" w:cs="Arial"/>
          <w:b/>
          <w:bCs/>
          <w:i/>
          <w:iCs/>
          <w:lang w:eastAsia="ja-JP"/>
        </w:rPr>
        <w:t xml:space="preserve">, </w:t>
      </w:r>
      <w:r w:rsidRPr="00B84AC7">
        <w:rPr>
          <w:rFonts w:ascii="Arial" w:hAnsi="Arial" w:cs="Arial"/>
          <w:b/>
          <w:bCs/>
          <w:lang w:eastAsia="ja-JP"/>
        </w:rPr>
        <w:t>if</w:t>
      </w:r>
      <w:proofErr w:type="gramEnd"/>
      <w:r w:rsidRPr="00B84AC7">
        <w:rPr>
          <w:rFonts w:ascii="Arial" w:hAnsi="Arial" w:cs="Arial"/>
          <w:b/>
          <w:bCs/>
          <w:lang w:eastAsia="ja-JP"/>
        </w:rPr>
        <w:t xml:space="preserve"> they </w:t>
      </w:r>
      <w:r>
        <w:rPr>
          <w:rFonts w:ascii="Arial" w:hAnsi="Arial" w:cs="Arial"/>
          <w:b/>
          <w:bCs/>
          <w:lang w:eastAsia="ja-JP"/>
        </w:rPr>
        <w:t xml:space="preserve">have different QCL assumptions with the overlapped PDSCH. </w:t>
      </w:r>
    </w:p>
    <w:p w14:paraId="48C43E88" w14:textId="77777777" w:rsidR="00CE6384" w:rsidRDefault="00CE6384" w:rsidP="003628C0">
      <w:pPr>
        <w:spacing w:before="120"/>
        <w:ind w:left="1170" w:hanging="1170"/>
        <w:rPr>
          <w:rFonts w:ascii="Arial" w:hAnsi="Arial" w:cs="Arial"/>
          <w:b/>
          <w:bCs/>
          <w:lang w:eastAsia="ja-JP"/>
        </w:rPr>
      </w:pPr>
    </w:p>
    <w:p w14:paraId="77CB1E3A" w14:textId="46539EFD" w:rsidR="0081701C" w:rsidRDefault="0081701C" w:rsidP="003628C0">
      <w:pPr>
        <w:spacing w:before="120"/>
        <w:ind w:left="1170" w:hanging="1170"/>
        <w:rPr>
          <w:rFonts w:ascii="Arial" w:hAnsi="Arial" w:cs="Arial"/>
          <w:b/>
          <w:bCs/>
          <w:lang w:eastAsia="ja-JP"/>
        </w:rPr>
      </w:pPr>
    </w:p>
    <w:p w14:paraId="11073CEF" w14:textId="77777777" w:rsidR="0081701C" w:rsidRPr="003628C0" w:rsidRDefault="0081701C" w:rsidP="003628C0">
      <w:pPr>
        <w:spacing w:before="120"/>
        <w:ind w:left="1170" w:hanging="1170"/>
        <w:rPr>
          <w:rFonts w:ascii="Arial" w:hAnsi="Arial" w:cs="Arial"/>
          <w:b/>
          <w:bCs/>
          <w:lang w:eastAsia="ja-JP"/>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57A474E5" w14:textId="2975A325" w:rsidR="006A36F1" w:rsidRPr="006A36F1" w:rsidRDefault="006A36F1" w:rsidP="006A36F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w:t>
      </w:r>
      <w:r w:rsidR="008A5BE5">
        <w:rPr>
          <w:rFonts w:ascii="Arial" w:hAnsi="Arial" w:cs="Arial"/>
          <w:lang w:val="en-US" w:eastAsia="zh-CN"/>
        </w:rPr>
        <w:t xml:space="preserve">6 </w:t>
      </w:r>
      <w:r>
        <w:rPr>
          <w:rFonts w:ascii="Arial" w:hAnsi="Arial" w:cs="Arial"/>
          <w:lang w:val="en-US" w:eastAsia="zh-CN"/>
        </w:rPr>
        <w:t>e-meeting</w:t>
      </w:r>
      <w:r w:rsidRPr="006C372E">
        <w:rPr>
          <w:rFonts w:ascii="Arial" w:hAnsi="Arial" w:cs="Arial"/>
          <w:lang w:val="en-US" w:eastAsia="zh-CN"/>
        </w:rPr>
        <w:t xml:space="preserve"> </w:t>
      </w:r>
      <w:r>
        <w:rPr>
          <w:rFonts w:ascii="Arial" w:hAnsi="Arial" w:cs="Arial"/>
          <w:lang w:val="en-US" w:eastAsia="zh-CN"/>
        </w:rPr>
        <w:t xml:space="preserve">Chairman notes </w:t>
      </w:r>
    </w:p>
    <w:p w14:paraId="46778E41" w14:textId="77777777" w:rsidR="00D02F45" w:rsidRDefault="00FE32B7" w:rsidP="003628C0">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w:t>
      </w:r>
      <w:r w:rsidR="00D56275">
        <w:rPr>
          <w:rFonts w:ascii="Arial" w:hAnsi="Arial" w:cs="Arial"/>
          <w:lang w:val="en-US" w:eastAsia="zh-CN"/>
        </w:rPr>
        <w:t>6</w:t>
      </w:r>
      <w:r w:rsidR="008A5BE5">
        <w:rPr>
          <w:rFonts w:ascii="Arial" w:hAnsi="Arial" w:cs="Arial"/>
          <w:lang w:val="en-US" w:eastAsia="zh-CN"/>
        </w:rPr>
        <w:t>bis</w:t>
      </w:r>
      <w:r>
        <w:rPr>
          <w:rFonts w:ascii="Arial" w:hAnsi="Arial" w:cs="Arial"/>
          <w:lang w:val="en-US" w:eastAsia="zh-CN"/>
        </w:rPr>
        <w:t xml:space="preserve"> e-meeting</w:t>
      </w:r>
      <w:r w:rsidRPr="006C372E">
        <w:rPr>
          <w:rFonts w:ascii="Arial" w:hAnsi="Arial" w:cs="Arial"/>
          <w:lang w:val="en-US" w:eastAsia="zh-CN"/>
        </w:rPr>
        <w:t xml:space="preserve"> </w:t>
      </w:r>
      <w:r>
        <w:rPr>
          <w:rFonts w:ascii="Arial" w:hAnsi="Arial" w:cs="Arial"/>
          <w:lang w:val="en-US" w:eastAsia="zh-CN"/>
        </w:rPr>
        <w:t>Chairman notes</w:t>
      </w:r>
    </w:p>
    <w:p w14:paraId="69293581" w14:textId="6C42B317" w:rsidR="007A7D4E" w:rsidRPr="003628C0" w:rsidRDefault="00D02F45" w:rsidP="003628C0">
      <w:pPr>
        <w:numPr>
          <w:ilvl w:val="0"/>
          <w:numId w:val="1"/>
        </w:numPr>
        <w:jc w:val="both"/>
        <w:rPr>
          <w:rFonts w:ascii="Arial" w:hAnsi="Arial" w:cs="Arial"/>
          <w:lang w:val="en-US" w:eastAsia="zh-CN"/>
        </w:rPr>
      </w:pPr>
      <w:r>
        <w:rPr>
          <w:rFonts w:ascii="Arial" w:hAnsi="Arial" w:cs="Arial"/>
          <w:lang w:val="en-US" w:eastAsia="zh-CN"/>
        </w:rPr>
        <w:t xml:space="preserve">3GPP TS 38.214 </w:t>
      </w:r>
      <w:r w:rsidR="00FE32B7">
        <w:rPr>
          <w:rFonts w:ascii="Arial" w:hAnsi="Arial" w:cs="Arial"/>
          <w:lang w:val="en-US" w:eastAsia="zh-CN"/>
        </w:rPr>
        <w:t xml:space="preserve"> </w:t>
      </w:r>
    </w:p>
    <w:p w14:paraId="70119B58" w14:textId="77777777" w:rsidR="006A36F1" w:rsidRPr="003628C0" w:rsidRDefault="006A36F1" w:rsidP="006A36F1">
      <w:pPr>
        <w:ind w:left="420"/>
        <w:jc w:val="both"/>
        <w:rPr>
          <w:rFonts w:ascii="Arial" w:hAnsi="Arial" w:cs="Arial"/>
          <w:lang w:val="en-US" w:eastAsia="zh-CN"/>
        </w:rPr>
      </w:pPr>
    </w:p>
    <w:sectPr w:rsidR="006A36F1" w:rsidRPr="003628C0"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F123E" w14:textId="77777777" w:rsidR="00C84280" w:rsidRDefault="00C84280">
      <w:pPr>
        <w:spacing w:after="0"/>
      </w:pPr>
      <w:r>
        <w:separator/>
      </w:r>
    </w:p>
  </w:endnote>
  <w:endnote w:type="continuationSeparator" w:id="0">
    <w:p w14:paraId="36B5DD89" w14:textId="77777777" w:rsidR="00C84280" w:rsidRDefault="00C842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Ericsson Capital TT">
    <w:altName w:val="Corbel"/>
    <w:panose1 w:val="020B0604020202020204"/>
    <w:charset w:val="00"/>
    <w:family w:val="auto"/>
    <w:pitch w:val="default"/>
    <w:sig w:usb0="00000000"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54D7D" w14:textId="77777777" w:rsidR="00C84280" w:rsidRDefault="00C84280">
      <w:pPr>
        <w:spacing w:after="0"/>
      </w:pPr>
      <w:r>
        <w:separator/>
      </w:r>
    </w:p>
  </w:footnote>
  <w:footnote w:type="continuationSeparator" w:id="0">
    <w:p w14:paraId="1FC75F50" w14:textId="77777777" w:rsidR="00C84280" w:rsidRDefault="00C842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3BA1"/>
    <w:multiLevelType w:val="hybridMultilevel"/>
    <w:tmpl w:val="C1B26F18"/>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D3E2D"/>
    <w:multiLevelType w:val="hybridMultilevel"/>
    <w:tmpl w:val="13AE4F9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169BD"/>
    <w:multiLevelType w:val="hybridMultilevel"/>
    <w:tmpl w:val="66124244"/>
    <w:lvl w:ilvl="0" w:tplc="21B81AC4">
      <w:start w:val="8"/>
      <w:numFmt w:val="bullet"/>
      <w:lvlText w:val="-"/>
      <w:lvlJc w:val="left"/>
      <w:pPr>
        <w:ind w:left="1133" w:hanging="360"/>
      </w:pPr>
      <w:rPr>
        <w:rFonts w:ascii="Times New Roman" w:eastAsia="Times New Roman" w:hAnsi="Times New Roman" w:cs="Times New Roman"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4" w15:restartNumberingAfterBreak="0">
    <w:nsid w:val="0B4919D9"/>
    <w:multiLevelType w:val="hybridMultilevel"/>
    <w:tmpl w:val="9BB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7C19FC"/>
    <w:multiLevelType w:val="hybridMultilevel"/>
    <w:tmpl w:val="FB58096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A2C44"/>
    <w:multiLevelType w:val="hybridMultilevel"/>
    <w:tmpl w:val="BBF4F676"/>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 w15:restartNumberingAfterBreak="0">
    <w:nsid w:val="2729054F"/>
    <w:multiLevelType w:val="hybridMultilevel"/>
    <w:tmpl w:val="C23A9EF0"/>
    <w:lvl w:ilvl="0" w:tplc="04090003">
      <w:start w:val="1"/>
      <w:numFmt w:val="bullet"/>
      <w:lvlText w:val="o"/>
      <w:lvlJc w:val="left"/>
      <w:pPr>
        <w:ind w:left="360" w:hanging="360"/>
      </w:pPr>
      <w:rPr>
        <w:rFonts w:ascii="Courier New" w:hAnsi="Courier New" w:cs="Courier New" w:hint="default"/>
      </w:rPr>
    </w:lvl>
    <w:lvl w:ilvl="1" w:tplc="21B81AC4">
      <w:start w:val="8"/>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EC4417D"/>
    <w:multiLevelType w:val="hybridMultilevel"/>
    <w:tmpl w:val="2C4E2C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762C0"/>
    <w:multiLevelType w:val="hybridMultilevel"/>
    <w:tmpl w:val="8A1A6C46"/>
    <w:lvl w:ilvl="0" w:tplc="B4B88600">
      <w:start w:val="3785"/>
      <w:numFmt w:val="bullet"/>
      <w:lvlText w:val="-"/>
      <w:lvlJc w:val="left"/>
      <w:pPr>
        <w:ind w:left="1494" w:hanging="360"/>
      </w:pPr>
      <w:rPr>
        <w:rFonts w:ascii="Ericsson Capital TT" w:hAnsi="Ericsson Capital TT" w:hint="default"/>
      </w:rPr>
    </w:lvl>
    <w:lvl w:ilvl="1" w:tplc="04090003" w:tentative="1">
      <w:start w:val="1"/>
      <w:numFmt w:val="bullet"/>
      <w:lvlText w:val="o"/>
      <w:lvlJc w:val="left"/>
      <w:pPr>
        <w:ind w:left="2628" w:hanging="360"/>
      </w:pPr>
      <w:rPr>
        <w:rFonts w:ascii="Courier New" w:hAnsi="Courier New" w:cs="Courier New" w:hint="default"/>
      </w:rPr>
    </w:lvl>
    <w:lvl w:ilvl="2" w:tplc="04090005" w:tentative="1">
      <w:start w:val="1"/>
      <w:numFmt w:val="bullet"/>
      <w:lvlText w:val=""/>
      <w:lvlJc w:val="left"/>
      <w:pPr>
        <w:ind w:left="3348" w:hanging="360"/>
      </w:pPr>
      <w:rPr>
        <w:rFonts w:ascii="Wingdings" w:hAnsi="Wingdings" w:hint="default"/>
      </w:rPr>
    </w:lvl>
    <w:lvl w:ilvl="3" w:tplc="04090001" w:tentative="1">
      <w:start w:val="1"/>
      <w:numFmt w:val="bullet"/>
      <w:lvlText w:val=""/>
      <w:lvlJc w:val="left"/>
      <w:pPr>
        <w:ind w:left="4068" w:hanging="360"/>
      </w:pPr>
      <w:rPr>
        <w:rFonts w:ascii="Symbol" w:hAnsi="Symbol" w:hint="default"/>
      </w:rPr>
    </w:lvl>
    <w:lvl w:ilvl="4" w:tplc="04090003" w:tentative="1">
      <w:start w:val="1"/>
      <w:numFmt w:val="bullet"/>
      <w:lvlText w:val="o"/>
      <w:lvlJc w:val="left"/>
      <w:pPr>
        <w:ind w:left="4788" w:hanging="360"/>
      </w:pPr>
      <w:rPr>
        <w:rFonts w:ascii="Courier New" w:hAnsi="Courier New" w:cs="Courier New" w:hint="default"/>
      </w:rPr>
    </w:lvl>
    <w:lvl w:ilvl="5" w:tplc="04090005" w:tentative="1">
      <w:start w:val="1"/>
      <w:numFmt w:val="bullet"/>
      <w:lvlText w:val=""/>
      <w:lvlJc w:val="left"/>
      <w:pPr>
        <w:ind w:left="5508" w:hanging="360"/>
      </w:pPr>
      <w:rPr>
        <w:rFonts w:ascii="Wingdings" w:hAnsi="Wingdings" w:hint="default"/>
      </w:rPr>
    </w:lvl>
    <w:lvl w:ilvl="6" w:tplc="04090001" w:tentative="1">
      <w:start w:val="1"/>
      <w:numFmt w:val="bullet"/>
      <w:lvlText w:val=""/>
      <w:lvlJc w:val="left"/>
      <w:pPr>
        <w:ind w:left="6228" w:hanging="360"/>
      </w:pPr>
      <w:rPr>
        <w:rFonts w:ascii="Symbol" w:hAnsi="Symbol" w:hint="default"/>
      </w:rPr>
    </w:lvl>
    <w:lvl w:ilvl="7" w:tplc="04090003" w:tentative="1">
      <w:start w:val="1"/>
      <w:numFmt w:val="bullet"/>
      <w:lvlText w:val="o"/>
      <w:lvlJc w:val="left"/>
      <w:pPr>
        <w:ind w:left="6948" w:hanging="360"/>
      </w:pPr>
      <w:rPr>
        <w:rFonts w:ascii="Courier New" w:hAnsi="Courier New" w:cs="Courier New" w:hint="default"/>
      </w:rPr>
    </w:lvl>
    <w:lvl w:ilvl="8" w:tplc="04090005" w:tentative="1">
      <w:start w:val="1"/>
      <w:numFmt w:val="bullet"/>
      <w:lvlText w:val=""/>
      <w:lvlJc w:val="left"/>
      <w:pPr>
        <w:ind w:left="7668" w:hanging="360"/>
      </w:pPr>
      <w:rPr>
        <w:rFonts w:ascii="Wingdings" w:hAnsi="Wingdings" w:hint="default"/>
      </w:rPr>
    </w:lvl>
  </w:abstractNum>
  <w:abstractNum w:abstractNumId="15" w15:restartNumberingAfterBreak="0">
    <w:nsid w:val="3AE233BD"/>
    <w:multiLevelType w:val="hybridMultilevel"/>
    <w:tmpl w:val="46B4DA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55C75"/>
    <w:multiLevelType w:val="hybridMultilevel"/>
    <w:tmpl w:val="97C278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1" w15:restartNumberingAfterBreak="0">
    <w:nsid w:val="5034244D"/>
    <w:multiLevelType w:val="hybridMultilevel"/>
    <w:tmpl w:val="8D1E3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FD1628"/>
    <w:multiLevelType w:val="hybridMultilevel"/>
    <w:tmpl w:val="D06C61F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6" w15:restartNumberingAfterBreak="0">
    <w:nsid w:val="5EC563E6"/>
    <w:multiLevelType w:val="hybridMultilevel"/>
    <w:tmpl w:val="64C2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66DEE"/>
    <w:multiLevelType w:val="hybridMultilevel"/>
    <w:tmpl w:val="384E6A3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9" w15:restartNumberingAfterBreak="0">
    <w:nsid w:val="64E14CF5"/>
    <w:multiLevelType w:val="hybridMultilevel"/>
    <w:tmpl w:val="4BBAAD06"/>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2330F7"/>
    <w:multiLevelType w:val="multilevel"/>
    <w:tmpl w:val="65233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061A0D"/>
    <w:multiLevelType w:val="hybridMultilevel"/>
    <w:tmpl w:val="3A98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9839BE"/>
    <w:multiLevelType w:val="hybridMultilevel"/>
    <w:tmpl w:val="E0DCDAB0"/>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6"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E7B0094"/>
    <w:multiLevelType w:val="hybridMultilevel"/>
    <w:tmpl w:val="9D3C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4"/>
  </w:num>
  <w:num w:numId="4">
    <w:abstractNumId w:val="21"/>
  </w:num>
  <w:num w:numId="5">
    <w:abstractNumId w:val="19"/>
  </w:num>
  <w:num w:numId="6">
    <w:abstractNumId w:val="8"/>
  </w:num>
  <w:num w:numId="7">
    <w:abstractNumId w:val="6"/>
  </w:num>
  <w:num w:numId="8">
    <w:abstractNumId w:val="23"/>
  </w:num>
  <w:num w:numId="9">
    <w:abstractNumId w:val="31"/>
  </w:num>
  <w:num w:numId="10">
    <w:abstractNumId w:val="20"/>
  </w:num>
  <w:num w:numId="11">
    <w:abstractNumId w:val="26"/>
  </w:num>
  <w:num w:numId="12">
    <w:abstractNumId w:val="38"/>
  </w:num>
  <w:num w:numId="13">
    <w:abstractNumId w:val="10"/>
  </w:num>
  <w:num w:numId="14">
    <w:abstractNumId w:val="35"/>
  </w:num>
  <w:num w:numId="15">
    <w:abstractNumId w:val="28"/>
  </w:num>
  <w:num w:numId="16">
    <w:abstractNumId w:val="29"/>
  </w:num>
  <w:num w:numId="17">
    <w:abstractNumId w:val="1"/>
  </w:num>
  <w:num w:numId="18">
    <w:abstractNumId w:val="34"/>
  </w:num>
  <w:num w:numId="19">
    <w:abstractNumId w:val="0"/>
  </w:num>
  <w:num w:numId="20">
    <w:abstractNumId w:val="22"/>
  </w:num>
  <w:num w:numId="21">
    <w:abstractNumId w:val="25"/>
  </w:num>
  <w:num w:numId="22">
    <w:abstractNumId w:val="17"/>
  </w:num>
  <w:num w:numId="23">
    <w:abstractNumId w:val="33"/>
  </w:num>
  <w:num w:numId="24">
    <w:abstractNumId w:val="11"/>
  </w:num>
  <w:num w:numId="25">
    <w:abstractNumId w:val="5"/>
  </w:num>
  <w:num w:numId="26">
    <w:abstractNumId w:val="16"/>
  </w:num>
  <w:num w:numId="27">
    <w:abstractNumId w:val="12"/>
  </w:num>
  <w:num w:numId="28">
    <w:abstractNumId w:val="18"/>
  </w:num>
  <w:num w:numId="29">
    <w:abstractNumId w:val="3"/>
  </w:num>
  <w:num w:numId="30">
    <w:abstractNumId w:val="9"/>
  </w:num>
  <w:num w:numId="31">
    <w:abstractNumId w:val="15"/>
  </w:num>
  <w:num w:numId="32">
    <w:abstractNumId w:val="7"/>
  </w:num>
  <w:num w:numId="33">
    <w:abstractNumId w:val="37"/>
  </w:num>
  <w:num w:numId="34">
    <w:abstractNumId w:val="32"/>
  </w:num>
  <w:num w:numId="35">
    <w:abstractNumId w:val="39"/>
  </w:num>
  <w:num w:numId="36">
    <w:abstractNumId w:val="24"/>
  </w:num>
  <w:num w:numId="37">
    <w:abstractNumId w:val="40"/>
  </w:num>
  <w:num w:numId="38">
    <w:abstractNumId w:val="37"/>
  </w:num>
  <w:num w:numId="39">
    <w:abstractNumId w:val="36"/>
  </w:num>
  <w:num w:numId="40">
    <w:abstractNumId w:val="2"/>
  </w:num>
  <w:num w:numId="41">
    <w:abstractNumId w:val="39"/>
  </w:num>
  <w:num w:numId="42">
    <w:abstractNumId w:val="14"/>
  </w:num>
  <w:num w:numId="43">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A6F"/>
    <w:rsid w:val="000069B9"/>
    <w:rsid w:val="00007165"/>
    <w:rsid w:val="00015206"/>
    <w:rsid w:val="00020AB8"/>
    <w:rsid w:val="00025639"/>
    <w:rsid w:val="00026F2D"/>
    <w:rsid w:val="0003157B"/>
    <w:rsid w:val="000402EC"/>
    <w:rsid w:val="00041822"/>
    <w:rsid w:val="00042017"/>
    <w:rsid w:val="00042E35"/>
    <w:rsid w:val="00043EA5"/>
    <w:rsid w:val="000457C9"/>
    <w:rsid w:val="0005095F"/>
    <w:rsid w:val="00050CC7"/>
    <w:rsid w:val="0005558B"/>
    <w:rsid w:val="0006735F"/>
    <w:rsid w:val="00067F48"/>
    <w:rsid w:val="000722C9"/>
    <w:rsid w:val="000729CD"/>
    <w:rsid w:val="0007538E"/>
    <w:rsid w:val="00075D7F"/>
    <w:rsid w:val="0007709B"/>
    <w:rsid w:val="00081549"/>
    <w:rsid w:val="000829D6"/>
    <w:rsid w:val="0008305E"/>
    <w:rsid w:val="00084AEC"/>
    <w:rsid w:val="00084F1B"/>
    <w:rsid w:val="00085C69"/>
    <w:rsid w:val="00087945"/>
    <w:rsid w:val="00095DA3"/>
    <w:rsid w:val="000973B9"/>
    <w:rsid w:val="000A26CE"/>
    <w:rsid w:val="000A2899"/>
    <w:rsid w:val="000A2BEF"/>
    <w:rsid w:val="000A416F"/>
    <w:rsid w:val="000A6B9F"/>
    <w:rsid w:val="000A76C8"/>
    <w:rsid w:val="000B0572"/>
    <w:rsid w:val="000B2B28"/>
    <w:rsid w:val="000B309B"/>
    <w:rsid w:val="000B385E"/>
    <w:rsid w:val="000B3A78"/>
    <w:rsid w:val="000B658A"/>
    <w:rsid w:val="000C0C40"/>
    <w:rsid w:val="000C1200"/>
    <w:rsid w:val="000C2B74"/>
    <w:rsid w:val="000C2C4D"/>
    <w:rsid w:val="000C689C"/>
    <w:rsid w:val="000D274E"/>
    <w:rsid w:val="000E190D"/>
    <w:rsid w:val="000E56F3"/>
    <w:rsid w:val="000E5B07"/>
    <w:rsid w:val="000E675F"/>
    <w:rsid w:val="000F0511"/>
    <w:rsid w:val="000F1171"/>
    <w:rsid w:val="000F2FCE"/>
    <w:rsid w:val="001009F9"/>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333E9"/>
    <w:rsid w:val="00141351"/>
    <w:rsid w:val="00141FAE"/>
    <w:rsid w:val="00144371"/>
    <w:rsid w:val="00145D3A"/>
    <w:rsid w:val="00146561"/>
    <w:rsid w:val="00146724"/>
    <w:rsid w:val="00146D20"/>
    <w:rsid w:val="0014729A"/>
    <w:rsid w:val="001475DA"/>
    <w:rsid w:val="001504AD"/>
    <w:rsid w:val="00152571"/>
    <w:rsid w:val="00152B5A"/>
    <w:rsid w:val="00153144"/>
    <w:rsid w:val="00153667"/>
    <w:rsid w:val="0015788A"/>
    <w:rsid w:val="001607B5"/>
    <w:rsid w:val="00160D18"/>
    <w:rsid w:val="00161D42"/>
    <w:rsid w:val="001625DE"/>
    <w:rsid w:val="00164DCB"/>
    <w:rsid w:val="0017286E"/>
    <w:rsid w:val="001735E8"/>
    <w:rsid w:val="00177AA3"/>
    <w:rsid w:val="00180A24"/>
    <w:rsid w:val="00180C2B"/>
    <w:rsid w:val="00181D34"/>
    <w:rsid w:val="00183D1D"/>
    <w:rsid w:val="00184909"/>
    <w:rsid w:val="00185856"/>
    <w:rsid w:val="00185D56"/>
    <w:rsid w:val="00187556"/>
    <w:rsid w:val="001910D7"/>
    <w:rsid w:val="00194872"/>
    <w:rsid w:val="001949AF"/>
    <w:rsid w:val="00197DDB"/>
    <w:rsid w:val="001A000F"/>
    <w:rsid w:val="001A028F"/>
    <w:rsid w:val="001A1186"/>
    <w:rsid w:val="001A255D"/>
    <w:rsid w:val="001B12E0"/>
    <w:rsid w:val="001B179E"/>
    <w:rsid w:val="001B7CEB"/>
    <w:rsid w:val="001C4118"/>
    <w:rsid w:val="001C6663"/>
    <w:rsid w:val="001C72E7"/>
    <w:rsid w:val="001D0F43"/>
    <w:rsid w:val="001D3E2B"/>
    <w:rsid w:val="001D42A4"/>
    <w:rsid w:val="001D4797"/>
    <w:rsid w:val="001D681E"/>
    <w:rsid w:val="001E0BBB"/>
    <w:rsid w:val="001E53B7"/>
    <w:rsid w:val="001E7186"/>
    <w:rsid w:val="001F0DAD"/>
    <w:rsid w:val="001F26A1"/>
    <w:rsid w:val="001F4FB6"/>
    <w:rsid w:val="001F6C99"/>
    <w:rsid w:val="002028B1"/>
    <w:rsid w:val="00203A90"/>
    <w:rsid w:val="002053BF"/>
    <w:rsid w:val="00205715"/>
    <w:rsid w:val="0020711C"/>
    <w:rsid w:val="00210B2D"/>
    <w:rsid w:val="002114A9"/>
    <w:rsid w:val="002163BA"/>
    <w:rsid w:val="002259B3"/>
    <w:rsid w:val="00231D54"/>
    <w:rsid w:val="00233D51"/>
    <w:rsid w:val="0023553D"/>
    <w:rsid w:val="0023735D"/>
    <w:rsid w:val="00240384"/>
    <w:rsid w:val="00242992"/>
    <w:rsid w:val="00246987"/>
    <w:rsid w:val="00251D91"/>
    <w:rsid w:val="0025345C"/>
    <w:rsid w:val="00254B2F"/>
    <w:rsid w:val="002555E0"/>
    <w:rsid w:val="00260B38"/>
    <w:rsid w:val="002623A4"/>
    <w:rsid w:val="00262722"/>
    <w:rsid w:val="00262AD8"/>
    <w:rsid w:val="00266655"/>
    <w:rsid w:val="0026683E"/>
    <w:rsid w:val="00271393"/>
    <w:rsid w:val="00272E2E"/>
    <w:rsid w:val="00275A4E"/>
    <w:rsid w:val="00284187"/>
    <w:rsid w:val="00290461"/>
    <w:rsid w:val="00291156"/>
    <w:rsid w:val="00292B97"/>
    <w:rsid w:val="00292CDE"/>
    <w:rsid w:val="00297FC4"/>
    <w:rsid w:val="002A335A"/>
    <w:rsid w:val="002A34EF"/>
    <w:rsid w:val="002B18C2"/>
    <w:rsid w:val="002B3BD7"/>
    <w:rsid w:val="002C1749"/>
    <w:rsid w:val="002C576D"/>
    <w:rsid w:val="002D3515"/>
    <w:rsid w:val="002E05FB"/>
    <w:rsid w:val="002E4F38"/>
    <w:rsid w:val="002F6F2F"/>
    <w:rsid w:val="002F70F5"/>
    <w:rsid w:val="002F71D5"/>
    <w:rsid w:val="00301551"/>
    <w:rsid w:val="003103EE"/>
    <w:rsid w:val="0031109B"/>
    <w:rsid w:val="00313D23"/>
    <w:rsid w:val="003145A9"/>
    <w:rsid w:val="00315D38"/>
    <w:rsid w:val="003248B1"/>
    <w:rsid w:val="00330585"/>
    <w:rsid w:val="0033210C"/>
    <w:rsid w:val="00334BE9"/>
    <w:rsid w:val="0033685C"/>
    <w:rsid w:val="00344210"/>
    <w:rsid w:val="00344E67"/>
    <w:rsid w:val="00347393"/>
    <w:rsid w:val="0035380E"/>
    <w:rsid w:val="003545E1"/>
    <w:rsid w:val="003577A8"/>
    <w:rsid w:val="003615F5"/>
    <w:rsid w:val="003628C0"/>
    <w:rsid w:val="00363BBA"/>
    <w:rsid w:val="0036562B"/>
    <w:rsid w:val="00365B4A"/>
    <w:rsid w:val="00366323"/>
    <w:rsid w:val="003717CF"/>
    <w:rsid w:val="003731A2"/>
    <w:rsid w:val="003738FB"/>
    <w:rsid w:val="0037444B"/>
    <w:rsid w:val="00377C96"/>
    <w:rsid w:val="00382208"/>
    <w:rsid w:val="003849A5"/>
    <w:rsid w:val="00391B0F"/>
    <w:rsid w:val="00393809"/>
    <w:rsid w:val="003A027A"/>
    <w:rsid w:val="003A310B"/>
    <w:rsid w:val="003A38F2"/>
    <w:rsid w:val="003B03BE"/>
    <w:rsid w:val="003B30E4"/>
    <w:rsid w:val="003B32E0"/>
    <w:rsid w:val="003B62F0"/>
    <w:rsid w:val="003B6437"/>
    <w:rsid w:val="003C4E70"/>
    <w:rsid w:val="003C5D14"/>
    <w:rsid w:val="003C6EA8"/>
    <w:rsid w:val="003C70B9"/>
    <w:rsid w:val="003D074A"/>
    <w:rsid w:val="003D25FE"/>
    <w:rsid w:val="003D2879"/>
    <w:rsid w:val="003D38F9"/>
    <w:rsid w:val="003D5D41"/>
    <w:rsid w:val="003E1711"/>
    <w:rsid w:val="003E59A3"/>
    <w:rsid w:val="003E603B"/>
    <w:rsid w:val="003F0EA8"/>
    <w:rsid w:val="003F25CC"/>
    <w:rsid w:val="003F2794"/>
    <w:rsid w:val="003F35C9"/>
    <w:rsid w:val="003F40E5"/>
    <w:rsid w:val="003F731B"/>
    <w:rsid w:val="00400CE6"/>
    <w:rsid w:val="00404C4B"/>
    <w:rsid w:val="00405A83"/>
    <w:rsid w:val="00407E8A"/>
    <w:rsid w:val="0041001B"/>
    <w:rsid w:val="00411BF4"/>
    <w:rsid w:val="0041403C"/>
    <w:rsid w:val="00414F5D"/>
    <w:rsid w:val="0041601D"/>
    <w:rsid w:val="00420A2E"/>
    <w:rsid w:val="004229CC"/>
    <w:rsid w:val="00431C40"/>
    <w:rsid w:val="00433863"/>
    <w:rsid w:val="004407F9"/>
    <w:rsid w:val="004419F5"/>
    <w:rsid w:val="00443035"/>
    <w:rsid w:val="00443491"/>
    <w:rsid w:val="004458C1"/>
    <w:rsid w:val="00445FFE"/>
    <w:rsid w:val="00447402"/>
    <w:rsid w:val="004519E5"/>
    <w:rsid w:val="00451A81"/>
    <w:rsid w:val="004548E6"/>
    <w:rsid w:val="00456024"/>
    <w:rsid w:val="004611B2"/>
    <w:rsid w:val="004655DA"/>
    <w:rsid w:val="00466178"/>
    <w:rsid w:val="00471A02"/>
    <w:rsid w:val="00472833"/>
    <w:rsid w:val="0047421E"/>
    <w:rsid w:val="00477625"/>
    <w:rsid w:val="0048043C"/>
    <w:rsid w:val="004819B6"/>
    <w:rsid w:val="00483E85"/>
    <w:rsid w:val="00484947"/>
    <w:rsid w:val="00485C82"/>
    <w:rsid w:val="0049534F"/>
    <w:rsid w:val="0049619C"/>
    <w:rsid w:val="004A05E3"/>
    <w:rsid w:val="004A1C65"/>
    <w:rsid w:val="004A2B23"/>
    <w:rsid w:val="004A3BB4"/>
    <w:rsid w:val="004A6250"/>
    <w:rsid w:val="004A74FB"/>
    <w:rsid w:val="004B5169"/>
    <w:rsid w:val="004B5E12"/>
    <w:rsid w:val="004B6C9A"/>
    <w:rsid w:val="004B6F98"/>
    <w:rsid w:val="004C01A0"/>
    <w:rsid w:val="004C0437"/>
    <w:rsid w:val="004C4071"/>
    <w:rsid w:val="004C49E0"/>
    <w:rsid w:val="004C542B"/>
    <w:rsid w:val="004C73D1"/>
    <w:rsid w:val="004D2DC9"/>
    <w:rsid w:val="004D3D09"/>
    <w:rsid w:val="004D40BD"/>
    <w:rsid w:val="004E0AC9"/>
    <w:rsid w:val="004E155E"/>
    <w:rsid w:val="004E2FA1"/>
    <w:rsid w:val="004E416D"/>
    <w:rsid w:val="004E4BDF"/>
    <w:rsid w:val="004E6454"/>
    <w:rsid w:val="004E774D"/>
    <w:rsid w:val="004E7CCF"/>
    <w:rsid w:val="004E7E84"/>
    <w:rsid w:val="004F2023"/>
    <w:rsid w:val="004F2F7E"/>
    <w:rsid w:val="004F3C59"/>
    <w:rsid w:val="004F414C"/>
    <w:rsid w:val="004F5218"/>
    <w:rsid w:val="00500649"/>
    <w:rsid w:val="0050071A"/>
    <w:rsid w:val="00501D54"/>
    <w:rsid w:val="005077DB"/>
    <w:rsid w:val="00516B2E"/>
    <w:rsid w:val="00517154"/>
    <w:rsid w:val="00517BA0"/>
    <w:rsid w:val="00520A3E"/>
    <w:rsid w:val="00520D3B"/>
    <w:rsid w:val="005252BB"/>
    <w:rsid w:val="00525663"/>
    <w:rsid w:val="00525C44"/>
    <w:rsid w:val="005263EF"/>
    <w:rsid w:val="00530B4A"/>
    <w:rsid w:val="005324DC"/>
    <w:rsid w:val="00532C35"/>
    <w:rsid w:val="00537476"/>
    <w:rsid w:val="00543C26"/>
    <w:rsid w:val="00544BEC"/>
    <w:rsid w:val="0055126E"/>
    <w:rsid w:val="005534DB"/>
    <w:rsid w:val="0055355B"/>
    <w:rsid w:val="00554C6C"/>
    <w:rsid w:val="00555285"/>
    <w:rsid w:val="00560042"/>
    <w:rsid w:val="00563A6D"/>
    <w:rsid w:val="00563D5B"/>
    <w:rsid w:val="0057150E"/>
    <w:rsid w:val="00571994"/>
    <w:rsid w:val="00572F34"/>
    <w:rsid w:val="00576BFF"/>
    <w:rsid w:val="0057736C"/>
    <w:rsid w:val="00583C0C"/>
    <w:rsid w:val="00591A47"/>
    <w:rsid w:val="00593B39"/>
    <w:rsid w:val="005970B6"/>
    <w:rsid w:val="005A29B3"/>
    <w:rsid w:val="005A3B69"/>
    <w:rsid w:val="005B16BD"/>
    <w:rsid w:val="005B2E60"/>
    <w:rsid w:val="005B59E9"/>
    <w:rsid w:val="005C1445"/>
    <w:rsid w:val="005C2A5F"/>
    <w:rsid w:val="005C3FD7"/>
    <w:rsid w:val="005C4F14"/>
    <w:rsid w:val="005C60B7"/>
    <w:rsid w:val="005C62C7"/>
    <w:rsid w:val="005D0604"/>
    <w:rsid w:val="005D1CA8"/>
    <w:rsid w:val="005D4FB0"/>
    <w:rsid w:val="005D79A4"/>
    <w:rsid w:val="005E0E1C"/>
    <w:rsid w:val="005E3610"/>
    <w:rsid w:val="005E4196"/>
    <w:rsid w:val="005E502F"/>
    <w:rsid w:val="005F2273"/>
    <w:rsid w:val="005F4099"/>
    <w:rsid w:val="005F6AC4"/>
    <w:rsid w:val="0060370C"/>
    <w:rsid w:val="006043EE"/>
    <w:rsid w:val="00606297"/>
    <w:rsid w:val="00606F6D"/>
    <w:rsid w:val="00616DFE"/>
    <w:rsid w:val="006202E1"/>
    <w:rsid w:val="0062068F"/>
    <w:rsid w:val="00620B30"/>
    <w:rsid w:val="006217ED"/>
    <w:rsid w:val="00623B2E"/>
    <w:rsid w:val="00623B95"/>
    <w:rsid w:val="0062456A"/>
    <w:rsid w:val="00631941"/>
    <w:rsid w:val="00644D23"/>
    <w:rsid w:val="00644F77"/>
    <w:rsid w:val="00645311"/>
    <w:rsid w:val="006478BF"/>
    <w:rsid w:val="006509D1"/>
    <w:rsid w:val="006535AA"/>
    <w:rsid w:val="0065556E"/>
    <w:rsid w:val="006622E5"/>
    <w:rsid w:val="00662B4D"/>
    <w:rsid w:val="00664DC4"/>
    <w:rsid w:val="00667384"/>
    <w:rsid w:val="0067188D"/>
    <w:rsid w:val="006749E4"/>
    <w:rsid w:val="00680A87"/>
    <w:rsid w:val="00682D7B"/>
    <w:rsid w:val="006843A4"/>
    <w:rsid w:val="006856D6"/>
    <w:rsid w:val="00685B8E"/>
    <w:rsid w:val="0068700F"/>
    <w:rsid w:val="006901EA"/>
    <w:rsid w:val="0069307A"/>
    <w:rsid w:val="00697031"/>
    <w:rsid w:val="00697B95"/>
    <w:rsid w:val="006A2559"/>
    <w:rsid w:val="006A2EE3"/>
    <w:rsid w:val="006A31A3"/>
    <w:rsid w:val="006A36F1"/>
    <w:rsid w:val="006A41BA"/>
    <w:rsid w:val="006A5D78"/>
    <w:rsid w:val="006A6391"/>
    <w:rsid w:val="006A742B"/>
    <w:rsid w:val="006B110E"/>
    <w:rsid w:val="006B5F85"/>
    <w:rsid w:val="006B7E54"/>
    <w:rsid w:val="006C1DC6"/>
    <w:rsid w:val="006C3967"/>
    <w:rsid w:val="006C6F3C"/>
    <w:rsid w:val="006C732E"/>
    <w:rsid w:val="006C7752"/>
    <w:rsid w:val="006C79BB"/>
    <w:rsid w:val="006D541A"/>
    <w:rsid w:val="006D54B0"/>
    <w:rsid w:val="006D7630"/>
    <w:rsid w:val="006D7A1D"/>
    <w:rsid w:val="006D7CEE"/>
    <w:rsid w:val="006E09AB"/>
    <w:rsid w:val="006E2C0F"/>
    <w:rsid w:val="006E75EF"/>
    <w:rsid w:val="006F0588"/>
    <w:rsid w:val="006F07F4"/>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50142"/>
    <w:rsid w:val="00751C62"/>
    <w:rsid w:val="007523B9"/>
    <w:rsid w:val="00761DE3"/>
    <w:rsid w:val="00762821"/>
    <w:rsid w:val="00762E0E"/>
    <w:rsid w:val="00765E1F"/>
    <w:rsid w:val="00770905"/>
    <w:rsid w:val="007718DC"/>
    <w:rsid w:val="0077381A"/>
    <w:rsid w:val="007752E8"/>
    <w:rsid w:val="00776D62"/>
    <w:rsid w:val="007772BD"/>
    <w:rsid w:val="00782E13"/>
    <w:rsid w:val="00783147"/>
    <w:rsid w:val="00786F91"/>
    <w:rsid w:val="00790F4B"/>
    <w:rsid w:val="0079526C"/>
    <w:rsid w:val="007953B0"/>
    <w:rsid w:val="007A1147"/>
    <w:rsid w:val="007A2149"/>
    <w:rsid w:val="007A538E"/>
    <w:rsid w:val="007A7D4E"/>
    <w:rsid w:val="007B14D7"/>
    <w:rsid w:val="007B36BD"/>
    <w:rsid w:val="007B6F3A"/>
    <w:rsid w:val="007C0770"/>
    <w:rsid w:val="007C0BF2"/>
    <w:rsid w:val="007C1BB7"/>
    <w:rsid w:val="007C75E5"/>
    <w:rsid w:val="007D05CA"/>
    <w:rsid w:val="007D260A"/>
    <w:rsid w:val="007D33A8"/>
    <w:rsid w:val="007D41A1"/>
    <w:rsid w:val="007E0F81"/>
    <w:rsid w:val="007E190F"/>
    <w:rsid w:val="007E2109"/>
    <w:rsid w:val="007E3863"/>
    <w:rsid w:val="007E423A"/>
    <w:rsid w:val="007E665E"/>
    <w:rsid w:val="007F0245"/>
    <w:rsid w:val="007F4D7C"/>
    <w:rsid w:val="007F5D92"/>
    <w:rsid w:val="00800159"/>
    <w:rsid w:val="00800BED"/>
    <w:rsid w:val="00804EF1"/>
    <w:rsid w:val="00805243"/>
    <w:rsid w:val="00807DA8"/>
    <w:rsid w:val="00807ED8"/>
    <w:rsid w:val="00811235"/>
    <w:rsid w:val="00813070"/>
    <w:rsid w:val="008148D7"/>
    <w:rsid w:val="00815C15"/>
    <w:rsid w:val="00816571"/>
    <w:rsid w:val="00816C5C"/>
    <w:rsid w:val="0081701C"/>
    <w:rsid w:val="00817F95"/>
    <w:rsid w:val="00821213"/>
    <w:rsid w:val="008220E8"/>
    <w:rsid w:val="00827205"/>
    <w:rsid w:val="00832806"/>
    <w:rsid w:val="00842535"/>
    <w:rsid w:val="00842EB6"/>
    <w:rsid w:val="00845654"/>
    <w:rsid w:val="00861141"/>
    <w:rsid w:val="00861D03"/>
    <w:rsid w:val="0086554A"/>
    <w:rsid w:val="00866DA4"/>
    <w:rsid w:val="008701E7"/>
    <w:rsid w:val="008740A1"/>
    <w:rsid w:val="008748BA"/>
    <w:rsid w:val="0087735E"/>
    <w:rsid w:val="008849E7"/>
    <w:rsid w:val="008865DE"/>
    <w:rsid w:val="0088748B"/>
    <w:rsid w:val="00897A17"/>
    <w:rsid w:val="008A0096"/>
    <w:rsid w:val="008A1688"/>
    <w:rsid w:val="008A2B25"/>
    <w:rsid w:val="008A420C"/>
    <w:rsid w:val="008A5144"/>
    <w:rsid w:val="008A5BE5"/>
    <w:rsid w:val="008B01A0"/>
    <w:rsid w:val="008B1217"/>
    <w:rsid w:val="008B1297"/>
    <w:rsid w:val="008B212E"/>
    <w:rsid w:val="008B2F76"/>
    <w:rsid w:val="008C021C"/>
    <w:rsid w:val="008C0231"/>
    <w:rsid w:val="008C02E6"/>
    <w:rsid w:val="008C5085"/>
    <w:rsid w:val="008C557A"/>
    <w:rsid w:val="008C5C90"/>
    <w:rsid w:val="008C5E12"/>
    <w:rsid w:val="008D0FBE"/>
    <w:rsid w:val="008D1D46"/>
    <w:rsid w:val="008D2CDB"/>
    <w:rsid w:val="008D2E69"/>
    <w:rsid w:val="008D3320"/>
    <w:rsid w:val="008D3473"/>
    <w:rsid w:val="008D690D"/>
    <w:rsid w:val="008D7057"/>
    <w:rsid w:val="008E0BFA"/>
    <w:rsid w:val="008E4304"/>
    <w:rsid w:val="008E6FCF"/>
    <w:rsid w:val="008F2A4F"/>
    <w:rsid w:val="008F4FEB"/>
    <w:rsid w:val="008F5F51"/>
    <w:rsid w:val="008F65AF"/>
    <w:rsid w:val="008F6C71"/>
    <w:rsid w:val="008F72B1"/>
    <w:rsid w:val="00901A73"/>
    <w:rsid w:val="00906300"/>
    <w:rsid w:val="00924ECE"/>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275C"/>
    <w:rsid w:val="00964520"/>
    <w:rsid w:val="00964AA0"/>
    <w:rsid w:val="0096551C"/>
    <w:rsid w:val="009658D8"/>
    <w:rsid w:val="00970B58"/>
    <w:rsid w:val="00972397"/>
    <w:rsid w:val="00972EDD"/>
    <w:rsid w:val="0097411F"/>
    <w:rsid w:val="00975617"/>
    <w:rsid w:val="009858E8"/>
    <w:rsid w:val="009870A7"/>
    <w:rsid w:val="0098759C"/>
    <w:rsid w:val="0099030C"/>
    <w:rsid w:val="00992625"/>
    <w:rsid w:val="00994C9C"/>
    <w:rsid w:val="009971A7"/>
    <w:rsid w:val="009971E2"/>
    <w:rsid w:val="00997B88"/>
    <w:rsid w:val="009A190D"/>
    <w:rsid w:val="009A411A"/>
    <w:rsid w:val="009A4152"/>
    <w:rsid w:val="009A42A2"/>
    <w:rsid w:val="009A46F5"/>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565C"/>
    <w:rsid w:val="00A02225"/>
    <w:rsid w:val="00A04A2F"/>
    <w:rsid w:val="00A06938"/>
    <w:rsid w:val="00A15CFA"/>
    <w:rsid w:val="00A17DCB"/>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616C8"/>
    <w:rsid w:val="00A617F3"/>
    <w:rsid w:val="00A63C67"/>
    <w:rsid w:val="00A640FA"/>
    <w:rsid w:val="00A70495"/>
    <w:rsid w:val="00A70943"/>
    <w:rsid w:val="00A73D97"/>
    <w:rsid w:val="00A74E19"/>
    <w:rsid w:val="00A75941"/>
    <w:rsid w:val="00A84C51"/>
    <w:rsid w:val="00A8681D"/>
    <w:rsid w:val="00A87FD0"/>
    <w:rsid w:val="00A944E3"/>
    <w:rsid w:val="00A95ACD"/>
    <w:rsid w:val="00A969BD"/>
    <w:rsid w:val="00A97BD1"/>
    <w:rsid w:val="00AA231E"/>
    <w:rsid w:val="00AB019B"/>
    <w:rsid w:val="00AB3F85"/>
    <w:rsid w:val="00AB477B"/>
    <w:rsid w:val="00AB5D8D"/>
    <w:rsid w:val="00AB6F25"/>
    <w:rsid w:val="00AB7EA5"/>
    <w:rsid w:val="00AC1AA3"/>
    <w:rsid w:val="00AC421E"/>
    <w:rsid w:val="00AC704E"/>
    <w:rsid w:val="00AC742F"/>
    <w:rsid w:val="00AD085F"/>
    <w:rsid w:val="00AD19B9"/>
    <w:rsid w:val="00AD1FEF"/>
    <w:rsid w:val="00AD613D"/>
    <w:rsid w:val="00AE2533"/>
    <w:rsid w:val="00AE3503"/>
    <w:rsid w:val="00AE47A7"/>
    <w:rsid w:val="00AF0E04"/>
    <w:rsid w:val="00AF2D95"/>
    <w:rsid w:val="00B00E51"/>
    <w:rsid w:val="00B01562"/>
    <w:rsid w:val="00B026DA"/>
    <w:rsid w:val="00B02E7D"/>
    <w:rsid w:val="00B03FD4"/>
    <w:rsid w:val="00B04337"/>
    <w:rsid w:val="00B06301"/>
    <w:rsid w:val="00B07467"/>
    <w:rsid w:val="00B1026D"/>
    <w:rsid w:val="00B12CCF"/>
    <w:rsid w:val="00B147AE"/>
    <w:rsid w:val="00B26B6B"/>
    <w:rsid w:val="00B300B9"/>
    <w:rsid w:val="00B33A1E"/>
    <w:rsid w:val="00B40F7F"/>
    <w:rsid w:val="00B45008"/>
    <w:rsid w:val="00B5370C"/>
    <w:rsid w:val="00B56924"/>
    <w:rsid w:val="00B662A1"/>
    <w:rsid w:val="00B66702"/>
    <w:rsid w:val="00B670C2"/>
    <w:rsid w:val="00B67876"/>
    <w:rsid w:val="00B712E7"/>
    <w:rsid w:val="00B75545"/>
    <w:rsid w:val="00B7778C"/>
    <w:rsid w:val="00B800B2"/>
    <w:rsid w:val="00B8238D"/>
    <w:rsid w:val="00B842A7"/>
    <w:rsid w:val="00B84AC7"/>
    <w:rsid w:val="00B86A06"/>
    <w:rsid w:val="00B924A0"/>
    <w:rsid w:val="00B924ED"/>
    <w:rsid w:val="00B96F00"/>
    <w:rsid w:val="00B975F2"/>
    <w:rsid w:val="00BA109A"/>
    <w:rsid w:val="00BA19D5"/>
    <w:rsid w:val="00BA3989"/>
    <w:rsid w:val="00BA4F18"/>
    <w:rsid w:val="00BA5017"/>
    <w:rsid w:val="00BA623B"/>
    <w:rsid w:val="00BA6703"/>
    <w:rsid w:val="00BA7DD4"/>
    <w:rsid w:val="00BB0E7E"/>
    <w:rsid w:val="00BB14E1"/>
    <w:rsid w:val="00BB4358"/>
    <w:rsid w:val="00BB53A9"/>
    <w:rsid w:val="00BB6760"/>
    <w:rsid w:val="00BB7490"/>
    <w:rsid w:val="00BC0F24"/>
    <w:rsid w:val="00BC1B15"/>
    <w:rsid w:val="00BC1FC0"/>
    <w:rsid w:val="00BC2537"/>
    <w:rsid w:val="00BC30D5"/>
    <w:rsid w:val="00BC4662"/>
    <w:rsid w:val="00BD3904"/>
    <w:rsid w:val="00BD43E0"/>
    <w:rsid w:val="00BD4BCB"/>
    <w:rsid w:val="00BD7B23"/>
    <w:rsid w:val="00BD7FF5"/>
    <w:rsid w:val="00BE3341"/>
    <w:rsid w:val="00BE6A42"/>
    <w:rsid w:val="00BF0F97"/>
    <w:rsid w:val="00BF14BB"/>
    <w:rsid w:val="00BF15D2"/>
    <w:rsid w:val="00C03D0C"/>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504E5"/>
    <w:rsid w:val="00C5261A"/>
    <w:rsid w:val="00C54F24"/>
    <w:rsid w:val="00C5563C"/>
    <w:rsid w:val="00C56535"/>
    <w:rsid w:val="00C6167C"/>
    <w:rsid w:val="00C64D4D"/>
    <w:rsid w:val="00C67171"/>
    <w:rsid w:val="00C71168"/>
    <w:rsid w:val="00C73521"/>
    <w:rsid w:val="00C77EE1"/>
    <w:rsid w:val="00C84280"/>
    <w:rsid w:val="00C86C6F"/>
    <w:rsid w:val="00C918F6"/>
    <w:rsid w:val="00C92668"/>
    <w:rsid w:val="00C928D7"/>
    <w:rsid w:val="00C94115"/>
    <w:rsid w:val="00C95DFB"/>
    <w:rsid w:val="00CA0A31"/>
    <w:rsid w:val="00CA399E"/>
    <w:rsid w:val="00CA7AA9"/>
    <w:rsid w:val="00CB18A1"/>
    <w:rsid w:val="00CB6542"/>
    <w:rsid w:val="00CC4F8A"/>
    <w:rsid w:val="00CC520E"/>
    <w:rsid w:val="00CC5700"/>
    <w:rsid w:val="00CC7F4A"/>
    <w:rsid w:val="00CD256A"/>
    <w:rsid w:val="00CD2694"/>
    <w:rsid w:val="00CD53AD"/>
    <w:rsid w:val="00CD7BD3"/>
    <w:rsid w:val="00CE2FDF"/>
    <w:rsid w:val="00CE37EB"/>
    <w:rsid w:val="00CE4770"/>
    <w:rsid w:val="00CE562F"/>
    <w:rsid w:val="00CE6384"/>
    <w:rsid w:val="00CE69D8"/>
    <w:rsid w:val="00CF40F5"/>
    <w:rsid w:val="00CF5600"/>
    <w:rsid w:val="00CF7732"/>
    <w:rsid w:val="00D00A54"/>
    <w:rsid w:val="00D02F45"/>
    <w:rsid w:val="00D0728A"/>
    <w:rsid w:val="00D13533"/>
    <w:rsid w:val="00D139FB"/>
    <w:rsid w:val="00D1459C"/>
    <w:rsid w:val="00D16A01"/>
    <w:rsid w:val="00D21A36"/>
    <w:rsid w:val="00D26D5B"/>
    <w:rsid w:val="00D27991"/>
    <w:rsid w:val="00D30C17"/>
    <w:rsid w:val="00D312BB"/>
    <w:rsid w:val="00D3190C"/>
    <w:rsid w:val="00D33100"/>
    <w:rsid w:val="00D3488C"/>
    <w:rsid w:val="00D35032"/>
    <w:rsid w:val="00D3514C"/>
    <w:rsid w:val="00D36F35"/>
    <w:rsid w:val="00D461B9"/>
    <w:rsid w:val="00D4670D"/>
    <w:rsid w:val="00D4672A"/>
    <w:rsid w:val="00D46936"/>
    <w:rsid w:val="00D4753A"/>
    <w:rsid w:val="00D508C2"/>
    <w:rsid w:val="00D50A49"/>
    <w:rsid w:val="00D54CE7"/>
    <w:rsid w:val="00D56275"/>
    <w:rsid w:val="00D6173B"/>
    <w:rsid w:val="00D62F6C"/>
    <w:rsid w:val="00D67B59"/>
    <w:rsid w:val="00D728BA"/>
    <w:rsid w:val="00D72C40"/>
    <w:rsid w:val="00D80922"/>
    <w:rsid w:val="00D82EFA"/>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C063B"/>
    <w:rsid w:val="00DC0C16"/>
    <w:rsid w:val="00DC1202"/>
    <w:rsid w:val="00DC1967"/>
    <w:rsid w:val="00DC3915"/>
    <w:rsid w:val="00DC5C8A"/>
    <w:rsid w:val="00DC5D77"/>
    <w:rsid w:val="00DD47C9"/>
    <w:rsid w:val="00DD50DE"/>
    <w:rsid w:val="00DE1307"/>
    <w:rsid w:val="00DE58D4"/>
    <w:rsid w:val="00DF49F6"/>
    <w:rsid w:val="00DF5363"/>
    <w:rsid w:val="00DF67A0"/>
    <w:rsid w:val="00E005AD"/>
    <w:rsid w:val="00E049A0"/>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610"/>
    <w:rsid w:val="00E349D4"/>
    <w:rsid w:val="00E40B01"/>
    <w:rsid w:val="00E40B42"/>
    <w:rsid w:val="00E41AAE"/>
    <w:rsid w:val="00E41B41"/>
    <w:rsid w:val="00E44AE2"/>
    <w:rsid w:val="00E461F1"/>
    <w:rsid w:val="00E46E76"/>
    <w:rsid w:val="00E504FB"/>
    <w:rsid w:val="00E607A7"/>
    <w:rsid w:val="00E60B74"/>
    <w:rsid w:val="00E61443"/>
    <w:rsid w:val="00E61983"/>
    <w:rsid w:val="00E63ACC"/>
    <w:rsid w:val="00E70A81"/>
    <w:rsid w:val="00E72B9D"/>
    <w:rsid w:val="00E74FD7"/>
    <w:rsid w:val="00E92552"/>
    <w:rsid w:val="00E96998"/>
    <w:rsid w:val="00EA0E12"/>
    <w:rsid w:val="00EA2856"/>
    <w:rsid w:val="00EA3C1A"/>
    <w:rsid w:val="00EA4955"/>
    <w:rsid w:val="00EA559B"/>
    <w:rsid w:val="00EA7D94"/>
    <w:rsid w:val="00EA7E1E"/>
    <w:rsid w:val="00EB0887"/>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EF66AD"/>
    <w:rsid w:val="00F01655"/>
    <w:rsid w:val="00F028C6"/>
    <w:rsid w:val="00F0432F"/>
    <w:rsid w:val="00F12E55"/>
    <w:rsid w:val="00F1452A"/>
    <w:rsid w:val="00F1601C"/>
    <w:rsid w:val="00F16DC7"/>
    <w:rsid w:val="00F20322"/>
    <w:rsid w:val="00F22F47"/>
    <w:rsid w:val="00F23128"/>
    <w:rsid w:val="00F26B75"/>
    <w:rsid w:val="00F2777A"/>
    <w:rsid w:val="00F27D0B"/>
    <w:rsid w:val="00F37427"/>
    <w:rsid w:val="00F37435"/>
    <w:rsid w:val="00F405DF"/>
    <w:rsid w:val="00F4219B"/>
    <w:rsid w:val="00F44AAE"/>
    <w:rsid w:val="00F53064"/>
    <w:rsid w:val="00F56388"/>
    <w:rsid w:val="00F61E59"/>
    <w:rsid w:val="00F633BF"/>
    <w:rsid w:val="00F6432A"/>
    <w:rsid w:val="00F71400"/>
    <w:rsid w:val="00F75FEE"/>
    <w:rsid w:val="00F76F97"/>
    <w:rsid w:val="00F77593"/>
    <w:rsid w:val="00F8014D"/>
    <w:rsid w:val="00F820B6"/>
    <w:rsid w:val="00F825A1"/>
    <w:rsid w:val="00F826A1"/>
    <w:rsid w:val="00F82EF6"/>
    <w:rsid w:val="00F8597E"/>
    <w:rsid w:val="00F87539"/>
    <w:rsid w:val="00F924B2"/>
    <w:rsid w:val="00FA210D"/>
    <w:rsid w:val="00FA3C18"/>
    <w:rsid w:val="00FA59AE"/>
    <w:rsid w:val="00FA5F93"/>
    <w:rsid w:val="00FA6B46"/>
    <w:rsid w:val="00FB3F35"/>
    <w:rsid w:val="00FB78E1"/>
    <w:rsid w:val="00FC0A91"/>
    <w:rsid w:val="00FC1498"/>
    <w:rsid w:val="00FC44AE"/>
    <w:rsid w:val="00FC633A"/>
    <w:rsid w:val="00FC77E4"/>
    <w:rsid w:val="00FD083E"/>
    <w:rsid w:val="00FD1256"/>
    <w:rsid w:val="00FD24A1"/>
    <w:rsid w:val="00FD3462"/>
    <w:rsid w:val="00FD52BD"/>
    <w:rsid w:val="00FD5F95"/>
    <w:rsid w:val="00FE05A5"/>
    <w:rsid w:val="00FE12B6"/>
    <w:rsid w:val="00FE16FF"/>
    <w:rsid w:val="00FE3150"/>
    <w:rsid w:val="00FE32B7"/>
    <w:rsid w:val="00FE451E"/>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5"/>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paragraph" w:styleId="Revision">
    <w:name w:val="Revision"/>
    <w:hidden/>
    <w:uiPriority w:val="99"/>
    <w:semiHidden/>
    <w:rsid w:val="008A5BE5"/>
    <w:pPr>
      <w:spacing w:after="0" w:line="240" w:lineRule="auto"/>
    </w:pPr>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0840615">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40308090">
      <w:bodyDiv w:val="1"/>
      <w:marLeft w:val="0"/>
      <w:marRight w:val="0"/>
      <w:marTop w:val="0"/>
      <w:marBottom w:val="0"/>
      <w:divBdr>
        <w:top w:val="none" w:sz="0" w:space="0" w:color="auto"/>
        <w:left w:val="none" w:sz="0" w:space="0" w:color="auto"/>
        <w:bottom w:val="none" w:sz="0" w:space="0" w:color="auto"/>
        <w:right w:val="none" w:sz="0" w:space="0" w:color="auto"/>
      </w:divBdr>
    </w:div>
    <w:div w:id="165112818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05908425">
      <w:bodyDiv w:val="1"/>
      <w:marLeft w:val="0"/>
      <w:marRight w:val="0"/>
      <w:marTop w:val="0"/>
      <w:marBottom w:val="0"/>
      <w:divBdr>
        <w:top w:val="none" w:sz="0" w:space="0" w:color="auto"/>
        <w:left w:val="none" w:sz="0" w:space="0" w:color="auto"/>
        <w:bottom w:val="none" w:sz="0" w:space="0" w:color="auto"/>
        <w:right w:val="none" w:sz="0" w:space="0" w:color="auto"/>
      </w:divBdr>
      <w:divsChild>
        <w:div w:id="2038309329">
          <w:marLeft w:val="0"/>
          <w:marRight w:val="0"/>
          <w:marTop w:val="0"/>
          <w:marBottom w:val="0"/>
          <w:divBdr>
            <w:top w:val="none" w:sz="0" w:space="0" w:color="auto"/>
            <w:left w:val="none" w:sz="0" w:space="0" w:color="auto"/>
            <w:bottom w:val="none" w:sz="0" w:space="0" w:color="auto"/>
            <w:right w:val="none" w:sz="0" w:space="0" w:color="auto"/>
          </w:divBdr>
        </w:div>
        <w:div w:id="1785228533">
          <w:marLeft w:val="0"/>
          <w:marRight w:val="0"/>
          <w:marTop w:val="0"/>
          <w:marBottom w:val="0"/>
          <w:divBdr>
            <w:top w:val="none" w:sz="0" w:space="0" w:color="auto"/>
            <w:left w:val="none" w:sz="0" w:space="0" w:color="auto"/>
            <w:bottom w:val="none" w:sz="0" w:space="0" w:color="auto"/>
            <w:right w:val="none" w:sz="0" w:space="0" w:color="auto"/>
          </w:divBdr>
        </w:div>
        <w:div w:id="324817592">
          <w:marLeft w:val="0"/>
          <w:marRight w:val="0"/>
          <w:marTop w:val="0"/>
          <w:marBottom w:val="0"/>
          <w:divBdr>
            <w:top w:val="none" w:sz="0" w:space="0" w:color="auto"/>
            <w:left w:val="none" w:sz="0" w:space="0" w:color="auto"/>
            <w:bottom w:val="none" w:sz="0" w:space="0" w:color="auto"/>
            <w:right w:val="none" w:sz="0" w:space="0" w:color="auto"/>
          </w:divBdr>
        </w:div>
        <w:div w:id="2098600251">
          <w:marLeft w:val="0"/>
          <w:marRight w:val="0"/>
          <w:marTop w:val="0"/>
          <w:marBottom w:val="0"/>
          <w:divBdr>
            <w:top w:val="none" w:sz="0" w:space="0" w:color="auto"/>
            <w:left w:val="none" w:sz="0" w:space="0" w:color="auto"/>
            <w:bottom w:val="none" w:sz="0" w:space="0" w:color="auto"/>
            <w:right w:val="none" w:sz="0" w:space="0" w:color="auto"/>
          </w:divBdr>
        </w:div>
        <w:div w:id="1852989356">
          <w:marLeft w:val="0"/>
          <w:marRight w:val="0"/>
          <w:marTop w:val="0"/>
          <w:marBottom w:val="0"/>
          <w:divBdr>
            <w:top w:val="none" w:sz="0" w:space="0" w:color="auto"/>
            <w:left w:val="none" w:sz="0" w:space="0" w:color="auto"/>
            <w:bottom w:val="none" w:sz="0" w:space="0" w:color="auto"/>
            <w:right w:val="none" w:sz="0" w:space="0" w:color="auto"/>
          </w:divBdr>
        </w:div>
        <w:div w:id="1795441479">
          <w:marLeft w:val="0"/>
          <w:marRight w:val="0"/>
          <w:marTop w:val="0"/>
          <w:marBottom w:val="0"/>
          <w:divBdr>
            <w:top w:val="none" w:sz="0" w:space="0" w:color="auto"/>
            <w:left w:val="none" w:sz="0" w:space="0" w:color="auto"/>
            <w:bottom w:val="none" w:sz="0" w:space="0" w:color="auto"/>
            <w:right w:val="none" w:sz="0" w:space="0" w:color="auto"/>
          </w:divBdr>
        </w:div>
        <w:div w:id="390495519">
          <w:marLeft w:val="0"/>
          <w:marRight w:val="0"/>
          <w:marTop w:val="0"/>
          <w:marBottom w:val="0"/>
          <w:divBdr>
            <w:top w:val="none" w:sz="0" w:space="0" w:color="auto"/>
            <w:left w:val="none" w:sz="0" w:space="0" w:color="auto"/>
            <w:bottom w:val="none" w:sz="0" w:space="0" w:color="auto"/>
            <w:right w:val="none" w:sz="0" w:space="0" w:color="auto"/>
          </w:divBdr>
        </w:div>
        <w:div w:id="1313949434">
          <w:marLeft w:val="0"/>
          <w:marRight w:val="0"/>
          <w:marTop w:val="0"/>
          <w:marBottom w:val="0"/>
          <w:divBdr>
            <w:top w:val="none" w:sz="0" w:space="0" w:color="auto"/>
            <w:left w:val="none" w:sz="0" w:space="0" w:color="auto"/>
            <w:bottom w:val="none" w:sz="0" w:space="0" w:color="auto"/>
            <w:right w:val="none" w:sz="0" w:space="0" w:color="auto"/>
          </w:divBdr>
        </w:div>
        <w:div w:id="150678321">
          <w:marLeft w:val="0"/>
          <w:marRight w:val="0"/>
          <w:marTop w:val="0"/>
          <w:marBottom w:val="0"/>
          <w:divBdr>
            <w:top w:val="none" w:sz="0" w:space="0" w:color="auto"/>
            <w:left w:val="none" w:sz="0" w:space="0" w:color="auto"/>
            <w:bottom w:val="none" w:sz="0" w:space="0" w:color="auto"/>
            <w:right w:val="none" w:sz="0" w:space="0" w:color="auto"/>
          </w:divBdr>
        </w:div>
        <w:div w:id="2108308312">
          <w:marLeft w:val="0"/>
          <w:marRight w:val="0"/>
          <w:marTop w:val="0"/>
          <w:marBottom w:val="0"/>
          <w:divBdr>
            <w:top w:val="none" w:sz="0" w:space="0" w:color="auto"/>
            <w:left w:val="none" w:sz="0" w:space="0" w:color="auto"/>
            <w:bottom w:val="none" w:sz="0" w:space="0" w:color="auto"/>
            <w:right w:val="none" w:sz="0" w:space="0" w:color="auto"/>
          </w:divBdr>
        </w:div>
        <w:div w:id="917448876">
          <w:marLeft w:val="0"/>
          <w:marRight w:val="0"/>
          <w:marTop w:val="0"/>
          <w:marBottom w:val="0"/>
          <w:divBdr>
            <w:top w:val="none" w:sz="0" w:space="0" w:color="auto"/>
            <w:left w:val="none" w:sz="0" w:space="0" w:color="auto"/>
            <w:bottom w:val="none" w:sz="0" w:space="0" w:color="auto"/>
            <w:right w:val="none" w:sz="0" w:space="0" w:color="auto"/>
          </w:divBdr>
        </w:div>
        <w:div w:id="1726294434">
          <w:marLeft w:val="0"/>
          <w:marRight w:val="0"/>
          <w:marTop w:val="0"/>
          <w:marBottom w:val="0"/>
          <w:divBdr>
            <w:top w:val="none" w:sz="0" w:space="0" w:color="auto"/>
            <w:left w:val="none" w:sz="0" w:space="0" w:color="auto"/>
            <w:bottom w:val="none" w:sz="0" w:space="0" w:color="auto"/>
            <w:right w:val="none" w:sz="0" w:space="0" w:color="auto"/>
          </w:divBdr>
        </w:div>
        <w:div w:id="1030885046">
          <w:marLeft w:val="0"/>
          <w:marRight w:val="0"/>
          <w:marTop w:val="0"/>
          <w:marBottom w:val="0"/>
          <w:divBdr>
            <w:top w:val="none" w:sz="0" w:space="0" w:color="auto"/>
            <w:left w:val="none" w:sz="0" w:space="0" w:color="auto"/>
            <w:bottom w:val="none" w:sz="0" w:space="0" w:color="auto"/>
            <w:right w:val="none" w:sz="0" w:space="0" w:color="auto"/>
          </w:divBdr>
        </w:div>
        <w:div w:id="2064864170">
          <w:marLeft w:val="0"/>
          <w:marRight w:val="0"/>
          <w:marTop w:val="0"/>
          <w:marBottom w:val="0"/>
          <w:divBdr>
            <w:top w:val="none" w:sz="0" w:space="0" w:color="auto"/>
            <w:left w:val="none" w:sz="0" w:space="0" w:color="auto"/>
            <w:bottom w:val="none" w:sz="0" w:space="0" w:color="auto"/>
            <w:right w:val="none" w:sz="0" w:space="0" w:color="auto"/>
          </w:divBdr>
        </w:div>
        <w:div w:id="1277523446">
          <w:marLeft w:val="0"/>
          <w:marRight w:val="0"/>
          <w:marTop w:val="0"/>
          <w:marBottom w:val="0"/>
          <w:divBdr>
            <w:top w:val="none" w:sz="0" w:space="0" w:color="auto"/>
            <w:left w:val="none" w:sz="0" w:space="0" w:color="auto"/>
            <w:bottom w:val="none" w:sz="0" w:space="0" w:color="auto"/>
            <w:right w:val="none" w:sz="0" w:space="0" w:color="auto"/>
          </w:divBdr>
        </w:div>
        <w:div w:id="330259435">
          <w:marLeft w:val="0"/>
          <w:marRight w:val="0"/>
          <w:marTop w:val="0"/>
          <w:marBottom w:val="0"/>
          <w:divBdr>
            <w:top w:val="none" w:sz="0" w:space="0" w:color="auto"/>
            <w:left w:val="none" w:sz="0" w:space="0" w:color="auto"/>
            <w:bottom w:val="none" w:sz="0" w:space="0" w:color="auto"/>
            <w:right w:val="none" w:sz="0" w:space="0" w:color="auto"/>
          </w:divBdr>
        </w:div>
        <w:div w:id="1517185675">
          <w:marLeft w:val="0"/>
          <w:marRight w:val="0"/>
          <w:marTop w:val="0"/>
          <w:marBottom w:val="0"/>
          <w:divBdr>
            <w:top w:val="none" w:sz="0" w:space="0" w:color="auto"/>
            <w:left w:val="none" w:sz="0" w:space="0" w:color="auto"/>
            <w:bottom w:val="none" w:sz="0" w:space="0" w:color="auto"/>
            <w:right w:val="none" w:sz="0" w:space="0" w:color="auto"/>
          </w:divBdr>
        </w:div>
        <w:div w:id="1911959948">
          <w:marLeft w:val="0"/>
          <w:marRight w:val="0"/>
          <w:marTop w:val="0"/>
          <w:marBottom w:val="0"/>
          <w:divBdr>
            <w:top w:val="none" w:sz="0" w:space="0" w:color="auto"/>
            <w:left w:val="none" w:sz="0" w:space="0" w:color="auto"/>
            <w:bottom w:val="none" w:sz="0" w:space="0" w:color="auto"/>
            <w:right w:val="none" w:sz="0" w:space="0" w:color="auto"/>
          </w:divBdr>
        </w:div>
        <w:div w:id="1528719369">
          <w:marLeft w:val="0"/>
          <w:marRight w:val="0"/>
          <w:marTop w:val="0"/>
          <w:marBottom w:val="0"/>
          <w:divBdr>
            <w:top w:val="none" w:sz="0" w:space="0" w:color="auto"/>
            <w:left w:val="none" w:sz="0" w:space="0" w:color="auto"/>
            <w:bottom w:val="none" w:sz="0" w:space="0" w:color="auto"/>
            <w:right w:val="none" w:sz="0" w:space="0" w:color="auto"/>
          </w:divBdr>
        </w:div>
        <w:div w:id="938105674">
          <w:marLeft w:val="0"/>
          <w:marRight w:val="0"/>
          <w:marTop w:val="0"/>
          <w:marBottom w:val="0"/>
          <w:divBdr>
            <w:top w:val="none" w:sz="0" w:space="0" w:color="auto"/>
            <w:left w:val="none" w:sz="0" w:space="0" w:color="auto"/>
            <w:bottom w:val="none" w:sz="0" w:space="0" w:color="auto"/>
            <w:right w:val="none" w:sz="0" w:space="0" w:color="auto"/>
          </w:divBdr>
        </w:div>
        <w:div w:id="1530606144">
          <w:marLeft w:val="0"/>
          <w:marRight w:val="0"/>
          <w:marTop w:val="0"/>
          <w:marBottom w:val="0"/>
          <w:divBdr>
            <w:top w:val="none" w:sz="0" w:space="0" w:color="auto"/>
            <w:left w:val="none" w:sz="0" w:space="0" w:color="auto"/>
            <w:bottom w:val="none" w:sz="0" w:space="0" w:color="auto"/>
            <w:right w:val="none" w:sz="0" w:space="0" w:color="auto"/>
          </w:divBdr>
        </w:div>
        <w:div w:id="1721174808">
          <w:marLeft w:val="0"/>
          <w:marRight w:val="0"/>
          <w:marTop w:val="0"/>
          <w:marBottom w:val="0"/>
          <w:divBdr>
            <w:top w:val="none" w:sz="0" w:space="0" w:color="auto"/>
            <w:left w:val="none" w:sz="0" w:space="0" w:color="auto"/>
            <w:bottom w:val="none" w:sz="0" w:space="0" w:color="auto"/>
            <w:right w:val="none" w:sz="0" w:space="0" w:color="auto"/>
          </w:divBdr>
        </w:div>
        <w:div w:id="471023750">
          <w:marLeft w:val="0"/>
          <w:marRight w:val="0"/>
          <w:marTop w:val="0"/>
          <w:marBottom w:val="0"/>
          <w:divBdr>
            <w:top w:val="none" w:sz="0" w:space="0" w:color="auto"/>
            <w:left w:val="none" w:sz="0" w:space="0" w:color="auto"/>
            <w:bottom w:val="none" w:sz="0" w:space="0" w:color="auto"/>
            <w:right w:val="none" w:sz="0" w:space="0" w:color="auto"/>
          </w:divBdr>
        </w:div>
        <w:div w:id="1829595715">
          <w:marLeft w:val="0"/>
          <w:marRight w:val="0"/>
          <w:marTop w:val="0"/>
          <w:marBottom w:val="0"/>
          <w:divBdr>
            <w:top w:val="none" w:sz="0" w:space="0" w:color="auto"/>
            <w:left w:val="none" w:sz="0" w:space="0" w:color="auto"/>
            <w:bottom w:val="none" w:sz="0" w:space="0" w:color="auto"/>
            <w:right w:val="none" w:sz="0" w:space="0" w:color="auto"/>
          </w:divBdr>
        </w:div>
        <w:div w:id="731193975">
          <w:marLeft w:val="0"/>
          <w:marRight w:val="0"/>
          <w:marTop w:val="0"/>
          <w:marBottom w:val="0"/>
          <w:divBdr>
            <w:top w:val="none" w:sz="0" w:space="0" w:color="auto"/>
            <w:left w:val="none" w:sz="0" w:space="0" w:color="auto"/>
            <w:bottom w:val="none" w:sz="0" w:space="0" w:color="auto"/>
            <w:right w:val="none" w:sz="0" w:space="0" w:color="auto"/>
          </w:divBdr>
        </w:div>
        <w:div w:id="1057819056">
          <w:marLeft w:val="0"/>
          <w:marRight w:val="0"/>
          <w:marTop w:val="0"/>
          <w:marBottom w:val="0"/>
          <w:divBdr>
            <w:top w:val="none" w:sz="0" w:space="0" w:color="auto"/>
            <w:left w:val="none" w:sz="0" w:space="0" w:color="auto"/>
            <w:bottom w:val="none" w:sz="0" w:space="0" w:color="auto"/>
            <w:right w:val="none" w:sz="0" w:space="0" w:color="auto"/>
          </w:divBdr>
        </w:div>
        <w:div w:id="737939554">
          <w:marLeft w:val="0"/>
          <w:marRight w:val="0"/>
          <w:marTop w:val="0"/>
          <w:marBottom w:val="0"/>
          <w:divBdr>
            <w:top w:val="none" w:sz="0" w:space="0" w:color="auto"/>
            <w:left w:val="none" w:sz="0" w:space="0" w:color="auto"/>
            <w:bottom w:val="none" w:sz="0" w:space="0" w:color="auto"/>
            <w:right w:val="none" w:sz="0" w:space="0" w:color="auto"/>
          </w:divBdr>
        </w:div>
        <w:div w:id="504898608">
          <w:marLeft w:val="0"/>
          <w:marRight w:val="0"/>
          <w:marTop w:val="0"/>
          <w:marBottom w:val="0"/>
          <w:divBdr>
            <w:top w:val="none" w:sz="0" w:space="0" w:color="auto"/>
            <w:left w:val="none" w:sz="0" w:space="0" w:color="auto"/>
            <w:bottom w:val="none" w:sz="0" w:space="0" w:color="auto"/>
            <w:right w:val="none" w:sz="0" w:space="0" w:color="auto"/>
          </w:divBdr>
        </w:div>
        <w:div w:id="1485052168">
          <w:marLeft w:val="0"/>
          <w:marRight w:val="0"/>
          <w:marTop w:val="0"/>
          <w:marBottom w:val="0"/>
          <w:divBdr>
            <w:top w:val="none" w:sz="0" w:space="0" w:color="auto"/>
            <w:left w:val="none" w:sz="0" w:space="0" w:color="auto"/>
            <w:bottom w:val="none" w:sz="0" w:space="0" w:color="auto"/>
            <w:right w:val="none" w:sz="0" w:space="0" w:color="auto"/>
          </w:divBdr>
        </w:div>
        <w:div w:id="1389064899">
          <w:marLeft w:val="0"/>
          <w:marRight w:val="0"/>
          <w:marTop w:val="0"/>
          <w:marBottom w:val="0"/>
          <w:divBdr>
            <w:top w:val="none" w:sz="0" w:space="0" w:color="auto"/>
            <w:left w:val="none" w:sz="0" w:space="0" w:color="auto"/>
            <w:bottom w:val="none" w:sz="0" w:space="0" w:color="auto"/>
            <w:right w:val="none" w:sz="0" w:space="0" w:color="auto"/>
          </w:divBdr>
        </w:div>
        <w:div w:id="1040478780">
          <w:marLeft w:val="0"/>
          <w:marRight w:val="0"/>
          <w:marTop w:val="0"/>
          <w:marBottom w:val="0"/>
          <w:divBdr>
            <w:top w:val="none" w:sz="0" w:space="0" w:color="auto"/>
            <w:left w:val="none" w:sz="0" w:space="0" w:color="auto"/>
            <w:bottom w:val="none" w:sz="0" w:space="0" w:color="auto"/>
            <w:right w:val="none" w:sz="0" w:space="0" w:color="auto"/>
          </w:divBdr>
        </w:div>
        <w:div w:id="288433979">
          <w:marLeft w:val="0"/>
          <w:marRight w:val="0"/>
          <w:marTop w:val="0"/>
          <w:marBottom w:val="0"/>
          <w:divBdr>
            <w:top w:val="none" w:sz="0" w:space="0" w:color="auto"/>
            <w:left w:val="none" w:sz="0" w:space="0" w:color="auto"/>
            <w:bottom w:val="none" w:sz="0" w:space="0" w:color="auto"/>
            <w:right w:val="none" w:sz="0" w:space="0" w:color="auto"/>
          </w:divBdr>
        </w:div>
        <w:div w:id="527911683">
          <w:marLeft w:val="0"/>
          <w:marRight w:val="0"/>
          <w:marTop w:val="0"/>
          <w:marBottom w:val="0"/>
          <w:divBdr>
            <w:top w:val="none" w:sz="0" w:space="0" w:color="auto"/>
            <w:left w:val="none" w:sz="0" w:space="0" w:color="auto"/>
            <w:bottom w:val="none" w:sz="0" w:space="0" w:color="auto"/>
            <w:right w:val="none" w:sz="0" w:space="0" w:color="auto"/>
          </w:divBdr>
        </w:div>
        <w:div w:id="1030689385">
          <w:marLeft w:val="0"/>
          <w:marRight w:val="0"/>
          <w:marTop w:val="0"/>
          <w:marBottom w:val="0"/>
          <w:divBdr>
            <w:top w:val="none" w:sz="0" w:space="0" w:color="auto"/>
            <w:left w:val="none" w:sz="0" w:space="0" w:color="auto"/>
            <w:bottom w:val="none" w:sz="0" w:space="0" w:color="auto"/>
            <w:right w:val="none" w:sz="0" w:space="0" w:color="auto"/>
          </w:divBdr>
        </w:div>
        <w:div w:id="1459372072">
          <w:marLeft w:val="0"/>
          <w:marRight w:val="0"/>
          <w:marTop w:val="0"/>
          <w:marBottom w:val="0"/>
          <w:divBdr>
            <w:top w:val="none" w:sz="0" w:space="0" w:color="auto"/>
            <w:left w:val="none" w:sz="0" w:space="0" w:color="auto"/>
            <w:bottom w:val="none" w:sz="0" w:space="0" w:color="auto"/>
            <w:right w:val="none" w:sz="0" w:space="0" w:color="auto"/>
          </w:divBdr>
        </w:div>
        <w:div w:id="1753770262">
          <w:marLeft w:val="0"/>
          <w:marRight w:val="0"/>
          <w:marTop w:val="0"/>
          <w:marBottom w:val="0"/>
          <w:divBdr>
            <w:top w:val="none" w:sz="0" w:space="0" w:color="auto"/>
            <w:left w:val="none" w:sz="0" w:space="0" w:color="auto"/>
            <w:bottom w:val="none" w:sz="0" w:space="0" w:color="auto"/>
            <w:right w:val="none" w:sz="0" w:space="0" w:color="auto"/>
          </w:divBdr>
        </w:div>
        <w:div w:id="173615041">
          <w:marLeft w:val="0"/>
          <w:marRight w:val="0"/>
          <w:marTop w:val="0"/>
          <w:marBottom w:val="0"/>
          <w:divBdr>
            <w:top w:val="none" w:sz="0" w:space="0" w:color="auto"/>
            <w:left w:val="none" w:sz="0" w:space="0" w:color="auto"/>
            <w:bottom w:val="none" w:sz="0" w:space="0" w:color="auto"/>
            <w:right w:val="none" w:sz="0" w:space="0" w:color="auto"/>
          </w:divBdr>
        </w:div>
        <w:div w:id="779376685">
          <w:marLeft w:val="0"/>
          <w:marRight w:val="0"/>
          <w:marTop w:val="0"/>
          <w:marBottom w:val="0"/>
          <w:divBdr>
            <w:top w:val="none" w:sz="0" w:space="0" w:color="auto"/>
            <w:left w:val="none" w:sz="0" w:space="0" w:color="auto"/>
            <w:bottom w:val="none" w:sz="0" w:space="0" w:color="auto"/>
            <w:right w:val="none" w:sz="0" w:space="0" w:color="auto"/>
          </w:divBdr>
        </w:div>
        <w:div w:id="1699888109">
          <w:marLeft w:val="0"/>
          <w:marRight w:val="0"/>
          <w:marTop w:val="0"/>
          <w:marBottom w:val="0"/>
          <w:divBdr>
            <w:top w:val="none" w:sz="0" w:space="0" w:color="auto"/>
            <w:left w:val="none" w:sz="0" w:space="0" w:color="auto"/>
            <w:bottom w:val="none" w:sz="0" w:space="0" w:color="auto"/>
            <w:right w:val="none" w:sz="0" w:space="0" w:color="auto"/>
          </w:divBdr>
        </w:div>
        <w:div w:id="204030522">
          <w:marLeft w:val="0"/>
          <w:marRight w:val="0"/>
          <w:marTop w:val="0"/>
          <w:marBottom w:val="0"/>
          <w:divBdr>
            <w:top w:val="none" w:sz="0" w:space="0" w:color="auto"/>
            <w:left w:val="none" w:sz="0" w:space="0" w:color="auto"/>
            <w:bottom w:val="none" w:sz="0" w:space="0" w:color="auto"/>
            <w:right w:val="none" w:sz="0" w:space="0" w:color="auto"/>
          </w:divBdr>
        </w:div>
        <w:div w:id="1045906905">
          <w:marLeft w:val="0"/>
          <w:marRight w:val="0"/>
          <w:marTop w:val="0"/>
          <w:marBottom w:val="0"/>
          <w:divBdr>
            <w:top w:val="none" w:sz="0" w:space="0" w:color="auto"/>
            <w:left w:val="none" w:sz="0" w:space="0" w:color="auto"/>
            <w:bottom w:val="none" w:sz="0" w:space="0" w:color="auto"/>
            <w:right w:val="none" w:sz="0" w:space="0" w:color="auto"/>
          </w:divBdr>
        </w:div>
        <w:div w:id="625236182">
          <w:marLeft w:val="0"/>
          <w:marRight w:val="0"/>
          <w:marTop w:val="0"/>
          <w:marBottom w:val="0"/>
          <w:divBdr>
            <w:top w:val="none" w:sz="0" w:space="0" w:color="auto"/>
            <w:left w:val="none" w:sz="0" w:space="0" w:color="auto"/>
            <w:bottom w:val="none" w:sz="0" w:space="0" w:color="auto"/>
            <w:right w:val="none" w:sz="0" w:space="0" w:color="auto"/>
          </w:divBdr>
        </w:div>
        <w:div w:id="832527519">
          <w:marLeft w:val="0"/>
          <w:marRight w:val="0"/>
          <w:marTop w:val="0"/>
          <w:marBottom w:val="0"/>
          <w:divBdr>
            <w:top w:val="none" w:sz="0" w:space="0" w:color="auto"/>
            <w:left w:val="none" w:sz="0" w:space="0" w:color="auto"/>
            <w:bottom w:val="none" w:sz="0" w:space="0" w:color="auto"/>
            <w:right w:val="none" w:sz="0" w:space="0" w:color="auto"/>
          </w:divBdr>
        </w:div>
        <w:div w:id="1905219428">
          <w:marLeft w:val="0"/>
          <w:marRight w:val="0"/>
          <w:marTop w:val="0"/>
          <w:marBottom w:val="0"/>
          <w:divBdr>
            <w:top w:val="none" w:sz="0" w:space="0" w:color="auto"/>
            <w:left w:val="none" w:sz="0" w:space="0" w:color="auto"/>
            <w:bottom w:val="none" w:sz="0" w:space="0" w:color="auto"/>
            <w:right w:val="none" w:sz="0" w:space="0" w:color="auto"/>
          </w:divBdr>
        </w:div>
        <w:div w:id="1215312007">
          <w:marLeft w:val="0"/>
          <w:marRight w:val="0"/>
          <w:marTop w:val="0"/>
          <w:marBottom w:val="0"/>
          <w:divBdr>
            <w:top w:val="none" w:sz="0" w:space="0" w:color="auto"/>
            <w:left w:val="none" w:sz="0" w:space="0" w:color="auto"/>
            <w:bottom w:val="none" w:sz="0" w:space="0" w:color="auto"/>
            <w:right w:val="none" w:sz="0" w:space="0" w:color="auto"/>
          </w:divBdr>
        </w:div>
        <w:div w:id="1344629434">
          <w:marLeft w:val="0"/>
          <w:marRight w:val="0"/>
          <w:marTop w:val="0"/>
          <w:marBottom w:val="0"/>
          <w:divBdr>
            <w:top w:val="none" w:sz="0" w:space="0" w:color="auto"/>
            <w:left w:val="none" w:sz="0" w:space="0" w:color="auto"/>
            <w:bottom w:val="none" w:sz="0" w:space="0" w:color="auto"/>
            <w:right w:val="none" w:sz="0" w:space="0" w:color="auto"/>
          </w:divBdr>
        </w:div>
        <w:div w:id="2107967518">
          <w:marLeft w:val="0"/>
          <w:marRight w:val="0"/>
          <w:marTop w:val="0"/>
          <w:marBottom w:val="0"/>
          <w:divBdr>
            <w:top w:val="none" w:sz="0" w:space="0" w:color="auto"/>
            <w:left w:val="none" w:sz="0" w:space="0" w:color="auto"/>
            <w:bottom w:val="none" w:sz="0" w:space="0" w:color="auto"/>
            <w:right w:val="none" w:sz="0" w:space="0" w:color="auto"/>
          </w:divBdr>
        </w:div>
        <w:div w:id="1901624913">
          <w:marLeft w:val="0"/>
          <w:marRight w:val="0"/>
          <w:marTop w:val="0"/>
          <w:marBottom w:val="0"/>
          <w:divBdr>
            <w:top w:val="none" w:sz="0" w:space="0" w:color="auto"/>
            <w:left w:val="none" w:sz="0" w:space="0" w:color="auto"/>
            <w:bottom w:val="none" w:sz="0" w:space="0" w:color="auto"/>
            <w:right w:val="none" w:sz="0" w:space="0" w:color="auto"/>
          </w:divBdr>
        </w:div>
        <w:div w:id="136843647">
          <w:marLeft w:val="0"/>
          <w:marRight w:val="0"/>
          <w:marTop w:val="0"/>
          <w:marBottom w:val="0"/>
          <w:divBdr>
            <w:top w:val="none" w:sz="0" w:space="0" w:color="auto"/>
            <w:left w:val="none" w:sz="0" w:space="0" w:color="auto"/>
            <w:bottom w:val="none" w:sz="0" w:space="0" w:color="auto"/>
            <w:right w:val="none" w:sz="0" w:space="0" w:color="auto"/>
          </w:divBdr>
        </w:div>
        <w:div w:id="1029719004">
          <w:marLeft w:val="0"/>
          <w:marRight w:val="0"/>
          <w:marTop w:val="0"/>
          <w:marBottom w:val="0"/>
          <w:divBdr>
            <w:top w:val="none" w:sz="0" w:space="0" w:color="auto"/>
            <w:left w:val="none" w:sz="0" w:space="0" w:color="auto"/>
            <w:bottom w:val="none" w:sz="0" w:space="0" w:color="auto"/>
            <w:right w:val="none" w:sz="0" w:space="0" w:color="auto"/>
          </w:divBdr>
        </w:div>
        <w:div w:id="1989938532">
          <w:marLeft w:val="0"/>
          <w:marRight w:val="0"/>
          <w:marTop w:val="0"/>
          <w:marBottom w:val="0"/>
          <w:divBdr>
            <w:top w:val="none" w:sz="0" w:space="0" w:color="auto"/>
            <w:left w:val="none" w:sz="0" w:space="0" w:color="auto"/>
            <w:bottom w:val="none" w:sz="0" w:space="0" w:color="auto"/>
            <w:right w:val="none" w:sz="0" w:space="0" w:color="auto"/>
          </w:divBdr>
        </w:div>
        <w:div w:id="1392538162">
          <w:marLeft w:val="0"/>
          <w:marRight w:val="0"/>
          <w:marTop w:val="0"/>
          <w:marBottom w:val="0"/>
          <w:divBdr>
            <w:top w:val="none" w:sz="0" w:space="0" w:color="auto"/>
            <w:left w:val="none" w:sz="0" w:space="0" w:color="auto"/>
            <w:bottom w:val="none" w:sz="0" w:space="0" w:color="auto"/>
            <w:right w:val="none" w:sz="0" w:space="0" w:color="auto"/>
          </w:divBdr>
        </w:div>
        <w:div w:id="249510800">
          <w:marLeft w:val="0"/>
          <w:marRight w:val="0"/>
          <w:marTop w:val="0"/>
          <w:marBottom w:val="0"/>
          <w:divBdr>
            <w:top w:val="none" w:sz="0" w:space="0" w:color="auto"/>
            <w:left w:val="none" w:sz="0" w:space="0" w:color="auto"/>
            <w:bottom w:val="none" w:sz="0" w:space="0" w:color="auto"/>
            <w:right w:val="none" w:sz="0" w:space="0" w:color="auto"/>
          </w:divBdr>
        </w:div>
        <w:div w:id="236549784">
          <w:marLeft w:val="0"/>
          <w:marRight w:val="0"/>
          <w:marTop w:val="0"/>
          <w:marBottom w:val="0"/>
          <w:divBdr>
            <w:top w:val="none" w:sz="0" w:space="0" w:color="auto"/>
            <w:left w:val="none" w:sz="0" w:space="0" w:color="auto"/>
            <w:bottom w:val="none" w:sz="0" w:space="0" w:color="auto"/>
            <w:right w:val="none" w:sz="0" w:space="0" w:color="auto"/>
          </w:divBdr>
        </w:div>
        <w:div w:id="1233739139">
          <w:marLeft w:val="0"/>
          <w:marRight w:val="0"/>
          <w:marTop w:val="0"/>
          <w:marBottom w:val="0"/>
          <w:divBdr>
            <w:top w:val="none" w:sz="0" w:space="0" w:color="auto"/>
            <w:left w:val="none" w:sz="0" w:space="0" w:color="auto"/>
            <w:bottom w:val="none" w:sz="0" w:space="0" w:color="auto"/>
            <w:right w:val="none" w:sz="0" w:space="0" w:color="auto"/>
          </w:divBdr>
        </w:div>
        <w:div w:id="2088844755">
          <w:marLeft w:val="0"/>
          <w:marRight w:val="0"/>
          <w:marTop w:val="0"/>
          <w:marBottom w:val="0"/>
          <w:divBdr>
            <w:top w:val="none" w:sz="0" w:space="0" w:color="auto"/>
            <w:left w:val="none" w:sz="0" w:space="0" w:color="auto"/>
            <w:bottom w:val="none" w:sz="0" w:space="0" w:color="auto"/>
            <w:right w:val="none" w:sz="0" w:space="0" w:color="auto"/>
          </w:divBdr>
        </w:div>
        <w:div w:id="1575820360">
          <w:marLeft w:val="0"/>
          <w:marRight w:val="0"/>
          <w:marTop w:val="0"/>
          <w:marBottom w:val="0"/>
          <w:divBdr>
            <w:top w:val="none" w:sz="0" w:space="0" w:color="auto"/>
            <w:left w:val="none" w:sz="0" w:space="0" w:color="auto"/>
            <w:bottom w:val="none" w:sz="0" w:space="0" w:color="auto"/>
            <w:right w:val="none" w:sz="0" w:space="0" w:color="auto"/>
          </w:divBdr>
        </w:div>
        <w:div w:id="230509944">
          <w:marLeft w:val="0"/>
          <w:marRight w:val="0"/>
          <w:marTop w:val="0"/>
          <w:marBottom w:val="0"/>
          <w:divBdr>
            <w:top w:val="none" w:sz="0" w:space="0" w:color="auto"/>
            <w:left w:val="none" w:sz="0" w:space="0" w:color="auto"/>
            <w:bottom w:val="none" w:sz="0" w:space="0" w:color="auto"/>
            <w:right w:val="none" w:sz="0" w:space="0" w:color="auto"/>
          </w:divBdr>
        </w:div>
        <w:div w:id="296567094">
          <w:marLeft w:val="0"/>
          <w:marRight w:val="0"/>
          <w:marTop w:val="0"/>
          <w:marBottom w:val="0"/>
          <w:divBdr>
            <w:top w:val="none" w:sz="0" w:space="0" w:color="auto"/>
            <w:left w:val="none" w:sz="0" w:space="0" w:color="auto"/>
            <w:bottom w:val="none" w:sz="0" w:space="0" w:color="auto"/>
            <w:right w:val="none" w:sz="0" w:space="0" w:color="auto"/>
          </w:divBdr>
        </w:div>
        <w:div w:id="1202287462">
          <w:marLeft w:val="0"/>
          <w:marRight w:val="0"/>
          <w:marTop w:val="0"/>
          <w:marBottom w:val="0"/>
          <w:divBdr>
            <w:top w:val="none" w:sz="0" w:space="0" w:color="auto"/>
            <w:left w:val="none" w:sz="0" w:space="0" w:color="auto"/>
            <w:bottom w:val="none" w:sz="0" w:space="0" w:color="auto"/>
            <w:right w:val="none" w:sz="0" w:space="0" w:color="auto"/>
          </w:divBdr>
        </w:div>
        <w:div w:id="913587254">
          <w:marLeft w:val="0"/>
          <w:marRight w:val="0"/>
          <w:marTop w:val="0"/>
          <w:marBottom w:val="0"/>
          <w:divBdr>
            <w:top w:val="none" w:sz="0" w:space="0" w:color="auto"/>
            <w:left w:val="none" w:sz="0" w:space="0" w:color="auto"/>
            <w:bottom w:val="none" w:sz="0" w:space="0" w:color="auto"/>
            <w:right w:val="none" w:sz="0" w:space="0" w:color="auto"/>
          </w:divBdr>
        </w:div>
        <w:div w:id="2035763749">
          <w:marLeft w:val="0"/>
          <w:marRight w:val="0"/>
          <w:marTop w:val="0"/>
          <w:marBottom w:val="0"/>
          <w:divBdr>
            <w:top w:val="none" w:sz="0" w:space="0" w:color="auto"/>
            <w:left w:val="none" w:sz="0" w:space="0" w:color="auto"/>
            <w:bottom w:val="none" w:sz="0" w:space="0" w:color="auto"/>
            <w:right w:val="none" w:sz="0" w:space="0" w:color="auto"/>
          </w:divBdr>
        </w:div>
        <w:div w:id="505366351">
          <w:marLeft w:val="0"/>
          <w:marRight w:val="0"/>
          <w:marTop w:val="0"/>
          <w:marBottom w:val="0"/>
          <w:divBdr>
            <w:top w:val="none" w:sz="0" w:space="0" w:color="auto"/>
            <w:left w:val="none" w:sz="0" w:space="0" w:color="auto"/>
            <w:bottom w:val="none" w:sz="0" w:space="0" w:color="auto"/>
            <w:right w:val="none" w:sz="0" w:space="0" w:color="auto"/>
          </w:divBdr>
        </w:div>
        <w:div w:id="885526338">
          <w:marLeft w:val="0"/>
          <w:marRight w:val="0"/>
          <w:marTop w:val="0"/>
          <w:marBottom w:val="0"/>
          <w:divBdr>
            <w:top w:val="none" w:sz="0" w:space="0" w:color="auto"/>
            <w:left w:val="none" w:sz="0" w:space="0" w:color="auto"/>
            <w:bottom w:val="none" w:sz="0" w:space="0" w:color="auto"/>
            <w:right w:val="none" w:sz="0" w:space="0" w:color="auto"/>
          </w:divBdr>
        </w:div>
        <w:div w:id="1806006038">
          <w:marLeft w:val="0"/>
          <w:marRight w:val="0"/>
          <w:marTop w:val="0"/>
          <w:marBottom w:val="0"/>
          <w:divBdr>
            <w:top w:val="none" w:sz="0" w:space="0" w:color="auto"/>
            <w:left w:val="none" w:sz="0" w:space="0" w:color="auto"/>
            <w:bottom w:val="none" w:sz="0" w:space="0" w:color="auto"/>
            <w:right w:val="none" w:sz="0" w:space="0" w:color="auto"/>
          </w:divBdr>
        </w:div>
        <w:div w:id="1131363403">
          <w:marLeft w:val="0"/>
          <w:marRight w:val="0"/>
          <w:marTop w:val="0"/>
          <w:marBottom w:val="0"/>
          <w:divBdr>
            <w:top w:val="none" w:sz="0" w:space="0" w:color="auto"/>
            <w:left w:val="none" w:sz="0" w:space="0" w:color="auto"/>
            <w:bottom w:val="none" w:sz="0" w:space="0" w:color="auto"/>
            <w:right w:val="none" w:sz="0" w:space="0" w:color="auto"/>
          </w:divBdr>
        </w:div>
        <w:div w:id="293174709">
          <w:marLeft w:val="0"/>
          <w:marRight w:val="0"/>
          <w:marTop w:val="0"/>
          <w:marBottom w:val="0"/>
          <w:divBdr>
            <w:top w:val="none" w:sz="0" w:space="0" w:color="auto"/>
            <w:left w:val="none" w:sz="0" w:space="0" w:color="auto"/>
            <w:bottom w:val="none" w:sz="0" w:space="0" w:color="auto"/>
            <w:right w:val="none" w:sz="0" w:space="0" w:color="auto"/>
          </w:divBdr>
        </w:div>
        <w:div w:id="1194683747">
          <w:marLeft w:val="0"/>
          <w:marRight w:val="0"/>
          <w:marTop w:val="0"/>
          <w:marBottom w:val="0"/>
          <w:divBdr>
            <w:top w:val="none" w:sz="0" w:space="0" w:color="auto"/>
            <w:left w:val="none" w:sz="0" w:space="0" w:color="auto"/>
            <w:bottom w:val="none" w:sz="0" w:space="0" w:color="auto"/>
            <w:right w:val="none" w:sz="0" w:space="0" w:color="auto"/>
          </w:divBdr>
        </w:div>
        <w:div w:id="360323406">
          <w:marLeft w:val="0"/>
          <w:marRight w:val="0"/>
          <w:marTop w:val="0"/>
          <w:marBottom w:val="0"/>
          <w:divBdr>
            <w:top w:val="none" w:sz="0" w:space="0" w:color="auto"/>
            <w:left w:val="none" w:sz="0" w:space="0" w:color="auto"/>
            <w:bottom w:val="none" w:sz="0" w:space="0" w:color="auto"/>
            <w:right w:val="none" w:sz="0" w:space="0" w:color="auto"/>
          </w:divBdr>
        </w:div>
        <w:div w:id="1440954661">
          <w:marLeft w:val="0"/>
          <w:marRight w:val="0"/>
          <w:marTop w:val="0"/>
          <w:marBottom w:val="0"/>
          <w:divBdr>
            <w:top w:val="none" w:sz="0" w:space="0" w:color="auto"/>
            <w:left w:val="none" w:sz="0" w:space="0" w:color="auto"/>
            <w:bottom w:val="none" w:sz="0" w:space="0" w:color="auto"/>
            <w:right w:val="none" w:sz="0" w:space="0" w:color="auto"/>
          </w:divBdr>
        </w:div>
        <w:div w:id="1641421966">
          <w:marLeft w:val="0"/>
          <w:marRight w:val="0"/>
          <w:marTop w:val="0"/>
          <w:marBottom w:val="0"/>
          <w:divBdr>
            <w:top w:val="none" w:sz="0" w:space="0" w:color="auto"/>
            <w:left w:val="none" w:sz="0" w:space="0" w:color="auto"/>
            <w:bottom w:val="none" w:sz="0" w:space="0" w:color="auto"/>
            <w:right w:val="none" w:sz="0" w:space="0" w:color="auto"/>
          </w:divBdr>
        </w:div>
        <w:div w:id="44568379">
          <w:marLeft w:val="0"/>
          <w:marRight w:val="0"/>
          <w:marTop w:val="0"/>
          <w:marBottom w:val="0"/>
          <w:divBdr>
            <w:top w:val="none" w:sz="0" w:space="0" w:color="auto"/>
            <w:left w:val="none" w:sz="0" w:space="0" w:color="auto"/>
            <w:bottom w:val="none" w:sz="0" w:space="0" w:color="auto"/>
            <w:right w:val="none" w:sz="0" w:space="0" w:color="auto"/>
          </w:divBdr>
        </w:div>
        <w:div w:id="1557088209">
          <w:marLeft w:val="0"/>
          <w:marRight w:val="0"/>
          <w:marTop w:val="0"/>
          <w:marBottom w:val="0"/>
          <w:divBdr>
            <w:top w:val="none" w:sz="0" w:space="0" w:color="auto"/>
            <w:left w:val="none" w:sz="0" w:space="0" w:color="auto"/>
            <w:bottom w:val="none" w:sz="0" w:space="0" w:color="auto"/>
            <w:right w:val="none" w:sz="0" w:space="0" w:color="auto"/>
          </w:divBdr>
        </w:div>
        <w:div w:id="1153641656">
          <w:marLeft w:val="0"/>
          <w:marRight w:val="0"/>
          <w:marTop w:val="0"/>
          <w:marBottom w:val="0"/>
          <w:divBdr>
            <w:top w:val="none" w:sz="0" w:space="0" w:color="auto"/>
            <w:left w:val="none" w:sz="0" w:space="0" w:color="auto"/>
            <w:bottom w:val="none" w:sz="0" w:space="0" w:color="auto"/>
            <w:right w:val="none" w:sz="0" w:space="0" w:color="auto"/>
          </w:divBdr>
        </w:div>
        <w:div w:id="396057493">
          <w:marLeft w:val="0"/>
          <w:marRight w:val="0"/>
          <w:marTop w:val="0"/>
          <w:marBottom w:val="0"/>
          <w:divBdr>
            <w:top w:val="none" w:sz="0" w:space="0" w:color="auto"/>
            <w:left w:val="none" w:sz="0" w:space="0" w:color="auto"/>
            <w:bottom w:val="none" w:sz="0" w:space="0" w:color="auto"/>
            <w:right w:val="none" w:sz="0" w:space="0" w:color="auto"/>
          </w:divBdr>
        </w:div>
        <w:div w:id="148592944">
          <w:marLeft w:val="0"/>
          <w:marRight w:val="0"/>
          <w:marTop w:val="0"/>
          <w:marBottom w:val="0"/>
          <w:divBdr>
            <w:top w:val="none" w:sz="0" w:space="0" w:color="auto"/>
            <w:left w:val="none" w:sz="0" w:space="0" w:color="auto"/>
            <w:bottom w:val="none" w:sz="0" w:space="0" w:color="auto"/>
            <w:right w:val="none" w:sz="0" w:space="0" w:color="auto"/>
          </w:divBdr>
        </w:div>
        <w:div w:id="891113705">
          <w:marLeft w:val="0"/>
          <w:marRight w:val="0"/>
          <w:marTop w:val="0"/>
          <w:marBottom w:val="0"/>
          <w:divBdr>
            <w:top w:val="none" w:sz="0" w:space="0" w:color="auto"/>
            <w:left w:val="none" w:sz="0" w:space="0" w:color="auto"/>
            <w:bottom w:val="none" w:sz="0" w:space="0" w:color="auto"/>
            <w:right w:val="none" w:sz="0" w:space="0" w:color="auto"/>
          </w:divBdr>
        </w:div>
        <w:div w:id="324161970">
          <w:marLeft w:val="0"/>
          <w:marRight w:val="0"/>
          <w:marTop w:val="0"/>
          <w:marBottom w:val="0"/>
          <w:divBdr>
            <w:top w:val="none" w:sz="0" w:space="0" w:color="auto"/>
            <w:left w:val="none" w:sz="0" w:space="0" w:color="auto"/>
            <w:bottom w:val="none" w:sz="0" w:space="0" w:color="auto"/>
            <w:right w:val="none" w:sz="0" w:space="0" w:color="auto"/>
          </w:divBdr>
        </w:div>
        <w:div w:id="1209102295">
          <w:marLeft w:val="0"/>
          <w:marRight w:val="0"/>
          <w:marTop w:val="0"/>
          <w:marBottom w:val="0"/>
          <w:divBdr>
            <w:top w:val="none" w:sz="0" w:space="0" w:color="auto"/>
            <w:left w:val="none" w:sz="0" w:space="0" w:color="auto"/>
            <w:bottom w:val="none" w:sz="0" w:space="0" w:color="auto"/>
            <w:right w:val="none" w:sz="0" w:space="0" w:color="auto"/>
          </w:divBdr>
        </w:div>
        <w:div w:id="681787853">
          <w:marLeft w:val="0"/>
          <w:marRight w:val="0"/>
          <w:marTop w:val="0"/>
          <w:marBottom w:val="0"/>
          <w:divBdr>
            <w:top w:val="none" w:sz="0" w:space="0" w:color="auto"/>
            <w:left w:val="none" w:sz="0" w:space="0" w:color="auto"/>
            <w:bottom w:val="none" w:sz="0" w:space="0" w:color="auto"/>
            <w:right w:val="none" w:sz="0" w:space="0" w:color="auto"/>
          </w:divBdr>
        </w:div>
        <w:div w:id="1648053281">
          <w:marLeft w:val="0"/>
          <w:marRight w:val="0"/>
          <w:marTop w:val="0"/>
          <w:marBottom w:val="0"/>
          <w:divBdr>
            <w:top w:val="none" w:sz="0" w:space="0" w:color="auto"/>
            <w:left w:val="none" w:sz="0" w:space="0" w:color="auto"/>
            <w:bottom w:val="none" w:sz="0" w:space="0" w:color="auto"/>
            <w:right w:val="none" w:sz="0" w:space="0" w:color="auto"/>
          </w:divBdr>
        </w:div>
        <w:div w:id="1036849441">
          <w:marLeft w:val="0"/>
          <w:marRight w:val="0"/>
          <w:marTop w:val="0"/>
          <w:marBottom w:val="0"/>
          <w:divBdr>
            <w:top w:val="none" w:sz="0" w:space="0" w:color="auto"/>
            <w:left w:val="none" w:sz="0" w:space="0" w:color="auto"/>
            <w:bottom w:val="none" w:sz="0" w:space="0" w:color="auto"/>
            <w:right w:val="none" w:sz="0" w:space="0" w:color="auto"/>
          </w:divBdr>
        </w:div>
        <w:div w:id="423961197">
          <w:marLeft w:val="0"/>
          <w:marRight w:val="0"/>
          <w:marTop w:val="0"/>
          <w:marBottom w:val="0"/>
          <w:divBdr>
            <w:top w:val="none" w:sz="0" w:space="0" w:color="auto"/>
            <w:left w:val="none" w:sz="0" w:space="0" w:color="auto"/>
            <w:bottom w:val="none" w:sz="0" w:space="0" w:color="auto"/>
            <w:right w:val="none" w:sz="0" w:space="0" w:color="auto"/>
          </w:divBdr>
        </w:div>
        <w:div w:id="1016807548">
          <w:marLeft w:val="0"/>
          <w:marRight w:val="0"/>
          <w:marTop w:val="0"/>
          <w:marBottom w:val="0"/>
          <w:divBdr>
            <w:top w:val="none" w:sz="0" w:space="0" w:color="auto"/>
            <w:left w:val="none" w:sz="0" w:space="0" w:color="auto"/>
            <w:bottom w:val="none" w:sz="0" w:space="0" w:color="auto"/>
            <w:right w:val="none" w:sz="0" w:space="0" w:color="auto"/>
          </w:divBdr>
        </w:div>
        <w:div w:id="1745950038">
          <w:marLeft w:val="0"/>
          <w:marRight w:val="0"/>
          <w:marTop w:val="0"/>
          <w:marBottom w:val="0"/>
          <w:divBdr>
            <w:top w:val="none" w:sz="0" w:space="0" w:color="auto"/>
            <w:left w:val="none" w:sz="0" w:space="0" w:color="auto"/>
            <w:bottom w:val="none" w:sz="0" w:space="0" w:color="auto"/>
            <w:right w:val="none" w:sz="0" w:space="0" w:color="auto"/>
          </w:divBdr>
        </w:div>
        <w:div w:id="473329559">
          <w:marLeft w:val="0"/>
          <w:marRight w:val="0"/>
          <w:marTop w:val="0"/>
          <w:marBottom w:val="0"/>
          <w:divBdr>
            <w:top w:val="none" w:sz="0" w:space="0" w:color="auto"/>
            <w:left w:val="none" w:sz="0" w:space="0" w:color="auto"/>
            <w:bottom w:val="none" w:sz="0" w:space="0" w:color="auto"/>
            <w:right w:val="none" w:sz="0" w:space="0" w:color="auto"/>
          </w:divBdr>
        </w:div>
        <w:div w:id="756437751">
          <w:marLeft w:val="0"/>
          <w:marRight w:val="0"/>
          <w:marTop w:val="0"/>
          <w:marBottom w:val="0"/>
          <w:divBdr>
            <w:top w:val="none" w:sz="0" w:space="0" w:color="auto"/>
            <w:left w:val="none" w:sz="0" w:space="0" w:color="auto"/>
            <w:bottom w:val="none" w:sz="0" w:space="0" w:color="auto"/>
            <w:right w:val="none" w:sz="0" w:space="0" w:color="auto"/>
          </w:divBdr>
        </w:div>
        <w:div w:id="2141880123">
          <w:marLeft w:val="0"/>
          <w:marRight w:val="0"/>
          <w:marTop w:val="0"/>
          <w:marBottom w:val="0"/>
          <w:divBdr>
            <w:top w:val="none" w:sz="0" w:space="0" w:color="auto"/>
            <w:left w:val="none" w:sz="0" w:space="0" w:color="auto"/>
            <w:bottom w:val="none" w:sz="0" w:space="0" w:color="auto"/>
            <w:right w:val="none" w:sz="0" w:space="0" w:color="auto"/>
          </w:divBdr>
        </w:div>
        <w:div w:id="453064551">
          <w:marLeft w:val="0"/>
          <w:marRight w:val="0"/>
          <w:marTop w:val="0"/>
          <w:marBottom w:val="0"/>
          <w:divBdr>
            <w:top w:val="none" w:sz="0" w:space="0" w:color="auto"/>
            <w:left w:val="none" w:sz="0" w:space="0" w:color="auto"/>
            <w:bottom w:val="none" w:sz="0" w:space="0" w:color="auto"/>
            <w:right w:val="none" w:sz="0" w:space="0" w:color="auto"/>
          </w:divBdr>
        </w:div>
        <w:div w:id="270403006">
          <w:marLeft w:val="0"/>
          <w:marRight w:val="0"/>
          <w:marTop w:val="0"/>
          <w:marBottom w:val="0"/>
          <w:divBdr>
            <w:top w:val="none" w:sz="0" w:space="0" w:color="auto"/>
            <w:left w:val="none" w:sz="0" w:space="0" w:color="auto"/>
            <w:bottom w:val="none" w:sz="0" w:space="0" w:color="auto"/>
            <w:right w:val="none" w:sz="0" w:space="0" w:color="auto"/>
          </w:divBdr>
        </w:div>
        <w:div w:id="1486047538">
          <w:marLeft w:val="0"/>
          <w:marRight w:val="0"/>
          <w:marTop w:val="0"/>
          <w:marBottom w:val="0"/>
          <w:divBdr>
            <w:top w:val="none" w:sz="0" w:space="0" w:color="auto"/>
            <w:left w:val="none" w:sz="0" w:space="0" w:color="auto"/>
            <w:bottom w:val="none" w:sz="0" w:space="0" w:color="auto"/>
            <w:right w:val="none" w:sz="0" w:space="0" w:color="auto"/>
          </w:divBdr>
        </w:div>
        <w:div w:id="391006576">
          <w:marLeft w:val="0"/>
          <w:marRight w:val="0"/>
          <w:marTop w:val="0"/>
          <w:marBottom w:val="0"/>
          <w:divBdr>
            <w:top w:val="none" w:sz="0" w:space="0" w:color="auto"/>
            <w:left w:val="none" w:sz="0" w:space="0" w:color="auto"/>
            <w:bottom w:val="none" w:sz="0" w:space="0" w:color="auto"/>
            <w:right w:val="none" w:sz="0" w:space="0" w:color="auto"/>
          </w:divBdr>
        </w:div>
        <w:div w:id="1883705868">
          <w:marLeft w:val="0"/>
          <w:marRight w:val="0"/>
          <w:marTop w:val="0"/>
          <w:marBottom w:val="0"/>
          <w:divBdr>
            <w:top w:val="none" w:sz="0" w:space="0" w:color="auto"/>
            <w:left w:val="none" w:sz="0" w:space="0" w:color="auto"/>
            <w:bottom w:val="none" w:sz="0" w:space="0" w:color="auto"/>
            <w:right w:val="none" w:sz="0" w:space="0" w:color="auto"/>
          </w:divBdr>
        </w:div>
        <w:div w:id="1570000547">
          <w:marLeft w:val="0"/>
          <w:marRight w:val="0"/>
          <w:marTop w:val="0"/>
          <w:marBottom w:val="0"/>
          <w:divBdr>
            <w:top w:val="none" w:sz="0" w:space="0" w:color="auto"/>
            <w:left w:val="none" w:sz="0" w:space="0" w:color="auto"/>
            <w:bottom w:val="none" w:sz="0" w:space="0" w:color="auto"/>
            <w:right w:val="none" w:sz="0" w:space="0" w:color="auto"/>
          </w:divBdr>
        </w:div>
        <w:div w:id="1584493202">
          <w:marLeft w:val="0"/>
          <w:marRight w:val="0"/>
          <w:marTop w:val="0"/>
          <w:marBottom w:val="0"/>
          <w:divBdr>
            <w:top w:val="none" w:sz="0" w:space="0" w:color="auto"/>
            <w:left w:val="none" w:sz="0" w:space="0" w:color="auto"/>
            <w:bottom w:val="none" w:sz="0" w:space="0" w:color="auto"/>
            <w:right w:val="none" w:sz="0" w:space="0" w:color="auto"/>
          </w:divBdr>
        </w:div>
        <w:div w:id="1682203691">
          <w:marLeft w:val="0"/>
          <w:marRight w:val="0"/>
          <w:marTop w:val="0"/>
          <w:marBottom w:val="0"/>
          <w:divBdr>
            <w:top w:val="none" w:sz="0" w:space="0" w:color="auto"/>
            <w:left w:val="none" w:sz="0" w:space="0" w:color="auto"/>
            <w:bottom w:val="none" w:sz="0" w:space="0" w:color="auto"/>
            <w:right w:val="none" w:sz="0" w:space="0" w:color="auto"/>
          </w:divBdr>
        </w:div>
        <w:div w:id="1830976309">
          <w:marLeft w:val="0"/>
          <w:marRight w:val="0"/>
          <w:marTop w:val="0"/>
          <w:marBottom w:val="0"/>
          <w:divBdr>
            <w:top w:val="none" w:sz="0" w:space="0" w:color="auto"/>
            <w:left w:val="none" w:sz="0" w:space="0" w:color="auto"/>
            <w:bottom w:val="none" w:sz="0" w:space="0" w:color="auto"/>
            <w:right w:val="none" w:sz="0" w:space="0" w:color="auto"/>
          </w:divBdr>
        </w:div>
        <w:div w:id="1289045714">
          <w:marLeft w:val="0"/>
          <w:marRight w:val="0"/>
          <w:marTop w:val="0"/>
          <w:marBottom w:val="0"/>
          <w:divBdr>
            <w:top w:val="none" w:sz="0" w:space="0" w:color="auto"/>
            <w:left w:val="none" w:sz="0" w:space="0" w:color="auto"/>
            <w:bottom w:val="none" w:sz="0" w:space="0" w:color="auto"/>
            <w:right w:val="none" w:sz="0" w:space="0" w:color="auto"/>
          </w:divBdr>
        </w:div>
        <w:div w:id="2128039181">
          <w:marLeft w:val="0"/>
          <w:marRight w:val="0"/>
          <w:marTop w:val="0"/>
          <w:marBottom w:val="0"/>
          <w:divBdr>
            <w:top w:val="none" w:sz="0" w:space="0" w:color="auto"/>
            <w:left w:val="none" w:sz="0" w:space="0" w:color="auto"/>
            <w:bottom w:val="none" w:sz="0" w:space="0" w:color="auto"/>
            <w:right w:val="none" w:sz="0" w:space="0" w:color="auto"/>
          </w:divBdr>
        </w:div>
        <w:div w:id="461192151">
          <w:marLeft w:val="0"/>
          <w:marRight w:val="0"/>
          <w:marTop w:val="0"/>
          <w:marBottom w:val="0"/>
          <w:divBdr>
            <w:top w:val="none" w:sz="0" w:space="0" w:color="auto"/>
            <w:left w:val="none" w:sz="0" w:space="0" w:color="auto"/>
            <w:bottom w:val="none" w:sz="0" w:space="0" w:color="auto"/>
            <w:right w:val="none" w:sz="0" w:space="0" w:color="auto"/>
          </w:divBdr>
        </w:div>
        <w:div w:id="1047342450">
          <w:marLeft w:val="0"/>
          <w:marRight w:val="0"/>
          <w:marTop w:val="0"/>
          <w:marBottom w:val="0"/>
          <w:divBdr>
            <w:top w:val="none" w:sz="0" w:space="0" w:color="auto"/>
            <w:left w:val="none" w:sz="0" w:space="0" w:color="auto"/>
            <w:bottom w:val="none" w:sz="0" w:space="0" w:color="auto"/>
            <w:right w:val="none" w:sz="0" w:space="0" w:color="auto"/>
          </w:divBdr>
        </w:div>
        <w:div w:id="1967084864">
          <w:marLeft w:val="0"/>
          <w:marRight w:val="0"/>
          <w:marTop w:val="0"/>
          <w:marBottom w:val="0"/>
          <w:divBdr>
            <w:top w:val="none" w:sz="0" w:space="0" w:color="auto"/>
            <w:left w:val="none" w:sz="0" w:space="0" w:color="auto"/>
            <w:bottom w:val="none" w:sz="0" w:space="0" w:color="auto"/>
            <w:right w:val="none" w:sz="0" w:space="0" w:color="auto"/>
          </w:divBdr>
        </w:div>
        <w:div w:id="234512887">
          <w:marLeft w:val="0"/>
          <w:marRight w:val="0"/>
          <w:marTop w:val="0"/>
          <w:marBottom w:val="0"/>
          <w:divBdr>
            <w:top w:val="none" w:sz="0" w:space="0" w:color="auto"/>
            <w:left w:val="none" w:sz="0" w:space="0" w:color="auto"/>
            <w:bottom w:val="none" w:sz="0" w:space="0" w:color="auto"/>
            <w:right w:val="none" w:sz="0" w:space="0" w:color="auto"/>
          </w:divBdr>
        </w:div>
        <w:div w:id="1929387972">
          <w:marLeft w:val="0"/>
          <w:marRight w:val="0"/>
          <w:marTop w:val="0"/>
          <w:marBottom w:val="0"/>
          <w:divBdr>
            <w:top w:val="none" w:sz="0" w:space="0" w:color="auto"/>
            <w:left w:val="none" w:sz="0" w:space="0" w:color="auto"/>
            <w:bottom w:val="none" w:sz="0" w:space="0" w:color="auto"/>
            <w:right w:val="none" w:sz="0" w:space="0" w:color="auto"/>
          </w:divBdr>
        </w:div>
        <w:div w:id="879706959">
          <w:marLeft w:val="0"/>
          <w:marRight w:val="0"/>
          <w:marTop w:val="0"/>
          <w:marBottom w:val="0"/>
          <w:divBdr>
            <w:top w:val="none" w:sz="0" w:space="0" w:color="auto"/>
            <w:left w:val="none" w:sz="0" w:space="0" w:color="auto"/>
            <w:bottom w:val="none" w:sz="0" w:space="0" w:color="auto"/>
            <w:right w:val="none" w:sz="0" w:space="0" w:color="auto"/>
          </w:divBdr>
        </w:div>
        <w:div w:id="1467352500">
          <w:marLeft w:val="0"/>
          <w:marRight w:val="0"/>
          <w:marTop w:val="0"/>
          <w:marBottom w:val="0"/>
          <w:divBdr>
            <w:top w:val="none" w:sz="0" w:space="0" w:color="auto"/>
            <w:left w:val="none" w:sz="0" w:space="0" w:color="auto"/>
            <w:bottom w:val="none" w:sz="0" w:space="0" w:color="auto"/>
            <w:right w:val="none" w:sz="0" w:space="0" w:color="auto"/>
          </w:divBdr>
        </w:div>
        <w:div w:id="1566407930">
          <w:marLeft w:val="0"/>
          <w:marRight w:val="0"/>
          <w:marTop w:val="0"/>
          <w:marBottom w:val="0"/>
          <w:divBdr>
            <w:top w:val="none" w:sz="0" w:space="0" w:color="auto"/>
            <w:left w:val="none" w:sz="0" w:space="0" w:color="auto"/>
            <w:bottom w:val="none" w:sz="0" w:space="0" w:color="auto"/>
            <w:right w:val="none" w:sz="0" w:space="0" w:color="auto"/>
          </w:divBdr>
        </w:div>
        <w:div w:id="900284940">
          <w:marLeft w:val="0"/>
          <w:marRight w:val="0"/>
          <w:marTop w:val="0"/>
          <w:marBottom w:val="0"/>
          <w:divBdr>
            <w:top w:val="none" w:sz="0" w:space="0" w:color="auto"/>
            <w:left w:val="none" w:sz="0" w:space="0" w:color="auto"/>
            <w:bottom w:val="none" w:sz="0" w:space="0" w:color="auto"/>
            <w:right w:val="none" w:sz="0" w:space="0" w:color="auto"/>
          </w:divBdr>
        </w:div>
        <w:div w:id="1450667563">
          <w:marLeft w:val="0"/>
          <w:marRight w:val="0"/>
          <w:marTop w:val="0"/>
          <w:marBottom w:val="0"/>
          <w:divBdr>
            <w:top w:val="none" w:sz="0" w:space="0" w:color="auto"/>
            <w:left w:val="none" w:sz="0" w:space="0" w:color="auto"/>
            <w:bottom w:val="none" w:sz="0" w:space="0" w:color="auto"/>
            <w:right w:val="none" w:sz="0" w:space="0" w:color="auto"/>
          </w:divBdr>
        </w:div>
        <w:div w:id="271596837">
          <w:marLeft w:val="0"/>
          <w:marRight w:val="0"/>
          <w:marTop w:val="0"/>
          <w:marBottom w:val="0"/>
          <w:divBdr>
            <w:top w:val="none" w:sz="0" w:space="0" w:color="auto"/>
            <w:left w:val="none" w:sz="0" w:space="0" w:color="auto"/>
            <w:bottom w:val="none" w:sz="0" w:space="0" w:color="auto"/>
            <w:right w:val="none" w:sz="0" w:space="0" w:color="auto"/>
          </w:divBdr>
        </w:div>
        <w:div w:id="1543050888">
          <w:marLeft w:val="0"/>
          <w:marRight w:val="0"/>
          <w:marTop w:val="0"/>
          <w:marBottom w:val="0"/>
          <w:divBdr>
            <w:top w:val="none" w:sz="0" w:space="0" w:color="auto"/>
            <w:left w:val="none" w:sz="0" w:space="0" w:color="auto"/>
            <w:bottom w:val="none" w:sz="0" w:space="0" w:color="auto"/>
            <w:right w:val="none" w:sz="0" w:space="0" w:color="auto"/>
          </w:divBdr>
        </w:div>
        <w:div w:id="1682507933">
          <w:marLeft w:val="0"/>
          <w:marRight w:val="0"/>
          <w:marTop w:val="0"/>
          <w:marBottom w:val="0"/>
          <w:divBdr>
            <w:top w:val="none" w:sz="0" w:space="0" w:color="auto"/>
            <w:left w:val="none" w:sz="0" w:space="0" w:color="auto"/>
            <w:bottom w:val="none" w:sz="0" w:space="0" w:color="auto"/>
            <w:right w:val="none" w:sz="0" w:space="0" w:color="auto"/>
          </w:divBdr>
        </w:div>
        <w:div w:id="98912140">
          <w:marLeft w:val="0"/>
          <w:marRight w:val="0"/>
          <w:marTop w:val="0"/>
          <w:marBottom w:val="0"/>
          <w:divBdr>
            <w:top w:val="none" w:sz="0" w:space="0" w:color="auto"/>
            <w:left w:val="none" w:sz="0" w:space="0" w:color="auto"/>
            <w:bottom w:val="none" w:sz="0" w:space="0" w:color="auto"/>
            <w:right w:val="none" w:sz="0" w:space="0" w:color="auto"/>
          </w:divBdr>
        </w:div>
        <w:div w:id="1797793694">
          <w:marLeft w:val="0"/>
          <w:marRight w:val="0"/>
          <w:marTop w:val="0"/>
          <w:marBottom w:val="0"/>
          <w:divBdr>
            <w:top w:val="none" w:sz="0" w:space="0" w:color="auto"/>
            <w:left w:val="none" w:sz="0" w:space="0" w:color="auto"/>
            <w:bottom w:val="none" w:sz="0" w:space="0" w:color="auto"/>
            <w:right w:val="none" w:sz="0" w:space="0" w:color="auto"/>
          </w:divBdr>
        </w:div>
        <w:div w:id="1992177000">
          <w:marLeft w:val="0"/>
          <w:marRight w:val="0"/>
          <w:marTop w:val="0"/>
          <w:marBottom w:val="0"/>
          <w:divBdr>
            <w:top w:val="none" w:sz="0" w:space="0" w:color="auto"/>
            <w:left w:val="none" w:sz="0" w:space="0" w:color="auto"/>
            <w:bottom w:val="none" w:sz="0" w:space="0" w:color="auto"/>
            <w:right w:val="none" w:sz="0" w:space="0" w:color="auto"/>
          </w:divBdr>
        </w:div>
        <w:div w:id="1954439074">
          <w:marLeft w:val="0"/>
          <w:marRight w:val="0"/>
          <w:marTop w:val="0"/>
          <w:marBottom w:val="0"/>
          <w:divBdr>
            <w:top w:val="none" w:sz="0" w:space="0" w:color="auto"/>
            <w:left w:val="none" w:sz="0" w:space="0" w:color="auto"/>
            <w:bottom w:val="none" w:sz="0" w:space="0" w:color="auto"/>
            <w:right w:val="none" w:sz="0" w:space="0" w:color="auto"/>
          </w:divBdr>
        </w:div>
        <w:div w:id="1940062467">
          <w:marLeft w:val="0"/>
          <w:marRight w:val="0"/>
          <w:marTop w:val="0"/>
          <w:marBottom w:val="0"/>
          <w:divBdr>
            <w:top w:val="none" w:sz="0" w:space="0" w:color="auto"/>
            <w:left w:val="none" w:sz="0" w:space="0" w:color="auto"/>
            <w:bottom w:val="none" w:sz="0" w:space="0" w:color="auto"/>
            <w:right w:val="none" w:sz="0" w:space="0" w:color="auto"/>
          </w:divBdr>
        </w:div>
        <w:div w:id="1424494827">
          <w:marLeft w:val="0"/>
          <w:marRight w:val="0"/>
          <w:marTop w:val="0"/>
          <w:marBottom w:val="0"/>
          <w:divBdr>
            <w:top w:val="none" w:sz="0" w:space="0" w:color="auto"/>
            <w:left w:val="none" w:sz="0" w:space="0" w:color="auto"/>
            <w:bottom w:val="none" w:sz="0" w:space="0" w:color="auto"/>
            <w:right w:val="none" w:sz="0" w:space="0" w:color="auto"/>
          </w:divBdr>
        </w:div>
        <w:div w:id="530654860">
          <w:marLeft w:val="0"/>
          <w:marRight w:val="0"/>
          <w:marTop w:val="0"/>
          <w:marBottom w:val="0"/>
          <w:divBdr>
            <w:top w:val="none" w:sz="0" w:space="0" w:color="auto"/>
            <w:left w:val="none" w:sz="0" w:space="0" w:color="auto"/>
            <w:bottom w:val="none" w:sz="0" w:space="0" w:color="auto"/>
            <w:right w:val="none" w:sz="0" w:space="0" w:color="auto"/>
          </w:divBdr>
        </w:div>
        <w:div w:id="1370186553">
          <w:marLeft w:val="0"/>
          <w:marRight w:val="0"/>
          <w:marTop w:val="0"/>
          <w:marBottom w:val="0"/>
          <w:divBdr>
            <w:top w:val="none" w:sz="0" w:space="0" w:color="auto"/>
            <w:left w:val="none" w:sz="0" w:space="0" w:color="auto"/>
            <w:bottom w:val="none" w:sz="0" w:space="0" w:color="auto"/>
            <w:right w:val="none" w:sz="0" w:space="0" w:color="auto"/>
          </w:divBdr>
        </w:div>
        <w:div w:id="951744598">
          <w:marLeft w:val="0"/>
          <w:marRight w:val="0"/>
          <w:marTop w:val="0"/>
          <w:marBottom w:val="0"/>
          <w:divBdr>
            <w:top w:val="none" w:sz="0" w:space="0" w:color="auto"/>
            <w:left w:val="none" w:sz="0" w:space="0" w:color="auto"/>
            <w:bottom w:val="none" w:sz="0" w:space="0" w:color="auto"/>
            <w:right w:val="none" w:sz="0" w:space="0" w:color="auto"/>
          </w:divBdr>
        </w:div>
        <w:div w:id="962538303">
          <w:marLeft w:val="0"/>
          <w:marRight w:val="0"/>
          <w:marTop w:val="0"/>
          <w:marBottom w:val="0"/>
          <w:divBdr>
            <w:top w:val="none" w:sz="0" w:space="0" w:color="auto"/>
            <w:left w:val="none" w:sz="0" w:space="0" w:color="auto"/>
            <w:bottom w:val="none" w:sz="0" w:space="0" w:color="auto"/>
            <w:right w:val="none" w:sz="0" w:space="0" w:color="auto"/>
          </w:divBdr>
        </w:div>
        <w:div w:id="507672532">
          <w:marLeft w:val="0"/>
          <w:marRight w:val="0"/>
          <w:marTop w:val="0"/>
          <w:marBottom w:val="0"/>
          <w:divBdr>
            <w:top w:val="none" w:sz="0" w:space="0" w:color="auto"/>
            <w:left w:val="none" w:sz="0" w:space="0" w:color="auto"/>
            <w:bottom w:val="none" w:sz="0" w:space="0" w:color="auto"/>
            <w:right w:val="none" w:sz="0" w:space="0" w:color="auto"/>
          </w:divBdr>
        </w:div>
        <w:div w:id="436566703">
          <w:marLeft w:val="0"/>
          <w:marRight w:val="0"/>
          <w:marTop w:val="0"/>
          <w:marBottom w:val="0"/>
          <w:divBdr>
            <w:top w:val="none" w:sz="0" w:space="0" w:color="auto"/>
            <w:left w:val="none" w:sz="0" w:space="0" w:color="auto"/>
            <w:bottom w:val="none" w:sz="0" w:space="0" w:color="auto"/>
            <w:right w:val="none" w:sz="0" w:space="0" w:color="auto"/>
          </w:divBdr>
        </w:div>
        <w:div w:id="965430607">
          <w:marLeft w:val="0"/>
          <w:marRight w:val="0"/>
          <w:marTop w:val="0"/>
          <w:marBottom w:val="0"/>
          <w:divBdr>
            <w:top w:val="none" w:sz="0" w:space="0" w:color="auto"/>
            <w:left w:val="none" w:sz="0" w:space="0" w:color="auto"/>
            <w:bottom w:val="none" w:sz="0" w:space="0" w:color="auto"/>
            <w:right w:val="none" w:sz="0" w:space="0" w:color="auto"/>
          </w:divBdr>
        </w:div>
        <w:div w:id="1732533616">
          <w:marLeft w:val="0"/>
          <w:marRight w:val="0"/>
          <w:marTop w:val="0"/>
          <w:marBottom w:val="0"/>
          <w:divBdr>
            <w:top w:val="none" w:sz="0" w:space="0" w:color="auto"/>
            <w:left w:val="none" w:sz="0" w:space="0" w:color="auto"/>
            <w:bottom w:val="none" w:sz="0" w:space="0" w:color="auto"/>
            <w:right w:val="none" w:sz="0" w:space="0" w:color="auto"/>
          </w:divBdr>
        </w:div>
        <w:div w:id="805466629">
          <w:marLeft w:val="0"/>
          <w:marRight w:val="0"/>
          <w:marTop w:val="0"/>
          <w:marBottom w:val="0"/>
          <w:divBdr>
            <w:top w:val="none" w:sz="0" w:space="0" w:color="auto"/>
            <w:left w:val="none" w:sz="0" w:space="0" w:color="auto"/>
            <w:bottom w:val="none" w:sz="0" w:space="0" w:color="auto"/>
            <w:right w:val="none" w:sz="0" w:space="0" w:color="auto"/>
          </w:divBdr>
        </w:div>
        <w:div w:id="1251348298">
          <w:marLeft w:val="0"/>
          <w:marRight w:val="0"/>
          <w:marTop w:val="0"/>
          <w:marBottom w:val="0"/>
          <w:divBdr>
            <w:top w:val="none" w:sz="0" w:space="0" w:color="auto"/>
            <w:left w:val="none" w:sz="0" w:space="0" w:color="auto"/>
            <w:bottom w:val="none" w:sz="0" w:space="0" w:color="auto"/>
            <w:right w:val="none" w:sz="0" w:space="0" w:color="auto"/>
          </w:divBdr>
        </w:div>
        <w:div w:id="499273199">
          <w:marLeft w:val="0"/>
          <w:marRight w:val="0"/>
          <w:marTop w:val="0"/>
          <w:marBottom w:val="0"/>
          <w:divBdr>
            <w:top w:val="none" w:sz="0" w:space="0" w:color="auto"/>
            <w:left w:val="none" w:sz="0" w:space="0" w:color="auto"/>
            <w:bottom w:val="none" w:sz="0" w:space="0" w:color="auto"/>
            <w:right w:val="none" w:sz="0" w:space="0" w:color="auto"/>
          </w:divBdr>
        </w:div>
        <w:div w:id="1588228995">
          <w:marLeft w:val="0"/>
          <w:marRight w:val="0"/>
          <w:marTop w:val="0"/>
          <w:marBottom w:val="0"/>
          <w:divBdr>
            <w:top w:val="none" w:sz="0" w:space="0" w:color="auto"/>
            <w:left w:val="none" w:sz="0" w:space="0" w:color="auto"/>
            <w:bottom w:val="none" w:sz="0" w:space="0" w:color="auto"/>
            <w:right w:val="none" w:sz="0" w:space="0" w:color="auto"/>
          </w:divBdr>
        </w:div>
        <w:div w:id="556094197">
          <w:marLeft w:val="0"/>
          <w:marRight w:val="0"/>
          <w:marTop w:val="0"/>
          <w:marBottom w:val="0"/>
          <w:divBdr>
            <w:top w:val="none" w:sz="0" w:space="0" w:color="auto"/>
            <w:left w:val="none" w:sz="0" w:space="0" w:color="auto"/>
            <w:bottom w:val="none" w:sz="0" w:space="0" w:color="auto"/>
            <w:right w:val="none" w:sz="0" w:space="0" w:color="auto"/>
          </w:divBdr>
        </w:div>
        <w:div w:id="573857118">
          <w:marLeft w:val="0"/>
          <w:marRight w:val="0"/>
          <w:marTop w:val="0"/>
          <w:marBottom w:val="0"/>
          <w:divBdr>
            <w:top w:val="none" w:sz="0" w:space="0" w:color="auto"/>
            <w:left w:val="none" w:sz="0" w:space="0" w:color="auto"/>
            <w:bottom w:val="none" w:sz="0" w:space="0" w:color="auto"/>
            <w:right w:val="none" w:sz="0" w:space="0" w:color="auto"/>
          </w:divBdr>
        </w:div>
        <w:div w:id="29688176">
          <w:marLeft w:val="0"/>
          <w:marRight w:val="0"/>
          <w:marTop w:val="0"/>
          <w:marBottom w:val="0"/>
          <w:divBdr>
            <w:top w:val="none" w:sz="0" w:space="0" w:color="auto"/>
            <w:left w:val="none" w:sz="0" w:space="0" w:color="auto"/>
            <w:bottom w:val="none" w:sz="0" w:space="0" w:color="auto"/>
            <w:right w:val="none" w:sz="0" w:space="0" w:color="auto"/>
          </w:divBdr>
        </w:div>
        <w:div w:id="981235373">
          <w:marLeft w:val="0"/>
          <w:marRight w:val="0"/>
          <w:marTop w:val="0"/>
          <w:marBottom w:val="0"/>
          <w:divBdr>
            <w:top w:val="none" w:sz="0" w:space="0" w:color="auto"/>
            <w:left w:val="none" w:sz="0" w:space="0" w:color="auto"/>
            <w:bottom w:val="none" w:sz="0" w:space="0" w:color="auto"/>
            <w:right w:val="none" w:sz="0" w:space="0" w:color="auto"/>
          </w:divBdr>
        </w:div>
        <w:div w:id="64426305">
          <w:marLeft w:val="0"/>
          <w:marRight w:val="0"/>
          <w:marTop w:val="0"/>
          <w:marBottom w:val="0"/>
          <w:divBdr>
            <w:top w:val="none" w:sz="0" w:space="0" w:color="auto"/>
            <w:left w:val="none" w:sz="0" w:space="0" w:color="auto"/>
            <w:bottom w:val="none" w:sz="0" w:space="0" w:color="auto"/>
            <w:right w:val="none" w:sz="0" w:space="0" w:color="auto"/>
          </w:divBdr>
        </w:div>
        <w:div w:id="78791222">
          <w:marLeft w:val="0"/>
          <w:marRight w:val="0"/>
          <w:marTop w:val="0"/>
          <w:marBottom w:val="0"/>
          <w:divBdr>
            <w:top w:val="none" w:sz="0" w:space="0" w:color="auto"/>
            <w:left w:val="none" w:sz="0" w:space="0" w:color="auto"/>
            <w:bottom w:val="none" w:sz="0" w:space="0" w:color="auto"/>
            <w:right w:val="none" w:sz="0" w:space="0" w:color="auto"/>
          </w:divBdr>
        </w:div>
        <w:div w:id="744497675">
          <w:marLeft w:val="0"/>
          <w:marRight w:val="0"/>
          <w:marTop w:val="0"/>
          <w:marBottom w:val="0"/>
          <w:divBdr>
            <w:top w:val="none" w:sz="0" w:space="0" w:color="auto"/>
            <w:left w:val="none" w:sz="0" w:space="0" w:color="auto"/>
            <w:bottom w:val="none" w:sz="0" w:space="0" w:color="auto"/>
            <w:right w:val="none" w:sz="0" w:space="0" w:color="auto"/>
          </w:divBdr>
        </w:div>
        <w:div w:id="217326956">
          <w:marLeft w:val="0"/>
          <w:marRight w:val="0"/>
          <w:marTop w:val="0"/>
          <w:marBottom w:val="0"/>
          <w:divBdr>
            <w:top w:val="none" w:sz="0" w:space="0" w:color="auto"/>
            <w:left w:val="none" w:sz="0" w:space="0" w:color="auto"/>
            <w:bottom w:val="none" w:sz="0" w:space="0" w:color="auto"/>
            <w:right w:val="none" w:sz="0" w:space="0" w:color="auto"/>
          </w:divBdr>
        </w:div>
        <w:div w:id="860358146">
          <w:marLeft w:val="0"/>
          <w:marRight w:val="0"/>
          <w:marTop w:val="0"/>
          <w:marBottom w:val="0"/>
          <w:divBdr>
            <w:top w:val="none" w:sz="0" w:space="0" w:color="auto"/>
            <w:left w:val="none" w:sz="0" w:space="0" w:color="auto"/>
            <w:bottom w:val="none" w:sz="0" w:space="0" w:color="auto"/>
            <w:right w:val="none" w:sz="0" w:space="0" w:color="auto"/>
          </w:divBdr>
        </w:div>
        <w:div w:id="295527973">
          <w:marLeft w:val="0"/>
          <w:marRight w:val="0"/>
          <w:marTop w:val="0"/>
          <w:marBottom w:val="0"/>
          <w:divBdr>
            <w:top w:val="none" w:sz="0" w:space="0" w:color="auto"/>
            <w:left w:val="none" w:sz="0" w:space="0" w:color="auto"/>
            <w:bottom w:val="none" w:sz="0" w:space="0" w:color="auto"/>
            <w:right w:val="none" w:sz="0" w:space="0" w:color="auto"/>
          </w:divBdr>
        </w:div>
        <w:div w:id="952396299">
          <w:marLeft w:val="0"/>
          <w:marRight w:val="0"/>
          <w:marTop w:val="0"/>
          <w:marBottom w:val="0"/>
          <w:divBdr>
            <w:top w:val="none" w:sz="0" w:space="0" w:color="auto"/>
            <w:left w:val="none" w:sz="0" w:space="0" w:color="auto"/>
            <w:bottom w:val="none" w:sz="0" w:space="0" w:color="auto"/>
            <w:right w:val="none" w:sz="0" w:space="0" w:color="auto"/>
          </w:divBdr>
        </w:div>
        <w:div w:id="1561557885">
          <w:marLeft w:val="0"/>
          <w:marRight w:val="0"/>
          <w:marTop w:val="0"/>
          <w:marBottom w:val="0"/>
          <w:divBdr>
            <w:top w:val="none" w:sz="0" w:space="0" w:color="auto"/>
            <w:left w:val="none" w:sz="0" w:space="0" w:color="auto"/>
            <w:bottom w:val="none" w:sz="0" w:space="0" w:color="auto"/>
            <w:right w:val="none" w:sz="0" w:space="0" w:color="auto"/>
          </w:divBdr>
        </w:div>
        <w:div w:id="489054931">
          <w:marLeft w:val="0"/>
          <w:marRight w:val="0"/>
          <w:marTop w:val="0"/>
          <w:marBottom w:val="0"/>
          <w:divBdr>
            <w:top w:val="none" w:sz="0" w:space="0" w:color="auto"/>
            <w:left w:val="none" w:sz="0" w:space="0" w:color="auto"/>
            <w:bottom w:val="none" w:sz="0" w:space="0" w:color="auto"/>
            <w:right w:val="none" w:sz="0" w:space="0" w:color="auto"/>
          </w:divBdr>
        </w:div>
      </w:divsChild>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291576">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2065</TotalTime>
  <Pages>5</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158</cp:revision>
  <cp:lastPrinted>2019-01-22T03:27:00Z</cp:lastPrinted>
  <dcterms:created xsi:type="dcterms:W3CDTF">2020-08-06T15:21:00Z</dcterms:created>
  <dcterms:modified xsi:type="dcterms:W3CDTF">2021-11-06T00:10:00Z</dcterms:modified>
</cp:coreProperties>
</file>