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8D690" w14:textId="423CF466" w:rsidR="007277F3" w:rsidRPr="00D47B37" w:rsidRDefault="007277F3" w:rsidP="007277F3">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446802">
        <w:rPr>
          <w:rFonts w:ascii="Arial" w:hAnsi="Arial" w:cs="Arial"/>
          <w:b/>
          <w:bCs/>
          <w:sz w:val="24"/>
          <w:szCs w:val="24"/>
          <w:lang w:val="en-GB"/>
        </w:rPr>
        <w:t xml:space="preserve"> </w:t>
      </w:r>
      <w:bookmarkStart w:id="2" w:name="_GoBack"/>
      <w:bookmarkEnd w:id="2"/>
      <w:r w:rsidR="00446802" w:rsidRPr="00446802">
        <w:rPr>
          <w:rFonts w:ascii="Arial" w:hAnsi="Arial" w:cs="Arial"/>
          <w:b/>
          <w:bCs/>
          <w:sz w:val="24"/>
          <w:szCs w:val="24"/>
          <w:lang w:val="en-GB"/>
        </w:rPr>
        <w:t>R1-2111689</w:t>
      </w:r>
    </w:p>
    <w:p w14:paraId="280C10F4" w14:textId="77777777" w:rsidR="007277F3" w:rsidRDefault="007277F3" w:rsidP="007277F3">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November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6EC570E2" w14:textId="77777777" w:rsidR="00FD0EB1" w:rsidRPr="007277F3" w:rsidRDefault="00FD0EB1" w:rsidP="0095370B">
      <w:pPr>
        <w:pStyle w:val="aff3"/>
        <w:snapToGrid w:val="0"/>
        <w:ind w:left="2384" w:hangingChars="993" w:hanging="2384"/>
        <w:rPr>
          <w:rFonts w:ascii="Arial" w:hAnsi="Arial" w:cs="Arial"/>
          <w:b/>
          <w:bCs/>
          <w:sz w:val="24"/>
          <w:szCs w:val="24"/>
          <w:lang w:val="en-GB"/>
        </w:rPr>
      </w:pPr>
    </w:p>
    <w:p w14:paraId="47825095" w14:textId="00DE649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555378">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73F75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7F312E">
        <w:rPr>
          <w:rFonts w:ascii="Arial" w:eastAsiaTheme="minorEastAsia" w:hAnsi="Arial" w:cs="Arial"/>
          <w:b/>
          <w:bCs/>
          <w:sz w:val="24"/>
          <w:szCs w:val="24"/>
          <w:lang w:val="en-GB" w:eastAsia="zh-CN"/>
        </w:rPr>
        <w:t>CSI</w:t>
      </w:r>
      <w:r w:rsidR="00B65AA6">
        <w:rPr>
          <w:rFonts w:ascii="Arial" w:eastAsiaTheme="minorEastAsia" w:hAnsi="Arial" w:cs="Arial"/>
          <w:b/>
          <w:bCs/>
          <w:sz w:val="24"/>
          <w:szCs w:val="24"/>
          <w:lang w:val="en-GB" w:eastAsia="zh-CN"/>
        </w:rPr>
        <w:t xml:space="preserve"> enhancement</w:t>
      </w:r>
      <w:r w:rsidR="007F312E">
        <w:rPr>
          <w:rFonts w:ascii="Arial" w:eastAsiaTheme="minorEastAsia" w:hAnsi="Arial" w:cs="Arial"/>
          <w:b/>
          <w:bCs/>
          <w:sz w:val="24"/>
          <w:szCs w:val="24"/>
          <w:lang w:val="en-GB" w:eastAsia="zh-CN"/>
        </w:rPr>
        <w:t xml:space="preserve"> for multi-TRP transmission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77D9C19" w14:textId="3C69CC5F" w:rsidR="00DD628B" w:rsidRDefault="00DD628B" w:rsidP="00DD628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075DB2">
        <w:rPr>
          <w:rFonts w:eastAsia="宋体"/>
          <w:color w:val="000000" w:themeColor="text1"/>
          <w:sz w:val="22"/>
          <w:szCs w:val="22"/>
          <w:lang w:eastAsia="zh-CN"/>
        </w:rPr>
        <w:t>6</w:t>
      </w:r>
      <w:r w:rsidR="004B5F62">
        <w:rPr>
          <w:rFonts w:eastAsia="宋体"/>
          <w:color w:val="000000" w:themeColor="text1"/>
          <w:sz w:val="22"/>
          <w:szCs w:val="22"/>
          <w:lang w:eastAsia="zh-CN"/>
        </w:rPr>
        <w:t>bis</w:t>
      </w:r>
      <w:r w:rsidR="003F70A9">
        <w:rPr>
          <w:rFonts w:eastAsia="宋体"/>
          <w:color w:val="000000" w:themeColor="text1"/>
          <w:sz w:val="22"/>
          <w:szCs w:val="22"/>
          <w:lang w:eastAsia="zh-CN"/>
        </w:rPr>
        <w:t>-</w:t>
      </w:r>
      <w:r>
        <w:rPr>
          <w:rFonts w:eastAsia="宋体"/>
          <w:color w:val="000000" w:themeColor="text1"/>
          <w:sz w:val="22"/>
          <w:szCs w:val="22"/>
          <w:lang w:eastAsia="zh-CN"/>
        </w:rPr>
        <w:t xml:space="preserve">e meeting [1], </w:t>
      </w:r>
      <w:r w:rsidR="00C77F78">
        <w:rPr>
          <w:rFonts w:eastAsia="宋体"/>
          <w:color w:val="000000" w:themeColor="text1"/>
          <w:sz w:val="22"/>
          <w:szCs w:val="22"/>
          <w:lang w:eastAsia="zh-CN"/>
        </w:rPr>
        <w:t xml:space="preserve">following </w:t>
      </w:r>
      <w:r>
        <w:rPr>
          <w:rFonts w:eastAsia="宋体"/>
          <w:color w:val="000000" w:themeColor="text1"/>
          <w:sz w:val="22"/>
          <w:szCs w:val="22"/>
          <w:lang w:eastAsia="zh-CN"/>
        </w:rPr>
        <w:t>agreement</w:t>
      </w:r>
      <w:r w:rsidR="008738F0">
        <w:rPr>
          <w:rFonts w:eastAsia="宋体"/>
          <w:color w:val="000000" w:themeColor="text1"/>
          <w:sz w:val="22"/>
          <w:szCs w:val="22"/>
          <w:lang w:eastAsia="zh-CN"/>
        </w:rPr>
        <w:t>s</w:t>
      </w:r>
      <w:r>
        <w:rPr>
          <w:rFonts w:eastAsia="宋体"/>
          <w:color w:val="000000" w:themeColor="text1"/>
          <w:sz w:val="22"/>
          <w:szCs w:val="22"/>
          <w:lang w:eastAsia="zh-CN"/>
        </w:rPr>
        <w:t xml:space="preserve"> </w:t>
      </w:r>
      <w:r w:rsidR="00B9523E">
        <w:rPr>
          <w:rFonts w:eastAsia="宋体"/>
          <w:color w:val="000000" w:themeColor="text1"/>
          <w:sz w:val="22"/>
          <w:szCs w:val="22"/>
          <w:lang w:eastAsia="zh-CN"/>
        </w:rPr>
        <w:t>of CSI enhancements for multi-TRP</w:t>
      </w:r>
      <w:r>
        <w:rPr>
          <w:rFonts w:eastAsia="宋体"/>
          <w:color w:val="000000" w:themeColor="text1"/>
          <w:sz w:val="22"/>
          <w:szCs w:val="22"/>
          <w:lang w:eastAsia="zh-CN"/>
        </w:rPr>
        <w:t xml:space="preserve"> w</w:t>
      </w:r>
      <w:r w:rsidR="008738F0">
        <w:rPr>
          <w:rFonts w:eastAsia="宋体"/>
          <w:color w:val="000000" w:themeColor="text1"/>
          <w:sz w:val="22"/>
          <w:szCs w:val="22"/>
          <w:lang w:eastAsia="zh-CN"/>
        </w:rPr>
        <w:t>ere</w:t>
      </w:r>
      <w:r>
        <w:rPr>
          <w:rFonts w:eastAsia="宋体"/>
          <w:color w:val="000000" w:themeColor="text1"/>
          <w:sz w:val="22"/>
          <w:szCs w:val="22"/>
          <w:lang w:eastAsia="zh-CN"/>
        </w:rPr>
        <w:t xml:space="preserve"> achieved:</w:t>
      </w:r>
    </w:p>
    <w:p w14:paraId="5462E77D" w14:textId="77777777" w:rsidR="004B5F62" w:rsidRPr="00833A35" w:rsidRDefault="004B5F62" w:rsidP="004B5F62">
      <w:pPr>
        <w:pStyle w:val="aff6"/>
        <w:spacing w:before="0" w:beforeAutospacing="0" w:after="0" w:afterAutospacing="0"/>
        <w:jc w:val="both"/>
        <w:rPr>
          <w:rFonts w:ascii="Times" w:eastAsia="Malgun Gothic" w:hAnsi="Times" w:cs="Times"/>
          <w:b/>
          <w:i/>
          <w:sz w:val="20"/>
          <w:szCs w:val="20"/>
          <w:highlight w:val="green"/>
        </w:rPr>
      </w:pPr>
      <w:bookmarkStart w:id="7" w:name="OLE_LINK9"/>
      <w:bookmarkStart w:id="8" w:name="OLE_LINK10"/>
      <w:r w:rsidRPr="00833A35">
        <w:rPr>
          <w:rFonts w:ascii="Times" w:eastAsia="Malgun Gothic" w:hAnsi="Times" w:cs="Times"/>
          <w:b/>
          <w:iCs/>
          <w:sz w:val="20"/>
          <w:szCs w:val="20"/>
          <w:highlight w:val="green"/>
        </w:rPr>
        <w:t>Agreement</w:t>
      </w:r>
    </w:p>
    <w:p w14:paraId="71578BC9" w14:textId="77777777" w:rsidR="004B5F62" w:rsidRPr="00833A35" w:rsidRDefault="004B5F62" w:rsidP="004B5F62">
      <w:pPr>
        <w:pStyle w:val="aff6"/>
        <w:spacing w:before="0" w:beforeAutospacing="0" w:after="0" w:afterAutospacing="0"/>
        <w:jc w:val="both"/>
        <w:rPr>
          <w:rFonts w:ascii="Times" w:hAnsi="Times" w:cs="Times"/>
          <w:b/>
          <w:bCs/>
          <w:sz w:val="20"/>
          <w:szCs w:val="20"/>
        </w:rPr>
      </w:pPr>
      <w:r w:rsidRPr="00833A35">
        <w:rPr>
          <w:rStyle w:val="ab"/>
          <w:rFonts w:ascii="Times" w:hAnsi="Times" w:cs="Times"/>
          <w:b w:val="0"/>
          <w:bCs w:val="0"/>
          <w:sz w:val="20"/>
          <w:szCs w:val="20"/>
        </w:rPr>
        <w:t>For a CSI report associated with a Multi-TRP/panel NCJT measurement hypothesis configured by single CSI reporting setting</w:t>
      </w:r>
      <w:r w:rsidRPr="00833A35">
        <w:rPr>
          <w:rFonts w:ascii="Times" w:hAnsi="Times" w:cs="Times"/>
          <w:b/>
          <w:bCs/>
          <w:sz w:val="20"/>
          <w:szCs w:val="20"/>
        </w:rPr>
        <w:t xml:space="preserve"> </w:t>
      </w:r>
    </w:p>
    <w:p w14:paraId="469A9501" w14:textId="77777777" w:rsidR="004B5F62" w:rsidRPr="00833A35" w:rsidRDefault="004B5F62" w:rsidP="004B5F62">
      <w:pPr>
        <w:pStyle w:val="aff6"/>
        <w:numPr>
          <w:ilvl w:val="0"/>
          <w:numId w:val="14"/>
        </w:numPr>
        <w:spacing w:before="0" w:beforeAutospacing="0" w:after="0" w:afterAutospacing="0"/>
        <w:jc w:val="both"/>
        <w:rPr>
          <w:rStyle w:val="ab"/>
          <w:rFonts w:ascii="Times" w:hAnsi="Times" w:cs="Times"/>
          <w:b w:val="0"/>
          <w:bCs w:val="0"/>
          <w:sz w:val="20"/>
          <w:szCs w:val="20"/>
        </w:rPr>
      </w:pPr>
      <w:r w:rsidRPr="00833A35">
        <w:rPr>
          <w:rStyle w:val="ab"/>
          <w:rFonts w:ascii="Times" w:hAnsi="Times" w:cs="Times"/>
          <w:b w:val="0"/>
          <w:bCs w:val="0"/>
          <w:sz w:val="20"/>
          <w:szCs w:val="20"/>
        </w:rPr>
        <w:t xml:space="preserve">Alt 4: Two RI restrictions can be configured per CodebookConfig, whereas one RI restriction is applied to all Single-TRP measurement hypotheses, and another one is applied to all NCJT measurement hypotheses. </w:t>
      </w:r>
    </w:p>
    <w:p w14:paraId="33533249" w14:textId="77777777" w:rsidR="004B5F62" w:rsidRPr="00833A35" w:rsidRDefault="004B5F62" w:rsidP="004B5F62">
      <w:pPr>
        <w:pStyle w:val="aff6"/>
        <w:numPr>
          <w:ilvl w:val="1"/>
          <w:numId w:val="14"/>
        </w:numPr>
        <w:spacing w:before="0" w:beforeAutospacing="0" w:after="0" w:afterAutospacing="0"/>
        <w:jc w:val="both"/>
        <w:rPr>
          <w:rStyle w:val="ab"/>
          <w:rFonts w:ascii="Times" w:hAnsi="Times" w:cs="Times"/>
          <w:sz w:val="20"/>
          <w:szCs w:val="20"/>
        </w:rPr>
      </w:pPr>
      <w:r w:rsidRPr="00833A35">
        <w:rPr>
          <w:rStyle w:val="ab"/>
          <w:rFonts w:ascii="Times" w:hAnsi="Times" w:cs="Times"/>
          <w:b w:val="0"/>
          <w:bCs w:val="0"/>
          <w:sz w:val="20"/>
          <w:szCs w:val="20"/>
        </w:rPr>
        <w:t>If rank restriction of (X, Y) is configured, reported rank is X for all single-TRP measurement hypotheses and reported rank (1 out of 4 possible rank combinations) is Y for all NCJT measurement hypotheses.</w:t>
      </w:r>
    </w:p>
    <w:p w14:paraId="19BCFC14" w14:textId="77777777" w:rsidR="004B5F62" w:rsidRPr="00833A35" w:rsidRDefault="004B5F62" w:rsidP="004B5F62">
      <w:pPr>
        <w:pStyle w:val="aff6"/>
        <w:numPr>
          <w:ilvl w:val="2"/>
          <w:numId w:val="14"/>
        </w:numPr>
        <w:spacing w:before="0" w:beforeAutospacing="0" w:after="0" w:afterAutospacing="0"/>
        <w:jc w:val="both"/>
        <w:rPr>
          <w:rFonts w:ascii="Times" w:hAnsi="Times" w:cs="Times"/>
          <w:b/>
          <w:bCs/>
          <w:sz w:val="20"/>
          <w:szCs w:val="20"/>
        </w:rPr>
      </w:pPr>
      <w:r w:rsidRPr="00833A35">
        <w:rPr>
          <w:rStyle w:val="ab"/>
          <w:rFonts w:ascii="Times" w:hAnsi="Times" w:cs="Times"/>
          <w:b w:val="0"/>
          <w:bCs w:val="0"/>
          <w:sz w:val="20"/>
          <w:szCs w:val="20"/>
        </w:rPr>
        <w:t>FFS: Whether there can be multiple candidate values of X and Y</w:t>
      </w:r>
    </w:p>
    <w:p w14:paraId="5B7E28E8" w14:textId="77777777" w:rsidR="004B5F62" w:rsidRPr="00833A35" w:rsidRDefault="004B5F62" w:rsidP="004B5F62">
      <w:pPr>
        <w:pStyle w:val="aff6"/>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14:paraId="11F423BA" w14:textId="77777777" w:rsidR="004B5F62" w:rsidRPr="00833A35" w:rsidRDefault="004B5F62" w:rsidP="004B5F62">
      <w:pPr>
        <w:spacing w:after="0"/>
        <w:jc w:val="both"/>
        <w:rPr>
          <w:rFonts w:eastAsia="Times New Roman" w:cs="Times"/>
          <w:lang w:eastAsia="zh-CN"/>
        </w:rPr>
      </w:pPr>
      <w:r w:rsidRPr="00833A35">
        <w:rPr>
          <w:rFonts w:eastAsia="Times New Roman" w:cs="Times"/>
          <w:iCs/>
          <w:lang w:eastAsia="zh-CN"/>
        </w:rPr>
        <w:t>For a CSI report associated with a Multi-TRP/panel NCJT measurement hypothesis configured by single CSI reporting setting</w:t>
      </w:r>
    </w:p>
    <w:p w14:paraId="5E0B4912" w14:textId="77777777" w:rsidR="004B5F62" w:rsidRPr="00833A35" w:rsidRDefault="004B5F62" w:rsidP="004B5F62">
      <w:pPr>
        <w:pStyle w:val="aff6"/>
        <w:numPr>
          <w:ilvl w:val="0"/>
          <w:numId w:val="14"/>
        </w:numPr>
        <w:spacing w:before="0" w:beforeAutospacing="0" w:after="0" w:afterAutospacing="0"/>
        <w:jc w:val="both"/>
        <w:rPr>
          <w:rFonts w:ascii="Times" w:hAnsi="Times" w:cs="Times"/>
          <w:sz w:val="20"/>
          <w:szCs w:val="20"/>
        </w:rPr>
      </w:pPr>
      <w:r w:rsidRPr="00833A35">
        <w:rPr>
          <w:rFonts w:ascii="Times" w:hAnsi="Times" w:cs="Times"/>
          <w:iCs/>
          <w:sz w:val="20"/>
          <w:szCs w:val="20"/>
        </w:rPr>
        <w:t>Alt 1: CBSR is supported and can be applied for both single-TRP and Multi-TRP measurement hypotheses.</w:t>
      </w:r>
    </w:p>
    <w:p w14:paraId="71FF21B6" w14:textId="77777777" w:rsidR="004B5F62" w:rsidRPr="00833A35" w:rsidRDefault="004B5F62" w:rsidP="004B5F62">
      <w:pPr>
        <w:pStyle w:val="aff6"/>
        <w:numPr>
          <w:ilvl w:val="1"/>
          <w:numId w:val="14"/>
        </w:numPr>
        <w:spacing w:before="0" w:beforeAutospacing="0" w:after="0" w:afterAutospacing="0"/>
        <w:jc w:val="both"/>
        <w:rPr>
          <w:rFonts w:ascii="Times" w:hAnsi="Times" w:cs="Times"/>
          <w:sz w:val="20"/>
          <w:szCs w:val="20"/>
        </w:rPr>
      </w:pPr>
      <w:r w:rsidRPr="00833A35">
        <w:rPr>
          <w:rFonts w:ascii="Times" w:hAnsi="Times" w:cs="Times"/>
          <w:iCs/>
          <w:sz w:val="20"/>
          <w:szCs w:val="20"/>
        </w:rPr>
        <w:t>FFS detailed CBSR signalling configured for Multi-TRP</w:t>
      </w:r>
    </w:p>
    <w:p w14:paraId="324EB164" w14:textId="77777777" w:rsidR="004B5F62" w:rsidRPr="00AD3A89" w:rsidRDefault="004B5F62" w:rsidP="004B5F62">
      <w:pPr>
        <w:spacing w:after="0"/>
        <w:jc w:val="both"/>
        <w:rPr>
          <w:rFonts w:eastAsia="Times New Roman" w:cs="Times"/>
          <w:b/>
          <w:bCs/>
          <w:highlight w:val="green"/>
          <w:lang w:eastAsia="zh-CN"/>
        </w:rPr>
      </w:pPr>
      <w:r w:rsidRPr="00AD3A89">
        <w:rPr>
          <w:rFonts w:eastAsia="Times New Roman" w:cs="Times"/>
          <w:b/>
          <w:bCs/>
          <w:highlight w:val="green"/>
          <w:lang w:eastAsia="zh-CN"/>
        </w:rPr>
        <w:t xml:space="preserve">Agreement </w:t>
      </w:r>
    </w:p>
    <w:p w14:paraId="0FF808A5" w14:textId="77777777" w:rsidR="004B5F62" w:rsidRPr="00AD3A89" w:rsidRDefault="004B5F62" w:rsidP="004B5F62">
      <w:pPr>
        <w:pStyle w:val="aff6"/>
        <w:spacing w:before="0" w:beforeAutospacing="0" w:after="0" w:afterAutospacing="0"/>
        <w:jc w:val="both"/>
        <w:rPr>
          <w:rStyle w:val="ab"/>
          <w:rFonts w:ascii="Times" w:hAnsi="Times" w:cs="Times"/>
          <w:b w:val="0"/>
          <w:bCs w:val="0"/>
          <w:sz w:val="20"/>
          <w:szCs w:val="20"/>
        </w:rPr>
      </w:pPr>
      <w:r w:rsidRPr="00AD3A89">
        <w:rPr>
          <w:rStyle w:val="ab"/>
          <w:rFonts w:ascii="Times" w:hAnsi="Times" w:cs="Times"/>
          <w:b w:val="0"/>
          <w:bCs w:val="0"/>
          <w:sz w:val="20"/>
          <w:szCs w:val="20"/>
        </w:rPr>
        <w:t xml:space="preserve">For a CSI report associated with a Multi-TRP/panel NCJT measurement hypothesis configured by single CSI reporting setting, down-select one alternative from the following in RAN1 107: </w:t>
      </w:r>
    </w:p>
    <w:p w14:paraId="39706813" w14:textId="77777777" w:rsidR="004B5F62" w:rsidRPr="00AD3A89" w:rsidRDefault="004B5F62" w:rsidP="004B5F62">
      <w:pPr>
        <w:numPr>
          <w:ilvl w:val="0"/>
          <w:numId w:val="15"/>
        </w:numPr>
        <w:spacing w:after="0"/>
        <w:jc w:val="both"/>
        <w:rPr>
          <w:rStyle w:val="ab"/>
          <w:rFonts w:eastAsia="Times New Roman" w:cs="Times"/>
          <w:b w:val="0"/>
          <w:bCs w:val="0"/>
          <w:lang w:eastAsia="zh-CN"/>
        </w:rPr>
      </w:pPr>
      <w:r w:rsidRPr="00AD3A89">
        <w:rPr>
          <w:rStyle w:val="ab"/>
          <w:rFonts w:eastAsia="Times New Roman" w:cs="Times"/>
          <w:b w:val="0"/>
          <w:bCs w:val="0"/>
          <w:lang w:eastAsia="zh-CN"/>
        </w:rPr>
        <w:t xml:space="preserve">Alt 1: One CBSR can be configured per </w:t>
      </w:r>
      <w:r w:rsidRPr="00AD3A89">
        <w:rPr>
          <w:rStyle w:val="ab"/>
          <w:rFonts w:eastAsia="Times New Roman" w:cs="Times"/>
          <w:b w:val="0"/>
          <w:bCs w:val="0"/>
          <w:i/>
          <w:iCs/>
          <w:lang w:eastAsia="zh-CN"/>
        </w:rPr>
        <w:t>CodebookConfig</w:t>
      </w:r>
      <w:r w:rsidRPr="00AD3A89">
        <w:rPr>
          <w:rStyle w:val="ab"/>
          <w:rFonts w:eastAsia="Times New Roman" w:cs="Times"/>
          <w:b w:val="0"/>
          <w:bCs w:val="0"/>
          <w:lang w:eastAsia="zh-CN"/>
        </w:rPr>
        <w:t>, whereas CBSR is applied to all CMRs regardless measurement hypotheses or CMR groups.</w:t>
      </w:r>
    </w:p>
    <w:p w14:paraId="28557B58" w14:textId="77777777" w:rsidR="004B5F62" w:rsidRPr="00AD3A89" w:rsidRDefault="004B5F62" w:rsidP="004B5F62">
      <w:pPr>
        <w:numPr>
          <w:ilvl w:val="0"/>
          <w:numId w:val="15"/>
        </w:numPr>
        <w:spacing w:after="0"/>
        <w:jc w:val="both"/>
        <w:rPr>
          <w:rStyle w:val="ab"/>
          <w:rFonts w:eastAsia="Times New Roman" w:cs="Times"/>
          <w:b w:val="0"/>
          <w:bCs w:val="0"/>
          <w:lang w:eastAsia="zh-CN"/>
        </w:rPr>
      </w:pPr>
      <w:r w:rsidRPr="00AD3A89">
        <w:rPr>
          <w:rStyle w:val="ab"/>
          <w:rFonts w:eastAsia="Times New Roman" w:cs="Times"/>
          <w:b w:val="0"/>
          <w:bCs w:val="0"/>
          <w:lang w:eastAsia="zh-CN"/>
        </w:rPr>
        <w:t xml:space="preserve">Alt 2: Two CBSRs can be configured per </w:t>
      </w:r>
      <w:r w:rsidRPr="00AD3A89">
        <w:rPr>
          <w:rStyle w:val="ab"/>
          <w:rFonts w:eastAsia="Times New Roman" w:cs="Times"/>
          <w:b w:val="0"/>
          <w:bCs w:val="0"/>
          <w:i/>
          <w:iCs/>
          <w:lang w:eastAsia="zh-CN"/>
        </w:rPr>
        <w:t>CodebookConfig</w:t>
      </w:r>
      <w:r w:rsidRPr="00AD3A89">
        <w:rPr>
          <w:rStyle w:val="ab"/>
          <w:rFonts w:eastAsia="Times New Roman" w:cs="Times"/>
          <w:b w:val="0"/>
          <w:bCs w:val="0"/>
          <w:lang w:eastAsia="zh-CN"/>
        </w:rPr>
        <w:t>, whereas one CBSR is applied to one CMR group in a CMR resource set respectively, i.e. per TRP.</w:t>
      </w:r>
    </w:p>
    <w:p w14:paraId="4B1E7DEA" w14:textId="7B0A130E"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w:t>
      </w:r>
      <w:r w:rsidR="0093165E">
        <w:rPr>
          <w:rFonts w:eastAsiaTheme="minorEastAsia"/>
          <w:color w:val="000000" w:themeColor="text1"/>
          <w:sz w:val="22"/>
          <w:szCs w:val="22"/>
          <w:lang w:val="en-US" w:eastAsia="zh-CN"/>
        </w:rPr>
        <w:t xml:space="preserve">CSI </w:t>
      </w:r>
      <w:r w:rsidR="006A792E">
        <w:rPr>
          <w:rFonts w:eastAsiaTheme="minorEastAsia"/>
          <w:color w:val="000000" w:themeColor="text1"/>
          <w:sz w:val="22"/>
          <w:szCs w:val="22"/>
          <w:lang w:val="en-US" w:eastAsia="zh-CN"/>
        </w:rPr>
        <w:t>enhancement</w:t>
      </w:r>
      <w:r w:rsidR="0093165E">
        <w:rPr>
          <w:rFonts w:eastAsiaTheme="minorEastAsia"/>
          <w:color w:val="000000" w:themeColor="text1"/>
          <w:sz w:val="22"/>
          <w:szCs w:val="22"/>
          <w:lang w:val="en-US" w:eastAsia="zh-CN"/>
        </w:rPr>
        <w:t xml:space="preserve"> for multi-TRP transmission</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5A537B14" w14:textId="6B7E9EB5" w:rsidR="00914EFF" w:rsidRDefault="00503682" w:rsidP="00914EF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00006A17">
        <w:rPr>
          <w:rFonts w:eastAsiaTheme="minorEastAsia"/>
          <w:color w:val="000000" w:themeColor="text1"/>
          <w:sz w:val="22"/>
          <w:szCs w:val="22"/>
          <w:lang w:val="en-US" w:eastAsia="zh-CN"/>
        </w:rPr>
        <w:t>CSI report</w:t>
      </w:r>
      <w:r>
        <w:rPr>
          <w:rFonts w:eastAsiaTheme="minorEastAsia"/>
          <w:color w:val="000000" w:themeColor="text1"/>
          <w:sz w:val="22"/>
          <w:szCs w:val="22"/>
          <w:lang w:val="en-US" w:eastAsia="zh-CN"/>
        </w:rPr>
        <w:t xml:space="preserve">, it was agreed </w:t>
      </w:r>
      <w:r w:rsidR="00006A17">
        <w:rPr>
          <w:rFonts w:eastAsiaTheme="minorEastAsia"/>
          <w:color w:val="000000" w:themeColor="text1"/>
          <w:sz w:val="22"/>
          <w:szCs w:val="22"/>
          <w:lang w:val="en-US" w:eastAsia="zh-CN"/>
        </w:rPr>
        <w:t>two RI restrictions are configured per CodebookConfig for single-TRP and NCJT measurement hypotheses respectively</w:t>
      </w:r>
      <w:r w:rsidR="00914EFF">
        <w:rPr>
          <w:rFonts w:eastAsiaTheme="minorEastAsia"/>
          <w:color w:val="000000" w:themeColor="text1"/>
          <w:sz w:val="22"/>
          <w:szCs w:val="22"/>
          <w:lang w:val="en-US" w:eastAsia="zh-CN"/>
        </w:rPr>
        <w:t xml:space="preserve">. And CBSR is still under discussion, we think it’s typical that precoders are different for different TRPs. As it was agreed to report X CSIs with single-TRP measurement hypotheses and one CSI associated with NCJT measurement hypothesis, then besides interference control between TRPs, considering large complexity of pairing of the precoders from different TRPs for NCJT measurement, introducing TRP specific CBSR is quite helpful to reduce UE complexity. </w:t>
      </w:r>
    </w:p>
    <w:p w14:paraId="23EB2763" w14:textId="302FA629" w:rsidR="00914EFF" w:rsidRDefault="008B29FC" w:rsidP="008B29FC">
      <w:pPr>
        <w:spacing w:after="0"/>
        <w:jc w:val="both"/>
        <w:rPr>
          <w:rFonts w:eastAsiaTheme="minorEastAsia"/>
          <w:b/>
          <w:i/>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sidR="00914EFF">
        <w:rPr>
          <w:rFonts w:eastAsiaTheme="minorEastAsia"/>
          <w:b/>
          <w:i/>
          <w:sz w:val="22"/>
          <w:szCs w:val="22"/>
          <w:lang w:val="en-US" w:eastAsia="zh-CN"/>
        </w:rPr>
        <w:t xml:space="preserve"> Considering CBSR, support Alt 2 to reduce UE complexity:</w:t>
      </w:r>
    </w:p>
    <w:p w14:paraId="46401DAE" w14:textId="53047F37" w:rsidR="008B29FC" w:rsidRPr="00914EFF" w:rsidRDefault="00914EFF" w:rsidP="00914EFF">
      <w:pPr>
        <w:spacing w:after="0"/>
        <w:ind w:left="1260" w:hanging="420"/>
        <w:jc w:val="both"/>
        <w:rPr>
          <w:rFonts w:eastAsiaTheme="minorEastAsia"/>
          <w:b/>
          <w:i/>
          <w:sz w:val="22"/>
          <w:szCs w:val="22"/>
          <w:lang w:eastAsia="zh-CN"/>
        </w:rPr>
      </w:pPr>
      <w:r w:rsidRPr="00914EFF">
        <w:rPr>
          <w:rFonts w:eastAsiaTheme="minorEastAsia"/>
          <w:b/>
          <w:i/>
          <w:sz w:val="22"/>
          <w:szCs w:val="22"/>
          <w:lang w:val="en-US" w:eastAsia="zh-CN"/>
        </w:rPr>
        <w:t>•</w:t>
      </w:r>
      <w:r w:rsidRPr="00914EFF">
        <w:rPr>
          <w:rFonts w:eastAsiaTheme="minorEastAsia"/>
          <w:b/>
          <w:i/>
          <w:sz w:val="22"/>
          <w:szCs w:val="22"/>
          <w:lang w:val="en-US" w:eastAsia="zh-CN"/>
        </w:rPr>
        <w:tab/>
        <w:t>Alt 2: Two CBSRs can be configured per CodebookConfig, whereas one CBSR is applied to one CMR group in a CMR resource set respectively, i.e. per TRP.</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84FCA1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12E">
        <w:rPr>
          <w:rFonts w:eastAsia="宋体"/>
          <w:color w:val="000000" w:themeColor="text1"/>
          <w:sz w:val="22"/>
          <w:szCs w:val="22"/>
          <w:lang w:eastAsia="zh-CN"/>
        </w:rPr>
        <w:t>CSI</w:t>
      </w:r>
      <w:r w:rsidR="00841A18">
        <w:rPr>
          <w:rFonts w:eastAsia="宋体"/>
          <w:color w:val="000000" w:themeColor="text1"/>
          <w:sz w:val="22"/>
          <w:szCs w:val="22"/>
          <w:lang w:eastAsia="zh-CN"/>
        </w:rPr>
        <w:t xml:space="preserve"> </w:t>
      </w:r>
      <w:r w:rsidR="00EE5414">
        <w:rPr>
          <w:rFonts w:eastAsia="宋体"/>
          <w:color w:val="000000" w:themeColor="text1"/>
          <w:sz w:val="22"/>
          <w:szCs w:val="22"/>
          <w:lang w:eastAsia="zh-CN"/>
        </w:rPr>
        <w:t>enhancement</w:t>
      </w:r>
      <w:r w:rsidR="007F312E">
        <w:rPr>
          <w:rFonts w:eastAsia="宋体"/>
          <w:color w:val="000000" w:themeColor="text1"/>
          <w:sz w:val="22"/>
          <w:szCs w:val="22"/>
          <w:lang w:eastAsia="zh-CN"/>
        </w:rPr>
        <w:t xml:space="preserve"> for multi-TRP transmission</w:t>
      </w:r>
      <w:r>
        <w:rPr>
          <w:rFonts w:eastAsia="宋体" w:hint="eastAsia"/>
          <w:color w:val="000000" w:themeColor="text1"/>
          <w:sz w:val="22"/>
          <w:szCs w:val="22"/>
          <w:lang w:eastAsia="zh-CN"/>
        </w:rPr>
        <w:t>, and we proposed that:</w:t>
      </w:r>
    </w:p>
    <w:p w14:paraId="2B0F6F01" w14:textId="37103B93" w:rsidR="00914EFF" w:rsidRDefault="00914EFF" w:rsidP="00914EFF">
      <w:pPr>
        <w:spacing w:after="0"/>
        <w:jc w:val="both"/>
        <w:rPr>
          <w:rFonts w:eastAsiaTheme="minorEastAsia"/>
          <w:b/>
          <w:i/>
          <w:sz w:val="22"/>
          <w:szCs w:val="22"/>
          <w:lang w:val="en-US" w:eastAsia="zh-CN"/>
        </w:rPr>
      </w:pPr>
      <w:r>
        <w:rPr>
          <w:rFonts w:eastAsiaTheme="minorEastAsia" w:hint="eastAsia"/>
          <w:b/>
          <w:i/>
          <w:sz w:val="22"/>
          <w:szCs w:val="22"/>
          <w:lang w:val="en-US" w:eastAsia="zh-CN"/>
        </w:rPr>
        <w:t>Proposal</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Considering CBSR, support Alt 2 to reduce UE complexity:</w:t>
      </w:r>
    </w:p>
    <w:p w14:paraId="0A223FB9" w14:textId="77777777" w:rsidR="00914EFF" w:rsidRPr="00914EFF" w:rsidRDefault="00914EFF" w:rsidP="00914EFF">
      <w:pPr>
        <w:spacing w:after="0"/>
        <w:ind w:left="1260" w:hanging="420"/>
        <w:jc w:val="both"/>
        <w:rPr>
          <w:rFonts w:eastAsiaTheme="minorEastAsia"/>
          <w:b/>
          <w:i/>
          <w:sz w:val="22"/>
          <w:szCs w:val="22"/>
          <w:lang w:eastAsia="zh-CN"/>
        </w:rPr>
      </w:pPr>
      <w:r w:rsidRPr="00914EFF">
        <w:rPr>
          <w:rFonts w:eastAsiaTheme="minorEastAsia"/>
          <w:b/>
          <w:i/>
          <w:sz w:val="22"/>
          <w:szCs w:val="22"/>
          <w:lang w:val="en-US" w:eastAsia="zh-CN"/>
        </w:rPr>
        <w:t>•</w:t>
      </w:r>
      <w:r w:rsidRPr="00914EFF">
        <w:rPr>
          <w:rFonts w:eastAsiaTheme="minorEastAsia"/>
          <w:b/>
          <w:i/>
          <w:sz w:val="22"/>
          <w:szCs w:val="22"/>
          <w:lang w:val="en-US" w:eastAsia="zh-CN"/>
        </w:rPr>
        <w:tab/>
        <w:t>Alt 2: Two CBSRs can be configured per CodebookConfig, whereas one CBSR is applied to one CMR group in a CMR resource set respectively, i.e. per TRP.</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8AEB67" w14:textId="24C078D0" w:rsidR="003E4ED2" w:rsidRDefault="007277F3" w:rsidP="003E4ED2">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RAN1#106bis-e, October 11th – 19th</w:t>
      </w:r>
      <w:r w:rsidRPr="00915745">
        <w:rPr>
          <w:rFonts w:eastAsia="宋体"/>
          <w:color w:val="000000"/>
          <w:lang w:eastAsia="zh-CN"/>
        </w:rPr>
        <w:t>, 2021</w:t>
      </w:r>
      <w:r>
        <w:rPr>
          <w:rFonts w:eastAsia="宋体"/>
          <w:color w:val="000000"/>
          <w:lang w:eastAsia="zh-CN"/>
        </w:rPr>
        <w:t>.</w:t>
      </w:r>
    </w:p>
    <w:sectPr w:rsidR="003E4ED2"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7616A" w14:textId="77777777" w:rsidR="00AB3EA5" w:rsidRPr="00D733E0" w:rsidRDefault="00AB3EA5" w:rsidP="00D400AF">
      <w:pPr>
        <w:spacing w:after="0"/>
        <w:rPr>
          <w:rFonts w:ascii="Arial" w:eastAsia="宋体" w:hAnsi="Arial" w:cs="Arial"/>
          <w:color w:val="0000FF"/>
          <w:kern w:val="2"/>
          <w:lang w:val="en-US" w:eastAsia="zh-CN"/>
        </w:rPr>
      </w:pPr>
      <w:r>
        <w:separator/>
      </w:r>
    </w:p>
  </w:endnote>
  <w:endnote w:type="continuationSeparator" w:id="0">
    <w:p w14:paraId="1AB63332" w14:textId="77777777" w:rsidR="00AB3EA5" w:rsidRPr="00D733E0" w:rsidRDefault="00AB3EA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EB6BE9A" w:rsidR="00503682" w:rsidRPr="007A56A3" w:rsidRDefault="0050368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46802" w:rsidRPr="00446802">
          <w:rPr>
            <w:noProof/>
            <w:sz w:val="21"/>
            <w:lang w:val="zh-CN" w:eastAsia="zh-CN"/>
          </w:rPr>
          <w:t>1</w:t>
        </w:r>
        <w:r w:rsidRPr="007A56A3">
          <w:rPr>
            <w:sz w:val="21"/>
          </w:rPr>
          <w:fldChar w:fldCharType="end"/>
        </w:r>
      </w:p>
    </w:sdtContent>
  </w:sdt>
  <w:p w14:paraId="55D08AE3" w14:textId="77777777" w:rsidR="00503682" w:rsidRDefault="0050368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0F7EB" w14:textId="77777777" w:rsidR="00AB3EA5" w:rsidRPr="00D733E0" w:rsidRDefault="00AB3EA5" w:rsidP="00D400AF">
      <w:pPr>
        <w:spacing w:after="0"/>
        <w:rPr>
          <w:rFonts w:ascii="Arial" w:eastAsia="宋体" w:hAnsi="Arial" w:cs="Arial"/>
          <w:color w:val="0000FF"/>
          <w:kern w:val="2"/>
          <w:lang w:val="en-US" w:eastAsia="zh-CN"/>
        </w:rPr>
      </w:pPr>
      <w:r>
        <w:separator/>
      </w:r>
    </w:p>
  </w:footnote>
  <w:footnote w:type="continuationSeparator" w:id="0">
    <w:p w14:paraId="0DDFCB4C" w14:textId="77777777" w:rsidR="00AB3EA5" w:rsidRPr="00D733E0" w:rsidRDefault="00AB3EA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3"/>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2"/>
  </w:num>
  <w:num w:numId="9">
    <w:abstractNumId w:val="8"/>
  </w:num>
  <w:num w:numId="10">
    <w:abstractNumId w:val="11"/>
  </w:num>
  <w:num w:numId="11">
    <w:abstractNumId w:val="5"/>
  </w:num>
  <w:num w:numId="12">
    <w:abstractNumId w:val="9"/>
  </w:num>
  <w:num w:numId="13">
    <w:abstractNumId w:val="7"/>
  </w:num>
  <w:num w:numId="14">
    <w:abstractNumId w:val="14"/>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D2"/>
    <w:rsid w:val="00006A17"/>
    <w:rsid w:val="00013AB2"/>
    <w:rsid w:val="000140A2"/>
    <w:rsid w:val="000148A6"/>
    <w:rsid w:val="0001540B"/>
    <w:rsid w:val="00016683"/>
    <w:rsid w:val="000202A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2384"/>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712"/>
    <w:rsid w:val="00071852"/>
    <w:rsid w:val="00073C99"/>
    <w:rsid w:val="0007406C"/>
    <w:rsid w:val="00075B3E"/>
    <w:rsid w:val="00075DB2"/>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9CC"/>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4451"/>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312"/>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C49"/>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77DA3"/>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08F1"/>
    <w:rsid w:val="003D2922"/>
    <w:rsid w:val="003D4A8B"/>
    <w:rsid w:val="003D57D9"/>
    <w:rsid w:val="003D640C"/>
    <w:rsid w:val="003E241D"/>
    <w:rsid w:val="003E2912"/>
    <w:rsid w:val="003E2BCF"/>
    <w:rsid w:val="003E2DBA"/>
    <w:rsid w:val="003E4A82"/>
    <w:rsid w:val="003E4ED2"/>
    <w:rsid w:val="003E50E7"/>
    <w:rsid w:val="003E5B6C"/>
    <w:rsid w:val="003E62EE"/>
    <w:rsid w:val="003E687F"/>
    <w:rsid w:val="003E6ECC"/>
    <w:rsid w:val="003E7A36"/>
    <w:rsid w:val="003F0850"/>
    <w:rsid w:val="003F11E5"/>
    <w:rsid w:val="003F280F"/>
    <w:rsid w:val="003F36A4"/>
    <w:rsid w:val="003F3859"/>
    <w:rsid w:val="003F3D45"/>
    <w:rsid w:val="003F3DC8"/>
    <w:rsid w:val="003F4538"/>
    <w:rsid w:val="003F591D"/>
    <w:rsid w:val="003F5B4F"/>
    <w:rsid w:val="003F70A9"/>
    <w:rsid w:val="00400B7D"/>
    <w:rsid w:val="00402F30"/>
    <w:rsid w:val="004044E8"/>
    <w:rsid w:val="004046FC"/>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46802"/>
    <w:rsid w:val="00450721"/>
    <w:rsid w:val="00450B63"/>
    <w:rsid w:val="0045106C"/>
    <w:rsid w:val="00453464"/>
    <w:rsid w:val="00454442"/>
    <w:rsid w:val="00455A63"/>
    <w:rsid w:val="0045635C"/>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5F62"/>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34C3"/>
    <w:rsid w:val="00503682"/>
    <w:rsid w:val="0050415E"/>
    <w:rsid w:val="00504F42"/>
    <w:rsid w:val="0050680A"/>
    <w:rsid w:val="005077FE"/>
    <w:rsid w:val="005122EA"/>
    <w:rsid w:val="00516226"/>
    <w:rsid w:val="00516A8D"/>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574"/>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4761"/>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5D5"/>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3468"/>
    <w:rsid w:val="006C40AF"/>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17FF0"/>
    <w:rsid w:val="00721CC3"/>
    <w:rsid w:val="00725794"/>
    <w:rsid w:val="007277F3"/>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975F1"/>
    <w:rsid w:val="00797E2A"/>
    <w:rsid w:val="007A05FE"/>
    <w:rsid w:val="007A0865"/>
    <w:rsid w:val="007A4E78"/>
    <w:rsid w:val="007A56A3"/>
    <w:rsid w:val="007A5A18"/>
    <w:rsid w:val="007A6E0B"/>
    <w:rsid w:val="007B20EB"/>
    <w:rsid w:val="007B2301"/>
    <w:rsid w:val="007B31A1"/>
    <w:rsid w:val="007B3213"/>
    <w:rsid w:val="007B432E"/>
    <w:rsid w:val="007B5DC1"/>
    <w:rsid w:val="007B64AE"/>
    <w:rsid w:val="007B64C2"/>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D5"/>
    <w:rsid w:val="008368FC"/>
    <w:rsid w:val="008373AD"/>
    <w:rsid w:val="00841173"/>
    <w:rsid w:val="0084179F"/>
    <w:rsid w:val="00841A18"/>
    <w:rsid w:val="00841ED1"/>
    <w:rsid w:val="00843F6A"/>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8F0"/>
    <w:rsid w:val="00873BD4"/>
    <w:rsid w:val="00874CD4"/>
    <w:rsid w:val="00876861"/>
    <w:rsid w:val="008769D5"/>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9FC"/>
    <w:rsid w:val="008B2B54"/>
    <w:rsid w:val="008B2FB1"/>
    <w:rsid w:val="008B32B3"/>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90025A"/>
    <w:rsid w:val="00900560"/>
    <w:rsid w:val="00900D75"/>
    <w:rsid w:val="009039D5"/>
    <w:rsid w:val="00903A16"/>
    <w:rsid w:val="00904A7D"/>
    <w:rsid w:val="00905F5A"/>
    <w:rsid w:val="00914EFF"/>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60D5"/>
    <w:rsid w:val="00950006"/>
    <w:rsid w:val="00950E5F"/>
    <w:rsid w:val="009519D2"/>
    <w:rsid w:val="00953238"/>
    <w:rsid w:val="0095370B"/>
    <w:rsid w:val="00953A0F"/>
    <w:rsid w:val="00954550"/>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1F18"/>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3EA5"/>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6523"/>
    <w:rsid w:val="00B27F49"/>
    <w:rsid w:val="00B3090C"/>
    <w:rsid w:val="00B3102E"/>
    <w:rsid w:val="00B31273"/>
    <w:rsid w:val="00B31802"/>
    <w:rsid w:val="00B31C13"/>
    <w:rsid w:val="00B31E3F"/>
    <w:rsid w:val="00B33564"/>
    <w:rsid w:val="00B34AE2"/>
    <w:rsid w:val="00B357F2"/>
    <w:rsid w:val="00B35A69"/>
    <w:rsid w:val="00B378D1"/>
    <w:rsid w:val="00B42291"/>
    <w:rsid w:val="00B4274E"/>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312C"/>
    <w:rsid w:val="00B64CCA"/>
    <w:rsid w:val="00B65AA6"/>
    <w:rsid w:val="00B669AF"/>
    <w:rsid w:val="00B66F1C"/>
    <w:rsid w:val="00B67F9B"/>
    <w:rsid w:val="00B72399"/>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B6BFC"/>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4EB3"/>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77F78"/>
    <w:rsid w:val="00C807F2"/>
    <w:rsid w:val="00C8437E"/>
    <w:rsid w:val="00C86998"/>
    <w:rsid w:val="00C87F62"/>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C7500"/>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41CD"/>
    <w:rsid w:val="00DD628B"/>
    <w:rsid w:val="00DD69F4"/>
    <w:rsid w:val="00DE05DB"/>
    <w:rsid w:val="00DE22E4"/>
    <w:rsid w:val="00DE3706"/>
    <w:rsid w:val="00DE4F3C"/>
    <w:rsid w:val="00DE73CF"/>
    <w:rsid w:val="00DF2995"/>
    <w:rsid w:val="00DF32FB"/>
    <w:rsid w:val="00DF34B3"/>
    <w:rsid w:val="00DF3A14"/>
    <w:rsid w:val="00DF47DE"/>
    <w:rsid w:val="00DF6A90"/>
    <w:rsid w:val="00DF70E4"/>
    <w:rsid w:val="00DF75D4"/>
    <w:rsid w:val="00E0180E"/>
    <w:rsid w:val="00E01A4B"/>
    <w:rsid w:val="00E02665"/>
    <w:rsid w:val="00E0298F"/>
    <w:rsid w:val="00E047BB"/>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1CBF"/>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DE"/>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EB1"/>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3F70A9"/>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C6A82-66EB-432E-97DC-6AD4C9C7D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13</cp:revision>
  <dcterms:created xsi:type="dcterms:W3CDTF">2021-09-27T07:16:00Z</dcterms:created>
  <dcterms:modified xsi:type="dcterms:W3CDTF">2021-11-04T13:43:00Z</dcterms:modified>
</cp:coreProperties>
</file>