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417041E3"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w:t>
      </w:r>
      <w:r w:rsidR="00726840">
        <w:rPr>
          <w:rFonts w:ascii="Arial" w:eastAsia="Yu Mincho" w:hAnsi="Arial" w:cs="Arial"/>
          <w:b/>
          <w:bCs/>
          <w:noProof/>
          <w:sz w:val="24"/>
          <w:szCs w:val="24"/>
          <w:lang w:val="de-DE" w:eastAsia="ja-JP"/>
        </w:rPr>
        <w:t>10</w:t>
      </w:r>
      <w:r w:rsidR="00784F77">
        <w:rPr>
          <w:rFonts w:ascii="Arial" w:eastAsia="Yu Mincho" w:hAnsi="Arial" w:cs="Arial"/>
          <w:b/>
          <w:bCs/>
          <w:noProof/>
          <w:sz w:val="24"/>
          <w:szCs w:val="24"/>
          <w:lang w:val="de-DE" w:eastAsia="ja-JP"/>
        </w:rPr>
        <w:t>7</w:t>
      </w:r>
      <w:r w:rsidR="00AF0715">
        <w:rPr>
          <w:rFonts w:ascii="Arial" w:eastAsia="Yu Mincho" w:hAnsi="Arial" w:cs="Arial"/>
          <w:b/>
          <w:bCs/>
          <w:noProof/>
          <w:sz w:val="24"/>
          <w:szCs w:val="24"/>
          <w:lang w:val="de-DE" w:eastAsia="ja-JP"/>
        </w:rPr>
        <w:t>-</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EE4A7D">
        <w:rPr>
          <w:rFonts w:ascii="Arial" w:eastAsia="Yu Mincho" w:hAnsi="Arial"/>
          <w:b/>
          <w:noProof/>
          <w:sz w:val="24"/>
          <w:szCs w:val="24"/>
          <w:lang w:val="de-DE"/>
        </w:rPr>
        <w:t>21</w:t>
      </w:r>
      <w:r w:rsidR="00F578AA">
        <w:rPr>
          <w:rFonts w:ascii="Arial" w:eastAsia="Yu Mincho" w:hAnsi="Arial"/>
          <w:b/>
          <w:noProof/>
          <w:sz w:val="24"/>
          <w:szCs w:val="24"/>
          <w:lang w:val="de-DE"/>
        </w:rPr>
        <w:t>11642</w:t>
      </w:r>
    </w:p>
    <w:p w14:paraId="5F8CFDD6" w14:textId="65294A36"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784F77">
        <w:rPr>
          <w:rFonts w:ascii="Arial" w:hAnsi="Arial" w:cs="Arial"/>
          <w:b/>
          <w:bCs/>
          <w:sz w:val="24"/>
          <w:szCs w:val="24"/>
          <w:lang w:eastAsia="ja-JP"/>
        </w:rPr>
        <w:t>November</w:t>
      </w:r>
      <w:r>
        <w:rPr>
          <w:rFonts w:ascii="Arial" w:hAnsi="Arial" w:cs="Arial"/>
          <w:b/>
          <w:bCs/>
          <w:sz w:val="24"/>
          <w:szCs w:val="24"/>
          <w:lang w:eastAsia="ja-JP"/>
        </w:rPr>
        <w:t xml:space="preserve"> </w:t>
      </w:r>
      <w:r w:rsidR="002F4AAF">
        <w:rPr>
          <w:rFonts w:ascii="Arial" w:hAnsi="Arial" w:cs="Arial"/>
          <w:b/>
          <w:bCs/>
          <w:sz w:val="24"/>
          <w:szCs w:val="24"/>
          <w:lang w:eastAsia="ja-JP"/>
        </w:rPr>
        <w:t>11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AF0715">
        <w:rPr>
          <w:rFonts w:ascii="Arial" w:hAnsi="Arial" w:cs="Arial"/>
          <w:b/>
          <w:bCs/>
          <w:sz w:val="24"/>
          <w:szCs w:val="24"/>
          <w:lang w:eastAsia="ja-JP"/>
        </w:rPr>
        <w:t xml:space="preserve"> </w:t>
      </w:r>
      <w:r w:rsidR="002F4AAF">
        <w:rPr>
          <w:rFonts w:ascii="Arial" w:hAnsi="Arial" w:cs="Arial"/>
          <w:b/>
          <w:bCs/>
          <w:sz w:val="24"/>
          <w:szCs w:val="24"/>
          <w:lang w:eastAsia="ja-JP"/>
        </w:rPr>
        <w:t>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9768FDC"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A136C3">
        <w:rPr>
          <w:rFonts w:ascii="Arial" w:eastAsia="MS Mincho" w:hAnsi="Arial"/>
          <w:sz w:val="24"/>
          <w:szCs w:val="24"/>
          <w:lang w:eastAsia="ja-JP"/>
        </w:rPr>
        <w:t>PDCC</w:t>
      </w:r>
      <w:r w:rsidR="00CE2F1A">
        <w:rPr>
          <w:rFonts w:ascii="Arial" w:eastAsia="MS Mincho" w:hAnsi="Arial"/>
          <w:sz w:val="24"/>
          <w:szCs w:val="24"/>
          <w:lang w:eastAsia="ja-JP"/>
        </w:rPr>
        <w:t>H</w:t>
      </w:r>
      <w:r w:rsidR="00A136C3">
        <w:rPr>
          <w:rFonts w:ascii="Arial" w:eastAsia="MS Mincho" w:hAnsi="Arial"/>
          <w:sz w:val="24"/>
          <w:szCs w:val="24"/>
          <w:lang w:eastAsia="ja-JP"/>
        </w:rPr>
        <w:t xml:space="preserve"> monitoring enhancements</w:t>
      </w:r>
      <w:r w:rsidR="00A573CF">
        <w:rPr>
          <w:rFonts w:ascii="Arial" w:eastAsia="MS Mincho" w:hAnsi="Arial"/>
          <w:sz w:val="24"/>
          <w:szCs w:val="24"/>
          <w:lang w:eastAsia="ja-JP"/>
        </w:rPr>
        <w:t xml:space="preserve"> for NR from 52.6 GHz to 71GHz</w:t>
      </w:r>
    </w:p>
    <w:p w14:paraId="586DB488" w14:textId="7D6E0A0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136C3">
        <w:rPr>
          <w:rFonts w:ascii="Arial" w:eastAsia="MS Mincho" w:hAnsi="Arial"/>
          <w:sz w:val="24"/>
          <w:szCs w:val="24"/>
          <w:lang w:eastAsia="ja-JP"/>
        </w:rPr>
        <w:t>2</w:t>
      </w:r>
    </w:p>
    <w:p w14:paraId="03B3BB1F" w14:textId="77777777" w:rsidR="00747357" w:rsidRPr="00747357" w:rsidRDefault="00747357" w:rsidP="008734DC">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0747DFE" w14:textId="6739AFAF" w:rsidR="00803BAB" w:rsidRDefault="00803BAB" w:rsidP="00803BAB">
      <w:pPr>
        <w:spacing w:beforeLines="50" w:before="120"/>
        <w:jc w:val="both"/>
        <w:rPr>
          <w:rFonts w:eastAsia="MS Mincho"/>
          <w:lang w:eastAsia="ja-JP"/>
        </w:rPr>
      </w:pPr>
      <w:r w:rsidRPr="00133CCB">
        <w:rPr>
          <w:rFonts w:eastAsia="MS Mincho"/>
          <w:lang w:eastAsia="ja-JP"/>
        </w:rPr>
        <w:t>In RAN</w:t>
      </w:r>
      <w:r>
        <w:rPr>
          <w:rFonts w:eastAsia="MS Mincho"/>
          <w:lang w:eastAsia="ja-JP"/>
        </w:rPr>
        <w:t xml:space="preserve">#93-e, a revised work item for supporting NR from 52.6 GHz to 71 GHz in NR Rel. 17 has been approved with following objectives for </w:t>
      </w:r>
      <w:r w:rsidR="00B56CD9">
        <w:rPr>
          <w:rFonts w:eastAsia="MS Mincho"/>
          <w:lang w:eastAsia="ja-JP"/>
        </w:rPr>
        <w:t>PDCCH monitoring</w:t>
      </w:r>
      <w:r>
        <w:rPr>
          <w:rFonts w:eastAsia="MS Mincho"/>
          <w:lang w:eastAsia="ja-JP"/>
        </w:rPr>
        <w:t xml:space="preserve"> in [1]:</w:t>
      </w:r>
    </w:p>
    <w:p w14:paraId="1565F8EE" w14:textId="77777777" w:rsidR="008D45FD" w:rsidRDefault="008D45FD" w:rsidP="00917353">
      <w:pPr>
        <w:spacing w:beforeLines="50" w:before="120" w:after="0"/>
        <w:jc w:val="both"/>
        <w:rPr>
          <w:rFonts w:eastAsia="MS Mincho"/>
          <w:lang w:eastAsia="ja-JP"/>
        </w:rPr>
      </w:pPr>
    </w:p>
    <w:p w14:paraId="3257AC0E" w14:textId="219DA3DD" w:rsidR="0075513B" w:rsidRPr="00213D57" w:rsidRDefault="0075513B" w:rsidP="006F425A">
      <w:pPr>
        <w:pStyle w:val="B1"/>
        <w:numPr>
          <w:ilvl w:val="0"/>
          <w:numId w:val="2"/>
        </w:numPr>
        <w:spacing w:after="0"/>
        <w:rPr>
          <w:i/>
          <w:iCs/>
          <w:lang w:eastAsia="ja-JP"/>
        </w:rPr>
      </w:pPr>
      <w:r w:rsidRPr="00213D57">
        <w:rPr>
          <w:rFonts w:hint="eastAsia"/>
          <w:i/>
          <w:iCs/>
          <w:lang w:eastAsia="ja-JP"/>
        </w:rPr>
        <w:t>Physical layer aspects</w:t>
      </w:r>
      <w:r w:rsidRPr="00213D57">
        <w:rPr>
          <w:i/>
          <w:iCs/>
          <w:lang w:eastAsia="ja-JP"/>
        </w:rPr>
        <w:t xml:space="preserve"> including [RAN1]</w:t>
      </w:r>
      <w:r w:rsidRPr="00213D57">
        <w:rPr>
          <w:rFonts w:hint="eastAsia"/>
          <w:i/>
          <w:iCs/>
          <w:lang w:eastAsia="ja-JP"/>
        </w:rPr>
        <w:t>:</w:t>
      </w:r>
    </w:p>
    <w:p w14:paraId="69FB44B5" w14:textId="77777777" w:rsidR="00213D57" w:rsidRPr="00213D57" w:rsidRDefault="00213D57" w:rsidP="00213D57">
      <w:pPr>
        <w:pStyle w:val="B1"/>
        <w:numPr>
          <w:ilvl w:val="1"/>
          <w:numId w:val="2"/>
        </w:numPr>
        <w:spacing w:before="180"/>
        <w:textAlignment w:val="auto"/>
        <w:rPr>
          <w:i/>
          <w:iCs/>
          <w:lang w:eastAsia="ja-JP"/>
        </w:rPr>
      </w:pPr>
      <w:bookmarkStart w:id="0" w:name="_Hlk58583563"/>
      <w:bookmarkStart w:id="1" w:name="_Hlk26996217"/>
      <w:r w:rsidRPr="00213D57">
        <w:rPr>
          <w:i/>
          <w:iCs/>
          <w:lang w:eastAsia="ja-JP"/>
        </w:rPr>
        <w:t xml:space="preserve">In addition to 120kHz SCS, specify </w:t>
      </w:r>
      <w:r w:rsidRPr="00213D57">
        <w:rPr>
          <w:i/>
          <w:iCs/>
          <w:lang w:eastAsia="zh-CN"/>
        </w:rPr>
        <w:t xml:space="preserve">new SCS, </w:t>
      </w:r>
      <w:r w:rsidRPr="00213D57">
        <w:rPr>
          <w:i/>
          <w:iCs/>
          <w:lang w:eastAsia="ja-JP"/>
        </w:rPr>
        <w:t>480kHz and 960kHz, and define maximum bandwidth(s), for operation in this frequency range for data and control channels and reference signals, only NCP supported</w:t>
      </w:r>
      <w:bookmarkEnd w:id="0"/>
      <w:r w:rsidRPr="00213D57">
        <w:rPr>
          <w:i/>
          <w:iCs/>
          <w:lang w:eastAsia="ja-JP"/>
        </w:rPr>
        <w:t xml:space="preserve">. </w:t>
      </w:r>
    </w:p>
    <w:p w14:paraId="6787CB56" w14:textId="77777777" w:rsidR="00213D57" w:rsidRPr="00213D57" w:rsidRDefault="00213D57" w:rsidP="00213D57">
      <w:pPr>
        <w:pStyle w:val="B1"/>
        <w:spacing w:before="180"/>
        <w:ind w:left="1440" w:firstLine="0"/>
        <w:rPr>
          <w:i/>
          <w:iCs/>
          <w:lang w:eastAsia="ja-JP"/>
        </w:rPr>
      </w:pPr>
      <w:bookmarkStart w:id="2" w:name="_Hlk58594267"/>
      <w:r w:rsidRPr="00213D57">
        <w:rPr>
          <w:i/>
          <w:iCs/>
          <w:lang w:eastAsia="ja-JP"/>
        </w:rPr>
        <w:t>Note: Except for timing line related aspects, a common design framework shall be adopted for 480kHz to 960kHz</w:t>
      </w:r>
    </w:p>
    <w:bookmarkEnd w:id="1"/>
    <w:bookmarkEnd w:id="2"/>
    <w:p w14:paraId="5F909E8C" w14:textId="77777777" w:rsidR="00213D57" w:rsidRPr="00213D57" w:rsidRDefault="00213D57" w:rsidP="00213D57">
      <w:pPr>
        <w:pStyle w:val="B1"/>
        <w:numPr>
          <w:ilvl w:val="1"/>
          <w:numId w:val="2"/>
        </w:numPr>
        <w:spacing w:before="180"/>
        <w:textAlignment w:val="auto"/>
        <w:rPr>
          <w:i/>
          <w:iCs/>
          <w:lang w:eastAsia="ja-JP"/>
        </w:rPr>
      </w:pPr>
      <w:r w:rsidRPr="00213D57">
        <w:rPr>
          <w:i/>
          <w:iCs/>
          <w:lang w:eastAsia="ja-JP"/>
        </w:rPr>
        <w:t xml:space="preserve">Time line related aspects adapted to 480kHz and 960kHz, e.g., BWP and beam switching </w:t>
      </w:r>
      <w:proofErr w:type="spellStart"/>
      <w:r w:rsidRPr="00213D57">
        <w:rPr>
          <w:i/>
          <w:iCs/>
          <w:lang w:eastAsia="ja-JP"/>
        </w:rPr>
        <w:t>timeing</w:t>
      </w:r>
      <w:proofErr w:type="spellEnd"/>
      <w:r w:rsidRPr="00213D57">
        <w:rPr>
          <w:i/>
          <w:iCs/>
          <w:lang w:eastAsia="ja-JP"/>
        </w:rPr>
        <w:t xml:space="preserve">, HARQ timing, UE processing, preparation and computation timelines for PDSCH, PUSCH/SRS and CSI, respectively. </w:t>
      </w:r>
    </w:p>
    <w:p w14:paraId="4A1F47D0" w14:textId="77777777" w:rsidR="00213D57" w:rsidRPr="00213D57" w:rsidRDefault="00213D57" w:rsidP="00213D57">
      <w:pPr>
        <w:pStyle w:val="B1"/>
        <w:numPr>
          <w:ilvl w:val="1"/>
          <w:numId w:val="2"/>
        </w:numPr>
        <w:spacing w:before="180"/>
        <w:textAlignment w:val="auto"/>
        <w:rPr>
          <w:i/>
          <w:iCs/>
          <w:lang w:eastAsia="zh-CN"/>
        </w:rPr>
      </w:pPr>
      <w:r w:rsidRPr="00213D57">
        <w:rPr>
          <w:i/>
          <w:iCs/>
          <w:lang w:eastAsia="zh-CN"/>
        </w:rPr>
        <w:t>Support enhancements for multi-PDSCH/PUSCH scheduling and HARQ support with a single DCI</w:t>
      </w:r>
    </w:p>
    <w:p w14:paraId="2D12C012" w14:textId="77777777" w:rsidR="00213D57" w:rsidRPr="00213D57" w:rsidRDefault="00213D57" w:rsidP="00213D57">
      <w:pPr>
        <w:pStyle w:val="b110"/>
        <w:wordWrap w:val="0"/>
        <w:spacing w:after="180"/>
        <w:ind w:left="1440"/>
        <w:rPr>
          <w:rFonts w:eastAsia="SimSun"/>
          <w:i/>
          <w:iCs/>
          <w:sz w:val="20"/>
          <w:szCs w:val="20"/>
          <w:lang w:val="en-GB"/>
        </w:rPr>
      </w:pPr>
      <w:r w:rsidRPr="00213D57">
        <w:rPr>
          <w:rFonts w:eastAsia="SimSun"/>
          <w:i/>
          <w:iCs/>
          <w:sz w:val="20"/>
          <w:szCs w:val="20"/>
          <w:lang w:val="en-GB"/>
        </w:rPr>
        <w:t>Note: coverage enhancement for multi-PDSCH/PUSCH scheduling is not pursued</w:t>
      </w:r>
    </w:p>
    <w:p w14:paraId="435F2D48" w14:textId="77777777" w:rsidR="00213D57" w:rsidRPr="00213D57" w:rsidRDefault="00213D57" w:rsidP="00213D57">
      <w:pPr>
        <w:pStyle w:val="B1"/>
        <w:numPr>
          <w:ilvl w:val="1"/>
          <w:numId w:val="2"/>
        </w:numPr>
        <w:spacing w:before="180"/>
        <w:textAlignment w:val="auto"/>
        <w:rPr>
          <w:i/>
          <w:iCs/>
          <w:lang w:eastAsia="zh-CN"/>
        </w:rPr>
      </w:pPr>
      <w:bookmarkStart w:id="3" w:name="_Hlk58595024"/>
      <w:r w:rsidRPr="00213D57">
        <w:rPr>
          <w:i/>
          <w:iCs/>
          <w:lang w:eastAsia="zh-CN"/>
        </w:rPr>
        <w:t>Support enhancement to PDCCH monitoring, including blind detection/CCE budget, and multi-slot span monitoring, potential limitation to UE PDCCH configuration and capability related to PDCCH monitoring.</w:t>
      </w:r>
      <w:bookmarkEnd w:id="3"/>
    </w:p>
    <w:p w14:paraId="01EE32B6" w14:textId="77777777" w:rsidR="00DA3154" w:rsidRDefault="00DA3154" w:rsidP="00AE05F4">
      <w:pPr>
        <w:spacing w:after="0"/>
        <w:jc w:val="both"/>
        <w:rPr>
          <w:bCs/>
        </w:rPr>
      </w:pPr>
    </w:p>
    <w:p w14:paraId="0EE8BC89" w14:textId="1CFAFB5E" w:rsidR="00AE6616" w:rsidRDefault="00AE6616" w:rsidP="00AE05F4">
      <w:pPr>
        <w:spacing w:after="0"/>
        <w:jc w:val="both"/>
        <w:rPr>
          <w:rFonts w:asciiTheme="majorBidi" w:hAnsiTheme="majorBidi" w:cstheme="majorBidi"/>
          <w:bCs/>
        </w:rPr>
      </w:pPr>
      <w:r w:rsidRPr="00347C63">
        <w:rPr>
          <w:rFonts w:asciiTheme="majorBidi" w:hAnsiTheme="majorBidi" w:cstheme="majorBidi"/>
          <w:bCs/>
        </w:rPr>
        <w:t xml:space="preserve">In this contribution, we </w:t>
      </w:r>
      <w:r w:rsidR="00A33AC0">
        <w:rPr>
          <w:rFonts w:asciiTheme="majorBidi" w:hAnsiTheme="majorBidi" w:cstheme="majorBidi"/>
          <w:bCs/>
        </w:rPr>
        <w:t xml:space="preserve">provide our views on </w:t>
      </w:r>
      <w:r w:rsidR="00B82F46">
        <w:rPr>
          <w:rFonts w:asciiTheme="majorBidi" w:hAnsiTheme="majorBidi" w:cstheme="majorBidi"/>
          <w:bCs/>
        </w:rPr>
        <w:t xml:space="preserve">following </w:t>
      </w:r>
      <w:r w:rsidR="00A33AC0">
        <w:rPr>
          <w:rFonts w:asciiTheme="majorBidi" w:hAnsiTheme="majorBidi" w:cstheme="majorBidi"/>
          <w:bCs/>
        </w:rPr>
        <w:t>enhancements for PDCCH monitoring for NR operation between 52.6 GHz to 71 GHz with newly agreed SCS values including 480kHz and 960kHz</w:t>
      </w:r>
      <w:r w:rsidR="00B82F46">
        <w:rPr>
          <w:rFonts w:asciiTheme="majorBidi" w:hAnsiTheme="majorBidi" w:cstheme="majorBidi"/>
          <w:bCs/>
        </w:rPr>
        <w:t>:</w:t>
      </w:r>
    </w:p>
    <w:p w14:paraId="6389FB18" w14:textId="090E005C" w:rsidR="00B82F46" w:rsidRDefault="00B82F46" w:rsidP="00B82F46">
      <w:pPr>
        <w:pStyle w:val="ListParagraph"/>
        <w:numPr>
          <w:ilvl w:val="0"/>
          <w:numId w:val="20"/>
        </w:numPr>
        <w:spacing w:after="0"/>
        <w:jc w:val="both"/>
        <w:rPr>
          <w:rFonts w:asciiTheme="majorBidi" w:hAnsiTheme="majorBidi" w:cstheme="majorBidi"/>
          <w:bCs/>
        </w:rPr>
      </w:pPr>
      <w:r>
        <w:rPr>
          <w:rFonts w:asciiTheme="majorBidi" w:hAnsiTheme="majorBidi" w:cstheme="majorBidi"/>
          <w:bCs/>
        </w:rPr>
        <w:t>Multi-slot PDCCH monitoring</w:t>
      </w:r>
    </w:p>
    <w:p w14:paraId="79308E81" w14:textId="67FA709D" w:rsidR="00C42BB9" w:rsidRDefault="00C42BB9" w:rsidP="00B82F46">
      <w:pPr>
        <w:pStyle w:val="ListParagraph"/>
        <w:numPr>
          <w:ilvl w:val="0"/>
          <w:numId w:val="20"/>
        </w:numPr>
        <w:spacing w:after="0"/>
        <w:jc w:val="both"/>
        <w:rPr>
          <w:rFonts w:asciiTheme="majorBidi" w:hAnsiTheme="majorBidi" w:cstheme="majorBidi"/>
          <w:bCs/>
        </w:rPr>
      </w:pPr>
      <w:r>
        <w:rPr>
          <w:rFonts w:asciiTheme="majorBidi" w:hAnsiTheme="majorBidi" w:cstheme="majorBidi"/>
          <w:bCs/>
        </w:rPr>
        <w:t>PDCCH monitoring restrictions</w:t>
      </w:r>
    </w:p>
    <w:p w14:paraId="0DBF1E97" w14:textId="1BF52224" w:rsidR="00C42BB9" w:rsidRDefault="00C42BB9" w:rsidP="00B82F46">
      <w:pPr>
        <w:pStyle w:val="ListParagraph"/>
        <w:numPr>
          <w:ilvl w:val="0"/>
          <w:numId w:val="20"/>
        </w:numPr>
        <w:spacing w:after="0"/>
        <w:jc w:val="both"/>
        <w:rPr>
          <w:rFonts w:asciiTheme="majorBidi" w:hAnsiTheme="majorBidi" w:cstheme="majorBidi"/>
          <w:bCs/>
        </w:rPr>
      </w:pPr>
      <w:r>
        <w:rPr>
          <w:rFonts w:asciiTheme="majorBidi" w:hAnsiTheme="majorBidi" w:cstheme="majorBidi"/>
          <w:bCs/>
        </w:rPr>
        <w:t>PDCCH multi-beam aspects</w:t>
      </w:r>
    </w:p>
    <w:p w14:paraId="262B7182" w14:textId="77777777" w:rsidR="003F7CE8" w:rsidRPr="00B82F46" w:rsidRDefault="003F7CE8" w:rsidP="003F7CE8">
      <w:pPr>
        <w:pStyle w:val="ListParagraph"/>
        <w:spacing w:after="0"/>
        <w:jc w:val="both"/>
        <w:rPr>
          <w:rFonts w:asciiTheme="majorBidi" w:hAnsiTheme="majorBidi" w:cstheme="majorBidi"/>
          <w:bCs/>
        </w:rPr>
      </w:pPr>
    </w:p>
    <w:p w14:paraId="224F8E5E" w14:textId="3C67BDB6"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F14783">
        <w:rPr>
          <w:rFonts w:ascii="Arial" w:eastAsia="MS Mincho" w:hAnsi="Arial"/>
          <w:sz w:val="36"/>
          <w:szCs w:val="36"/>
          <w:lang w:eastAsia="ja-JP"/>
        </w:rPr>
        <w:t>Multi-slot PDCCH monitoring</w:t>
      </w:r>
    </w:p>
    <w:p w14:paraId="33631667" w14:textId="7063C957" w:rsidR="00BB0987" w:rsidRDefault="00BB0987" w:rsidP="00913653">
      <w:pPr>
        <w:jc w:val="both"/>
        <w:rPr>
          <w:bCs/>
          <w:lang w:eastAsia="ja-JP"/>
        </w:rPr>
      </w:pPr>
      <w:r>
        <w:rPr>
          <w:bCs/>
          <w:lang w:eastAsia="ja-JP"/>
        </w:rPr>
        <w:t>In RAN1#10</w:t>
      </w:r>
      <w:r w:rsidR="00C52A21">
        <w:rPr>
          <w:bCs/>
          <w:lang w:eastAsia="ja-JP"/>
        </w:rPr>
        <w:t>6</w:t>
      </w:r>
      <w:r w:rsidR="004C2072">
        <w:rPr>
          <w:bCs/>
          <w:lang w:eastAsia="ja-JP"/>
        </w:rPr>
        <w:t>bis</w:t>
      </w:r>
      <w:r>
        <w:rPr>
          <w:bCs/>
          <w:lang w:eastAsia="ja-JP"/>
        </w:rPr>
        <w:t>-e</w:t>
      </w:r>
      <w:r w:rsidR="00F60756">
        <w:rPr>
          <w:bCs/>
          <w:lang w:eastAsia="ja-JP"/>
        </w:rPr>
        <w:t xml:space="preserve"> [2]</w:t>
      </w:r>
      <w:r>
        <w:rPr>
          <w:bCs/>
          <w:lang w:eastAsia="ja-JP"/>
        </w:rPr>
        <w:t>, following agreement related to multi-slot PDCCH monitoring has been made:</w:t>
      </w:r>
    </w:p>
    <w:p w14:paraId="4C2D8D93" w14:textId="77777777" w:rsidR="00C52A21" w:rsidRPr="00C52A21" w:rsidRDefault="00C52A21" w:rsidP="00604FFC">
      <w:pPr>
        <w:spacing w:after="0"/>
        <w:rPr>
          <w:i/>
          <w:iCs/>
          <w:lang w:eastAsia="x-none"/>
        </w:rPr>
      </w:pPr>
      <w:bookmarkStart w:id="4" w:name="_Hlk69545768"/>
      <w:r w:rsidRPr="00C52A21">
        <w:rPr>
          <w:i/>
          <w:iCs/>
          <w:highlight w:val="green"/>
          <w:lang w:eastAsia="x-none"/>
        </w:rPr>
        <w:t>Agreement:</w:t>
      </w:r>
    </w:p>
    <w:p w14:paraId="0A9D2A0E" w14:textId="77777777" w:rsidR="00C52A21" w:rsidRPr="00C52A21" w:rsidRDefault="00C52A21" w:rsidP="00C52A21">
      <w:pPr>
        <w:numPr>
          <w:ilvl w:val="0"/>
          <w:numId w:val="30"/>
        </w:numPr>
        <w:overflowPunct/>
        <w:autoSpaceDE/>
        <w:autoSpaceDN/>
        <w:adjustRightInd/>
        <w:spacing w:after="0"/>
        <w:textAlignment w:val="auto"/>
        <w:rPr>
          <w:b/>
          <w:bCs/>
          <w:i/>
          <w:iCs/>
          <w:lang w:eastAsia="x-none"/>
        </w:rPr>
      </w:pPr>
      <w:r w:rsidRPr="00C52A21">
        <w:rPr>
          <w:i/>
          <w:iCs/>
          <w:lang w:eastAsia="x-none"/>
        </w:rPr>
        <w:t>Multi-slot PDCCH monitoring is based on slots within a slot group</w:t>
      </w:r>
    </w:p>
    <w:p w14:paraId="4A6312E8" w14:textId="77777777" w:rsidR="00C52A21" w:rsidRPr="00C52A21" w:rsidRDefault="00C52A21" w:rsidP="00C52A21">
      <w:pPr>
        <w:numPr>
          <w:ilvl w:val="1"/>
          <w:numId w:val="30"/>
        </w:numPr>
        <w:overflowPunct/>
        <w:autoSpaceDE/>
        <w:autoSpaceDN/>
        <w:adjustRightInd/>
        <w:spacing w:after="0"/>
        <w:textAlignment w:val="auto"/>
        <w:rPr>
          <w:i/>
          <w:iCs/>
          <w:lang w:eastAsia="x-none"/>
        </w:rPr>
      </w:pPr>
      <w:r w:rsidRPr="00C52A21">
        <w:rPr>
          <w:i/>
          <w:iCs/>
          <w:lang w:eastAsia="x-none"/>
        </w:rPr>
        <w:t>Each slot group consists of X consecutive slots</w:t>
      </w:r>
    </w:p>
    <w:p w14:paraId="55D9347C" w14:textId="77777777" w:rsidR="00C52A21" w:rsidRPr="00C52A21" w:rsidRDefault="00C52A21" w:rsidP="00C52A21">
      <w:pPr>
        <w:numPr>
          <w:ilvl w:val="2"/>
          <w:numId w:val="30"/>
        </w:numPr>
        <w:overflowPunct/>
        <w:autoSpaceDE/>
        <w:autoSpaceDN/>
        <w:adjustRightInd/>
        <w:spacing w:after="0"/>
        <w:textAlignment w:val="auto"/>
        <w:rPr>
          <w:i/>
          <w:iCs/>
          <w:lang w:eastAsia="x-none"/>
        </w:rPr>
      </w:pPr>
      <w:r w:rsidRPr="00C52A21">
        <w:rPr>
          <w:i/>
          <w:iCs/>
          <w:lang w:eastAsia="x-none"/>
        </w:rPr>
        <w:t>Slot groups are consecutive and non-overlapping</w:t>
      </w:r>
    </w:p>
    <w:p w14:paraId="08BF4999" w14:textId="77777777" w:rsidR="00C52A21" w:rsidRPr="00C52A21" w:rsidRDefault="00C52A21" w:rsidP="00C52A21">
      <w:pPr>
        <w:numPr>
          <w:ilvl w:val="2"/>
          <w:numId w:val="30"/>
        </w:numPr>
        <w:overflowPunct/>
        <w:autoSpaceDE/>
        <w:autoSpaceDN/>
        <w:adjustRightInd/>
        <w:spacing w:after="0"/>
        <w:textAlignment w:val="auto"/>
        <w:rPr>
          <w:i/>
          <w:iCs/>
          <w:lang w:eastAsia="x-none"/>
        </w:rPr>
      </w:pPr>
      <w:r w:rsidRPr="00C52A21">
        <w:rPr>
          <w:i/>
          <w:iCs/>
          <w:lang w:eastAsia="x-none"/>
        </w:rPr>
        <w:t>The start of the first slot group in a subframe is aligned with the subframe boundary</w:t>
      </w:r>
    </w:p>
    <w:p w14:paraId="2D77302D" w14:textId="77777777" w:rsidR="00C52A21" w:rsidRPr="00C52A21" w:rsidRDefault="00C52A21" w:rsidP="00C52A21">
      <w:pPr>
        <w:numPr>
          <w:ilvl w:val="2"/>
          <w:numId w:val="30"/>
        </w:numPr>
        <w:overflowPunct/>
        <w:autoSpaceDE/>
        <w:autoSpaceDN/>
        <w:adjustRightInd/>
        <w:spacing w:after="0"/>
        <w:textAlignment w:val="auto"/>
        <w:rPr>
          <w:i/>
          <w:iCs/>
          <w:lang w:eastAsia="x-none"/>
        </w:rPr>
      </w:pPr>
      <w:r w:rsidRPr="00C52A21">
        <w:rPr>
          <w:i/>
          <w:iCs/>
          <w:lang w:eastAsia="x-none"/>
        </w:rPr>
        <w:t>The start of each slot group is aligned with a slot boundary</w:t>
      </w:r>
    </w:p>
    <w:p w14:paraId="507FEDA9" w14:textId="77777777" w:rsidR="00C52A21" w:rsidRPr="00C52A21" w:rsidRDefault="00C52A21" w:rsidP="00C52A21">
      <w:pPr>
        <w:numPr>
          <w:ilvl w:val="2"/>
          <w:numId w:val="30"/>
        </w:numPr>
        <w:overflowPunct/>
        <w:autoSpaceDE/>
        <w:autoSpaceDN/>
        <w:adjustRightInd/>
        <w:spacing w:after="0"/>
        <w:textAlignment w:val="auto"/>
        <w:rPr>
          <w:i/>
          <w:iCs/>
          <w:lang w:eastAsia="x-none"/>
        </w:rPr>
      </w:pPr>
      <w:r w:rsidRPr="00C52A21">
        <w:rPr>
          <w:i/>
          <w:iCs/>
          <w:lang w:eastAsia="x-none"/>
        </w:rPr>
        <w:t>Reporting the BD/CCE budget for X=4/8 slots (for 480/960 kHz resp.) is mandatory (if UE supports the corresponding SCS), and is optional for X=[2]/4 slots (for 480/960 kHz resp.)</w:t>
      </w:r>
    </w:p>
    <w:p w14:paraId="56CD58E4" w14:textId="77777777" w:rsidR="00C52A21" w:rsidRPr="00C52A21" w:rsidRDefault="00C52A21" w:rsidP="00C52A21">
      <w:pPr>
        <w:numPr>
          <w:ilvl w:val="0"/>
          <w:numId w:val="30"/>
        </w:numPr>
        <w:overflowPunct/>
        <w:autoSpaceDE/>
        <w:autoSpaceDN/>
        <w:adjustRightInd/>
        <w:spacing w:after="0"/>
        <w:textAlignment w:val="auto"/>
        <w:rPr>
          <w:i/>
          <w:iCs/>
          <w:lang w:eastAsia="x-none"/>
        </w:rPr>
      </w:pPr>
      <w:r w:rsidRPr="00C52A21">
        <w:rPr>
          <w:i/>
          <w:iCs/>
          <w:lang w:eastAsia="x-none"/>
        </w:rPr>
        <w:t>There is a common BD budget for all search spaces</w:t>
      </w:r>
    </w:p>
    <w:p w14:paraId="1ED7FD45" w14:textId="77777777" w:rsidR="00C52A21" w:rsidRPr="00C52A21" w:rsidRDefault="00C52A21" w:rsidP="00C52A21">
      <w:pPr>
        <w:numPr>
          <w:ilvl w:val="0"/>
          <w:numId w:val="30"/>
        </w:numPr>
        <w:overflowPunct/>
        <w:autoSpaceDE/>
        <w:autoSpaceDN/>
        <w:adjustRightInd/>
        <w:spacing w:after="0"/>
        <w:textAlignment w:val="auto"/>
        <w:rPr>
          <w:i/>
          <w:iCs/>
          <w:lang w:eastAsia="x-none"/>
        </w:rPr>
      </w:pPr>
      <w:r w:rsidRPr="00C52A21">
        <w:rPr>
          <w:i/>
          <w:iCs/>
          <w:lang w:eastAsia="x-none"/>
        </w:rPr>
        <w:t>FFS: Search space configuration</w:t>
      </w:r>
    </w:p>
    <w:p w14:paraId="5F1BFCC2" w14:textId="77777777" w:rsidR="00C52A21" w:rsidRPr="00C52A21" w:rsidRDefault="00C52A21" w:rsidP="00C52A21">
      <w:pPr>
        <w:numPr>
          <w:ilvl w:val="1"/>
          <w:numId w:val="30"/>
        </w:numPr>
        <w:overflowPunct/>
        <w:autoSpaceDE/>
        <w:autoSpaceDN/>
        <w:adjustRightInd/>
        <w:spacing w:after="0"/>
        <w:textAlignment w:val="auto"/>
        <w:rPr>
          <w:i/>
          <w:iCs/>
          <w:lang w:eastAsia="x-none"/>
        </w:rPr>
      </w:pPr>
      <w:r w:rsidRPr="00C52A21">
        <w:rPr>
          <w:rFonts w:hint="eastAsia"/>
          <w:i/>
          <w:iCs/>
          <w:lang w:eastAsia="x-none"/>
        </w:rPr>
        <w:lastRenderedPageBreak/>
        <w:t>F</w:t>
      </w:r>
      <w:r w:rsidRPr="00C52A21">
        <w:rPr>
          <w:i/>
          <w:iCs/>
          <w:lang w:eastAsia="x-none"/>
        </w:rPr>
        <w:t>or Group (1) SS</w:t>
      </w:r>
    </w:p>
    <w:p w14:paraId="4FBC7D43" w14:textId="77777777" w:rsidR="00C52A21" w:rsidRPr="00C52A21" w:rsidRDefault="00C52A21" w:rsidP="00C52A21">
      <w:pPr>
        <w:numPr>
          <w:ilvl w:val="2"/>
          <w:numId w:val="30"/>
        </w:numPr>
        <w:overflowPunct/>
        <w:autoSpaceDE/>
        <w:autoSpaceDN/>
        <w:adjustRightInd/>
        <w:spacing w:after="0"/>
        <w:textAlignment w:val="auto"/>
        <w:rPr>
          <w:i/>
          <w:iCs/>
          <w:lang w:eastAsia="x-none"/>
        </w:rPr>
      </w:pPr>
      <w:r w:rsidRPr="00C52A21">
        <w:rPr>
          <w:i/>
          <w:iCs/>
          <w:lang w:eastAsia="x-none"/>
        </w:rPr>
        <w:t>A SS is configured to be within Y</w:t>
      </w:r>
      <w:r w:rsidRPr="00C52A21">
        <w:rPr>
          <w:i/>
          <w:iCs/>
          <w:vertAlign w:val="subscript"/>
          <w:lang w:eastAsia="x-none"/>
        </w:rPr>
        <w:t>Group1</w:t>
      </w:r>
      <w:r w:rsidRPr="00C52A21">
        <w:rPr>
          <w:i/>
          <w:iCs/>
          <w:lang w:eastAsia="x-none"/>
        </w:rPr>
        <w:t xml:space="preserve"> consecutive slots within a slot group of X slots</w:t>
      </w:r>
    </w:p>
    <w:p w14:paraId="0D1E4491" w14:textId="77777777" w:rsidR="00C52A21" w:rsidRPr="00C52A21" w:rsidRDefault="00C52A21" w:rsidP="00C52A21">
      <w:pPr>
        <w:numPr>
          <w:ilvl w:val="2"/>
          <w:numId w:val="30"/>
        </w:numPr>
        <w:overflowPunct/>
        <w:autoSpaceDE/>
        <w:autoSpaceDN/>
        <w:adjustRightInd/>
        <w:spacing w:after="0"/>
        <w:textAlignment w:val="auto"/>
        <w:rPr>
          <w:i/>
          <w:iCs/>
          <w:lang w:eastAsia="x-none"/>
        </w:rPr>
      </w:pPr>
      <w:r w:rsidRPr="00C52A21">
        <w:rPr>
          <w:i/>
          <w:iCs/>
          <w:lang w:eastAsia="x-none"/>
        </w:rPr>
        <w:t>The location of the Y</w:t>
      </w:r>
      <w:r w:rsidRPr="00C52A21">
        <w:rPr>
          <w:i/>
          <w:iCs/>
          <w:vertAlign w:val="subscript"/>
          <w:lang w:eastAsia="x-none"/>
        </w:rPr>
        <w:t>Group1</w:t>
      </w:r>
      <w:r w:rsidRPr="00C52A21">
        <w:rPr>
          <w:i/>
          <w:iCs/>
          <w:lang w:eastAsia="x-none"/>
        </w:rPr>
        <w:t xml:space="preserve"> consecutive slots within a slot group of X slots is based on a time offset within the slot group based on slot index n0 determined for Group (2) monitoring such that the Y</w:t>
      </w:r>
      <w:r w:rsidRPr="00C52A21">
        <w:rPr>
          <w:i/>
          <w:iCs/>
          <w:vertAlign w:val="subscript"/>
          <w:lang w:eastAsia="x-none"/>
        </w:rPr>
        <w:t>Group1</w:t>
      </w:r>
      <w:r w:rsidRPr="00C52A21">
        <w:rPr>
          <w:i/>
          <w:iCs/>
          <w:lang w:eastAsia="x-none"/>
        </w:rPr>
        <w:t xml:space="preserve"> slots overlap the Y</w:t>
      </w:r>
      <w:r w:rsidRPr="00C52A21">
        <w:rPr>
          <w:i/>
          <w:iCs/>
          <w:vertAlign w:val="subscript"/>
          <w:lang w:eastAsia="x-none"/>
        </w:rPr>
        <w:t>Group2</w:t>
      </w:r>
      <w:r w:rsidRPr="00C52A21">
        <w:rPr>
          <w:i/>
          <w:iCs/>
          <w:lang w:eastAsia="x-none"/>
        </w:rPr>
        <w:t xml:space="preserve"> slots</w:t>
      </w:r>
    </w:p>
    <w:p w14:paraId="5D391E41" w14:textId="77777777" w:rsidR="00C52A21" w:rsidRPr="00C52A21" w:rsidRDefault="00C52A21" w:rsidP="00C52A21">
      <w:pPr>
        <w:numPr>
          <w:ilvl w:val="2"/>
          <w:numId w:val="30"/>
        </w:numPr>
        <w:overflowPunct/>
        <w:autoSpaceDE/>
        <w:autoSpaceDN/>
        <w:adjustRightInd/>
        <w:spacing w:after="0"/>
        <w:textAlignment w:val="auto"/>
        <w:rPr>
          <w:i/>
          <w:iCs/>
          <w:lang w:eastAsia="x-none"/>
        </w:rPr>
      </w:pPr>
      <w:r w:rsidRPr="00C52A21">
        <w:rPr>
          <w:i/>
          <w:iCs/>
          <w:lang w:eastAsia="x-none"/>
        </w:rPr>
        <w:t>The location of the Y</w:t>
      </w:r>
      <w:r w:rsidRPr="00C52A21">
        <w:rPr>
          <w:i/>
          <w:iCs/>
          <w:vertAlign w:val="subscript"/>
          <w:lang w:eastAsia="x-none"/>
        </w:rPr>
        <w:t>Group1</w:t>
      </w:r>
      <w:r w:rsidRPr="00C52A21">
        <w:rPr>
          <w:i/>
          <w:iCs/>
          <w:lang w:eastAsia="x-none"/>
        </w:rPr>
        <w:t xml:space="preserve"> consecutive slots within a slot group of X slots is maintained across different slot groups (unless n0 changes)</w:t>
      </w:r>
    </w:p>
    <w:p w14:paraId="734A8A90" w14:textId="77777777" w:rsidR="00C52A21" w:rsidRPr="00C52A21" w:rsidRDefault="00C52A21" w:rsidP="00C52A21">
      <w:pPr>
        <w:numPr>
          <w:ilvl w:val="2"/>
          <w:numId w:val="30"/>
        </w:numPr>
        <w:overflowPunct/>
        <w:autoSpaceDE/>
        <w:autoSpaceDN/>
        <w:adjustRightInd/>
        <w:spacing w:after="0"/>
        <w:textAlignment w:val="auto"/>
        <w:rPr>
          <w:i/>
          <w:iCs/>
          <w:lang w:eastAsia="x-none"/>
        </w:rPr>
      </w:pPr>
      <w:r w:rsidRPr="00C52A21">
        <w:rPr>
          <w:i/>
          <w:iCs/>
          <w:lang w:eastAsia="x-none"/>
        </w:rPr>
        <w:t>BD attempts for all Group (1) SSs are restricted to fall within the same Y</w:t>
      </w:r>
      <w:r w:rsidRPr="00C52A21">
        <w:rPr>
          <w:i/>
          <w:iCs/>
          <w:vertAlign w:val="subscript"/>
          <w:lang w:eastAsia="x-none"/>
        </w:rPr>
        <w:t>Group1</w:t>
      </w:r>
      <w:r w:rsidRPr="00C52A21">
        <w:rPr>
          <w:i/>
          <w:iCs/>
          <w:lang w:eastAsia="x-none"/>
        </w:rPr>
        <w:t xml:space="preserve"> consecutive slots</w:t>
      </w:r>
    </w:p>
    <w:p w14:paraId="0DB2A62F" w14:textId="77777777" w:rsidR="00C52A21" w:rsidRPr="00C52A21" w:rsidRDefault="00C52A21" w:rsidP="00C52A21">
      <w:pPr>
        <w:numPr>
          <w:ilvl w:val="1"/>
          <w:numId w:val="30"/>
        </w:numPr>
        <w:overflowPunct/>
        <w:autoSpaceDE/>
        <w:autoSpaceDN/>
        <w:adjustRightInd/>
        <w:spacing w:after="0"/>
        <w:textAlignment w:val="auto"/>
        <w:rPr>
          <w:i/>
          <w:iCs/>
          <w:lang w:eastAsia="x-none"/>
        </w:rPr>
      </w:pPr>
      <w:r w:rsidRPr="00C52A21">
        <w:rPr>
          <w:rFonts w:hint="eastAsia"/>
          <w:i/>
          <w:iCs/>
          <w:lang w:eastAsia="x-none"/>
        </w:rPr>
        <w:t>F</w:t>
      </w:r>
      <w:r w:rsidRPr="00C52A21">
        <w:rPr>
          <w:i/>
          <w:iCs/>
          <w:lang w:eastAsia="x-none"/>
        </w:rPr>
        <w:t>or Group (2) SS</w:t>
      </w:r>
    </w:p>
    <w:p w14:paraId="199E13E5" w14:textId="77777777" w:rsidR="00C52A21" w:rsidRPr="00C52A21" w:rsidRDefault="00C52A21" w:rsidP="00C52A21">
      <w:pPr>
        <w:numPr>
          <w:ilvl w:val="2"/>
          <w:numId w:val="30"/>
        </w:numPr>
        <w:overflowPunct/>
        <w:autoSpaceDE/>
        <w:autoSpaceDN/>
        <w:adjustRightInd/>
        <w:spacing w:after="0"/>
        <w:textAlignment w:val="auto"/>
        <w:rPr>
          <w:i/>
          <w:iCs/>
          <w:lang w:eastAsia="x-none"/>
        </w:rPr>
      </w:pPr>
      <w:r w:rsidRPr="00C52A21">
        <w:rPr>
          <w:i/>
          <w:iCs/>
          <w:lang w:eastAsia="x-none"/>
        </w:rPr>
        <w:t>A SS is configured to be within Y</w:t>
      </w:r>
      <w:r w:rsidRPr="00C52A21">
        <w:rPr>
          <w:i/>
          <w:iCs/>
          <w:vertAlign w:val="subscript"/>
          <w:lang w:eastAsia="x-none"/>
        </w:rPr>
        <w:t>Group2</w:t>
      </w:r>
      <w:r w:rsidRPr="00C52A21">
        <w:rPr>
          <w:i/>
          <w:iCs/>
          <w:lang w:eastAsia="x-none"/>
        </w:rPr>
        <w:t xml:space="preserve"> consecutive slots within a slot group of X slots</w:t>
      </w:r>
    </w:p>
    <w:p w14:paraId="606E0238" w14:textId="77777777" w:rsidR="00C52A21" w:rsidRPr="00C52A21" w:rsidRDefault="00C52A21" w:rsidP="00C52A21">
      <w:pPr>
        <w:numPr>
          <w:ilvl w:val="2"/>
          <w:numId w:val="30"/>
        </w:numPr>
        <w:overflowPunct/>
        <w:autoSpaceDE/>
        <w:autoSpaceDN/>
        <w:adjustRightInd/>
        <w:spacing w:after="0"/>
        <w:textAlignment w:val="auto"/>
        <w:rPr>
          <w:i/>
          <w:iCs/>
          <w:lang w:eastAsia="x-none"/>
        </w:rPr>
      </w:pPr>
      <w:r w:rsidRPr="00C52A21">
        <w:rPr>
          <w:i/>
          <w:iCs/>
          <w:lang w:eastAsia="x-none"/>
        </w:rPr>
        <w:t>The location of the Y</w:t>
      </w:r>
      <w:r w:rsidRPr="00C52A21">
        <w:rPr>
          <w:i/>
          <w:iCs/>
          <w:vertAlign w:val="subscript"/>
          <w:lang w:eastAsia="x-none"/>
        </w:rPr>
        <w:t>Group2</w:t>
      </w:r>
      <w:r w:rsidRPr="00C52A21">
        <w:rPr>
          <w:i/>
          <w:iCs/>
          <w:lang w:eastAsia="x-none"/>
        </w:rPr>
        <w:t xml:space="preserve"> consecutive slots within a slot group of X slots is maintained across different slot groups (unless n0 changes)</w:t>
      </w:r>
    </w:p>
    <w:p w14:paraId="775809DD" w14:textId="77777777" w:rsidR="00C52A21" w:rsidRPr="00C52A21" w:rsidRDefault="00C52A21" w:rsidP="00C52A21">
      <w:pPr>
        <w:numPr>
          <w:ilvl w:val="1"/>
          <w:numId w:val="30"/>
        </w:numPr>
        <w:overflowPunct/>
        <w:autoSpaceDE/>
        <w:autoSpaceDN/>
        <w:adjustRightInd/>
        <w:spacing w:after="0"/>
        <w:textAlignment w:val="auto"/>
        <w:rPr>
          <w:i/>
          <w:iCs/>
          <w:lang w:eastAsia="x-none"/>
        </w:rPr>
      </w:pPr>
      <w:r w:rsidRPr="00C52A21">
        <w:rPr>
          <w:i/>
          <w:iCs/>
          <w:lang w:eastAsia="x-none"/>
        </w:rPr>
        <w:t>The reported capability indicates the BD/CCE budget within Y=max(Y</w:t>
      </w:r>
      <w:r w:rsidRPr="00C52A21">
        <w:rPr>
          <w:i/>
          <w:iCs/>
          <w:vertAlign w:val="subscript"/>
          <w:lang w:eastAsia="x-none"/>
        </w:rPr>
        <w:t>Group1</w:t>
      </w:r>
      <w:r w:rsidRPr="00C52A21">
        <w:rPr>
          <w:i/>
          <w:iCs/>
          <w:lang w:eastAsia="x-none"/>
        </w:rPr>
        <w:t>, 2) slots per slot group</w:t>
      </w:r>
    </w:p>
    <w:p w14:paraId="077F563B" w14:textId="77777777" w:rsidR="00C52A21" w:rsidRPr="00C52A21" w:rsidRDefault="00C52A21" w:rsidP="00C52A21">
      <w:pPr>
        <w:numPr>
          <w:ilvl w:val="1"/>
          <w:numId w:val="30"/>
        </w:numPr>
        <w:overflowPunct/>
        <w:autoSpaceDE/>
        <w:autoSpaceDN/>
        <w:adjustRightInd/>
        <w:spacing w:after="0"/>
        <w:textAlignment w:val="auto"/>
        <w:rPr>
          <w:i/>
          <w:iCs/>
          <w:lang w:eastAsia="x-none"/>
        </w:rPr>
      </w:pPr>
      <w:r w:rsidRPr="00C52A21">
        <w:rPr>
          <w:i/>
          <w:iCs/>
          <w:lang w:eastAsia="x-none"/>
        </w:rPr>
        <w:t>Support the following values of Y</w:t>
      </w:r>
      <w:r w:rsidRPr="00C52A21">
        <w:rPr>
          <w:i/>
          <w:iCs/>
          <w:vertAlign w:val="subscript"/>
          <w:lang w:eastAsia="x-none"/>
        </w:rPr>
        <w:t>Group1</w:t>
      </w:r>
      <w:r w:rsidRPr="00C52A21">
        <w:rPr>
          <w:i/>
          <w:iCs/>
          <w:lang w:eastAsia="x-none"/>
        </w:rPr>
        <w:t xml:space="preserve"> and Y</w:t>
      </w:r>
      <w:r w:rsidRPr="00C52A21">
        <w:rPr>
          <w:i/>
          <w:iCs/>
          <w:vertAlign w:val="subscript"/>
          <w:lang w:eastAsia="x-none"/>
        </w:rPr>
        <w:t>Group2</w:t>
      </w:r>
    </w:p>
    <w:p w14:paraId="3B1BBB20" w14:textId="77777777" w:rsidR="00C52A21" w:rsidRPr="00C52A21" w:rsidRDefault="00C52A21" w:rsidP="00C52A21">
      <w:pPr>
        <w:numPr>
          <w:ilvl w:val="2"/>
          <w:numId w:val="30"/>
        </w:numPr>
        <w:overflowPunct/>
        <w:autoSpaceDE/>
        <w:autoSpaceDN/>
        <w:adjustRightInd/>
        <w:spacing w:after="0"/>
        <w:textAlignment w:val="auto"/>
        <w:rPr>
          <w:i/>
          <w:iCs/>
          <w:lang w:eastAsia="x-none"/>
        </w:rPr>
      </w:pPr>
      <w:r w:rsidRPr="00C52A21">
        <w:rPr>
          <w:i/>
          <w:iCs/>
          <w:lang w:eastAsia="x-none"/>
        </w:rPr>
        <w:t>For X=8: (Y</w:t>
      </w:r>
      <w:r w:rsidRPr="00C52A21">
        <w:rPr>
          <w:i/>
          <w:iCs/>
          <w:vertAlign w:val="subscript"/>
          <w:lang w:eastAsia="x-none"/>
        </w:rPr>
        <w:t>Group1</w:t>
      </w:r>
      <w:r w:rsidRPr="00C52A21">
        <w:rPr>
          <w:i/>
          <w:iCs/>
          <w:lang w:eastAsia="x-none"/>
        </w:rPr>
        <w:t>,Y</w:t>
      </w:r>
      <w:r w:rsidRPr="00C52A21">
        <w:rPr>
          <w:i/>
          <w:iCs/>
          <w:vertAlign w:val="subscript"/>
          <w:lang w:eastAsia="x-none"/>
        </w:rPr>
        <w:t>Group2</w:t>
      </w:r>
      <w:r w:rsidRPr="00C52A21">
        <w:rPr>
          <w:i/>
          <w:iCs/>
          <w:lang w:eastAsia="x-none"/>
        </w:rPr>
        <w:t>) = (4,2), (2,2), (1,[1 or 2])</w:t>
      </w:r>
    </w:p>
    <w:p w14:paraId="31E67C1D" w14:textId="77777777" w:rsidR="00C52A21" w:rsidRPr="00C52A21" w:rsidRDefault="00C52A21" w:rsidP="00C52A21">
      <w:pPr>
        <w:numPr>
          <w:ilvl w:val="2"/>
          <w:numId w:val="30"/>
        </w:numPr>
        <w:overflowPunct/>
        <w:autoSpaceDE/>
        <w:autoSpaceDN/>
        <w:adjustRightInd/>
        <w:spacing w:after="0"/>
        <w:textAlignment w:val="auto"/>
        <w:rPr>
          <w:i/>
          <w:iCs/>
          <w:lang w:eastAsia="x-none"/>
        </w:rPr>
      </w:pPr>
      <w:r w:rsidRPr="00C52A21">
        <w:rPr>
          <w:i/>
          <w:iCs/>
          <w:lang w:eastAsia="x-none"/>
        </w:rPr>
        <w:t>For X=4: (Y</w:t>
      </w:r>
      <w:r w:rsidRPr="00C52A21">
        <w:rPr>
          <w:i/>
          <w:iCs/>
          <w:vertAlign w:val="subscript"/>
          <w:lang w:eastAsia="x-none"/>
        </w:rPr>
        <w:t>Group1</w:t>
      </w:r>
      <w:r w:rsidRPr="00C52A21">
        <w:rPr>
          <w:i/>
          <w:iCs/>
          <w:lang w:eastAsia="x-none"/>
        </w:rPr>
        <w:t>,Y</w:t>
      </w:r>
      <w:r w:rsidRPr="00C52A21">
        <w:rPr>
          <w:i/>
          <w:iCs/>
          <w:vertAlign w:val="subscript"/>
          <w:lang w:eastAsia="x-none"/>
        </w:rPr>
        <w:t>Group2</w:t>
      </w:r>
      <w:r w:rsidRPr="00C52A21">
        <w:rPr>
          <w:i/>
          <w:iCs/>
          <w:lang w:eastAsia="x-none"/>
        </w:rPr>
        <w:t>) = (2,2), (1,[1 or 2])</w:t>
      </w:r>
    </w:p>
    <w:p w14:paraId="723434EE" w14:textId="77777777" w:rsidR="00C52A21" w:rsidRPr="00C52A21" w:rsidRDefault="00C52A21" w:rsidP="00C52A21">
      <w:pPr>
        <w:numPr>
          <w:ilvl w:val="2"/>
          <w:numId w:val="30"/>
        </w:numPr>
        <w:overflowPunct/>
        <w:autoSpaceDE/>
        <w:autoSpaceDN/>
        <w:adjustRightInd/>
        <w:spacing w:after="0"/>
        <w:textAlignment w:val="auto"/>
        <w:rPr>
          <w:i/>
          <w:iCs/>
          <w:lang w:eastAsia="x-none"/>
        </w:rPr>
      </w:pPr>
      <w:r w:rsidRPr="00C52A21">
        <w:rPr>
          <w:i/>
          <w:iCs/>
          <w:lang w:eastAsia="x-none"/>
        </w:rPr>
        <w:t>For X=2: (Y</w:t>
      </w:r>
      <w:r w:rsidRPr="00C52A21">
        <w:rPr>
          <w:i/>
          <w:iCs/>
          <w:vertAlign w:val="subscript"/>
          <w:lang w:eastAsia="x-none"/>
        </w:rPr>
        <w:t>Group1</w:t>
      </w:r>
      <w:r w:rsidRPr="00C52A21">
        <w:rPr>
          <w:i/>
          <w:iCs/>
          <w:lang w:eastAsia="x-none"/>
        </w:rPr>
        <w:t>,Y</w:t>
      </w:r>
      <w:r w:rsidRPr="00C52A21">
        <w:rPr>
          <w:i/>
          <w:iCs/>
          <w:vertAlign w:val="subscript"/>
          <w:lang w:eastAsia="x-none"/>
        </w:rPr>
        <w:t>Group2</w:t>
      </w:r>
      <w:r w:rsidRPr="00C52A21">
        <w:rPr>
          <w:i/>
          <w:iCs/>
          <w:lang w:eastAsia="x-none"/>
        </w:rPr>
        <w:t>) = (1,[1 or 2])</w:t>
      </w:r>
    </w:p>
    <w:p w14:paraId="57DF8AD7" w14:textId="77777777" w:rsidR="00C52A21" w:rsidRPr="00C52A21" w:rsidRDefault="00C52A21" w:rsidP="00C52A21">
      <w:pPr>
        <w:numPr>
          <w:ilvl w:val="1"/>
          <w:numId w:val="30"/>
        </w:numPr>
        <w:overflowPunct/>
        <w:autoSpaceDE/>
        <w:autoSpaceDN/>
        <w:adjustRightInd/>
        <w:spacing w:after="0"/>
        <w:textAlignment w:val="auto"/>
        <w:rPr>
          <w:i/>
          <w:iCs/>
          <w:lang w:eastAsia="x-none"/>
        </w:rPr>
      </w:pPr>
      <w:r w:rsidRPr="00C52A21">
        <w:rPr>
          <w:i/>
          <w:iCs/>
          <w:lang w:eastAsia="x-none"/>
        </w:rPr>
        <w:t>Group (1) SS: Type 1 CSS with dedicated RRC configuration and type 3 CSS, UE specific SS</w:t>
      </w:r>
    </w:p>
    <w:p w14:paraId="35DE4807" w14:textId="77777777" w:rsidR="00C52A21" w:rsidRPr="00C52A21" w:rsidRDefault="00C52A21" w:rsidP="00C52A21">
      <w:pPr>
        <w:numPr>
          <w:ilvl w:val="1"/>
          <w:numId w:val="30"/>
        </w:numPr>
        <w:overflowPunct/>
        <w:autoSpaceDE/>
        <w:autoSpaceDN/>
        <w:adjustRightInd/>
        <w:spacing w:after="0"/>
        <w:textAlignment w:val="auto"/>
        <w:rPr>
          <w:i/>
          <w:iCs/>
          <w:lang w:eastAsia="x-none"/>
        </w:rPr>
      </w:pPr>
      <w:r w:rsidRPr="00C52A21">
        <w:rPr>
          <w:i/>
          <w:iCs/>
          <w:lang w:eastAsia="x-none"/>
        </w:rPr>
        <w:t>Group (2) SS: Type 1 CSS without dedicated RRC configuration and type 0, 0A, and 2 CSS</w:t>
      </w:r>
    </w:p>
    <w:p w14:paraId="2AC07F98" w14:textId="77777777" w:rsidR="005878E9" w:rsidRPr="005878E9" w:rsidRDefault="005878E9" w:rsidP="004C2072"/>
    <w:bookmarkEnd w:id="4"/>
    <w:p w14:paraId="7B8A7127" w14:textId="24126020" w:rsidR="00F41B74" w:rsidRDefault="00202DD5" w:rsidP="000671D6">
      <w:pPr>
        <w:jc w:val="both"/>
        <w:rPr>
          <w:bCs/>
        </w:rPr>
      </w:pPr>
      <w:r>
        <w:rPr>
          <w:bCs/>
        </w:rPr>
        <w:t>From</w:t>
      </w:r>
      <w:r w:rsidR="00073D62">
        <w:rPr>
          <w:bCs/>
        </w:rPr>
        <w:t xml:space="preserve"> the above agreement, key open issue is related to search space configuration</w:t>
      </w:r>
      <w:r w:rsidR="00946E2B">
        <w:rPr>
          <w:bCs/>
        </w:rPr>
        <w:t xml:space="preserve"> for Group(1) SS and Group(2) SS</w:t>
      </w:r>
      <w:r>
        <w:rPr>
          <w:bCs/>
        </w:rPr>
        <w:t xml:space="preserve">. </w:t>
      </w:r>
      <w:r w:rsidR="003A5208">
        <w:rPr>
          <w:bCs/>
        </w:rPr>
        <w:t>In our view, the key attributes of the SS configuration includes:</w:t>
      </w:r>
    </w:p>
    <w:p w14:paraId="2237A768" w14:textId="612697EA" w:rsidR="003A5208" w:rsidRDefault="003A5208" w:rsidP="000671D6">
      <w:pPr>
        <w:jc w:val="both"/>
        <w:rPr>
          <w:lang w:eastAsia="x-none"/>
        </w:rPr>
      </w:pPr>
      <w:r>
        <w:rPr>
          <w:bCs/>
        </w:rPr>
        <w:t xml:space="preserve">- </w:t>
      </w:r>
      <w:r w:rsidRPr="00D906C9">
        <w:rPr>
          <w:b/>
        </w:rPr>
        <w:t>Location of Group(1) SS and Group(2) SS is aligned within the slot group:</w:t>
      </w:r>
      <w:r>
        <w:rPr>
          <w:bCs/>
        </w:rPr>
        <w:t xml:space="preserve"> this is achieved by adjusting the location of the </w:t>
      </w:r>
      <w:r w:rsidRPr="00A84513">
        <w:rPr>
          <w:lang w:eastAsia="x-none"/>
        </w:rPr>
        <w:t>Y</w:t>
      </w:r>
      <w:r w:rsidRPr="00A84513">
        <w:rPr>
          <w:vertAlign w:val="subscript"/>
          <w:lang w:eastAsia="x-none"/>
        </w:rPr>
        <w:t>Group1</w:t>
      </w:r>
      <w:r>
        <w:rPr>
          <w:i/>
          <w:iCs/>
          <w:lang w:eastAsia="x-none"/>
        </w:rPr>
        <w:t xml:space="preserve"> </w:t>
      </w:r>
      <w:r>
        <w:rPr>
          <w:lang w:eastAsia="x-none"/>
        </w:rPr>
        <w:t>based on slot index n0</w:t>
      </w:r>
    </w:p>
    <w:p w14:paraId="209ED090" w14:textId="0A9C6F8B" w:rsidR="00D906C9" w:rsidRDefault="00D906C9" w:rsidP="000671D6">
      <w:pPr>
        <w:jc w:val="both"/>
        <w:rPr>
          <w:lang w:eastAsia="x-none"/>
        </w:rPr>
      </w:pPr>
      <w:r w:rsidRPr="005810CB">
        <w:rPr>
          <w:b/>
          <w:bCs/>
          <w:lang w:eastAsia="x-none"/>
        </w:rPr>
        <w:t>- BD budget for Group(1) SS, Group(2) SS and overall budget within the slot group</w:t>
      </w:r>
      <w:r>
        <w:rPr>
          <w:lang w:eastAsia="x-none"/>
        </w:rPr>
        <w:t xml:space="preserve">: </w:t>
      </w:r>
      <w:r w:rsidR="009B6A1D">
        <w:rPr>
          <w:lang w:eastAsia="x-none"/>
        </w:rPr>
        <w:t>as agreed</w:t>
      </w:r>
      <w:r>
        <w:rPr>
          <w:lang w:eastAsia="x-none"/>
        </w:rPr>
        <w:t>, no specific budget is needed for each Group and only common budget is applied. Further prioritization can be done based on existing Rel-15/16 dropping rules in case of overbooking.</w:t>
      </w:r>
    </w:p>
    <w:p w14:paraId="1D2B2482" w14:textId="22166332" w:rsidR="003A5208" w:rsidRDefault="000230AF" w:rsidP="000671D6">
      <w:pPr>
        <w:jc w:val="both"/>
        <w:rPr>
          <w:lang w:eastAsia="x-none"/>
        </w:rPr>
      </w:pPr>
      <w:r w:rsidRPr="0045755D">
        <w:rPr>
          <w:b/>
          <w:bCs/>
          <w:lang w:eastAsia="x-none"/>
        </w:rPr>
        <w:t>- Duration of Group(1) SS and Group(2) SS:</w:t>
      </w:r>
      <w:r>
        <w:rPr>
          <w:lang w:eastAsia="x-none"/>
        </w:rPr>
        <w:t xml:space="preserve"> Effectively, the maximum duration is equal to the duration of Group(1) SS and Group(2) SS is contained within the same or less duration.</w:t>
      </w:r>
    </w:p>
    <w:p w14:paraId="049A5494" w14:textId="470EB1F5" w:rsidR="00ED09CA" w:rsidRDefault="00A84513" w:rsidP="000671D6">
      <w:pPr>
        <w:jc w:val="both"/>
        <w:rPr>
          <w:lang w:eastAsia="x-none"/>
        </w:rPr>
      </w:pPr>
      <w:r w:rsidRPr="001A17E5">
        <w:rPr>
          <w:b/>
          <w:bCs/>
          <w:lang w:eastAsia="x-none"/>
        </w:rPr>
        <w:t>- Values of X, Y</w:t>
      </w:r>
      <w:r w:rsidRPr="001A17E5">
        <w:rPr>
          <w:b/>
          <w:bCs/>
          <w:vertAlign w:val="subscript"/>
          <w:lang w:eastAsia="x-none"/>
        </w:rPr>
        <w:t xml:space="preserve">Group1 </w:t>
      </w:r>
      <w:r w:rsidRPr="001A17E5">
        <w:rPr>
          <w:b/>
          <w:bCs/>
          <w:lang w:eastAsia="x-none"/>
        </w:rPr>
        <w:t>and Y</w:t>
      </w:r>
      <w:r w:rsidRPr="001A17E5">
        <w:rPr>
          <w:b/>
          <w:bCs/>
          <w:vertAlign w:val="subscript"/>
          <w:lang w:eastAsia="x-none"/>
        </w:rPr>
        <w:t>Group2</w:t>
      </w:r>
      <w:r w:rsidR="00ED09CA">
        <w:rPr>
          <w:lang w:eastAsia="x-none"/>
        </w:rPr>
        <w:t>: In our view, based on the above attributes, following combinations should be supported</w:t>
      </w:r>
    </w:p>
    <w:p w14:paraId="1B501A00" w14:textId="2D29A89A" w:rsidR="00ED09CA" w:rsidRPr="00C52A21" w:rsidRDefault="00ED09CA" w:rsidP="00ED09CA">
      <w:pPr>
        <w:numPr>
          <w:ilvl w:val="0"/>
          <w:numId w:val="31"/>
        </w:numPr>
        <w:overflowPunct/>
        <w:autoSpaceDE/>
        <w:autoSpaceDN/>
        <w:adjustRightInd/>
        <w:spacing w:after="0"/>
        <w:textAlignment w:val="auto"/>
        <w:rPr>
          <w:i/>
          <w:iCs/>
          <w:lang w:eastAsia="x-none"/>
        </w:rPr>
      </w:pPr>
      <w:r w:rsidRPr="00C52A21">
        <w:rPr>
          <w:i/>
          <w:iCs/>
          <w:lang w:eastAsia="x-none"/>
        </w:rPr>
        <w:t>For X=8: (Y</w:t>
      </w:r>
      <w:r w:rsidRPr="00C52A21">
        <w:rPr>
          <w:i/>
          <w:iCs/>
          <w:vertAlign w:val="subscript"/>
          <w:lang w:eastAsia="x-none"/>
        </w:rPr>
        <w:t>Group1</w:t>
      </w:r>
      <w:r w:rsidRPr="00C52A21">
        <w:rPr>
          <w:i/>
          <w:iCs/>
          <w:lang w:eastAsia="x-none"/>
        </w:rPr>
        <w:t>,Y</w:t>
      </w:r>
      <w:r w:rsidRPr="00C52A21">
        <w:rPr>
          <w:i/>
          <w:iCs/>
          <w:vertAlign w:val="subscript"/>
          <w:lang w:eastAsia="x-none"/>
        </w:rPr>
        <w:t>Group2</w:t>
      </w:r>
      <w:r w:rsidRPr="00C52A21">
        <w:rPr>
          <w:i/>
          <w:iCs/>
          <w:lang w:eastAsia="x-none"/>
        </w:rPr>
        <w:t xml:space="preserve">) = </w:t>
      </w:r>
      <w:r w:rsidR="00FB754D">
        <w:rPr>
          <w:i/>
          <w:iCs/>
          <w:lang w:eastAsia="x-none"/>
        </w:rPr>
        <w:t xml:space="preserve">[(4,4) or </w:t>
      </w:r>
      <w:r w:rsidRPr="00C52A21">
        <w:rPr>
          <w:i/>
          <w:iCs/>
          <w:lang w:eastAsia="x-none"/>
        </w:rPr>
        <w:t>(4,2)</w:t>
      </w:r>
      <w:r w:rsidR="00FB754D">
        <w:rPr>
          <w:i/>
          <w:iCs/>
          <w:lang w:eastAsia="x-none"/>
        </w:rPr>
        <w:t>]</w:t>
      </w:r>
      <w:r w:rsidRPr="00C52A21">
        <w:rPr>
          <w:i/>
          <w:iCs/>
          <w:lang w:eastAsia="x-none"/>
        </w:rPr>
        <w:t>, (2,2), (1,</w:t>
      </w:r>
      <w:r>
        <w:rPr>
          <w:i/>
          <w:iCs/>
          <w:lang w:eastAsia="x-none"/>
        </w:rPr>
        <w:t>1</w:t>
      </w:r>
      <w:r w:rsidRPr="00C52A21">
        <w:rPr>
          <w:i/>
          <w:iCs/>
          <w:lang w:eastAsia="x-none"/>
        </w:rPr>
        <w:t>)</w:t>
      </w:r>
    </w:p>
    <w:p w14:paraId="6B024385" w14:textId="44005BC7" w:rsidR="00ED09CA" w:rsidRPr="00C52A21" w:rsidRDefault="00ED09CA" w:rsidP="00ED09CA">
      <w:pPr>
        <w:numPr>
          <w:ilvl w:val="0"/>
          <w:numId w:val="31"/>
        </w:numPr>
        <w:overflowPunct/>
        <w:autoSpaceDE/>
        <w:autoSpaceDN/>
        <w:adjustRightInd/>
        <w:spacing w:after="0"/>
        <w:textAlignment w:val="auto"/>
        <w:rPr>
          <w:i/>
          <w:iCs/>
          <w:lang w:eastAsia="x-none"/>
        </w:rPr>
      </w:pPr>
      <w:r w:rsidRPr="00C52A21">
        <w:rPr>
          <w:i/>
          <w:iCs/>
          <w:lang w:eastAsia="x-none"/>
        </w:rPr>
        <w:t>For X=4: (Y</w:t>
      </w:r>
      <w:r w:rsidRPr="00C52A21">
        <w:rPr>
          <w:i/>
          <w:iCs/>
          <w:vertAlign w:val="subscript"/>
          <w:lang w:eastAsia="x-none"/>
        </w:rPr>
        <w:t>Group1</w:t>
      </w:r>
      <w:r w:rsidRPr="00C52A21">
        <w:rPr>
          <w:i/>
          <w:iCs/>
          <w:lang w:eastAsia="x-none"/>
        </w:rPr>
        <w:t>,Y</w:t>
      </w:r>
      <w:r w:rsidRPr="00C52A21">
        <w:rPr>
          <w:i/>
          <w:iCs/>
          <w:vertAlign w:val="subscript"/>
          <w:lang w:eastAsia="x-none"/>
        </w:rPr>
        <w:t>Group2</w:t>
      </w:r>
      <w:r w:rsidRPr="00C52A21">
        <w:rPr>
          <w:i/>
          <w:iCs/>
          <w:lang w:eastAsia="x-none"/>
        </w:rPr>
        <w:t>) = (2,2), (1,</w:t>
      </w:r>
      <w:r>
        <w:rPr>
          <w:i/>
          <w:iCs/>
          <w:lang w:eastAsia="x-none"/>
        </w:rPr>
        <w:t>1</w:t>
      </w:r>
      <w:r w:rsidRPr="00C52A21">
        <w:rPr>
          <w:i/>
          <w:iCs/>
          <w:lang w:eastAsia="x-none"/>
        </w:rPr>
        <w:t>)</w:t>
      </w:r>
    </w:p>
    <w:p w14:paraId="50E53722" w14:textId="02CA8985" w:rsidR="00ED09CA" w:rsidRPr="00C52A21" w:rsidRDefault="00ED09CA" w:rsidP="00ED09CA">
      <w:pPr>
        <w:numPr>
          <w:ilvl w:val="0"/>
          <w:numId w:val="31"/>
        </w:numPr>
        <w:overflowPunct/>
        <w:autoSpaceDE/>
        <w:autoSpaceDN/>
        <w:adjustRightInd/>
        <w:spacing w:after="0"/>
        <w:textAlignment w:val="auto"/>
        <w:rPr>
          <w:i/>
          <w:iCs/>
          <w:lang w:eastAsia="x-none"/>
        </w:rPr>
      </w:pPr>
      <w:r w:rsidRPr="00C52A21">
        <w:rPr>
          <w:i/>
          <w:iCs/>
          <w:lang w:eastAsia="x-none"/>
        </w:rPr>
        <w:t>For X=2: (Y</w:t>
      </w:r>
      <w:r w:rsidRPr="00C52A21">
        <w:rPr>
          <w:i/>
          <w:iCs/>
          <w:vertAlign w:val="subscript"/>
          <w:lang w:eastAsia="x-none"/>
        </w:rPr>
        <w:t>Group1</w:t>
      </w:r>
      <w:r w:rsidRPr="00C52A21">
        <w:rPr>
          <w:i/>
          <w:iCs/>
          <w:lang w:eastAsia="x-none"/>
        </w:rPr>
        <w:t>,Y</w:t>
      </w:r>
      <w:r w:rsidRPr="00C52A21">
        <w:rPr>
          <w:i/>
          <w:iCs/>
          <w:vertAlign w:val="subscript"/>
          <w:lang w:eastAsia="x-none"/>
        </w:rPr>
        <w:t>Group2</w:t>
      </w:r>
      <w:r w:rsidRPr="00C52A21">
        <w:rPr>
          <w:i/>
          <w:iCs/>
          <w:lang w:eastAsia="x-none"/>
        </w:rPr>
        <w:t>) = (1,</w:t>
      </w:r>
      <w:r>
        <w:rPr>
          <w:i/>
          <w:iCs/>
          <w:lang w:eastAsia="x-none"/>
        </w:rPr>
        <w:t>1</w:t>
      </w:r>
      <w:r w:rsidRPr="00C52A21">
        <w:rPr>
          <w:i/>
          <w:iCs/>
          <w:lang w:eastAsia="x-none"/>
        </w:rPr>
        <w:t>)</w:t>
      </w:r>
    </w:p>
    <w:p w14:paraId="2AF7AE00" w14:textId="51145BE7" w:rsidR="002623E2" w:rsidRPr="00856634" w:rsidRDefault="00856634" w:rsidP="002623E2">
      <w:pPr>
        <w:jc w:val="both"/>
        <w:rPr>
          <w:lang w:eastAsia="x-none"/>
        </w:rPr>
      </w:pPr>
      <w:r>
        <w:rPr>
          <w:lang w:eastAsia="x-none"/>
        </w:rPr>
        <w:t xml:space="preserve">In order to limit the issue of back-to-back monitoring, </w:t>
      </w:r>
      <w:bookmarkStart w:id="5" w:name="_Hlk86841052"/>
      <w:r>
        <w:rPr>
          <w:lang w:eastAsia="x-none"/>
        </w:rPr>
        <w:t xml:space="preserve">the duration of </w:t>
      </w:r>
      <w:r w:rsidRPr="003C6EDF">
        <w:rPr>
          <w:lang w:eastAsia="x-none"/>
        </w:rPr>
        <w:t>Y</w:t>
      </w:r>
      <w:r w:rsidRPr="003C6EDF">
        <w:rPr>
          <w:vertAlign w:val="subscript"/>
          <w:lang w:eastAsia="x-none"/>
        </w:rPr>
        <w:t xml:space="preserve">Group1 </w:t>
      </w:r>
      <w:r w:rsidRPr="003C6EDF">
        <w:rPr>
          <w:lang w:eastAsia="x-none"/>
        </w:rPr>
        <w:t>should always be less than or equal to X/2</w:t>
      </w:r>
      <w:r w:rsidR="00FB754D">
        <w:rPr>
          <w:lang w:eastAsia="x-none"/>
        </w:rPr>
        <w:t xml:space="preserve"> in case other values than those above should be agreed.</w:t>
      </w:r>
    </w:p>
    <w:bookmarkEnd w:id="5"/>
    <w:p w14:paraId="3AC4DEF4" w14:textId="1A2793B2" w:rsidR="00171CBA" w:rsidRDefault="00171CBA" w:rsidP="002623E2">
      <w:pPr>
        <w:jc w:val="both"/>
        <w:rPr>
          <w:lang w:eastAsia="x-none"/>
        </w:rPr>
      </w:pPr>
      <w:r>
        <w:rPr>
          <w:lang w:eastAsia="x-none"/>
        </w:rPr>
        <w:t>Based on above understanding, following proposal should be agree</w:t>
      </w:r>
      <w:r w:rsidR="0094606A">
        <w:rPr>
          <w:lang w:eastAsia="x-none"/>
        </w:rPr>
        <w:t>d</w:t>
      </w:r>
      <w:r>
        <w:rPr>
          <w:lang w:eastAsia="x-none"/>
        </w:rPr>
        <w:t>:</w:t>
      </w:r>
    </w:p>
    <w:p w14:paraId="5B24842E" w14:textId="66A3B2AF" w:rsidR="00171CBA" w:rsidRDefault="008375E3" w:rsidP="00CE29D4">
      <w:pPr>
        <w:spacing w:after="0"/>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following search space configuration should be supported:</w:t>
      </w:r>
    </w:p>
    <w:p w14:paraId="11E0DCD8" w14:textId="77777777" w:rsidR="008375E3" w:rsidRPr="00EF396B" w:rsidRDefault="008375E3" w:rsidP="008375E3">
      <w:pPr>
        <w:numPr>
          <w:ilvl w:val="1"/>
          <w:numId w:val="30"/>
        </w:numPr>
        <w:overflowPunct/>
        <w:autoSpaceDE/>
        <w:autoSpaceDN/>
        <w:adjustRightInd/>
        <w:spacing w:after="0"/>
        <w:textAlignment w:val="auto"/>
        <w:rPr>
          <w:b/>
          <w:bCs/>
          <w:i/>
          <w:iCs/>
          <w:lang w:eastAsia="x-none"/>
        </w:rPr>
      </w:pPr>
      <w:r w:rsidRPr="00EF396B">
        <w:rPr>
          <w:rFonts w:hint="eastAsia"/>
          <w:b/>
          <w:bCs/>
          <w:i/>
          <w:iCs/>
          <w:lang w:eastAsia="x-none"/>
        </w:rPr>
        <w:t>F</w:t>
      </w:r>
      <w:r w:rsidRPr="00EF396B">
        <w:rPr>
          <w:b/>
          <w:bCs/>
          <w:i/>
          <w:iCs/>
          <w:lang w:eastAsia="x-none"/>
        </w:rPr>
        <w:t>or Group (1) SS</w:t>
      </w:r>
    </w:p>
    <w:p w14:paraId="65715E63" w14:textId="3E6D5415" w:rsidR="00226823" w:rsidRPr="00226823" w:rsidRDefault="008375E3" w:rsidP="00226823">
      <w:pPr>
        <w:numPr>
          <w:ilvl w:val="2"/>
          <w:numId w:val="30"/>
        </w:numPr>
        <w:overflowPunct/>
        <w:autoSpaceDE/>
        <w:autoSpaceDN/>
        <w:adjustRightInd/>
        <w:spacing w:after="0"/>
        <w:textAlignment w:val="auto"/>
        <w:rPr>
          <w:b/>
          <w:bCs/>
          <w:i/>
          <w:iCs/>
          <w:lang w:eastAsia="x-none"/>
        </w:rPr>
      </w:pPr>
      <w:r w:rsidRPr="00EF396B">
        <w:rPr>
          <w:b/>
          <w:bCs/>
          <w:i/>
          <w:iCs/>
          <w:lang w:eastAsia="x-none"/>
        </w:rPr>
        <w:t>A SS is configured to be within Y</w:t>
      </w:r>
      <w:r w:rsidRPr="00EF396B">
        <w:rPr>
          <w:b/>
          <w:bCs/>
          <w:i/>
          <w:iCs/>
          <w:vertAlign w:val="subscript"/>
          <w:lang w:eastAsia="x-none"/>
        </w:rPr>
        <w:t>Group1</w:t>
      </w:r>
      <w:r w:rsidRPr="00EF396B">
        <w:rPr>
          <w:b/>
          <w:bCs/>
          <w:i/>
          <w:iCs/>
          <w:lang w:eastAsia="x-none"/>
        </w:rPr>
        <w:t xml:space="preserve"> consecutive slots within a slot group of X slots</w:t>
      </w:r>
    </w:p>
    <w:p w14:paraId="5D17472D" w14:textId="77777777" w:rsidR="008375E3" w:rsidRPr="00EF396B" w:rsidRDefault="008375E3" w:rsidP="008375E3">
      <w:pPr>
        <w:numPr>
          <w:ilvl w:val="2"/>
          <w:numId w:val="30"/>
        </w:numPr>
        <w:overflowPunct/>
        <w:autoSpaceDE/>
        <w:autoSpaceDN/>
        <w:adjustRightInd/>
        <w:spacing w:after="0"/>
        <w:textAlignment w:val="auto"/>
        <w:rPr>
          <w:b/>
          <w:bCs/>
          <w:i/>
          <w:iCs/>
          <w:lang w:eastAsia="x-none"/>
        </w:rPr>
      </w:pPr>
      <w:r w:rsidRPr="00EF396B">
        <w:rPr>
          <w:b/>
          <w:bCs/>
          <w:i/>
          <w:iCs/>
          <w:lang w:eastAsia="x-none"/>
        </w:rPr>
        <w:t>The location of the Y</w:t>
      </w:r>
      <w:r w:rsidRPr="00EF396B">
        <w:rPr>
          <w:b/>
          <w:bCs/>
          <w:i/>
          <w:iCs/>
          <w:vertAlign w:val="subscript"/>
          <w:lang w:eastAsia="x-none"/>
        </w:rPr>
        <w:t>Group1</w:t>
      </w:r>
      <w:r w:rsidRPr="00EF396B">
        <w:rPr>
          <w:b/>
          <w:bCs/>
          <w:i/>
          <w:iCs/>
          <w:lang w:eastAsia="x-none"/>
        </w:rPr>
        <w:t xml:space="preserve"> consecutive slots within a slot group of X slots is based on a time offset within the slot group based on slot index n0 determined for Group (2) monitoring such that the Y</w:t>
      </w:r>
      <w:r w:rsidRPr="00EF396B">
        <w:rPr>
          <w:b/>
          <w:bCs/>
          <w:i/>
          <w:iCs/>
          <w:vertAlign w:val="subscript"/>
          <w:lang w:eastAsia="x-none"/>
        </w:rPr>
        <w:t>Group1</w:t>
      </w:r>
      <w:r w:rsidRPr="00EF396B">
        <w:rPr>
          <w:b/>
          <w:bCs/>
          <w:i/>
          <w:iCs/>
          <w:lang w:eastAsia="x-none"/>
        </w:rPr>
        <w:t xml:space="preserve"> slots overlap the Y</w:t>
      </w:r>
      <w:r w:rsidRPr="00EF396B">
        <w:rPr>
          <w:b/>
          <w:bCs/>
          <w:i/>
          <w:iCs/>
          <w:vertAlign w:val="subscript"/>
          <w:lang w:eastAsia="x-none"/>
        </w:rPr>
        <w:t>Group2</w:t>
      </w:r>
      <w:r w:rsidRPr="00EF396B">
        <w:rPr>
          <w:b/>
          <w:bCs/>
          <w:i/>
          <w:iCs/>
          <w:lang w:eastAsia="x-none"/>
        </w:rPr>
        <w:t xml:space="preserve"> slots</w:t>
      </w:r>
    </w:p>
    <w:p w14:paraId="6112782A" w14:textId="77777777" w:rsidR="008375E3" w:rsidRPr="00EF396B" w:rsidRDefault="008375E3" w:rsidP="008375E3">
      <w:pPr>
        <w:numPr>
          <w:ilvl w:val="2"/>
          <w:numId w:val="30"/>
        </w:numPr>
        <w:overflowPunct/>
        <w:autoSpaceDE/>
        <w:autoSpaceDN/>
        <w:adjustRightInd/>
        <w:spacing w:after="0"/>
        <w:textAlignment w:val="auto"/>
        <w:rPr>
          <w:b/>
          <w:bCs/>
          <w:i/>
          <w:iCs/>
          <w:lang w:eastAsia="x-none"/>
        </w:rPr>
      </w:pPr>
      <w:r w:rsidRPr="00EF396B">
        <w:rPr>
          <w:b/>
          <w:bCs/>
          <w:i/>
          <w:iCs/>
          <w:lang w:eastAsia="x-none"/>
        </w:rPr>
        <w:t>The location of the Y</w:t>
      </w:r>
      <w:r w:rsidRPr="00EF396B">
        <w:rPr>
          <w:b/>
          <w:bCs/>
          <w:i/>
          <w:iCs/>
          <w:vertAlign w:val="subscript"/>
          <w:lang w:eastAsia="x-none"/>
        </w:rPr>
        <w:t>Group1</w:t>
      </w:r>
      <w:r w:rsidRPr="00EF396B">
        <w:rPr>
          <w:b/>
          <w:bCs/>
          <w:i/>
          <w:iCs/>
          <w:lang w:eastAsia="x-none"/>
        </w:rPr>
        <w:t xml:space="preserve"> consecutive slots within a slot group of X slots is maintained across different slot groups (unless n0 changes)</w:t>
      </w:r>
    </w:p>
    <w:p w14:paraId="1C98D5E7" w14:textId="77777777" w:rsidR="008375E3" w:rsidRPr="00EF396B" w:rsidRDefault="008375E3" w:rsidP="008375E3">
      <w:pPr>
        <w:numPr>
          <w:ilvl w:val="2"/>
          <w:numId w:val="30"/>
        </w:numPr>
        <w:overflowPunct/>
        <w:autoSpaceDE/>
        <w:autoSpaceDN/>
        <w:adjustRightInd/>
        <w:spacing w:after="0"/>
        <w:textAlignment w:val="auto"/>
        <w:rPr>
          <w:b/>
          <w:bCs/>
          <w:i/>
          <w:iCs/>
          <w:lang w:eastAsia="x-none"/>
        </w:rPr>
      </w:pPr>
      <w:r w:rsidRPr="00EF396B">
        <w:rPr>
          <w:b/>
          <w:bCs/>
          <w:i/>
          <w:iCs/>
          <w:lang w:eastAsia="x-none"/>
        </w:rPr>
        <w:t>BD attempts for all Group (1) SSs are restricted to fall within the same Y</w:t>
      </w:r>
      <w:r w:rsidRPr="00EF396B">
        <w:rPr>
          <w:b/>
          <w:bCs/>
          <w:i/>
          <w:iCs/>
          <w:vertAlign w:val="subscript"/>
          <w:lang w:eastAsia="x-none"/>
        </w:rPr>
        <w:t>Group1</w:t>
      </w:r>
      <w:r w:rsidRPr="00EF396B">
        <w:rPr>
          <w:b/>
          <w:bCs/>
          <w:i/>
          <w:iCs/>
          <w:lang w:eastAsia="x-none"/>
        </w:rPr>
        <w:t xml:space="preserve"> consecutive slots</w:t>
      </w:r>
    </w:p>
    <w:p w14:paraId="2E52AEF3" w14:textId="77777777" w:rsidR="008375E3" w:rsidRPr="00EF396B" w:rsidRDefault="008375E3" w:rsidP="008375E3">
      <w:pPr>
        <w:numPr>
          <w:ilvl w:val="1"/>
          <w:numId w:val="30"/>
        </w:numPr>
        <w:overflowPunct/>
        <w:autoSpaceDE/>
        <w:autoSpaceDN/>
        <w:adjustRightInd/>
        <w:spacing w:after="0"/>
        <w:textAlignment w:val="auto"/>
        <w:rPr>
          <w:b/>
          <w:bCs/>
          <w:i/>
          <w:iCs/>
          <w:lang w:eastAsia="x-none"/>
        </w:rPr>
      </w:pPr>
      <w:r w:rsidRPr="00EF396B">
        <w:rPr>
          <w:rFonts w:hint="eastAsia"/>
          <w:b/>
          <w:bCs/>
          <w:i/>
          <w:iCs/>
          <w:lang w:eastAsia="x-none"/>
        </w:rPr>
        <w:t>F</w:t>
      </w:r>
      <w:r w:rsidRPr="00EF396B">
        <w:rPr>
          <w:b/>
          <w:bCs/>
          <w:i/>
          <w:iCs/>
          <w:lang w:eastAsia="x-none"/>
        </w:rPr>
        <w:t>or Group (2) SS</w:t>
      </w:r>
    </w:p>
    <w:p w14:paraId="350E6450" w14:textId="77777777" w:rsidR="008375E3" w:rsidRPr="00EF396B" w:rsidRDefault="008375E3" w:rsidP="008375E3">
      <w:pPr>
        <w:numPr>
          <w:ilvl w:val="2"/>
          <w:numId w:val="30"/>
        </w:numPr>
        <w:overflowPunct/>
        <w:autoSpaceDE/>
        <w:autoSpaceDN/>
        <w:adjustRightInd/>
        <w:spacing w:after="0"/>
        <w:textAlignment w:val="auto"/>
        <w:rPr>
          <w:b/>
          <w:bCs/>
          <w:i/>
          <w:iCs/>
          <w:lang w:eastAsia="x-none"/>
        </w:rPr>
      </w:pPr>
      <w:r w:rsidRPr="00EF396B">
        <w:rPr>
          <w:b/>
          <w:bCs/>
          <w:i/>
          <w:iCs/>
          <w:lang w:eastAsia="x-none"/>
        </w:rPr>
        <w:t>A SS is configured to be within Y</w:t>
      </w:r>
      <w:r w:rsidRPr="00EF396B">
        <w:rPr>
          <w:b/>
          <w:bCs/>
          <w:i/>
          <w:iCs/>
          <w:vertAlign w:val="subscript"/>
          <w:lang w:eastAsia="x-none"/>
        </w:rPr>
        <w:t>Group2</w:t>
      </w:r>
      <w:r w:rsidRPr="00EF396B">
        <w:rPr>
          <w:b/>
          <w:bCs/>
          <w:i/>
          <w:iCs/>
          <w:lang w:eastAsia="x-none"/>
        </w:rPr>
        <w:t xml:space="preserve"> consecutive slots within a slot group of X slots</w:t>
      </w:r>
    </w:p>
    <w:p w14:paraId="042B2835" w14:textId="77777777" w:rsidR="008375E3" w:rsidRPr="00EF396B" w:rsidRDefault="008375E3" w:rsidP="008375E3">
      <w:pPr>
        <w:numPr>
          <w:ilvl w:val="2"/>
          <w:numId w:val="30"/>
        </w:numPr>
        <w:overflowPunct/>
        <w:autoSpaceDE/>
        <w:autoSpaceDN/>
        <w:adjustRightInd/>
        <w:spacing w:after="0"/>
        <w:textAlignment w:val="auto"/>
        <w:rPr>
          <w:b/>
          <w:bCs/>
          <w:i/>
          <w:iCs/>
          <w:lang w:eastAsia="x-none"/>
        </w:rPr>
      </w:pPr>
      <w:r w:rsidRPr="00EF396B">
        <w:rPr>
          <w:b/>
          <w:bCs/>
          <w:i/>
          <w:iCs/>
          <w:lang w:eastAsia="x-none"/>
        </w:rPr>
        <w:t>The location of the Y</w:t>
      </w:r>
      <w:r w:rsidRPr="00EF396B">
        <w:rPr>
          <w:b/>
          <w:bCs/>
          <w:i/>
          <w:iCs/>
          <w:vertAlign w:val="subscript"/>
          <w:lang w:eastAsia="x-none"/>
        </w:rPr>
        <w:t>Group2</w:t>
      </w:r>
      <w:r w:rsidRPr="00EF396B">
        <w:rPr>
          <w:b/>
          <w:bCs/>
          <w:i/>
          <w:iCs/>
          <w:lang w:eastAsia="x-none"/>
        </w:rPr>
        <w:t xml:space="preserve"> consecutive slots within a slot group of X slots is maintained across different slot groups (unless n0 changes)</w:t>
      </w:r>
    </w:p>
    <w:p w14:paraId="06B23640" w14:textId="033F8A37" w:rsidR="008375E3" w:rsidRPr="00EF396B" w:rsidRDefault="008375E3" w:rsidP="008375E3">
      <w:pPr>
        <w:numPr>
          <w:ilvl w:val="1"/>
          <w:numId w:val="30"/>
        </w:numPr>
        <w:overflowPunct/>
        <w:autoSpaceDE/>
        <w:autoSpaceDN/>
        <w:adjustRightInd/>
        <w:spacing w:after="0"/>
        <w:textAlignment w:val="auto"/>
        <w:rPr>
          <w:b/>
          <w:bCs/>
          <w:i/>
          <w:iCs/>
          <w:lang w:eastAsia="x-none"/>
        </w:rPr>
      </w:pPr>
      <w:r w:rsidRPr="00EF396B">
        <w:rPr>
          <w:b/>
          <w:bCs/>
          <w:i/>
          <w:iCs/>
          <w:lang w:eastAsia="x-none"/>
        </w:rPr>
        <w:t>The reported capability indicates the BD/CCE budget within Y=max(Y</w:t>
      </w:r>
      <w:r w:rsidRPr="00EF396B">
        <w:rPr>
          <w:b/>
          <w:bCs/>
          <w:i/>
          <w:iCs/>
          <w:vertAlign w:val="subscript"/>
          <w:lang w:eastAsia="x-none"/>
        </w:rPr>
        <w:t>Group1</w:t>
      </w:r>
      <w:r w:rsidRPr="00EF396B">
        <w:rPr>
          <w:b/>
          <w:bCs/>
          <w:i/>
          <w:iCs/>
          <w:lang w:eastAsia="x-none"/>
        </w:rPr>
        <w:t xml:space="preserve">, </w:t>
      </w:r>
      <w:r w:rsidR="00F77379" w:rsidRPr="00EF396B">
        <w:rPr>
          <w:b/>
          <w:bCs/>
          <w:i/>
          <w:iCs/>
          <w:lang w:eastAsia="x-none"/>
        </w:rPr>
        <w:t>Y</w:t>
      </w:r>
      <w:r w:rsidR="00F77379" w:rsidRPr="00EF396B">
        <w:rPr>
          <w:b/>
          <w:bCs/>
          <w:i/>
          <w:iCs/>
          <w:vertAlign w:val="subscript"/>
          <w:lang w:eastAsia="x-none"/>
        </w:rPr>
        <w:t>Group2</w:t>
      </w:r>
      <w:r w:rsidRPr="00EF396B">
        <w:rPr>
          <w:b/>
          <w:bCs/>
          <w:i/>
          <w:iCs/>
          <w:lang w:eastAsia="x-none"/>
        </w:rPr>
        <w:t>) slots per slot group</w:t>
      </w:r>
    </w:p>
    <w:p w14:paraId="7DD7E32D" w14:textId="77777777" w:rsidR="008375E3" w:rsidRPr="00EF396B" w:rsidRDefault="008375E3" w:rsidP="008375E3">
      <w:pPr>
        <w:numPr>
          <w:ilvl w:val="1"/>
          <w:numId w:val="30"/>
        </w:numPr>
        <w:overflowPunct/>
        <w:autoSpaceDE/>
        <w:autoSpaceDN/>
        <w:adjustRightInd/>
        <w:spacing w:after="0"/>
        <w:textAlignment w:val="auto"/>
        <w:rPr>
          <w:b/>
          <w:bCs/>
          <w:i/>
          <w:iCs/>
          <w:lang w:eastAsia="x-none"/>
        </w:rPr>
      </w:pPr>
      <w:r w:rsidRPr="00EF396B">
        <w:rPr>
          <w:b/>
          <w:bCs/>
          <w:i/>
          <w:iCs/>
          <w:lang w:eastAsia="x-none"/>
        </w:rPr>
        <w:lastRenderedPageBreak/>
        <w:t>Support the following values of Y</w:t>
      </w:r>
      <w:r w:rsidRPr="00EF396B">
        <w:rPr>
          <w:b/>
          <w:bCs/>
          <w:i/>
          <w:iCs/>
          <w:vertAlign w:val="subscript"/>
          <w:lang w:eastAsia="x-none"/>
        </w:rPr>
        <w:t>Group1</w:t>
      </w:r>
      <w:r w:rsidRPr="00EF396B">
        <w:rPr>
          <w:b/>
          <w:bCs/>
          <w:i/>
          <w:iCs/>
          <w:lang w:eastAsia="x-none"/>
        </w:rPr>
        <w:t xml:space="preserve"> and Y</w:t>
      </w:r>
      <w:r w:rsidRPr="00EF396B">
        <w:rPr>
          <w:b/>
          <w:bCs/>
          <w:i/>
          <w:iCs/>
          <w:vertAlign w:val="subscript"/>
          <w:lang w:eastAsia="x-none"/>
        </w:rPr>
        <w:t>Group2</w:t>
      </w:r>
    </w:p>
    <w:p w14:paraId="5E3342D0" w14:textId="34590D0B" w:rsidR="008375E3" w:rsidRPr="00EF396B" w:rsidRDefault="008375E3" w:rsidP="008375E3">
      <w:pPr>
        <w:numPr>
          <w:ilvl w:val="2"/>
          <w:numId w:val="30"/>
        </w:numPr>
        <w:overflowPunct/>
        <w:autoSpaceDE/>
        <w:autoSpaceDN/>
        <w:adjustRightInd/>
        <w:spacing w:after="0"/>
        <w:textAlignment w:val="auto"/>
        <w:rPr>
          <w:b/>
          <w:bCs/>
          <w:i/>
          <w:iCs/>
          <w:lang w:eastAsia="x-none"/>
        </w:rPr>
      </w:pPr>
      <w:r w:rsidRPr="00EF396B">
        <w:rPr>
          <w:b/>
          <w:bCs/>
          <w:i/>
          <w:iCs/>
          <w:lang w:eastAsia="x-none"/>
        </w:rPr>
        <w:t>For X=8: (Y</w:t>
      </w:r>
      <w:r w:rsidRPr="00EF396B">
        <w:rPr>
          <w:b/>
          <w:bCs/>
          <w:i/>
          <w:iCs/>
          <w:vertAlign w:val="subscript"/>
          <w:lang w:eastAsia="x-none"/>
        </w:rPr>
        <w:t>Group1</w:t>
      </w:r>
      <w:r w:rsidRPr="00EF396B">
        <w:rPr>
          <w:b/>
          <w:bCs/>
          <w:i/>
          <w:iCs/>
          <w:lang w:eastAsia="x-none"/>
        </w:rPr>
        <w:t>,Y</w:t>
      </w:r>
      <w:r w:rsidRPr="00EF396B">
        <w:rPr>
          <w:b/>
          <w:bCs/>
          <w:i/>
          <w:iCs/>
          <w:vertAlign w:val="subscript"/>
          <w:lang w:eastAsia="x-none"/>
        </w:rPr>
        <w:t>Group2</w:t>
      </w:r>
      <w:r w:rsidRPr="00EF396B">
        <w:rPr>
          <w:b/>
          <w:bCs/>
          <w:i/>
          <w:iCs/>
          <w:lang w:eastAsia="x-none"/>
        </w:rPr>
        <w:t xml:space="preserve">) = </w:t>
      </w:r>
      <w:r w:rsidR="00FB754D">
        <w:rPr>
          <w:b/>
          <w:bCs/>
          <w:i/>
          <w:iCs/>
          <w:lang w:eastAsia="x-none"/>
        </w:rPr>
        <w:t xml:space="preserve">[(4,4) or </w:t>
      </w:r>
      <w:r w:rsidRPr="00EF396B">
        <w:rPr>
          <w:b/>
          <w:bCs/>
          <w:i/>
          <w:iCs/>
          <w:lang w:eastAsia="x-none"/>
        </w:rPr>
        <w:t>(4,2)</w:t>
      </w:r>
      <w:r w:rsidR="00FB754D">
        <w:rPr>
          <w:b/>
          <w:bCs/>
          <w:i/>
          <w:iCs/>
          <w:lang w:eastAsia="x-none"/>
        </w:rPr>
        <w:t>]</w:t>
      </w:r>
      <w:r w:rsidRPr="00EF396B">
        <w:rPr>
          <w:b/>
          <w:bCs/>
          <w:i/>
          <w:iCs/>
          <w:lang w:eastAsia="x-none"/>
        </w:rPr>
        <w:t>, (2,2)</w:t>
      </w:r>
      <w:r w:rsidR="00FB754D">
        <w:rPr>
          <w:b/>
          <w:bCs/>
          <w:i/>
          <w:iCs/>
          <w:lang w:eastAsia="x-none"/>
        </w:rPr>
        <w:t>, (1,1)</w:t>
      </w:r>
    </w:p>
    <w:p w14:paraId="6F96FD00" w14:textId="7FAFB91F" w:rsidR="008375E3" w:rsidRPr="00EF396B" w:rsidRDefault="008375E3" w:rsidP="008375E3">
      <w:pPr>
        <w:numPr>
          <w:ilvl w:val="2"/>
          <w:numId w:val="30"/>
        </w:numPr>
        <w:overflowPunct/>
        <w:autoSpaceDE/>
        <w:autoSpaceDN/>
        <w:adjustRightInd/>
        <w:spacing w:after="0"/>
        <w:textAlignment w:val="auto"/>
        <w:rPr>
          <w:b/>
          <w:bCs/>
          <w:i/>
          <w:iCs/>
          <w:lang w:eastAsia="x-none"/>
        </w:rPr>
      </w:pPr>
      <w:r w:rsidRPr="00EF396B">
        <w:rPr>
          <w:b/>
          <w:bCs/>
          <w:i/>
          <w:iCs/>
          <w:lang w:eastAsia="x-none"/>
        </w:rPr>
        <w:t>For X=4: (Y</w:t>
      </w:r>
      <w:r w:rsidRPr="00EF396B">
        <w:rPr>
          <w:b/>
          <w:bCs/>
          <w:i/>
          <w:iCs/>
          <w:vertAlign w:val="subscript"/>
          <w:lang w:eastAsia="x-none"/>
        </w:rPr>
        <w:t>Group1</w:t>
      </w:r>
      <w:r w:rsidRPr="00EF396B">
        <w:rPr>
          <w:b/>
          <w:bCs/>
          <w:i/>
          <w:iCs/>
          <w:lang w:eastAsia="x-none"/>
        </w:rPr>
        <w:t>,Y</w:t>
      </w:r>
      <w:r w:rsidRPr="00EF396B">
        <w:rPr>
          <w:b/>
          <w:bCs/>
          <w:i/>
          <w:iCs/>
          <w:vertAlign w:val="subscript"/>
          <w:lang w:eastAsia="x-none"/>
        </w:rPr>
        <w:t>Group2</w:t>
      </w:r>
      <w:r w:rsidRPr="00EF396B">
        <w:rPr>
          <w:b/>
          <w:bCs/>
          <w:i/>
          <w:iCs/>
          <w:lang w:eastAsia="x-none"/>
        </w:rPr>
        <w:t>) = (2,2), (1,1)</w:t>
      </w:r>
    </w:p>
    <w:p w14:paraId="0E74E83B" w14:textId="10C0B0D2" w:rsidR="008375E3" w:rsidRDefault="008375E3" w:rsidP="008375E3">
      <w:pPr>
        <w:numPr>
          <w:ilvl w:val="2"/>
          <w:numId w:val="30"/>
        </w:numPr>
        <w:overflowPunct/>
        <w:autoSpaceDE/>
        <w:autoSpaceDN/>
        <w:adjustRightInd/>
        <w:spacing w:after="0"/>
        <w:textAlignment w:val="auto"/>
        <w:rPr>
          <w:b/>
          <w:bCs/>
          <w:i/>
          <w:iCs/>
          <w:lang w:eastAsia="x-none"/>
        </w:rPr>
      </w:pPr>
      <w:r w:rsidRPr="00EF396B">
        <w:rPr>
          <w:b/>
          <w:bCs/>
          <w:i/>
          <w:iCs/>
          <w:lang w:eastAsia="x-none"/>
        </w:rPr>
        <w:t>For X=2: (Y</w:t>
      </w:r>
      <w:r w:rsidRPr="00EF396B">
        <w:rPr>
          <w:b/>
          <w:bCs/>
          <w:i/>
          <w:iCs/>
          <w:vertAlign w:val="subscript"/>
          <w:lang w:eastAsia="x-none"/>
        </w:rPr>
        <w:t>Group1</w:t>
      </w:r>
      <w:r w:rsidRPr="00EF396B">
        <w:rPr>
          <w:b/>
          <w:bCs/>
          <w:i/>
          <w:iCs/>
          <w:lang w:eastAsia="x-none"/>
        </w:rPr>
        <w:t>,Y</w:t>
      </w:r>
      <w:r w:rsidRPr="00EF396B">
        <w:rPr>
          <w:b/>
          <w:bCs/>
          <w:i/>
          <w:iCs/>
          <w:vertAlign w:val="subscript"/>
          <w:lang w:eastAsia="x-none"/>
        </w:rPr>
        <w:t>Group2</w:t>
      </w:r>
      <w:r w:rsidRPr="00EF396B">
        <w:rPr>
          <w:b/>
          <w:bCs/>
          <w:i/>
          <w:iCs/>
          <w:lang w:eastAsia="x-none"/>
        </w:rPr>
        <w:t>) = (1,1)</w:t>
      </w:r>
    </w:p>
    <w:p w14:paraId="4B4C2056" w14:textId="508A9EBC" w:rsidR="00FB754D" w:rsidRPr="00EF396B" w:rsidRDefault="00FB754D" w:rsidP="008375E3">
      <w:pPr>
        <w:numPr>
          <w:ilvl w:val="2"/>
          <w:numId w:val="30"/>
        </w:numPr>
        <w:overflowPunct/>
        <w:autoSpaceDE/>
        <w:autoSpaceDN/>
        <w:adjustRightInd/>
        <w:spacing w:after="0"/>
        <w:textAlignment w:val="auto"/>
        <w:rPr>
          <w:b/>
          <w:bCs/>
          <w:i/>
          <w:iCs/>
          <w:lang w:eastAsia="x-none"/>
        </w:rPr>
      </w:pPr>
      <w:r>
        <w:rPr>
          <w:b/>
          <w:bCs/>
          <w:i/>
          <w:iCs/>
          <w:lang w:eastAsia="x-none"/>
        </w:rPr>
        <w:t xml:space="preserve">In case of other supported values, </w:t>
      </w:r>
      <w:r w:rsidRPr="00226823">
        <w:rPr>
          <w:b/>
          <w:bCs/>
          <w:i/>
          <w:iCs/>
          <w:lang w:eastAsia="x-none"/>
        </w:rPr>
        <w:t>Y</w:t>
      </w:r>
      <w:r w:rsidRPr="00226823">
        <w:rPr>
          <w:b/>
          <w:bCs/>
          <w:i/>
          <w:iCs/>
          <w:vertAlign w:val="subscript"/>
          <w:lang w:eastAsia="x-none"/>
        </w:rPr>
        <w:t xml:space="preserve">Group1 </w:t>
      </w:r>
      <w:r w:rsidRPr="00226823">
        <w:rPr>
          <w:b/>
          <w:bCs/>
          <w:i/>
          <w:iCs/>
          <w:lang w:eastAsia="x-none"/>
        </w:rPr>
        <w:t>should always be less than or equal to X/2</w:t>
      </w:r>
    </w:p>
    <w:p w14:paraId="35FDE365" w14:textId="77777777" w:rsidR="008375E3" w:rsidRPr="00EF396B" w:rsidRDefault="008375E3" w:rsidP="008375E3">
      <w:pPr>
        <w:numPr>
          <w:ilvl w:val="1"/>
          <w:numId w:val="30"/>
        </w:numPr>
        <w:overflowPunct/>
        <w:autoSpaceDE/>
        <w:autoSpaceDN/>
        <w:adjustRightInd/>
        <w:spacing w:after="0"/>
        <w:textAlignment w:val="auto"/>
        <w:rPr>
          <w:b/>
          <w:bCs/>
          <w:i/>
          <w:iCs/>
          <w:lang w:eastAsia="x-none"/>
        </w:rPr>
      </w:pPr>
      <w:r w:rsidRPr="00EF396B">
        <w:rPr>
          <w:b/>
          <w:bCs/>
          <w:i/>
          <w:iCs/>
          <w:lang w:eastAsia="x-none"/>
        </w:rPr>
        <w:t>Group (1) SS: Type 1 CSS with dedicated RRC configuration and type 3 CSS, UE specific SS</w:t>
      </w:r>
    </w:p>
    <w:p w14:paraId="680969DD" w14:textId="77777777" w:rsidR="008375E3" w:rsidRPr="00EF396B" w:rsidRDefault="008375E3" w:rsidP="008375E3">
      <w:pPr>
        <w:numPr>
          <w:ilvl w:val="1"/>
          <w:numId w:val="30"/>
        </w:numPr>
        <w:overflowPunct/>
        <w:autoSpaceDE/>
        <w:autoSpaceDN/>
        <w:adjustRightInd/>
        <w:spacing w:after="0"/>
        <w:textAlignment w:val="auto"/>
        <w:rPr>
          <w:b/>
          <w:bCs/>
          <w:i/>
          <w:iCs/>
          <w:lang w:eastAsia="x-none"/>
        </w:rPr>
      </w:pPr>
      <w:r w:rsidRPr="00EF396B">
        <w:rPr>
          <w:b/>
          <w:bCs/>
          <w:i/>
          <w:iCs/>
          <w:lang w:eastAsia="x-none"/>
        </w:rPr>
        <w:t>Group (2) SS: Type 1 CSS without dedicated RRC configuration and type 0, 0A, and 2 CSS</w:t>
      </w:r>
    </w:p>
    <w:p w14:paraId="310AD83D" w14:textId="1DFED762" w:rsidR="008375E3" w:rsidRDefault="008375E3" w:rsidP="002623E2">
      <w:pPr>
        <w:jc w:val="both"/>
        <w:rPr>
          <w:lang w:eastAsia="x-none"/>
        </w:rPr>
      </w:pPr>
    </w:p>
    <w:p w14:paraId="66DF251E" w14:textId="19A98928" w:rsidR="003C5162" w:rsidRDefault="005E0CA8" w:rsidP="00F44F9D">
      <w:pPr>
        <w:pStyle w:val="ListParagraph"/>
        <w:spacing w:after="160"/>
        <w:ind w:left="0"/>
        <w:jc w:val="both"/>
        <w:rPr>
          <w:lang w:eastAsia="zh-CN"/>
        </w:rPr>
      </w:pPr>
      <w:r>
        <w:rPr>
          <w:lang w:eastAsia="x-none"/>
        </w:rPr>
        <w:t xml:space="preserve">However, there could still be </w:t>
      </w:r>
      <w:r w:rsidR="00FB754D">
        <w:rPr>
          <w:lang w:eastAsia="x-none"/>
        </w:rPr>
        <w:t xml:space="preserve">the </w:t>
      </w:r>
      <w:r>
        <w:rPr>
          <w:lang w:eastAsia="x-none"/>
        </w:rPr>
        <w:t xml:space="preserve">issue of back-to-back monitoring across slot groups </w:t>
      </w:r>
      <w:r w:rsidR="00FB754D">
        <w:rPr>
          <w:lang w:eastAsia="x-none"/>
        </w:rPr>
        <w:t xml:space="preserve">e.g. </w:t>
      </w:r>
      <w:r>
        <w:rPr>
          <w:lang w:eastAsia="x-none"/>
        </w:rPr>
        <w:t xml:space="preserve">when the </w:t>
      </w:r>
      <w:r w:rsidR="00FB754D">
        <w:rPr>
          <w:lang w:eastAsia="x-none"/>
        </w:rPr>
        <w:t>beam</w:t>
      </w:r>
      <w:r>
        <w:rPr>
          <w:lang w:eastAsia="x-none"/>
        </w:rPr>
        <w:t xml:space="preserve"> changes</w:t>
      </w:r>
      <w:r w:rsidR="00FB754D">
        <w:rPr>
          <w:lang w:eastAsia="x-none"/>
        </w:rPr>
        <w:t>, e.g. with respect to the above proposal when n0 changes</w:t>
      </w:r>
      <w:r>
        <w:rPr>
          <w:lang w:eastAsia="x-none"/>
        </w:rPr>
        <w:t xml:space="preserve">. </w:t>
      </w:r>
      <w:r w:rsidR="00C77B5D">
        <w:rPr>
          <w:lang w:eastAsia="x-none"/>
        </w:rPr>
        <w:t xml:space="preserve">An example is shown in Figure 1. </w:t>
      </w:r>
      <w:r w:rsidR="003C5162">
        <w:rPr>
          <w:lang w:eastAsia="zh-CN"/>
        </w:rPr>
        <w:t xml:space="preserve">In this example, the original location of </w:t>
      </w:r>
      <w:r w:rsidR="00FB754D">
        <w:rPr>
          <w:lang w:eastAsia="zh-CN"/>
        </w:rPr>
        <w:t xml:space="preserve">the SS </w:t>
      </w:r>
      <w:r w:rsidR="003C5162">
        <w:rPr>
          <w:lang w:eastAsia="zh-CN"/>
        </w:rPr>
        <w:t xml:space="preserve">is last 2 slots within a slot group, as shown in slot group 1. Now in slot group 2, the CSS MOs </w:t>
      </w:r>
      <w:r w:rsidR="00FB754D">
        <w:rPr>
          <w:lang w:eastAsia="zh-CN"/>
        </w:rPr>
        <w:t xml:space="preserve">are </w:t>
      </w:r>
      <w:r w:rsidR="003C5162">
        <w:rPr>
          <w:lang w:eastAsia="zh-CN"/>
        </w:rPr>
        <w:t xml:space="preserve">in </w:t>
      </w:r>
      <w:r w:rsidR="00FB754D">
        <w:rPr>
          <w:lang w:eastAsia="zh-CN"/>
        </w:rPr>
        <w:t xml:space="preserve">the </w:t>
      </w:r>
      <w:r w:rsidR="003C5162">
        <w:rPr>
          <w:lang w:eastAsia="zh-CN"/>
        </w:rPr>
        <w:t>1</w:t>
      </w:r>
      <w:r w:rsidR="003C5162">
        <w:rPr>
          <w:vertAlign w:val="superscript"/>
          <w:lang w:eastAsia="zh-CN"/>
        </w:rPr>
        <w:t>st</w:t>
      </w:r>
      <w:r w:rsidR="003C5162">
        <w:rPr>
          <w:lang w:eastAsia="zh-CN"/>
        </w:rPr>
        <w:t xml:space="preserve"> two slots of the slot group. </w:t>
      </w:r>
      <w:r w:rsidR="00F77379">
        <w:rPr>
          <w:lang w:eastAsia="zh-CN"/>
        </w:rPr>
        <w:t>So as a consequence of the transition there can be the</w:t>
      </w:r>
      <w:r w:rsidR="003C5162">
        <w:rPr>
          <w:lang w:eastAsia="zh-CN"/>
        </w:rPr>
        <w:t xml:space="preserve"> issue of back-to-back monitoring.</w:t>
      </w:r>
      <w:r w:rsidR="00435AD6">
        <w:rPr>
          <w:lang w:eastAsia="zh-CN"/>
        </w:rPr>
        <w:t xml:space="preserve"> Similar issue of back-to-back monitoring could arise even for Group(2) SS when the periodicity of Group(2) SS MO is every slot group. </w:t>
      </w:r>
    </w:p>
    <w:p w14:paraId="1943BB4D" w14:textId="77777777" w:rsidR="003C5162" w:rsidRDefault="003C5162" w:rsidP="003C5162">
      <w:pPr>
        <w:pStyle w:val="ListParagraph"/>
        <w:spacing w:after="160"/>
        <w:ind w:left="0"/>
        <w:rPr>
          <w:lang w:eastAsia="zh-CN"/>
        </w:rPr>
      </w:pPr>
    </w:p>
    <w:p w14:paraId="199FF0C7" w14:textId="6A548125" w:rsidR="003C5162" w:rsidRDefault="005D1F64" w:rsidP="00705CE4">
      <w:pPr>
        <w:pStyle w:val="ListParagraph"/>
        <w:spacing w:after="160"/>
        <w:ind w:left="0"/>
        <w:jc w:val="center"/>
        <w:rPr>
          <w:lang w:eastAsia="zh-CN"/>
        </w:rPr>
      </w:pPr>
      <w:r>
        <w:object w:dxaOrig="14730" w:dyaOrig="7830" w14:anchorId="6188A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05pt;height:250.4pt" o:ole="">
            <v:imagedata r:id="rId8" o:title=""/>
          </v:shape>
          <o:OLEObject Type="Embed" ProgID="Visio.Drawing.15" ShapeID="_x0000_i1025" DrawAspect="Content" ObjectID="_1697656540" r:id="rId9"/>
        </w:object>
      </w:r>
    </w:p>
    <w:p w14:paraId="27E4C5F4" w14:textId="29C60F66" w:rsidR="003C5162" w:rsidRPr="00A302FD" w:rsidRDefault="00CA4F44" w:rsidP="00A302FD">
      <w:pPr>
        <w:pStyle w:val="ListParagraph"/>
        <w:spacing w:after="160"/>
        <w:ind w:left="0"/>
        <w:jc w:val="center"/>
        <w:rPr>
          <w:b/>
          <w:bCs/>
          <w:lang w:eastAsia="zh-CN"/>
        </w:rPr>
      </w:pPr>
      <w:r w:rsidRPr="00A302FD">
        <w:rPr>
          <w:b/>
          <w:bCs/>
          <w:lang w:eastAsia="zh-CN"/>
        </w:rPr>
        <w:t>Figure 1: Example of back-to-back monitoring when n0 changes</w:t>
      </w:r>
    </w:p>
    <w:p w14:paraId="2E498A5B" w14:textId="77777777" w:rsidR="00CA4F44" w:rsidRDefault="00CA4F44" w:rsidP="003C5162">
      <w:pPr>
        <w:pStyle w:val="ListParagraph"/>
        <w:spacing w:after="160"/>
        <w:ind w:left="0"/>
        <w:rPr>
          <w:lang w:eastAsia="zh-CN"/>
        </w:rPr>
      </w:pPr>
    </w:p>
    <w:p w14:paraId="57CB8546" w14:textId="3ECD7E0F" w:rsidR="00CB531C" w:rsidRDefault="00CB531C" w:rsidP="00F44F9D">
      <w:pPr>
        <w:pStyle w:val="ListParagraph"/>
        <w:spacing w:after="160"/>
        <w:ind w:left="0"/>
        <w:jc w:val="both"/>
        <w:rPr>
          <w:b/>
          <w:bCs/>
          <w:i/>
          <w:iCs/>
        </w:rPr>
      </w:pPr>
      <w:r w:rsidRPr="005848DA">
        <w:rPr>
          <w:b/>
          <w:bCs/>
          <w:i/>
          <w:iCs/>
          <w:lang w:eastAsia="zh-CN"/>
        </w:rPr>
        <w:t>Observation</w:t>
      </w:r>
      <w:r w:rsidR="00C964BE" w:rsidRPr="005848DA">
        <w:rPr>
          <w:b/>
          <w:bCs/>
          <w:i/>
          <w:iCs/>
          <w:lang w:eastAsia="zh-CN"/>
        </w:rPr>
        <w:t xml:space="preserve"> 1</w:t>
      </w:r>
      <w:r w:rsidRPr="005848DA">
        <w:rPr>
          <w:b/>
          <w:bCs/>
          <w:i/>
          <w:iCs/>
          <w:lang w:eastAsia="ja-JP"/>
        </w:rPr>
        <w:t xml:space="preserve">: </w:t>
      </w:r>
      <w:r w:rsidRPr="005848DA">
        <w:rPr>
          <w:b/>
          <w:bCs/>
          <w:i/>
          <w:iCs/>
        </w:rPr>
        <w:t>For supporting NR between 52.6 GHz and 71 GHz with high subcarrier spacing values including 480kHz and 960kHz, when multi-slot PDCCH monitoring is applied with shifting of Group(1) SS due to n0 change, then potential back-to-back monitoring issue can arise across slot groups where the shift is applied</w:t>
      </w:r>
    </w:p>
    <w:p w14:paraId="6C69E08F" w14:textId="77777777" w:rsidR="005231DF" w:rsidRDefault="005231DF" w:rsidP="00F44F9D">
      <w:pPr>
        <w:pStyle w:val="ListParagraph"/>
        <w:spacing w:after="160"/>
        <w:ind w:left="0"/>
        <w:jc w:val="both"/>
        <w:rPr>
          <w:b/>
          <w:bCs/>
          <w:i/>
          <w:iCs/>
        </w:rPr>
      </w:pPr>
    </w:p>
    <w:p w14:paraId="50FE1737" w14:textId="3C407B68" w:rsidR="005231DF" w:rsidRPr="005848DA" w:rsidRDefault="005231DF" w:rsidP="005231DF">
      <w:pPr>
        <w:pStyle w:val="ListParagraph"/>
        <w:spacing w:after="160"/>
        <w:ind w:left="0"/>
        <w:jc w:val="both"/>
        <w:rPr>
          <w:b/>
          <w:bCs/>
          <w:i/>
          <w:iCs/>
          <w:lang w:eastAsia="zh-CN"/>
        </w:rPr>
      </w:pPr>
      <w:r w:rsidRPr="005848DA">
        <w:rPr>
          <w:b/>
          <w:bCs/>
          <w:i/>
          <w:iCs/>
          <w:lang w:eastAsia="zh-CN"/>
        </w:rPr>
        <w:t xml:space="preserve">Observation </w:t>
      </w:r>
      <w:r>
        <w:rPr>
          <w:b/>
          <w:bCs/>
          <w:i/>
          <w:iCs/>
          <w:lang w:eastAsia="zh-CN"/>
        </w:rPr>
        <w:t>2</w:t>
      </w:r>
      <w:r w:rsidRPr="005848DA">
        <w:rPr>
          <w:b/>
          <w:bCs/>
          <w:i/>
          <w:iCs/>
          <w:lang w:eastAsia="ja-JP"/>
        </w:rPr>
        <w:t xml:space="preserve">: </w:t>
      </w:r>
      <w:r w:rsidRPr="005848DA">
        <w:rPr>
          <w:b/>
          <w:bCs/>
          <w:i/>
          <w:iCs/>
        </w:rPr>
        <w:t>For supporting NR between 52.6 GHz and 71 GHz with high subcarrier spacing values including 480kHz and 960kHz, when multi-slot PDCCH monitoring is applied with shifting of Group(</w:t>
      </w:r>
      <w:r>
        <w:rPr>
          <w:b/>
          <w:bCs/>
          <w:i/>
          <w:iCs/>
        </w:rPr>
        <w:t>2</w:t>
      </w:r>
      <w:r w:rsidRPr="005848DA">
        <w:rPr>
          <w:b/>
          <w:bCs/>
          <w:i/>
          <w:iCs/>
        </w:rPr>
        <w:t xml:space="preserve">) SS due to n0 change, then potential back-to-back monitoring issue can arise across slot groups where the shift is </w:t>
      </w:r>
      <w:r w:rsidR="00FD1CBB" w:rsidRPr="005848DA">
        <w:rPr>
          <w:b/>
          <w:bCs/>
          <w:i/>
          <w:iCs/>
        </w:rPr>
        <w:t>applied,</w:t>
      </w:r>
      <w:r>
        <w:rPr>
          <w:b/>
          <w:bCs/>
          <w:i/>
          <w:iCs/>
        </w:rPr>
        <w:t xml:space="preserve"> and periodicity of Group(s) SS MOs is every slot group</w:t>
      </w:r>
    </w:p>
    <w:p w14:paraId="06AA5EA8" w14:textId="77777777" w:rsidR="005231DF" w:rsidRPr="005848DA" w:rsidRDefault="005231DF" w:rsidP="00F44F9D">
      <w:pPr>
        <w:pStyle w:val="ListParagraph"/>
        <w:spacing w:after="160"/>
        <w:ind w:left="0"/>
        <w:jc w:val="both"/>
        <w:rPr>
          <w:b/>
          <w:bCs/>
          <w:i/>
          <w:iCs/>
          <w:lang w:eastAsia="zh-CN"/>
        </w:rPr>
      </w:pPr>
    </w:p>
    <w:p w14:paraId="01E235D5" w14:textId="17FF932F" w:rsidR="00F77379" w:rsidRDefault="003C5162" w:rsidP="00F44F9D">
      <w:pPr>
        <w:pStyle w:val="ListParagraph"/>
        <w:spacing w:after="160"/>
        <w:ind w:left="0"/>
        <w:jc w:val="both"/>
        <w:rPr>
          <w:lang w:eastAsia="zh-CN"/>
        </w:rPr>
      </w:pPr>
      <w:r>
        <w:rPr>
          <w:lang w:eastAsia="zh-CN"/>
        </w:rPr>
        <w:t xml:space="preserve">One potential solution could be to drop any Group(1) SS MOs </w:t>
      </w:r>
      <w:r w:rsidR="00811AC5">
        <w:rPr>
          <w:lang w:eastAsia="zh-CN"/>
        </w:rPr>
        <w:t xml:space="preserve">and/or Group(2) SS MOs </w:t>
      </w:r>
      <w:r>
        <w:rPr>
          <w:lang w:eastAsia="zh-CN"/>
        </w:rPr>
        <w:t xml:space="preserve">in the slot group </w:t>
      </w:r>
      <w:r w:rsidR="00F77379">
        <w:rPr>
          <w:lang w:eastAsia="zh-CN"/>
        </w:rPr>
        <w:t xml:space="preserve">in </w:t>
      </w:r>
      <w:r>
        <w:rPr>
          <w:lang w:eastAsia="zh-CN"/>
        </w:rPr>
        <w:t>which shifting needs to be applied such that back-to-back monitoring issue can be avoided. Therefore, in above example, there will be no Group(1) SS MO in slot group 2. The shifted MO for Group(1) SS can be applied from slot group 3, as shown in Figure</w:t>
      </w:r>
      <w:r w:rsidR="00F44F9D">
        <w:rPr>
          <w:lang w:eastAsia="zh-CN"/>
        </w:rPr>
        <w:t xml:space="preserve"> 2</w:t>
      </w:r>
      <w:r>
        <w:rPr>
          <w:lang w:eastAsia="zh-CN"/>
        </w:rPr>
        <w:t xml:space="preserve"> below.</w:t>
      </w:r>
    </w:p>
    <w:p w14:paraId="74776691" w14:textId="77777777" w:rsidR="00022C4B" w:rsidRDefault="00022C4B" w:rsidP="003C5162">
      <w:pPr>
        <w:pStyle w:val="ListParagraph"/>
        <w:spacing w:after="160"/>
        <w:ind w:left="0"/>
        <w:rPr>
          <w:lang w:eastAsia="zh-CN"/>
        </w:rPr>
      </w:pPr>
    </w:p>
    <w:p w14:paraId="2F7AC3C4" w14:textId="4F4084B7" w:rsidR="00751650" w:rsidRPr="009C7A87" w:rsidRDefault="00D9157C" w:rsidP="009A1F1B">
      <w:pPr>
        <w:pStyle w:val="ListParagraph"/>
        <w:spacing w:after="160"/>
        <w:ind w:left="0"/>
        <w:jc w:val="both"/>
        <w:rPr>
          <w:b/>
          <w:bCs/>
          <w:i/>
          <w:iCs/>
          <w:lang w:eastAsia="zh-CN"/>
        </w:rPr>
      </w:pPr>
      <w:r w:rsidRPr="009C7A87">
        <w:rPr>
          <w:b/>
          <w:bCs/>
          <w:i/>
          <w:iCs/>
          <w:lang w:eastAsia="zh-CN"/>
        </w:rPr>
        <w:t xml:space="preserve">Proposal 2: </w:t>
      </w:r>
      <w:r w:rsidR="0070055E" w:rsidRPr="009C7A87">
        <w:rPr>
          <w:b/>
          <w:bCs/>
          <w:i/>
          <w:iCs/>
        </w:rPr>
        <w:t xml:space="preserve">For supporting NR between 52.6 GHz and 71 GHz with high subcarrier spacing values including 480kHz and 960kHz, then dropping of Group(1) SS </w:t>
      </w:r>
      <w:r w:rsidR="00811AC5">
        <w:rPr>
          <w:b/>
          <w:bCs/>
          <w:i/>
          <w:iCs/>
        </w:rPr>
        <w:t xml:space="preserve">MOs and/or Group(2) SS MOs </w:t>
      </w:r>
      <w:r w:rsidR="0070055E" w:rsidRPr="009C7A87">
        <w:rPr>
          <w:b/>
          <w:bCs/>
          <w:i/>
          <w:iCs/>
        </w:rPr>
        <w:t>in the slot where the shift is first applied should be supported</w:t>
      </w:r>
    </w:p>
    <w:p w14:paraId="04FE0DF0" w14:textId="4A6FD29D" w:rsidR="003C5162" w:rsidRDefault="009E689F" w:rsidP="00705CE4">
      <w:pPr>
        <w:pStyle w:val="ListParagraph"/>
        <w:spacing w:after="160"/>
        <w:ind w:left="0"/>
        <w:jc w:val="center"/>
      </w:pPr>
      <w:r>
        <w:object w:dxaOrig="11946" w:dyaOrig="4537" w14:anchorId="52DC420F">
          <v:shape id="_x0000_i1026" type="#_x0000_t75" style="width:520.1pt;height:196.65pt" o:ole="">
            <v:imagedata r:id="rId10" o:title=""/>
          </v:shape>
          <o:OLEObject Type="Embed" ProgID="Visio.Drawing.15" ShapeID="_x0000_i1026" DrawAspect="Content" ObjectID="_1697656541" r:id="rId11"/>
        </w:object>
      </w:r>
    </w:p>
    <w:p w14:paraId="7F0F4082" w14:textId="777274F5" w:rsidR="00E81A83" w:rsidRPr="00A302FD" w:rsidRDefault="00E81A83" w:rsidP="00E81A83">
      <w:pPr>
        <w:pStyle w:val="ListParagraph"/>
        <w:spacing w:after="160"/>
        <w:ind w:left="0"/>
        <w:jc w:val="center"/>
        <w:rPr>
          <w:b/>
          <w:bCs/>
          <w:lang w:eastAsia="zh-CN"/>
        </w:rPr>
      </w:pPr>
      <w:r w:rsidRPr="00A302FD">
        <w:rPr>
          <w:b/>
          <w:bCs/>
          <w:lang w:eastAsia="zh-CN"/>
        </w:rPr>
        <w:t xml:space="preserve">Figure </w:t>
      </w:r>
      <w:r w:rsidR="00A5623D">
        <w:rPr>
          <w:b/>
          <w:bCs/>
          <w:lang w:eastAsia="zh-CN"/>
        </w:rPr>
        <w:t>2</w:t>
      </w:r>
      <w:r w:rsidRPr="00A302FD">
        <w:rPr>
          <w:b/>
          <w:bCs/>
          <w:lang w:eastAsia="zh-CN"/>
        </w:rPr>
        <w:t xml:space="preserve">: Example of </w:t>
      </w:r>
      <w:r>
        <w:rPr>
          <w:b/>
          <w:bCs/>
          <w:lang w:eastAsia="zh-CN"/>
        </w:rPr>
        <w:t xml:space="preserve">dropping </w:t>
      </w:r>
      <w:r w:rsidR="00435AD6">
        <w:rPr>
          <w:b/>
          <w:bCs/>
          <w:lang w:eastAsia="zh-CN"/>
        </w:rPr>
        <w:t xml:space="preserve">first </w:t>
      </w:r>
      <w:r>
        <w:rPr>
          <w:b/>
          <w:bCs/>
          <w:lang w:eastAsia="zh-CN"/>
        </w:rPr>
        <w:t xml:space="preserve">Group(1) SS </w:t>
      </w:r>
      <w:r w:rsidR="00435AD6">
        <w:rPr>
          <w:b/>
          <w:bCs/>
          <w:lang w:eastAsia="zh-CN"/>
        </w:rPr>
        <w:t xml:space="preserve">MO (assuming no shifting) </w:t>
      </w:r>
      <w:r>
        <w:rPr>
          <w:b/>
          <w:bCs/>
          <w:lang w:eastAsia="zh-CN"/>
        </w:rPr>
        <w:t xml:space="preserve">to avoid </w:t>
      </w:r>
      <w:r w:rsidRPr="00A302FD">
        <w:rPr>
          <w:b/>
          <w:bCs/>
          <w:lang w:eastAsia="zh-CN"/>
        </w:rPr>
        <w:t>back-to-back monitoring when n0 changes</w:t>
      </w:r>
    </w:p>
    <w:p w14:paraId="571A78D9" w14:textId="77777777" w:rsidR="00BB7C42" w:rsidRPr="00ED09CA" w:rsidRDefault="00BB7C42" w:rsidP="002623E2">
      <w:pPr>
        <w:jc w:val="both"/>
        <w:rPr>
          <w:lang w:eastAsia="x-none"/>
        </w:rPr>
      </w:pPr>
    </w:p>
    <w:p w14:paraId="198B422E" w14:textId="031EA5AF" w:rsidR="00B53202" w:rsidRDefault="00B53202" w:rsidP="00B53202">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Pr>
          <w:rFonts w:ascii="Arial" w:eastAsia="MS Mincho" w:hAnsi="Arial"/>
          <w:sz w:val="36"/>
          <w:szCs w:val="36"/>
          <w:lang w:eastAsia="ja-JP"/>
        </w:rPr>
        <w:tab/>
        <w:t xml:space="preserve">PDCCH monitoring </w:t>
      </w:r>
      <w:r w:rsidR="00A36717">
        <w:rPr>
          <w:rFonts w:ascii="Arial" w:eastAsia="MS Mincho" w:hAnsi="Arial"/>
          <w:sz w:val="36"/>
          <w:szCs w:val="36"/>
          <w:lang w:eastAsia="ja-JP"/>
        </w:rPr>
        <w:t xml:space="preserve">effort </w:t>
      </w:r>
      <w:r>
        <w:rPr>
          <w:rFonts w:ascii="Arial" w:eastAsia="MS Mincho" w:hAnsi="Arial"/>
          <w:sz w:val="36"/>
          <w:szCs w:val="36"/>
          <w:lang w:eastAsia="ja-JP"/>
        </w:rPr>
        <w:t>restrictions</w:t>
      </w:r>
    </w:p>
    <w:p w14:paraId="0F0F7022" w14:textId="6A28C523" w:rsidR="000756A6" w:rsidRPr="000756A6" w:rsidRDefault="000756A6" w:rsidP="00AC2049">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w:t>
      </w:r>
      <w:r w:rsidR="00A97BF8">
        <w:rPr>
          <w:bCs/>
          <w:lang w:eastAsia="ja-JP"/>
        </w:rPr>
        <w:t xml:space="preserve">number of </w:t>
      </w:r>
      <w:r>
        <w:rPr>
          <w:bCs/>
          <w:lang w:eastAsia="ja-JP"/>
        </w:rPr>
        <w:t>blind detection</w:t>
      </w:r>
      <w:r w:rsidR="00A97BF8">
        <w:rPr>
          <w:bCs/>
          <w:lang w:eastAsia="ja-JP"/>
        </w:rPr>
        <w:t>s</w:t>
      </w:r>
      <w:r>
        <w:rPr>
          <w:bCs/>
          <w:lang w:eastAsia="ja-JP"/>
        </w:rPr>
        <w:t xml:space="preserve"> for a UE can be significantly reduced</w:t>
      </w:r>
      <w:r w:rsidR="00A97BF8">
        <w:rPr>
          <w:bCs/>
          <w:lang w:eastAsia="ja-JP"/>
        </w:rPr>
        <w:t xml:space="preserve"> or at leas</w:t>
      </w:r>
      <w:r w:rsidR="00F3729B">
        <w:rPr>
          <w:bCs/>
          <w:lang w:eastAsia="ja-JP"/>
        </w:rPr>
        <w:t>t</w:t>
      </w:r>
      <w:r w:rsidR="00A97BF8">
        <w:rPr>
          <w:bCs/>
          <w:lang w:eastAsia="ja-JP"/>
        </w:rPr>
        <w:t xml:space="preserve"> not expected to increase from the current UE capabilities. </w:t>
      </w:r>
    </w:p>
    <w:p w14:paraId="32B3BA30" w14:textId="0EA041DC" w:rsidR="00AC2049" w:rsidRDefault="00AC2049" w:rsidP="00AC2049">
      <w:pPr>
        <w:jc w:val="both"/>
        <w:rPr>
          <w:b/>
          <w:i/>
          <w:iCs/>
        </w:rPr>
      </w:pPr>
      <w:r>
        <w:rPr>
          <w:b/>
          <w:i/>
          <w:iCs/>
          <w:lang w:eastAsia="ja-JP"/>
        </w:rPr>
        <w:t xml:space="preserve">Proposal </w:t>
      </w:r>
      <w:r w:rsidR="00E50600">
        <w:rPr>
          <w:b/>
          <w:i/>
          <w:iCs/>
          <w:lang w:eastAsia="ja-JP"/>
        </w:rPr>
        <w:t>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w:t>
      </w:r>
      <w:r w:rsidR="00E83B5D">
        <w:rPr>
          <w:b/>
          <w:i/>
          <w:iCs/>
        </w:rPr>
        <w:t>/</w:t>
      </w:r>
      <w:r>
        <w:rPr>
          <w:b/>
          <w:i/>
          <w:iCs/>
        </w:rPr>
        <w:t xml:space="preserve">PUSCH, then restrictions on monitoring of other DCI formats (such as DCI format 0_1/1_1) should be </w:t>
      </w:r>
      <w:r w:rsidR="00F26ACF">
        <w:rPr>
          <w:b/>
          <w:i/>
          <w:iCs/>
        </w:rPr>
        <w:t>supported</w:t>
      </w:r>
      <w:r w:rsidR="00E83B5D">
        <w:rPr>
          <w:b/>
          <w:i/>
          <w:iCs/>
        </w:rPr>
        <w:t xml:space="preserve"> </w:t>
      </w:r>
      <w:r w:rsidR="008870B0">
        <w:rPr>
          <w:b/>
          <w:i/>
          <w:iCs/>
        </w:rPr>
        <w:t>i.e.,</w:t>
      </w:r>
      <w:r w:rsidR="00E83B5D">
        <w:rPr>
          <w:b/>
          <w:i/>
          <w:iCs/>
        </w:rPr>
        <w:t xml:space="preserve"> sea</w:t>
      </w:r>
      <w:r w:rsidR="007B498D">
        <w:rPr>
          <w:b/>
          <w:i/>
          <w:iCs/>
        </w:rPr>
        <w:t>r</w:t>
      </w:r>
      <w:r w:rsidR="00E83B5D">
        <w:rPr>
          <w:b/>
          <w:i/>
          <w:iCs/>
        </w:rPr>
        <w:t>ch space set configuration with restricted combination of DCI formats should be supported to not increase the number of blind decodes</w:t>
      </w:r>
    </w:p>
    <w:p w14:paraId="04C766FF" w14:textId="2663618C" w:rsidR="001067E6" w:rsidRDefault="00495CA0" w:rsidP="00913653">
      <w:pPr>
        <w:jc w:val="both"/>
        <w:rPr>
          <w:bCs/>
          <w:lang w:eastAsia="ja-JP"/>
        </w:rPr>
      </w:pPr>
      <w:r>
        <w:rPr>
          <w:bCs/>
          <w:lang w:eastAsia="ja-JP"/>
        </w:rPr>
        <w:t>Furthermore, w</w:t>
      </w:r>
      <w:r w:rsidR="00F221F9">
        <w:rPr>
          <w:bCs/>
          <w:lang w:eastAsia="ja-JP"/>
        </w:rPr>
        <w:t>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2102A8A" w14:textId="7E1884EC" w:rsidR="00F221F9" w:rsidRDefault="00F221F9" w:rsidP="00F221F9">
      <w:pPr>
        <w:pStyle w:val="ListParagraph"/>
        <w:numPr>
          <w:ilvl w:val="0"/>
          <w:numId w:val="2"/>
        </w:numPr>
        <w:jc w:val="both"/>
        <w:rPr>
          <w:bCs/>
          <w:lang w:eastAsia="ja-JP"/>
        </w:rPr>
      </w:pPr>
      <w:r>
        <w:rPr>
          <w:bCs/>
          <w:lang w:eastAsia="ja-JP"/>
        </w:rPr>
        <w:t>Better support for higher aggregation levels for better reliability</w:t>
      </w:r>
    </w:p>
    <w:p w14:paraId="59CAE8DE" w14:textId="3A237811" w:rsidR="00F221F9" w:rsidRDefault="00F221F9" w:rsidP="00F221F9">
      <w:pPr>
        <w:pStyle w:val="ListParagraph"/>
        <w:numPr>
          <w:ilvl w:val="0"/>
          <w:numId w:val="2"/>
        </w:numPr>
        <w:jc w:val="both"/>
        <w:rPr>
          <w:bCs/>
          <w:lang w:eastAsia="ja-JP"/>
        </w:rPr>
      </w:pPr>
      <w:r>
        <w:rPr>
          <w:bCs/>
          <w:lang w:eastAsia="ja-JP"/>
        </w:rPr>
        <w:t>More resources available for CORESET, but with same or even reduced duration in absolute time</w:t>
      </w:r>
    </w:p>
    <w:p w14:paraId="657B90CD" w14:textId="77777777" w:rsidR="0056186D" w:rsidRDefault="00F221F9" w:rsidP="00F221F9">
      <w:pPr>
        <w:pStyle w:val="ListParagraph"/>
        <w:numPr>
          <w:ilvl w:val="0"/>
          <w:numId w:val="2"/>
        </w:numPr>
        <w:jc w:val="both"/>
        <w:rPr>
          <w:bCs/>
          <w:lang w:eastAsia="ja-JP"/>
        </w:rPr>
      </w:pPr>
      <w:r>
        <w:rPr>
          <w:bCs/>
          <w:lang w:eastAsia="ja-JP"/>
        </w:rPr>
        <w:t>More symbols available to allow TDM multiplexing between DM-RS and control information</w:t>
      </w:r>
    </w:p>
    <w:p w14:paraId="14157D60" w14:textId="506F023B" w:rsidR="00F221F9" w:rsidRDefault="00F221F9" w:rsidP="0056186D">
      <w:pPr>
        <w:pStyle w:val="ListParagraph"/>
        <w:numPr>
          <w:ilvl w:val="1"/>
          <w:numId w:val="2"/>
        </w:numPr>
        <w:jc w:val="both"/>
        <w:rPr>
          <w:bCs/>
          <w:lang w:eastAsia="ja-JP"/>
        </w:rPr>
      </w:pPr>
      <w:r w:rsidRPr="0056186D">
        <w:rPr>
          <w:bCs/>
          <w:lang w:eastAsia="ja-JP"/>
        </w:rPr>
        <w:t>Benefit of a DM-RS symbol with continuous frequency resources will account for better channel estimation with higher SCS values.</w:t>
      </w:r>
    </w:p>
    <w:p w14:paraId="4DB571A4" w14:textId="57174A97" w:rsidR="0056186D" w:rsidRPr="0056186D" w:rsidRDefault="0056186D" w:rsidP="0056186D">
      <w:pPr>
        <w:jc w:val="both"/>
        <w:rPr>
          <w:bCs/>
          <w:lang w:eastAsia="ja-JP"/>
        </w:rPr>
      </w:pPr>
      <w:r>
        <w:rPr>
          <w:bCs/>
          <w:lang w:eastAsia="ja-JP"/>
        </w:rPr>
        <w:t xml:space="preserve">In </w:t>
      </w:r>
      <w:r w:rsidR="004903FC">
        <w:rPr>
          <w:bCs/>
          <w:lang w:eastAsia="ja-JP"/>
        </w:rPr>
        <w:t>fact,</w:t>
      </w:r>
      <w:r>
        <w:rPr>
          <w:bCs/>
          <w:lang w:eastAsia="ja-JP"/>
        </w:rPr>
        <w:t xml:space="preserve"> for very high SCS value such as 960kHz, even an entire slot for PDCCH can be considered to allow for only single PDCCH monitoring occasion within a slot.</w:t>
      </w:r>
    </w:p>
    <w:p w14:paraId="1FE28F20" w14:textId="0F356817" w:rsidR="0027420D" w:rsidRDefault="00F26ACF" w:rsidP="00003D0F">
      <w:pPr>
        <w:spacing w:after="0"/>
        <w:jc w:val="both"/>
        <w:rPr>
          <w:b/>
          <w:i/>
          <w:iCs/>
        </w:rPr>
      </w:pPr>
      <w:r>
        <w:rPr>
          <w:b/>
          <w:i/>
          <w:iCs/>
          <w:lang w:eastAsia="ja-JP"/>
        </w:rPr>
        <w:t xml:space="preserve">Proposal </w:t>
      </w:r>
      <w:r w:rsidR="00E50600">
        <w:rPr>
          <w:b/>
          <w:i/>
          <w:iCs/>
          <w:lang w:eastAsia="ja-JP"/>
        </w:rPr>
        <w:t>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sidR="0027420D">
        <w:rPr>
          <w:b/>
          <w:i/>
          <w:iCs/>
        </w:rPr>
        <w:t>CORESET duration longer than 3 symbols should be supported:</w:t>
      </w:r>
    </w:p>
    <w:p w14:paraId="11F05797" w14:textId="0F2EEF64" w:rsidR="00F26ACF" w:rsidRPr="00003D0F" w:rsidRDefault="0027420D" w:rsidP="00003D0F">
      <w:pPr>
        <w:pStyle w:val="ListParagraph"/>
        <w:numPr>
          <w:ilvl w:val="0"/>
          <w:numId w:val="18"/>
        </w:numPr>
        <w:jc w:val="both"/>
        <w:rPr>
          <w:b/>
          <w:i/>
          <w:iCs/>
        </w:rPr>
      </w:pPr>
      <w:r w:rsidRPr="00003D0F">
        <w:rPr>
          <w:b/>
          <w:i/>
          <w:iCs/>
        </w:rPr>
        <w:t xml:space="preserve">FFS: Maximum duration </w:t>
      </w:r>
      <w:r w:rsidR="00003D0F" w:rsidRPr="00003D0F">
        <w:rPr>
          <w:b/>
          <w:i/>
          <w:iCs/>
        </w:rPr>
        <w:t>up to</w:t>
      </w:r>
      <w:r w:rsidRPr="00003D0F">
        <w:rPr>
          <w:b/>
          <w:i/>
          <w:iCs/>
        </w:rPr>
        <w:t xml:space="preserve"> 14 symbols in a slot</w:t>
      </w:r>
    </w:p>
    <w:p w14:paraId="4FC52CC1" w14:textId="4B6FDF5D" w:rsidR="009D5E69" w:rsidRDefault="009D5E69" w:rsidP="009D5E69">
      <w:pPr>
        <w:jc w:val="both"/>
        <w:rPr>
          <w:b/>
          <w:i/>
          <w:iCs/>
        </w:rPr>
      </w:pPr>
      <w:r>
        <w:rPr>
          <w:b/>
          <w:i/>
          <w:iCs/>
          <w:lang w:eastAsia="ja-JP"/>
        </w:rPr>
        <w:t xml:space="preserve">Proposal </w:t>
      </w:r>
      <w:r w:rsidR="00E50600">
        <w:rPr>
          <w:b/>
          <w:i/>
          <w:iCs/>
          <w:lang w:eastAsia="ja-JP"/>
        </w:rPr>
        <w:t>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090FD1DE" w14:textId="77777777" w:rsidR="003D1867" w:rsidRDefault="003D1867" w:rsidP="003D1867">
      <w:pPr>
        <w:spacing w:after="0"/>
        <w:jc w:val="both"/>
        <w:rPr>
          <w:rFonts w:asciiTheme="majorBidi" w:hAnsiTheme="majorBidi" w:cstheme="majorBidi"/>
          <w:bCs/>
        </w:rPr>
      </w:pPr>
    </w:p>
    <w:p w14:paraId="3EF2F589" w14:textId="39E780D8" w:rsidR="003D1867" w:rsidRDefault="007B6F9A" w:rsidP="003D186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4</w:t>
      </w:r>
      <w:r w:rsidR="003D1867">
        <w:rPr>
          <w:rFonts w:ascii="Arial" w:eastAsia="MS Mincho" w:hAnsi="Arial"/>
          <w:sz w:val="36"/>
          <w:szCs w:val="36"/>
          <w:lang w:eastAsia="ja-JP"/>
        </w:rPr>
        <w:tab/>
        <w:t xml:space="preserve">PDCCH multi-beam aspects </w:t>
      </w:r>
    </w:p>
    <w:p w14:paraId="68ECCF61" w14:textId="77777777" w:rsidR="009752A0" w:rsidRDefault="009752A0" w:rsidP="009752A0">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according to the indicated sensing beam(s) used by the gNB to initiate a COT, a UE can stop monitoring the PDCCH occasions in the CORESET corresponding to a different Tx beam which is not ‘covered’ by the indicated sensing beam(s) until the current COT ends, which can reduce the p</w:t>
      </w:r>
      <w:r w:rsidRPr="00E03C94">
        <w:rPr>
          <w:kern w:val="2"/>
          <w:lang w:eastAsia="zh-CN"/>
        </w:rPr>
        <w:t>ower consumption</w:t>
      </w:r>
      <w:r>
        <w:rPr>
          <w:kern w:val="2"/>
          <w:lang w:eastAsia="zh-CN"/>
        </w:rPr>
        <w:t xml:space="preserve"> cause by blind decoding. After transmitting a PDCCH to a UE within a COT, the gNB will not transmit PDCCH to this UE in the CORESET corresponding to another COT until the current COT ends.</w:t>
      </w:r>
    </w:p>
    <w:p w14:paraId="22590D6F" w14:textId="1819986E" w:rsidR="00D54E1C" w:rsidRDefault="00D54E1C" w:rsidP="00D54E1C">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sidR="00162A35">
        <w:rPr>
          <w:rFonts w:asciiTheme="majorBidi" w:hAnsiTheme="majorBidi" w:cstheme="majorBidi"/>
          <w:b/>
          <w:bCs/>
          <w:i/>
          <w:iCs/>
          <w:lang w:eastAsia="zh-CN"/>
        </w:rPr>
        <w:t>6</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 xml:space="preserve">within a COT, PDCCH monitoring </w:t>
      </w:r>
      <w:r w:rsidR="00756905">
        <w:rPr>
          <w:rFonts w:asciiTheme="majorBidi" w:hAnsiTheme="majorBidi" w:cstheme="majorBidi"/>
          <w:b/>
          <w:bCs/>
          <w:i/>
          <w:iCs/>
          <w:lang w:eastAsia="zh-CN"/>
        </w:rPr>
        <w:t>is no</w:t>
      </w:r>
      <w:r w:rsidR="00755C9A">
        <w:rPr>
          <w:rFonts w:asciiTheme="majorBidi" w:hAnsiTheme="majorBidi" w:cstheme="majorBidi"/>
          <w:b/>
          <w:bCs/>
          <w:i/>
          <w:iCs/>
          <w:lang w:eastAsia="zh-CN"/>
        </w:rPr>
        <w:t>t</w:t>
      </w:r>
      <w:r w:rsidR="00756905">
        <w:rPr>
          <w:rFonts w:asciiTheme="majorBidi" w:hAnsiTheme="majorBidi" w:cstheme="majorBidi"/>
          <w:b/>
          <w:bCs/>
          <w:i/>
          <w:iCs/>
          <w:lang w:eastAsia="zh-CN"/>
        </w:rPr>
        <w:t xml:space="preserve"> supported </w:t>
      </w:r>
      <w:r>
        <w:rPr>
          <w:rFonts w:asciiTheme="majorBidi" w:hAnsiTheme="majorBidi" w:cstheme="majorBidi"/>
          <w:b/>
          <w:bCs/>
          <w:i/>
          <w:iCs/>
          <w:lang w:eastAsia="zh-CN"/>
        </w:rPr>
        <w:t>in the CORESETs corresponding to other COTs</w:t>
      </w:r>
      <w:r w:rsidR="00756905">
        <w:rPr>
          <w:rFonts w:asciiTheme="majorBidi" w:hAnsiTheme="majorBidi" w:cstheme="majorBidi"/>
          <w:b/>
          <w:bCs/>
          <w:i/>
          <w:iCs/>
          <w:lang w:eastAsia="zh-CN"/>
        </w:rPr>
        <w:t xml:space="preserve"> (</w:t>
      </w:r>
      <w:r w:rsidR="0030439A">
        <w:rPr>
          <w:rFonts w:asciiTheme="majorBidi" w:hAnsiTheme="majorBidi" w:cstheme="majorBidi"/>
          <w:b/>
          <w:bCs/>
          <w:i/>
          <w:iCs/>
          <w:lang w:eastAsia="zh-CN"/>
        </w:rPr>
        <w:t>PDCCH monitoring restricted to monitoring corresponding to only one COT</w:t>
      </w:r>
      <w:r w:rsidR="00C77E02">
        <w:rPr>
          <w:rFonts w:asciiTheme="majorBidi" w:hAnsiTheme="majorBidi" w:cstheme="majorBidi"/>
          <w:b/>
          <w:bCs/>
          <w:i/>
          <w:iCs/>
          <w:lang w:eastAsia="zh-CN"/>
        </w:rPr>
        <w:t xml:space="preserve"> at a time</w:t>
      </w:r>
      <w:r w:rsidR="0030439A">
        <w:rPr>
          <w:rFonts w:asciiTheme="majorBidi" w:hAnsiTheme="majorBidi" w:cstheme="majorBidi"/>
          <w:b/>
          <w:bCs/>
          <w:i/>
          <w:iCs/>
          <w:lang w:eastAsia="zh-CN"/>
        </w:rPr>
        <w:t>)</w:t>
      </w:r>
    </w:p>
    <w:p w14:paraId="57B4CFD4" w14:textId="77777777" w:rsidR="00A67FE2" w:rsidRDefault="00A67FE2" w:rsidP="00D54E1C">
      <w:pPr>
        <w:spacing w:after="0"/>
        <w:jc w:val="both"/>
        <w:rPr>
          <w:rFonts w:asciiTheme="majorBidi" w:hAnsiTheme="majorBidi" w:cstheme="majorBidi"/>
          <w:b/>
          <w:bCs/>
          <w:i/>
          <w:iCs/>
          <w:lang w:eastAsia="zh-CN"/>
        </w:rPr>
      </w:pPr>
    </w:p>
    <w:p w14:paraId="16999FE0" w14:textId="77777777" w:rsidR="00671BAD" w:rsidRDefault="00671BAD" w:rsidP="00D54E1C">
      <w:pPr>
        <w:spacing w:after="0"/>
        <w:jc w:val="both"/>
        <w:rPr>
          <w:rFonts w:asciiTheme="majorBidi" w:hAnsiTheme="majorBidi" w:cstheme="majorBidi"/>
          <w:b/>
          <w:bCs/>
          <w:i/>
          <w:iCs/>
          <w:lang w:eastAsia="zh-CN"/>
        </w:rPr>
      </w:pPr>
    </w:p>
    <w:p w14:paraId="0376B0F9" w14:textId="63AF1C03" w:rsidR="00790DD7" w:rsidRPr="000B409F" w:rsidRDefault="006F43C0"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t>Conclusion</w:t>
      </w:r>
    </w:p>
    <w:p w14:paraId="10436BA2" w14:textId="1BF0DF34" w:rsidR="00D07BD2" w:rsidRPr="00347C63" w:rsidRDefault="00D07BD2" w:rsidP="00D07BD2">
      <w:pPr>
        <w:jc w:val="both"/>
        <w:rPr>
          <w:rFonts w:asciiTheme="majorBidi" w:hAnsiTheme="majorBidi" w:cstheme="majorBidi"/>
        </w:rPr>
      </w:pPr>
      <w:r w:rsidRPr="00347C63">
        <w:rPr>
          <w:rFonts w:asciiTheme="majorBidi" w:hAnsiTheme="majorBidi" w:cstheme="majorBidi"/>
        </w:rPr>
        <w:t xml:space="preserve">In this contribution, we </w:t>
      </w:r>
      <w:r>
        <w:rPr>
          <w:rFonts w:asciiTheme="majorBidi" w:hAnsiTheme="majorBidi" w:cstheme="majorBidi"/>
        </w:rPr>
        <w:t>discussed enhancements for PDCCH monitoring for NR operation between 52.6 GHz to 71 GHz with high SCS values and provided following observations/proposals:</w:t>
      </w:r>
      <w:r w:rsidRPr="00347C63">
        <w:rPr>
          <w:rFonts w:asciiTheme="majorBidi" w:hAnsiTheme="majorBidi" w:cstheme="majorBidi"/>
        </w:rPr>
        <w:t xml:space="preserve"> </w:t>
      </w:r>
    </w:p>
    <w:p w14:paraId="7BE859BB" w14:textId="77777777" w:rsidR="00653CF8" w:rsidRDefault="00653CF8" w:rsidP="00653CF8">
      <w:pPr>
        <w:pStyle w:val="ListParagraph"/>
        <w:spacing w:after="160"/>
        <w:ind w:left="0"/>
        <w:jc w:val="both"/>
        <w:rPr>
          <w:b/>
          <w:bCs/>
          <w:i/>
          <w:iCs/>
        </w:rPr>
      </w:pPr>
      <w:r w:rsidRPr="005848DA">
        <w:rPr>
          <w:b/>
          <w:bCs/>
          <w:i/>
          <w:iCs/>
          <w:lang w:eastAsia="zh-CN"/>
        </w:rPr>
        <w:t>Observation 1</w:t>
      </w:r>
      <w:r w:rsidRPr="005848DA">
        <w:rPr>
          <w:b/>
          <w:bCs/>
          <w:i/>
          <w:iCs/>
          <w:lang w:eastAsia="ja-JP"/>
        </w:rPr>
        <w:t xml:space="preserve">: </w:t>
      </w:r>
      <w:r w:rsidRPr="005848DA">
        <w:rPr>
          <w:b/>
          <w:bCs/>
          <w:i/>
          <w:iCs/>
        </w:rPr>
        <w:t>For supporting NR between 52.6 GHz and 71 GHz with high subcarrier spacing values including 480kHz and 960kHz, when multi-slot PDCCH monitoring is applied with shifting of Group(1) SS due to n0 change, then potential back-to-back monitoring issue can arise across slot groups where the shift is applied</w:t>
      </w:r>
    </w:p>
    <w:p w14:paraId="1BC7645B" w14:textId="77777777" w:rsidR="00653CF8" w:rsidRDefault="00653CF8" w:rsidP="00653CF8">
      <w:pPr>
        <w:pStyle w:val="ListParagraph"/>
        <w:spacing w:after="160"/>
        <w:ind w:left="0"/>
        <w:jc w:val="both"/>
        <w:rPr>
          <w:b/>
          <w:bCs/>
          <w:i/>
          <w:iCs/>
        </w:rPr>
      </w:pPr>
    </w:p>
    <w:p w14:paraId="4B61AFA1" w14:textId="77777777" w:rsidR="00653CF8" w:rsidRDefault="00653CF8" w:rsidP="00653CF8">
      <w:pPr>
        <w:pStyle w:val="ListParagraph"/>
        <w:spacing w:after="160"/>
        <w:ind w:left="0"/>
        <w:jc w:val="both"/>
        <w:rPr>
          <w:b/>
          <w:bCs/>
          <w:i/>
          <w:iCs/>
        </w:rPr>
      </w:pPr>
      <w:r w:rsidRPr="005848DA">
        <w:rPr>
          <w:b/>
          <w:bCs/>
          <w:i/>
          <w:iCs/>
          <w:lang w:eastAsia="zh-CN"/>
        </w:rPr>
        <w:t xml:space="preserve">Observation </w:t>
      </w:r>
      <w:r>
        <w:rPr>
          <w:b/>
          <w:bCs/>
          <w:i/>
          <w:iCs/>
          <w:lang w:eastAsia="zh-CN"/>
        </w:rPr>
        <w:t>2</w:t>
      </w:r>
      <w:r w:rsidRPr="005848DA">
        <w:rPr>
          <w:b/>
          <w:bCs/>
          <w:i/>
          <w:iCs/>
          <w:lang w:eastAsia="ja-JP"/>
        </w:rPr>
        <w:t xml:space="preserve">: </w:t>
      </w:r>
      <w:r w:rsidRPr="005848DA">
        <w:rPr>
          <w:b/>
          <w:bCs/>
          <w:i/>
          <w:iCs/>
        </w:rPr>
        <w:t>For supporting NR between 52.6 GHz and 71 GHz with high subcarrier spacing values including 480kHz and 960kHz, when multi-slot PDCCH monitoring is applied with shifting of Group(</w:t>
      </w:r>
      <w:r>
        <w:rPr>
          <w:b/>
          <w:bCs/>
          <w:i/>
          <w:iCs/>
        </w:rPr>
        <w:t>2</w:t>
      </w:r>
      <w:r w:rsidRPr="005848DA">
        <w:rPr>
          <w:b/>
          <w:bCs/>
          <w:i/>
          <w:iCs/>
        </w:rPr>
        <w:t>) SS due to n0 change, then potential back-to-back monitoring issue can arise across slot groups where the shift is applied,</w:t>
      </w:r>
      <w:r>
        <w:rPr>
          <w:b/>
          <w:bCs/>
          <w:i/>
          <w:iCs/>
        </w:rPr>
        <w:t xml:space="preserve"> and periodicity of Group(s) SS MOs is every slot group</w:t>
      </w:r>
    </w:p>
    <w:p w14:paraId="34C16FBC" w14:textId="77777777" w:rsidR="00653CF8" w:rsidRDefault="00653CF8" w:rsidP="00653CF8">
      <w:pPr>
        <w:spacing w:after="0"/>
        <w:jc w:val="both"/>
        <w:rPr>
          <w:b/>
          <w:i/>
          <w:iCs/>
          <w:lang w:eastAsia="ja-JP"/>
        </w:rPr>
      </w:pPr>
    </w:p>
    <w:p w14:paraId="4D15ED11" w14:textId="0EAA4262" w:rsidR="00653CF8" w:rsidRDefault="00653CF8" w:rsidP="00653CF8">
      <w:pPr>
        <w:spacing w:after="0"/>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following search space configuration should be supported:</w:t>
      </w:r>
    </w:p>
    <w:p w14:paraId="5D348C80" w14:textId="77777777" w:rsidR="00653CF8" w:rsidRPr="00EF396B" w:rsidRDefault="00653CF8" w:rsidP="00653CF8">
      <w:pPr>
        <w:numPr>
          <w:ilvl w:val="1"/>
          <w:numId w:val="30"/>
        </w:numPr>
        <w:overflowPunct/>
        <w:autoSpaceDE/>
        <w:autoSpaceDN/>
        <w:adjustRightInd/>
        <w:spacing w:after="0"/>
        <w:textAlignment w:val="auto"/>
        <w:rPr>
          <w:b/>
          <w:bCs/>
          <w:i/>
          <w:iCs/>
          <w:lang w:eastAsia="x-none"/>
        </w:rPr>
      </w:pPr>
      <w:r w:rsidRPr="00EF396B">
        <w:rPr>
          <w:rFonts w:hint="eastAsia"/>
          <w:b/>
          <w:bCs/>
          <w:i/>
          <w:iCs/>
          <w:lang w:eastAsia="x-none"/>
        </w:rPr>
        <w:t>F</w:t>
      </w:r>
      <w:r w:rsidRPr="00EF396B">
        <w:rPr>
          <w:b/>
          <w:bCs/>
          <w:i/>
          <w:iCs/>
          <w:lang w:eastAsia="x-none"/>
        </w:rPr>
        <w:t>or Group (1) SS</w:t>
      </w:r>
    </w:p>
    <w:p w14:paraId="43FEF6D9" w14:textId="77777777" w:rsidR="00653CF8" w:rsidRPr="00226823" w:rsidRDefault="00653CF8" w:rsidP="00653CF8">
      <w:pPr>
        <w:numPr>
          <w:ilvl w:val="2"/>
          <w:numId w:val="30"/>
        </w:numPr>
        <w:overflowPunct/>
        <w:autoSpaceDE/>
        <w:autoSpaceDN/>
        <w:adjustRightInd/>
        <w:spacing w:after="0"/>
        <w:textAlignment w:val="auto"/>
        <w:rPr>
          <w:b/>
          <w:bCs/>
          <w:i/>
          <w:iCs/>
          <w:lang w:eastAsia="x-none"/>
        </w:rPr>
      </w:pPr>
      <w:r w:rsidRPr="00EF396B">
        <w:rPr>
          <w:b/>
          <w:bCs/>
          <w:i/>
          <w:iCs/>
          <w:lang w:eastAsia="x-none"/>
        </w:rPr>
        <w:t>A SS is configured to be within Y</w:t>
      </w:r>
      <w:r w:rsidRPr="00EF396B">
        <w:rPr>
          <w:b/>
          <w:bCs/>
          <w:i/>
          <w:iCs/>
          <w:vertAlign w:val="subscript"/>
          <w:lang w:eastAsia="x-none"/>
        </w:rPr>
        <w:t>Group1</w:t>
      </w:r>
      <w:r w:rsidRPr="00EF396B">
        <w:rPr>
          <w:b/>
          <w:bCs/>
          <w:i/>
          <w:iCs/>
          <w:lang w:eastAsia="x-none"/>
        </w:rPr>
        <w:t xml:space="preserve"> consecutive slots within a slot group of X slots</w:t>
      </w:r>
    </w:p>
    <w:p w14:paraId="2750AF56" w14:textId="77777777" w:rsidR="00653CF8" w:rsidRPr="00EF396B" w:rsidRDefault="00653CF8" w:rsidP="00653CF8">
      <w:pPr>
        <w:numPr>
          <w:ilvl w:val="2"/>
          <w:numId w:val="30"/>
        </w:numPr>
        <w:overflowPunct/>
        <w:autoSpaceDE/>
        <w:autoSpaceDN/>
        <w:adjustRightInd/>
        <w:spacing w:after="0"/>
        <w:textAlignment w:val="auto"/>
        <w:rPr>
          <w:b/>
          <w:bCs/>
          <w:i/>
          <w:iCs/>
          <w:lang w:eastAsia="x-none"/>
        </w:rPr>
      </w:pPr>
      <w:r w:rsidRPr="00EF396B">
        <w:rPr>
          <w:b/>
          <w:bCs/>
          <w:i/>
          <w:iCs/>
          <w:lang w:eastAsia="x-none"/>
        </w:rPr>
        <w:t>The location of the Y</w:t>
      </w:r>
      <w:r w:rsidRPr="00EF396B">
        <w:rPr>
          <w:b/>
          <w:bCs/>
          <w:i/>
          <w:iCs/>
          <w:vertAlign w:val="subscript"/>
          <w:lang w:eastAsia="x-none"/>
        </w:rPr>
        <w:t>Group1</w:t>
      </w:r>
      <w:r w:rsidRPr="00EF396B">
        <w:rPr>
          <w:b/>
          <w:bCs/>
          <w:i/>
          <w:iCs/>
          <w:lang w:eastAsia="x-none"/>
        </w:rPr>
        <w:t xml:space="preserve"> consecutive slots within a slot group of X slots is based on a time offset within the slot group based on slot index n0 determined for Group (2) monitoring such that the Y</w:t>
      </w:r>
      <w:r w:rsidRPr="00EF396B">
        <w:rPr>
          <w:b/>
          <w:bCs/>
          <w:i/>
          <w:iCs/>
          <w:vertAlign w:val="subscript"/>
          <w:lang w:eastAsia="x-none"/>
        </w:rPr>
        <w:t>Group1</w:t>
      </w:r>
      <w:r w:rsidRPr="00EF396B">
        <w:rPr>
          <w:b/>
          <w:bCs/>
          <w:i/>
          <w:iCs/>
          <w:lang w:eastAsia="x-none"/>
        </w:rPr>
        <w:t xml:space="preserve"> slots overlap the Y</w:t>
      </w:r>
      <w:r w:rsidRPr="00EF396B">
        <w:rPr>
          <w:b/>
          <w:bCs/>
          <w:i/>
          <w:iCs/>
          <w:vertAlign w:val="subscript"/>
          <w:lang w:eastAsia="x-none"/>
        </w:rPr>
        <w:t>Group2</w:t>
      </w:r>
      <w:r w:rsidRPr="00EF396B">
        <w:rPr>
          <w:b/>
          <w:bCs/>
          <w:i/>
          <w:iCs/>
          <w:lang w:eastAsia="x-none"/>
        </w:rPr>
        <w:t xml:space="preserve"> slots</w:t>
      </w:r>
    </w:p>
    <w:p w14:paraId="5D633B2D" w14:textId="77777777" w:rsidR="00653CF8" w:rsidRPr="00EF396B" w:rsidRDefault="00653CF8" w:rsidP="00653CF8">
      <w:pPr>
        <w:numPr>
          <w:ilvl w:val="2"/>
          <w:numId w:val="30"/>
        </w:numPr>
        <w:overflowPunct/>
        <w:autoSpaceDE/>
        <w:autoSpaceDN/>
        <w:adjustRightInd/>
        <w:spacing w:after="0"/>
        <w:textAlignment w:val="auto"/>
        <w:rPr>
          <w:b/>
          <w:bCs/>
          <w:i/>
          <w:iCs/>
          <w:lang w:eastAsia="x-none"/>
        </w:rPr>
      </w:pPr>
      <w:r w:rsidRPr="00EF396B">
        <w:rPr>
          <w:b/>
          <w:bCs/>
          <w:i/>
          <w:iCs/>
          <w:lang w:eastAsia="x-none"/>
        </w:rPr>
        <w:t>The location of the Y</w:t>
      </w:r>
      <w:r w:rsidRPr="00EF396B">
        <w:rPr>
          <w:b/>
          <w:bCs/>
          <w:i/>
          <w:iCs/>
          <w:vertAlign w:val="subscript"/>
          <w:lang w:eastAsia="x-none"/>
        </w:rPr>
        <w:t>Group1</w:t>
      </w:r>
      <w:r w:rsidRPr="00EF396B">
        <w:rPr>
          <w:b/>
          <w:bCs/>
          <w:i/>
          <w:iCs/>
          <w:lang w:eastAsia="x-none"/>
        </w:rPr>
        <w:t xml:space="preserve"> consecutive slots within a slot group of X slots is maintained across different slot groups (unless n0 changes)</w:t>
      </w:r>
    </w:p>
    <w:p w14:paraId="42E20B62" w14:textId="77777777" w:rsidR="00653CF8" w:rsidRPr="00EF396B" w:rsidRDefault="00653CF8" w:rsidP="00653CF8">
      <w:pPr>
        <w:numPr>
          <w:ilvl w:val="2"/>
          <w:numId w:val="30"/>
        </w:numPr>
        <w:overflowPunct/>
        <w:autoSpaceDE/>
        <w:autoSpaceDN/>
        <w:adjustRightInd/>
        <w:spacing w:after="0"/>
        <w:textAlignment w:val="auto"/>
        <w:rPr>
          <w:b/>
          <w:bCs/>
          <w:i/>
          <w:iCs/>
          <w:lang w:eastAsia="x-none"/>
        </w:rPr>
      </w:pPr>
      <w:r w:rsidRPr="00EF396B">
        <w:rPr>
          <w:b/>
          <w:bCs/>
          <w:i/>
          <w:iCs/>
          <w:lang w:eastAsia="x-none"/>
        </w:rPr>
        <w:t>BD attempts for all Group (1) SSs are restricted to fall within the same Y</w:t>
      </w:r>
      <w:r w:rsidRPr="00EF396B">
        <w:rPr>
          <w:b/>
          <w:bCs/>
          <w:i/>
          <w:iCs/>
          <w:vertAlign w:val="subscript"/>
          <w:lang w:eastAsia="x-none"/>
        </w:rPr>
        <w:t>Group1</w:t>
      </w:r>
      <w:r w:rsidRPr="00EF396B">
        <w:rPr>
          <w:b/>
          <w:bCs/>
          <w:i/>
          <w:iCs/>
          <w:lang w:eastAsia="x-none"/>
        </w:rPr>
        <w:t xml:space="preserve"> consecutive slots</w:t>
      </w:r>
    </w:p>
    <w:p w14:paraId="74DB86DD" w14:textId="77777777" w:rsidR="00653CF8" w:rsidRPr="00EF396B" w:rsidRDefault="00653CF8" w:rsidP="00653CF8">
      <w:pPr>
        <w:numPr>
          <w:ilvl w:val="1"/>
          <w:numId w:val="30"/>
        </w:numPr>
        <w:overflowPunct/>
        <w:autoSpaceDE/>
        <w:autoSpaceDN/>
        <w:adjustRightInd/>
        <w:spacing w:after="0"/>
        <w:textAlignment w:val="auto"/>
        <w:rPr>
          <w:b/>
          <w:bCs/>
          <w:i/>
          <w:iCs/>
          <w:lang w:eastAsia="x-none"/>
        </w:rPr>
      </w:pPr>
      <w:r w:rsidRPr="00EF396B">
        <w:rPr>
          <w:rFonts w:hint="eastAsia"/>
          <w:b/>
          <w:bCs/>
          <w:i/>
          <w:iCs/>
          <w:lang w:eastAsia="x-none"/>
        </w:rPr>
        <w:t>F</w:t>
      </w:r>
      <w:r w:rsidRPr="00EF396B">
        <w:rPr>
          <w:b/>
          <w:bCs/>
          <w:i/>
          <w:iCs/>
          <w:lang w:eastAsia="x-none"/>
        </w:rPr>
        <w:t>or Group (2) SS</w:t>
      </w:r>
    </w:p>
    <w:p w14:paraId="24D1CB71" w14:textId="77777777" w:rsidR="00653CF8" w:rsidRPr="00EF396B" w:rsidRDefault="00653CF8" w:rsidP="00653CF8">
      <w:pPr>
        <w:numPr>
          <w:ilvl w:val="2"/>
          <w:numId w:val="30"/>
        </w:numPr>
        <w:overflowPunct/>
        <w:autoSpaceDE/>
        <w:autoSpaceDN/>
        <w:adjustRightInd/>
        <w:spacing w:after="0"/>
        <w:textAlignment w:val="auto"/>
        <w:rPr>
          <w:b/>
          <w:bCs/>
          <w:i/>
          <w:iCs/>
          <w:lang w:eastAsia="x-none"/>
        </w:rPr>
      </w:pPr>
      <w:r w:rsidRPr="00EF396B">
        <w:rPr>
          <w:b/>
          <w:bCs/>
          <w:i/>
          <w:iCs/>
          <w:lang w:eastAsia="x-none"/>
        </w:rPr>
        <w:t>A SS is configured to be within Y</w:t>
      </w:r>
      <w:r w:rsidRPr="00EF396B">
        <w:rPr>
          <w:b/>
          <w:bCs/>
          <w:i/>
          <w:iCs/>
          <w:vertAlign w:val="subscript"/>
          <w:lang w:eastAsia="x-none"/>
        </w:rPr>
        <w:t>Group2</w:t>
      </w:r>
      <w:r w:rsidRPr="00EF396B">
        <w:rPr>
          <w:b/>
          <w:bCs/>
          <w:i/>
          <w:iCs/>
          <w:lang w:eastAsia="x-none"/>
        </w:rPr>
        <w:t xml:space="preserve"> consecutive slots within a slot group of X slots</w:t>
      </w:r>
    </w:p>
    <w:p w14:paraId="1F766AF8" w14:textId="77777777" w:rsidR="00653CF8" w:rsidRPr="00EF396B" w:rsidRDefault="00653CF8" w:rsidP="00653CF8">
      <w:pPr>
        <w:numPr>
          <w:ilvl w:val="2"/>
          <w:numId w:val="30"/>
        </w:numPr>
        <w:overflowPunct/>
        <w:autoSpaceDE/>
        <w:autoSpaceDN/>
        <w:adjustRightInd/>
        <w:spacing w:after="0"/>
        <w:textAlignment w:val="auto"/>
        <w:rPr>
          <w:b/>
          <w:bCs/>
          <w:i/>
          <w:iCs/>
          <w:lang w:eastAsia="x-none"/>
        </w:rPr>
      </w:pPr>
      <w:r w:rsidRPr="00EF396B">
        <w:rPr>
          <w:b/>
          <w:bCs/>
          <w:i/>
          <w:iCs/>
          <w:lang w:eastAsia="x-none"/>
        </w:rPr>
        <w:t>The location of the Y</w:t>
      </w:r>
      <w:r w:rsidRPr="00EF396B">
        <w:rPr>
          <w:b/>
          <w:bCs/>
          <w:i/>
          <w:iCs/>
          <w:vertAlign w:val="subscript"/>
          <w:lang w:eastAsia="x-none"/>
        </w:rPr>
        <w:t>Group2</w:t>
      </w:r>
      <w:r w:rsidRPr="00EF396B">
        <w:rPr>
          <w:b/>
          <w:bCs/>
          <w:i/>
          <w:iCs/>
          <w:lang w:eastAsia="x-none"/>
        </w:rPr>
        <w:t xml:space="preserve"> consecutive slots within a slot group of X slots is maintained across different slot groups (unless n0 changes)</w:t>
      </w:r>
    </w:p>
    <w:p w14:paraId="1CF2796C" w14:textId="77777777" w:rsidR="00653CF8" w:rsidRPr="00EF396B" w:rsidRDefault="00653CF8" w:rsidP="00653CF8">
      <w:pPr>
        <w:numPr>
          <w:ilvl w:val="1"/>
          <w:numId w:val="30"/>
        </w:numPr>
        <w:overflowPunct/>
        <w:autoSpaceDE/>
        <w:autoSpaceDN/>
        <w:adjustRightInd/>
        <w:spacing w:after="0"/>
        <w:textAlignment w:val="auto"/>
        <w:rPr>
          <w:b/>
          <w:bCs/>
          <w:i/>
          <w:iCs/>
          <w:lang w:eastAsia="x-none"/>
        </w:rPr>
      </w:pPr>
      <w:r w:rsidRPr="00EF396B">
        <w:rPr>
          <w:b/>
          <w:bCs/>
          <w:i/>
          <w:iCs/>
          <w:lang w:eastAsia="x-none"/>
        </w:rPr>
        <w:t>The reported capability indicates the BD/CCE budget within Y=max(Y</w:t>
      </w:r>
      <w:r w:rsidRPr="00EF396B">
        <w:rPr>
          <w:b/>
          <w:bCs/>
          <w:i/>
          <w:iCs/>
          <w:vertAlign w:val="subscript"/>
          <w:lang w:eastAsia="x-none"/>
        </w:rPr>
        <w:t>Group1</w:t>
      </w:r>
      <w:r w:rsidRPr="00EF396B">
        <w:rPr>
          <w:b/>
          <w:bCs/>
          <w:i/>
          <w:iCs/>
          <w:lang w:eastAsia="x-none"/>
        </w:rPr>
        <w:t>, Y</w:t>
      </w:r>
      <w:r w:rsidRPr="00EF396B">
        <w:rPr>
          <w:b/>
          <w:bCs/>
          <w:i/>
          <w:iCs/>
          <w:vertAlign w:val="subscript"/>
          <w:lang w:eastAsia="x-none"/>
        </w:rPr>
        <w:t>Group2</w:t>
      </w:r>
      <w:r w:rsidRPr="00EF396B">
        <w:rPr>
          <w:b/>
          <w:bCs/>
          <w:i/>
          <w:iCs/>
          <w:lang w:eastAsia="x-none"/>
        </w:rPr>
        <w:t>) slots per slot group</w:t>
      </w:r>
    </w:p>
    <w:p w14:paraId="1D28E919" w14:textId="77777777" w:rsidR="00653CF8" w:rsidRPr="00EF396B" w:rsidRDefault="00653CF8" w:rsidP="00653CF8">
      <w:pPr>
        <w:numPr>
          <w:ilvl w:val="1"/>
          <w:numId w:val="30"/>
        </w:numPr>
        <w:overflowPunct/>
        <w:autoSpaceDE/>
        <w:autoSpaceDN/>
        <w:adjustRightInd/>
        <w:spacing w:after="0"/>
        <w:textAlignment w:val="auto"/>
        <w:rPr>
          <w:b/>
          <w:bCs/>
          <w:i/>
          <w:iCs/>
          <w:lang w:eastAsia="x-none"/>
        </w:rPr>
      </w:pPr>
      <w:r w:rsidRPr="00EF396B">
        <w:rPr>
          <w:b/>
          <w:bCs/>
          <w:i/>
          <w:iCs/>
          <w:lang w:eastAsia="x-none"/>
        </w:rPr>
        <w:t>Support the following values of Y</w:t>
      </w:r>
      <w:r w:rsidRPr="00EF396B">
        <w:rPr>
          <w:b/>
          <w:bCs/>
          <w:i/>
          <w:iCs/>
          <w:vertAlign w:val="subscript"/>
          <w:lang w:eastAsia="x-none"/>
        </w:rPr>
        <w:t>Group1</w:t>
      </w:r>
      <w:r w:rsidRPr="00EF396B">
        <w:rPr>
          <w:b/>
          <w:bCs/>
          <w:i/>
          <w:iCs/>
          <w:lang w:eastAsia="x-none"/>
        </w:rPr>
        <w:t xml:space="preserve"> and Y</w:t>
      </w:r>
      <w:r w:rsidRPr="00EF396B">
        <w:rPr>
          <w:b/>
          <w:bCs/>
          <w:i/>
          <w:iCs/>
          <w:vertAlign w:val="subscript"/>
          <w:lang w:eastAsia="x-none"/>
        </w:rPr>
        <w:t>Group2</w:t>
      </w:r>
    </w:p>
    <w:p w14:paraId="458314C9" w14:textId="77777777" w:rsidR="00653CF8" w:rsidRPr="00EF396B" w:rsidRDefault="00653CF8" w:rsidP="00653CF8">
      <w:pPr>
        <w:numPr>
          <w:ilvl w:val="2"/>
          <w:numId w:val="30"/>
        </w:numPr>
        <w:overflowPunct/>
        <w:autoSpaceDE/>
        <w:autoSpaceDN/>
        <w:adjustRightInd/>
        <w:spacing w:after="0"/>
        <w:textAlignment w:val="auto"/>
        <w:rPr>
          <w:b/>
          <w:bCs/>
          <w:i/>
          <w:iCs/>
          <w:lang w:eastAsia="x-none"/>
        </w:rPr>
      </w:pPr>
      <w:r w:rsidRPr="00EF396B">
        <w:rPr>
          <w:b/>
          <w:bCs/>
          <w:i/>
          <w:iCs/>
          <w:lang w:eastAsia="x-none"/>
        </w:rPr>
        <w:t>For X=8: (Y</w:t>
      </w:r>
      <w:r w:rsidRPr="00EF396B">
        <w:rPr>
          <w:b/>
          <w:bCs/>
          <w:i/>
          <w:iCs/>
          <w:vertAlign w:val="subscript"/>
          <w:lang w:eastAsia="x-none"/>
        </w:rPr>
        <w:t>Group1</w:t>
      </w:r>
      <w:r w:rsidRPr="00EF396B">
        <w:rPr>
          <w:b/>
          <w:bCs/>
          <w:i/>
          <w:iCs/>
          <w:lang w:eastAsia="x-none"/>
        </w:rPr>
        <w:t>,Y</w:t>
      </w:r>
      <w:r w:rsidRPr="00EF396B">
        <w:rPr>
          <w:b/>
          <w:bCs/>
          <w:i/>
          <w:iCs/>
          <w:vertAlign w:val="subscript"/>
          <w:lang w:eastAsia="x-none"/>
        </w:rPr>
        <w:t>Group2</w:t>
      </w:r>
      <w:r w:rsidRPr="00EF396B">
        <w:rPr>
          <w:b/>
          <w:bCs/>
          <w:i/>
          <w:iCs/>
          <w:lang w:eastAsia="x-none"/>
        </w:rPr>
        <w:t xml:space="preserve">) = </w:t>
      </w:r>
      <w:r>
        <w:rPr>
          <w:b/>
          <w:bCs/>
          <w:i/>
          <w:iCs/>
          <w:lang w:eastAsia="x-none"/>
        </w:rPr>
        <w:t xml:space="preserve">[(4,4) or </w:t>
      </w:r>
      <w:r w:rsidRPr="00EF396B">
        <w:rPr>
          <w:b/>
          <w:bCs/>
          <w:i/>
          <w:iCs/>
          <w:lang w:eastAsia="x-none"/>
        </w:rPr>
        <w:t>(4,2)</w:t>
      </w:r>
      <w:r>
        <w:rPr>
          <w:b/>
          <w:bCs/>
          <w:i/>
          <w:iCs/>
          <w:lang w:eastAsia="x-none"/>
        </w:rPr>
        <w:t>]</w:t>
      </w:r>
      <w:r w:rsidRPr="00EF396B">
        <w:rPr>
          <w:b/>
          <w:bCs/>
          <w:i/>
          <w:iCs/>
          <w:lang w:eastAsia="x-none"/>
        </w:rPr>
        <w:t>, (2,2)</w:t>
      </w:r>
      <w:r>
        <w:rPr>
          <w:b/>
          <w:bCs/>
          <w:i/>
          <w:iCs/>
          <w:lang w:eastAsia="x-none"/>
        </w:rPr>
        <w:t>, (1,1)</w:t>
      </w:r>
    </w:p>
    <w:p w14:paraId="50C13F68" w14:textId="77777777" w:rsidR="00653CF8" w:rsidRPr="00EF396B" w:rsidRDefault="00653CF8" w:rsidP="00653CF8">
      <w:pPr>
        <w:numPr>
          <w:ilvl w:val="2"/>
          <w:numId w:val="30"/>
        </w:numPr>
        <w:overflowPunct/>
        <w:autoSpaceDE/>
        <w:autoSpaceDN/>
        <w:adjustRightInd/>
        <w:spacing w:after="0"/>
        <w:textAlignment w:val="auto"/>
        <w:rPr>
          <w:b/>
          <w:bCs/>
          <w:i/>
          <w:iCs/>
          <w:lang w:eastAsia="x-none"/>
        </w:rPr>
      </w:pPr>
      <w:r w:rsidRPr="00EF396B">
        <w:rPr>
          <w:b/>
          <w:bCs/>
          <w:i/>
          <w:iCs/>
          <w:lang w:eastAsia="x-none"/>
        </w:rPr>
        <w:t>For X=4: (Y</w:t>
      </w:r>
      <w:r w:rsidRPr="00EF396B">
        <w:rPr>
          <w:b/>
          <w:bCs/>
          <w:i/>
          <w:iCs/>
          <w:vertAlign w:val="subscript"/>
          <w:lang w:eastAsia="x-none"/>
        </w:rPr>
        <w:t>Group1</w:t>
      </w:r>
      <w:r w:rsidRPr="00EF396B">
        <w:rPr>
          <w:b/>
          <w:bCs/>
          <w:i/>
          <w:iCs/>
          <w:lang w:eastAsia="x-none"/>
        </w:rPr>
        <w:t>,Y</w:t>
      </w:r>
      <w:r w:rsidRPr="00EF396B">
        <w:rPr>
          <w:b/>
          <w:bCs/>
          <w:i/>
          <w:iCs/>
          <w:vertAlign w:val="subscript"/>
          <w:lang w:eastAsia="x-none"/>
        </w:rPr>
        <w:t>Group2</w:t>
      </w:r>
      <w:r w:rsidRPr="00EF396B">
        <w:rPr>
          <w:b/>
          <w:bCs/>
          <w:i/>
          <w:iCs/>
          <w:lang w:eastAsia="x-none"/>
        </w:rPr>
        <w:t>) = (2,2), (1,1)</w:t>
      </w:r>
    </w:p>
    <w:p w14:paraId="20AA5133" w14:textId="77777777" w:rsidR="00653CF8" w:rsidRDefault="00653CF8" w:rsidP="00653CF8">
      <w:pPr>
        <w:numPr>
          <w:ilvl w:val="2"/>
          <w:numId w:val="30"/>
        </w:numPr>
        <w:overflowPunct/>
        <w:autoSpaceDE/>
        <w:autoSpaceDN/>
        <w:adjustRightInd/>
        <w:spacing w:after="0"/>
        <w:textAlignment w:val="auto"/>
        <w:rPr>
          <w:b/>
          <w:bCs/>
          <w:i/>
          <w:iCs/>
          <w:lang w:eastAsia="x-none"/>
        </w:rPr>
      </w:pPr>
      <w:r w:rsidRPr="00EF396B">
        <w:rPr>
          <w:b/>
          <w:bCs/>
          <w:i/>
          <w:iCs/>
          <w:lang w:eastAsia="x-none"/>
        </w:rPr>
        <w:t>For X=2: (Y</w:t>
      </w:r>
      <w:r w:rsidRPr="00EF396B">
        <w:rPr>
          <w:b/>
          <w:bCs/>
          <w:i/>
          <w:iCs/>
          <w:vertAlign w:val="subscript"/>
          <w:lang w:eastAsia="x-none"/>
        </w:rPr>
        <w:t>Group1</w:t>
      </w:r>
      <w:r w:rsidRPr="00EF396B">
        <w:rPr>
          <w:b/>
          <w:bCs/>
          <w:i/>
          <w:iCs/>
          <w:lang w:eastAsia="x-none"/>
        </w:rPr>
        <w:t>,Y</w:t>
      </w:r>
      <w:r w:rsidRPr="00EF396B">
        <w:rPr>
          <w:b/>
          <w:bCs/>
          <w:i/>
          <w:iCs/>
          <w:vertAlign w:val="subscript"/>
          <w:lang w:eastAsia="x-none"/>
        </w:rPr>
        <w:t>Group2</w:t>
      </w:r>
      <w:r w:rsidRPr="00EF396B">
        <w:rPr>
          <w:b/>
          <w:bCs/>
          <w:i/>
          <w:iCs/>
          <w:lang w:eastAsia="x-none"/>
        </w:rPr>
        <w:t>) = (1,1)</w:t>
      </w:r>
    </w:p>
    <w:p w14:paraId="40F9D1E4" w14:textId="77777777" w:rsidR="00653CF8" w:rsidRPr="00EF396B" w:rsidRDefault="00653CF8" w:rsidP="00653CF8">
      <w:pPr>
        <w:numPr>
          <w:ilvl w:val="2"/>
          <w:numId w:val="30"/>
        </w:numPr>
        <w:overflowPunct/>
        <w:autoSpaceDE/>
        <w:autoSpaceDN/>
        <w:adjustRightInd/>
        <w:spacing w:after="0"/>
        <w:textAlignment w:val="auto"/>
        <w:rPr>
          <w:b/>
          <w:bCs/>
          <w:i/>
          <w:iCs/>
          <w:lang w:eastAsia="x-none"/>
        </w:rPr>
      </w:pPr>
      <w:r>
        <w:rPr>
          <w:b/>
          <w:bCs/>
          <w:i/>
          <w:iCs/>
          <w:lang w:eastAsia="x-none"/>
        </w:rPr>
        <w:t xml:space="preserve">In case of other supported values, </w:t>
      </w:r>
      <w:r w:rsidRPr="00226823">
        <w:rPr>
          <w:b/>
          <w:bCs/>
          <w:i/>
          <w:iCs/>
          <w:lang w:eastAsia="x-none"/>
        </w:rPr>
        <w:t>Y</w:t>
      </w:r>
      <w:r w:rsidRPr="00226823">
        <w:rPr>
          <w:b/>
          <w:bCs/>
          <w:i/>
          <w:iCs/>
          <w:vertAlign w:val="subscript"/>
          <w:lang w:eastAsia="x-none"/>
        </w:rPr>
        <w:t xml:space="preserve">Group1 </w:t>
      </w:r>
      <w:r w:rsidRPr="00226823">
        <w:rPr>
          <w:b/>
          <w:bCs/>
          <w:i/>
          <w:iCs/>
          <w:lang w:eastAsia="x-none"/>
        </w:rPr>
        <w:t>should always be less than or equal to X/2</w:t>
      </w:r>
    </w:p>
    <w:p w14:paraId="4AF5F2CA" w14:textId="77777777" w:rsidR="00653CF8" w:rsidRPr="00EF396B" w:rsidRDefault="00653CF8" w:rsidP="00653CF8">
      <w:pPr>
        <w:numPr>
          <w:ilvl w:val="1"/>
          <w:numId w:val="30"/>
        </w:numPr>
        <w:overflowPunct/>
        <w:autoSpaceDE/>
        <w:autoSpaceDN/>
        <w:adjustRightInd/>
        <w:spacing w:after="0"/>
        <w:textAlignment w:val="auto"/>
        <w:rPr>
          <w:b/>
          <w:bCs/>
          <w:i/>
          <w:iCs/>
          <w:lang w:eastAsia="x-none"/>
        </w:rPr>
      </w:pPr>
      <w:r w:rsidRPr="00EF396B">
        <w:rPr>
          <w:b/>
          <w:bCs/>
          <w:i/>
          <w:iCs/>
          <w:lang w:eastAsia="x-none"/>
        </w:rPr>
        <w:t>Group (1) SS: Type 1 CSS with dedicated RRC configuration and type 3 CSS, UE specific SS</w:t>
      </w:r>
    </w:p>
    <w:p w14:paraId="58701CDA" w14:textId="422C8CB7" w:rsidR="00653CF8" w:rsidRDefault="00653CF8" w:rsidP="00653CF8">
      <w:pPr>
        <w:numPr>
          <w:ilvl w:val="1"/>
          <w:numId w:val="30"/>
        </w:numPr>
        <w:overflowPunct/>
        <w:autoSpaceDE/>
        <w:autoSpaceDN/>
        <w:adjustRightInd/>
        <w:spacing w:after="0"/>
        <w:textAlignment w:val="auto"/>
        <w:rPr>
          <w:b/>
          <w:bCs/>
          <w:i/>
          <w:iCs/>
          <w:lang w:eastAsia="x-none"/>
        </w:rPr>
      </w:pPr>
      <w:r w:rsidRPr="00EF396B">
        <w:rPr>
          <w:b/>
          <w:bCs/>
          <w:i/>
          <w:iCs/>
          <w:lang w:eastAsia="x-none"/>
        </w:rPr>
        <w:t>Group (2) SS: Type 1 CSS without dedicated RRC configuration and type 0, 0A, and 2 CSS</w:t>
      </w:r>
    </w:p>
    <w:p w14:paraId="421F12E2" w14:textId="77777777" w:rsidR="00653CF8" w:rsidRPr="00EF396B" w:rsidRDefault="00653CF8" w:rsidP="00653CF8">
      <w:pPr>
        <w:overflowPunct/>
        <w:autoSpaceDE/>
        <w:autoSpaceDN/>
        <w:adjustRightInd/>
        <w:spacing w:after="0"/>
        <w:ind w:left="1440"/>
        <w:textAlignment w:val="auto"/>
        <w:rPr>
          <w:b/>
          <w:bCs/>
          <w:i/>
          <w:iCs/>
          <w:lang w:eastAsia="x-none"/>
        </w:rPr>
      </w:pPr>
    </w:p>
    <w:p w14:paraId="3521D3C8" w14:textId="77777777" w:rsidR="00653CF8" w:rsidRPr="005848DA" w:rsidRDefault="00653CF8" w:rsidP="00653CF8">
      <w:pPr>
        <w:pStyle w:val="ListParagraph"/>
        <w:spacing w:after="160"/>
        <w:ind w:left="0"/>
        <w:jc w:val="both"/>
        <w:rPr>
          <w:b/>
          <w:bCs/>
          <w:i/>
          <w:iCs/>
          <w:lang w:eastAsia="zh-CN"/>
        </w:rPr>
      </w:pPr>
    </w:p>
    <w:p w14:paraId="4BBE2FE9" w14:textId="77777777" w:rsidR="00653CF8" w:rsidRPr="009C7A87" w:rsidRDefault="00653CF8" w:rsidP="00653CF8">
      <w:pPr>
        <w:pStyle w:val="ListParagraph"/>
        <w:spacing w:after="160"/>
        <w:ind w:left="0"/>
        <w:jc w:val="both"/>
        <w:rPr>
          <w:b/>
          <w:bCs/>
          <w:i/>
          <w:iCs/>
          <w:lang w:eastAsia="zh-CN"/>
        </w:rPr>
      </w:pPr>
      <w:r w:rsidRPr="009C7A87">
        <w:rPr>
          <w:b/>
          <w:bCs/>
          <w:i/>
          <w:iCs/>
          <w:lang w:eastAsia="zh-CN"/>
        </w:rPr>
        <w:lastRenderedPageBreak/>
        <w:t xml:space="preserve">Proposal 2: </w:t>
      </w:r>
      <w:r w:rsidRPr="009C7A87">
        <w:rPr>
          <w:b/>
          <w:bCs/>
          <w:i/>
          <w:iCs/>
        </w:rPr>
        <w:t xml:space="preserve">For supporting NR between 52.6 GHz and 71 GHz with high subcarrier spacing values including 480kHz and 960kHz, then dropping of Group(1) SS </w:t>
      </w:r>
      <w:r>
        <w:rPr>
          <w:b/>
          <w:bCs/>
          <w:i/>
          <w:iCs/>
        </w:rPr>
        <w:t xml:space="preserve">MOs and/or Group(2) SS MOs </w:t>
      </w:r>
      <w:r w:rsidRPr="009C7A87">
        <w:rPr>
          <w:b/>
          <w:bCs/>
          <w:i/>
          <w:iCs/>
        </w:rPr>
        <w:t>in the slot where the shift is first applied should be supported</w:t>
      </w:r>
    </w:p>
    <w:p w14:paraId="5A40D443" w14:textId="77777777" w:rsidR="00653CF8" w:rsidRDefault="00653CF8" w:rsidP="00653CF8">
      <w:pPr>
        <w:jc w:val="both"/>
        <w:rPr>
          <w:b/>
          <w:i/>
          <w:iCs/>
        </w:rPr>
      </w:pPr>
      <w:r>
        <w:rPr>
          <w:b/>
          <w:i/>
          <w:iCs/>
          <w:lang w:eastAsia="ja-JP"/>
        </w:rPr>
        <w:t>Proposal 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041BE749" w14:textId="77777777" w:rsidR="00653CF8" w:rsidRDefault="00653CF8" w:rsidP="00653CF8">
      <w:pPr>
        <w:spacing w:after="0"/>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duration longer than 3 symbols should be supported:</w:t>
      </w:r>
    </w:p>
    <w:p w14:paraId="3D847FEF" w14:textId="77777777" w:rsidR="00653CF8" w:rsidRPr="00003D0F" w:rsidRDefault="00653CF8" w:rsidP="00653CF8">
      <w:pPr>
        <w:pStyle w:val="ListParagraph"/>
        <w:numPr>
          <w:ilvl w:val="0"/>
          <w:numId w:val="18"/>
        </w:numPr>
        <w:jc w:val="both"/>
        <w:rPr>
          <w:b/>
          <w:i/>
          <w:iCs/>
        </w:rPr>
      </w:pPr>
      <w:r w:rsidRPr="00003D0F">
        <w:rPr>
          <w:b/>
          <w:i/>
          <w:iCs/>
        </w:rPr>
        <w:t>FFS: Maximum duration up to 14 symbols in a slot</w:t>
      </w:r>
    </w:p>
    <w:p w14:paraId="1F2CD84E" w14:textId="77777777" w:rsidR="00653CF8" w:rsidRDefault="00653CF8" w:rsidP="00653CF8">
      <w:pPr>
        <w:jc w:val="both"/>
        <w:rPr>
          <w:b/>
          <w:i/>
          <w:iCs/>
        </w:rPr>
      </w:pPr>
      <w:r>
        <w:rPr>
          <w:b/>
          <w:i/>
          <w:iCs/>
          <w:lang w:eastAsia="ja-JP"/>
        </w:rPr>
        <w:t>Proposal 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52BD45D3" w14:textId="77777777" w:rsidR="00653CF8" w:rsidRDefault="00653CF8" w:rsidP="00653CF8">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6</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16A61FF9" w14:textId="7B71855B" w:rsidR="008C4EC8" w:rsidRPr="009F4DFD" w:rsidRDefault="008C4EC8" w:rsidP="009F4DFD">
      <w:pPr>
        <w:spacing w:after="0"/>
        <w:jc w:val="both"/>
        <w:rPr>
          <w:rFonts w:asciiTheme="majorBidi" w:hAnsiTheme="majorBidi" w:cstheme="majorBidi"/>
          <w:b/>
          <w:bCs/>
          <w:i/>
          <w:iCs/>
          <w:lang w:eastAsia="zh-CN"/>
        </w:rPr>
      </w:pPr>
    </w:p>
    <w:p w14:paraId="6742E45E" w14:textId="77777777" w:rsidR="00EB3BCB" w:rsidRPr="00D1623A" w:rsidRDefault="00EB3BCB" w:rsidP="00011B53">
      <w:pPr>
        <w:tabs>
          <w:tab w:val="left" w:pos="1275"/>
        </w:tabs>
        <w:overflowPunct/>
        <w:spacing w:after="120" w:line="252" w:lineRule="auto"/>
        <w:jc w:val="both"/>
        <w:textAlignment w:val="auto"/>
        <w:rPr>
          <w:rFonts w:asciiTheme="majorBidi" w:hAnsiTheme="majorBidi" w:cstheme="majorBidi"/>
          <w:b/>
          <w:bCs/>
          <w:i/>
          <w:iCs/>
          <w:lang w:eastAsia="zh-CN"/>
        </w:rPr>
      </w:pPr>
    </w:p>
    <w:p w14:paraId="388AD2B8" w14:textId="76DC2FB5" w:rsidR="00790DD7" w:rsidRPr="000B409F" w:rsidRDefault="006B2A90"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0416EC4E" w:rsidR="003A0821" w:rsidRDefault="003A0821" w:rsidP="00A40260">
      <w:pPr>
        <w:spacing w:beforeLines="50" w:before="120"/>
        <w:jc w:val="both"/>
      </w:pPr>
      <w:r>
        <w:t>[</w:t>
      </w:r>
      <w:r w:rsidR="00713F0E">
        <w:t>1</w:t>
      </w:r>
      <w:r>
        <w:t>]</w:t>
      </w:r>
      <w:r>
        <w:tab/>
        <w:t>3GPP RP-</w:t>
      </w:r>
      <w:r w:rsidR="00196FFB">
        <w:t>2</w:t>
      </w:r>
      <w:r w:rsidR="004132C4">
        <w:t>1</w:t>
      </w:r>
      <w:r w:rsidR="00527FE6">
        <w:t>1584</w:t>
      </w:r>
      <w:r>
        <w:t>, “</w:t>
      </w:r>
      <w:r w:rsidR="001552C4" w:rsidRPr="001552C4">
        <w:rPr>
          <w:i/>
          <w:iCs/>
        </w:rPr>
        <w:t>Revised WID:  Extending current NR operation to 71 GHz</w:t>
      </w:r>
      <w:r>
        <w:t xml:space="preserve">”, </w:t>
      </w:r>
      <w:r w:rsidR="00196FFB">
        <w:t>CMCC</w:t>
      </w:r>
    </w:p>
    <w:p w14:paraId="15B5344E" w14:textId="371411DF" w:rsidR="00CB78E4" w:rsidRPr="00202DD5" w:rsidRDefault="00CB78E4" w:rsidP="00CB78E4">
      <w:pPr>
        <w:spacing w:beforeLines="50" w:before="120"/>
        <w:ind w:left="720" w:hanging="720"/>
        <w:jc w:val="both"/>
        <w:rPr>
          <w:lang w:val="de-DE"/>
        </w:rPr>
      </w:pPr>
      <w:r w:rsidRPr="00202DD5">
        <w:rPr>
          <w:lang w:val="de-DE"/>
        </w:rPr>
        <w:t>[</w:t>
      </w:r>
      <w:r w:rsidR="008A7B2A" w:rsidRPr="00202DD5">
        <w:rPr>
          <w:lang w:val="de-DE"/>
        </w:rPr>
        <w:t>2</w:t>
      </w:r>
      <w:r w:rsidRPr="00202DD5">
        <w:rPr>
          <w:lang w:val="de-DE"/>
        </w:rPr>
        <w:t xml:space="preserve">] </w:t>
      </w:r>
      <w:r w:rsidRPr="00202DD5">
        <w:rPr>
          <w:lang w:val="de-DE"/>
        </w:rPr>
        <w:tab/>
        <w:t>3GPP RAN1#106</w:t>
      </w:r>
      <w:r w:rsidR="000272C7" w:rsidRPr="00202DD5">
        <w:rPr>
          <w:lang w:val="de-DE"/>
        </w:rPr>
        <w:t>bis</w:t>
      </w:r>
      <w:r w:rsidRPr="00202DD5">
        <w:rPr>
          <w:lang w:val="de-DE"/>
        </w:rPr>
        <w:t>-e, “</w:t>
      </w:r>
      <w:r w:rsidRPr="00202DD5">
        <w:rPr>
          <w:i/>
          <w:iCs/>
          <w:lang w:val="de-DE"/>
        </w:rPr>
        <w:t>Chairman Notes</w:t>
      </w:r>
    </w:p>
    <w:sectPr w:rsidR="00CB78E4" w:rsidRPr="00202DD5" w:rsidSect="00B975F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19385" w14:textId="77777777" w:rsidR="00915CE7" w:rsidRDefault="00915CE7">
      <w:pPr>
        <w:spacing w:after="0"/>
      </w:pPr>
      <w:r>
        <w:separator/>
      </w:r>
    </w:p>
  </w:endnote>
  <w:endnote w:type="continuationSeparator" w:id="0">
    <w:p w14:paraId="33E3FF4F" w14:textId="77777777" w:rsidR="00915CE7" w:rsidRDefault="00915C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E37C8" w14:textId="77777777" w:rsidR="00915CE7" w:rsidRDefault="00915CE7">
      <w:pPr>
        <w:spacing w:after="0"/>
      </w:pPr>
      <w:r>
        <w:separator/>
      </w:r>
    </w:p>
  </w:footnote>
  <w:footnote w:type="continuationSeparator" w:id="0">
    <w:p w14:paraId="372A020E" w14:textId="77777777" w:rsidR="00915CE7" w:rsidRDefault="00915C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D7ADC"/>
    <w:multiLevelType w:val="hybridMultilevel"/>
    <w:tmpl w:val="204C7B3A"/>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C2969"/>
    <w:multiLevelType w:val="hybridMultilevel"/>
    <w:tmpl w:val="70F61EEC"/>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4"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F72302A"/>
    <w:multiLevelType w:val="hybridMultilevel"/>
    <w:tmpl w:val="D5A24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27E1AD2"/>
    <w:multiLevelType w:val="hybridMultilevel"/>
    <w:tmpl w:val="5CA6E026"/>
    <w:lvl w:ilvl="0" w:tplc="B9EACEFC">
      <w:start w:val="1"/>
      <w:numFmt w:val="bullet"/>
      <w:lvlText w:val="•"/>
      <w:lvlJc w:val="left"/>
      <w:pPr>
        <w:tabs>
          <w:tab w:val="num" w:pos="720"/>
        </w:tabs>
        <w:ind w:left="720" w:hanging="360"/>
      </w:pPr>
      <w:rPr>
        <w:rFonts w:ascii="Arial" w:hAnsi="Arial" w:hint="default"/>
      </w:rPr>
    </w:lvl>
    <w:lvl w:ilvl="1" w:tplc="29B4260A">
      <w:numFmt w:val="bullet"/>
      <w:lvlText w:val="–"/>
      <w:lvlJc w:val="left"/>
      <w:pPr>
        <w:tabs>
          <w:tab w:val="num" w:pos="1440"/>
        </w:tabs>
        <w:ind w:left="1440" w:hanging="360"/>
      </w:pPr>
      <w:rPr>
        <w:rFonts w:ascii="Arial" w:hAnsi="Arial" w:hint="default"/>
      </w:rPr>
    </w:lvl>
    <w:lvl w:ilvl="2" w:tplc="9A5E9F88" w:tentative="1">
      <w:start w:val="1"/>
      <w:numFmt w:val="bullet"/>
      <w:lvlText w:val="•"/>
      <w:lvlJc w:val="left"/>
      <w:pPr>
        <w:tabs>
          <w:tab w:val="num" w:pos="2160"/>
        </w:tabs>
        <w:ind w:left="2160" w:hanging="360"/>
      </w:pPr>
      <w:rPr>
        <w:rFonts w:ascii="Arial" w:hAnsi="Arial" w:hint="default"/>
      </w:rPr>
    </w:lvl>
    <w:lvl w:ilvl="3" w:tplc="D48EE364" w:tentative="1">
      <w:start w:val="1"/>
      <w:numFmt w:val="bullet"/>
      <w:lvlText w:val="•"/>
      <w:lvlJc w:val="left"/>
      <w:pPr>
        <w:tabs>
          <w:tab w:val="num" w:pos="2880"/>
        </w:tabs>
        <w:ind w:left="2880" w:hanging="360"/>
      </w:pPr>
      <w:rPr>
        <w:rFonts w:ascii="Arial" w:hAnsi="Arial" w:hint="default"/>
      </w:rPr>
    </w:lvl>
    <w:lvl w:ilvl="4" w:tplc="F94A49B0" w:tentative="1">
      <w:start w:val="1"/>
      <w:numFmt w:val="bullet"/>
      <w:lvlText w:val="•"/>
      <w:lvlJc w:val="left"/>
      <w:pPr>
        <w:tabs>
          <w:tab w:val="num" w:pos="3600"/>
        </w:tabs>
        <w:ind w:left="3600" w:hanging="360"/>
      </w:pPr>
      <w:rPr>
        <w:rFonts w:ascii="Arial" w:hAnsi="Arial" w:hint="default"/>
      </w:rPr>
    </w:lvl>
    <w:lvl w:ilvl="5" w:tplc="32E600E8" w:tentative="1">
      <w:start w:val="1"/>
      <w:numFmt w:val="bullet"/>
      <w:lvlText w:val="•"/>
      <w:lvlJc w:val="left"/>
      <w:pPr>
        <w:tabs>
          <w:tab w:val="num" w:pos="4320"/>
        </w:tabs>
        <w:ind w:left="4320" w:hanging="360"/>
      </w:pPr>
      <w:rPr>
        <w:rFonts w:ascii="Arial" w:hAnsi="Arial" w:hint="default"/>
      </w:rPr>
    </w:lvl>
    <w:lvl w:ilvl="6" w:tplc="46BABE5E" w:tentative="1">
      <w:start w:val="1"/>
      <w:numFmt w:val="bullet"/>
      <w:lvlText w:val="•"/>
      <w:lvlJc w:val="left"/>
      <w:pPr>
        <w:tabs>
          <w:tab w:val="num" w:pos="5040"/>
        </w:tabs>
        <w:ind w:left="5040" w:hanging="360"/>
      </w:pPr>
      <w:rPr>
        <w:rFonts w:ascii="Arial" w:hAnsi="Arial" w:hint="default"/>
      </w:rPr>
    </w:lvl>
    <w:lvl w:ilvl="7" w:tplc="A7E0CED2" w:tentative="1">
      <w:start w:val="1"/>
      <w:numFmt w:val="bullet"/>
      <w:lvlText w:val="•"/>
      <w:lvlJc w:val="left"/>
      <w:pPr>
        <w:tabs>
          <w:tab w:val="num" w:pos="5760"/>
        </w:tabs>
        <w:ind w:left="5760" w:hanging="360"/>
      </w:pPr>
      <w:rPr>
        <w:rFonts w:ascii="Arial" w:hAnsi="Arial" w:hint="default"/>
      </w:rPr>
    </w:lvl>
    <w:lvl w:ilvl="8" w:tplc="CC7642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2E4D07"/>
    <w:multiLevelType w:val="hybridMultilevel"/>
    <w:tmpl w:val="204C7B3A"/>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6B1CB1"/>
    <w:multiLevelType w:val="hybridMultilevel"/>
    <w:tmpl w:val="70F61EEC"/>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47D2213"/>
    <w:multiLevelType w:val="hybridMultilevel"/>
    <w:tmpl w:val="D7D24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9"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27"/>
  </w:num>
  <w:num w:numId="4">
    <w:abstractNumId w:val="24"/>
  </w:num>
  <w:num w:numId="5">
    <w:abstractNumId w:val="2"/>
  </w:num>
  <w:num w:numId="6">
    <w:abstractNumId w:val="1"/>
  </w:num>
  <w:num w:numId="7">
    <w:abstractNumId w:val="10"/>
  </w:num>
  <w:num w:numId="8">
    <w:abstractNumId w:val="6"/>
  </w:num>
  <w:num w:numId="9">
    <w:abstractNumId w:val="9"/>
  </w:num>
  <w:num w:numId="10">
    <w:abstractNumId w:val="14"/>
  </w:num>
  <w:num w:numId="11">
    <w:abstractNumId w:val="3"/>
  </w:num>
  <w:num w:numId="12">
    <w:abstractNumId w:val="13"/>
  </w:num>
  <w:num w:numId="13">
    <w:abstractNumId w:val="20"/>
  </w:num>
  <w:num w:numId="14">
    <w:abstractNumId w:val="29"/>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8"/>
  </w:num>
  <w:num w:numId="18">
    <w:abstractNumId w:val="11"/>
  </w:num>
  <w:num w:numId="19">
    <w:abstractNumId w:val="19"/>
  </w:num>
  <w:num w:numId="20">
    <w:abstractNumId w:val="15"/>
  </w:num>
  <w:num w:numId="21">
    <w:abstractNumId w:val="17"/>
  </w:num>
  <w:num w:numId="22">
    <w:abstractNumId w:val="7"/>
  </w:num>
  <w:num w:numId="23">
    <w:abstractNumId w:val="23"/>
  </w:num>
  <w:num w:numId="24">
    <w:abstractNumId w:val="0"/>
  </w:num>
  <w:num w:numId="25">
    <w:abstractNumId w:val="18"/>
  </w:num>
  <w:num w:numId="26">
    <w:abstractNumId w:val="21"/>
  </w:num>
  <w:num w:numId="27">
    <w:abstractNumId w:val="22"/>
  </w:num>
  <w:num w:numId="28">
    <w:abstractNumId w:val="8"/>
  </w:num>
  <w:num w:numId="29">
    <w:abstractNumId w:val="5"/>
  </w:num>
  <w:num w:numId="30">
    <w:abstractNumId w:val="26"/>
  </w:num>
  <w:num w:numId="31">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3F0E"/>
    <w:rsid w:val="00005030"/>
    <w:rsid w:val="00005D7F"/>
    <w:rsid w:val="000069B9"/>
    <w:rsid w:val="00006C38"/>
    <w:rsid w:val="00007165"/>
    <w:rsid w:val="000076CC"/>
    <w:rsid w:val="0001095B"/>
    <w:rsid w:val="00010DC3"/>
    <w:rsid w:val="00011B53"/>
    <w:rsid w:val="00015540"/>
    <w:rsid w:val="00020857"/>
    <w:rsid w:val="00022C4B"/>
    <w:rsid w:val="000230AF"/>
    <w:rsid w:val="00023614"/>
    <w:rsid w:val="00023710"/>
    <w:rsid w:val="000264B8"/>
    <w:rsid w:val="00026DC5"/>
    <w:rsid w:val="000270EA"/>
    <w:rsid w:val="000271A1"/>
    <w:rsid w:val="000272C7"/>
    <w:rsid w:val="00031EE2"/>
    <w:rsid w:val="000331B4"/>
    <w:rsid w:val="00033DB1"/>
    <w:rsid w:val="000357D7"/>
    <w:rsid w:val="00036903"/>
    <w:rsid w:val="000402EC"/>
    <w:rsid w:val="00041822"/>
    <w:rsid w:val="000422CE"/>
    <w:rsid w:val="00043EA5"/>
    <w:rsid w:val="000560AF"/>
    <w:rsid w:val="00056528"/>
    <w:rsid w:val="000606A5"/>
    <w:rsid w:val="0006151A"/>
    <w:rsid w:val="000671D6"/>
    <w:rsid w:val="0006735F"/>
    <w:rsid w:val="00073D62"/>
    <w:rsid w:val="000756A6"/>
    <w:rsid w:val="0007709B"/>
    <w:rsid w:val="00081F11"/>
    <w:rsid w:val="0008305E"/>
    <w:rsid w:val="00086A91"/>
    <w:rsid w:val="0009166C"/>
    <w:rsid w:val="00095BA9"/>
    <w:rsid w:val="00096CB1"/>
    <w:rsid w:val="000A2A2A"/>
    <w:rsid w:val="000A416F"/>
    <w:rsid w:val="000B2B28"/>
    <w:rsid w:val="000B394E"/>
    <w:rsid w:val="000B3A78"/>
    <w:rsid w:val="000B4071"/>
    <w:rsid w:val="000C0C40"/>
    <w:rsid w:val="000C1EF4"/>
    <w:rsid w:val="000C2B74"/>
    <w:rsid w:val="000C458D"/>
    <w:rsid w:val="000C562C"/>
    <w:rsid w:val="000C73A8"/>
    <w:rsid w:val="000D1DD3"/>
    <w:rsid w:val="000D4899"/>
    <w:rsid w:val="000D4D06"/>
    <w:rsid w:val="000E05EE"/>
    <w:rsid w:val="000E190D"/>
    <w:rsid w:val="000F1868"/>
    <w:rsid w:val="000F21B0"/>
    <w:rsid w:val="000F2FCE"/>
    <w:rsid w:val="000F4C7C"/>
    <w:rsid w:val="000F50FA"/>
    <w:rsid w:val="000F7B1F"/>
    <w:rsid w:val="00102157"/>
    <w:rsid w:val="00102F82"/>
    <w:rsid w:val="001047AA"/>
    <w:rsid w:val="001057C9"/>
    <w:rsid w:val="001067E6"/>
    <w:rsid w:val="00107E45"/>
    <w:rsid w:val="001104EF"/>
    <w:rsid w:val="00110C14"/>
    <w:rsid w:val="00115A44"/>
    <w:rsid w:val="00115B63"/>
    <w:rsid w:val="0012198A"/>
    <w:rsid w:val="001228F3"/>
    <w:rsid w:val="0012610D"/>
    <w:rsid w:val="00126FB9"/>
    <w:rsid w:val="00132171"/>
    <w:rsid w:val="00133D01"/>
    <w:rsid w:val="001341D1"/>
    <w:rsid w:val="0013433F"/>
    <w:rsid w:val="00136A59"/>
    <w:rsid w:val="0014036F"/>
    <w:rsid w:val="0014114E"/>
    <w:rsid w:val="00141D86"/>
    <w:rsid w:val="00141FAE"/>
    <w:rsid w:val="00143172"/>
    <w:rsid w:val="001438EF"/>
    <w:rsid w:val="0014729A"/>
    <w:rsid w:val="00150450"/>
    <w:rsid w:val="0015078F"/>
    <w:rsid w:val="00150F5F"/>
    <w:rsid w:val="0015212A"/>
    <w:rsid w:val="00152571"/>
    <w:rsid w:val="00153A1C"/>
    <w:rsid w:val="001552C4"/>
    <w:rsid w:val="00155F34"/>
    <w:rsid w:val="00157CB5"/>
    <w:rsid w:val="001603B4"/>
    <w:rsid w:val="00162A35"/>
    <w:rsid w:val="00170A52"/>
    <w:rsid w:val="00171CBA"/>
    <w:rsid w:val="00174DF4"/>
    <w:rsid w:val="00177AA3"/>
    <w:rsid w:val="00180C2B"/>
    <w:rsid w:val="00181D34"/>
    <w:rsid w:val="00182C32"/>
    <w:rsid w:val="00183B8D"/>
    <w:rsid w:val="00183D1D"/>
    <w:rsid w:val="001842B8"/>
    <w:rsid w:val="00185D56"/>
    <w:rsid w:val="001873F7"/>
    <w:rsid w:val="00187556"/>
    <w:rsid w:val="00192B7F"/>
    <w:rsid w:val="00192D02"/>
    <w:rsid w:val="00192F4C"/>
    <w:rsid w:val="00194625"/>
    <w:rsid w:val="001949AF"/>
    <w:rsid w:val="00196FFB"/>
    <w:rsid w:val="001A000F"/>
    <w:rsid w:val="001A028F"/>
    <w:rsid w:val="001A0787"/>
    <w:rsid w:val="001A1094"/>
    <w:rsid w:val="001A17E5"/>
    <w:rsid w:val="001A1A04"/>
    <w:rsid w:val="001A327A"/>
    <w:rsid w:val="001A559A"/>
    <w:rsid w:val="001A72A2"/>
    <w:rsid w:val="001B12E0"/>
    <w:rsid w:val="001B179E"/>
    <w:rsid w:val="001B6901"/>
    <w:rsid w:val="001C088D"/>
    <w:rsid w:val="001C3735"/>
    <w:rsid w:val="001C62F6"/>
    <w:rsid w:val="001C6D78"/>
    <w:rsid w:val="001D0850"/>
    <w:rsid w:val="001D1F60"/>
    <w:rsid w:val="001D22F1"/>
    <w:rsid w:val="001D5272"/>
    <w:rsid w:val="001D5BBE"/>
    <w:rsid w:val="001D681E"/>
    <w:rsid w:val="001D7B42"/>
    <w:rsid w:val="001D7CFD"/>
    <w:rsid w:val="001E2EA4"/>
    <w:rsid w:val="001E3506"/>
    <w:rsid w:val="001E5445"/>
    <w:rsid w:val="001E68BE"/>
    <w:rsid w:val="001E7186"/>
    <w:rsid w:val="001F028A"/>
    <w:rsid w:val="001F0DAD"/>
    <w:rsid w:val="001F2B53"/>
    <w:rsid w:val="001F2FBB"/>
    <w:rsid w:val="001F4A0A"/>
    <w:rsid w:val="001F5320"/>
    <w:rsid w:val="00202015"/>
    <w:rsid w:val="00202DD5"/>
    <w:rsid w:val="002039B0"/>
    <w:rsid w:val="00203A90"/>
    <w:rsid w:val="00204AF0"/>
    <w:rsid w:val="002053BF"/>
    <w:rsid w:val="00206C2E"/>
    <w:rsid w:val="002075EB"/>
    <w:rsid w:val="00213D57"/>
    <w:rsid w:val="002212D9"/>
    <w:rsid w:val="00221A93"/>
    <w:rsid w:val="00222F63"/>
    <w:rsid w:val="002259B3"/>
    <w:rsid w:val="00226823"/>
    <w:rsid w:val="002339B5"/>
    <w:rsid w:val="002361AE"/>
    <w:rsid w:val="00236BEC"/>
    <w:rsid w:val="00236DDC"/>
    <w:rsid w:val="00240384"/>
    <w:rsid w:val="00244CEF"/>
    <w:rsid w:val="00247F0D"/>
    <w:rsid w:val="00250A46"/>
    <w:rsid w:val="00251514"/>
    <w:rsid w:val="00253839"/>
    <w:rsid w:val="002543F7"/>
    <w:rsid w:val="00255159"/>
    <w:rsid w:val="002559C4"/>
    <w:rsid w:val="00260B38"/>
    <w:rsid w:val="002623A4"/>
    <w:rsid w:val="002623E2"/>
    <w:rsid w:val="002625CB"/>
    <w:rsid w:val="00262722"/>
    <w:rsid w:val="00270012"/>
    <w:rsid w:val="00270FF8"/>
    <w:rsid w:val="002710B1"/>
    <w:rsid w:val="00272E2E"/>
    <w:rsid w:val="00273340"/>
    <w:rsid w:val="0027420D"/>
    <w:rsid w:val="00280239"/>
    <w:rsid w:val="002817ED"/>
    <w:rsid w:val="00284187"/>
    <w:rsid w:val="002849F4"/>
    <w:rsid w:val="00286EDB"/>
    <w:rsid w:val="00290C41"/>
    <w:rsid w:val="00291E2B"/>
    <w:rsid w:val="002952EE"/>
    <w:rsid w:val="002979E1"/>
    <w:rsid w:val="00297F0C"/>
    <w:rsid w:val="002A1C1A"/>
    <w:rsid w:val="002A4291"/>
    <w:rsid w:val="002A700E"/>
    <w:rsid w:val="002B0ECA"/>
    <w:rsid w:val="002B2950"/>
    <w:rsid w:val="002B682F"/>
    <w:rsid w:val="002B75AD"/>
    <w:rsid w:val="002C09D3"/>
    <w:rsid w:val="002C1642"/>
    <w:rsid w:val="002C1749"/>
    <w:rsid w:val="002C2290"/>
    <w:rsid w:val="002C40DF"/>
    <w:rsid w:val="002C61CE"/>
    <w:rsid w:val="002D0CA8"/>
    <w:rsid w:val="002D1FD7"/>
    <w:rsid w:val="002D318B"/>
    <w:rsid w:val="002D3841"/>
    <w:rsid w:val="002E05FB"/>
    <w:rsid w:val="002E0E5C"/>
    <w:rsid w:val="002E3BF0"/>
    <w:rsid w:val="002E6FFA"/>
    <w:rsid w:val="002F0081"/>
    <w:rsid w:val="002F091B"/>
    <w:rsid w:val="002F126F"/>
    <w:rsid w:val="002F340C"/>
    <w:rsid w:val="002F4AAF"/>
    <w:rsid w:val="002F4C54"/>
    <w:rsid w:val="0030439A"/>
    <w:rsid w:val="00304583"/>
    <w:rsid w:val="003054C4"/>
    <w:rsid w:val="00305B56"/>
    <w:rsid w:val="0030741B"/>
    <w:rsid w:val="00310A89"/>
    <w:rsid w:val="00311699"/>
    <w:rsid w:val="00313257"/>
    <w:rsid w:val="0031673E"/>
    <w:rsid w:val="003176A0"/>
    <w:rsid w:val="003176BE"/>
    <w:rsid w:val="003205B2"/>
    <w:rsid w:val="00320DC2"/>
    <w:rsid w:val="00321840"/>
    <w:rsid w:val="003221FE"/>
    <w:rsid w:val="003237DE"/>
    <w:rsid w:val="00325FF8"/>
    <w:rsid w:val="00330585"/>
    <w:rsid w:val="0033177D"/>
    <w:rsid w:val="00335461"/>
    <w:rsid w:val="003356B4"/>
    <w:rsid w:val="003359BF"/>
    <w:rsid w:val="00342813"/>
    <w:rsid w:val="00347C63"/>
    <w:rsid w:val="00352013"/>
    <w:rsid w:val="003521E6"/>
    <w:rsid w:val="00355530"/>
    <w:rsid w:val="00355BBC"/>
    <w:rsid w:val="00356E27"/>
    <w:rsid w:val="00356E4A"/>
    <w:rsid w:val="00363167"/>
    <w:rsid w:val="00363BBA"/>
    <w:rsid w:val="00366323"/>
    <w:rsid w:val="003731A2"/>
    <w:rsid w:val="003738FB"/>
    <w:rsid w:val="00376502"/>
    <w:rsid w:val="00377C96"/>
    <w:rsid w:val="00382791"/>
    <w:rsid w:val="00384DE3"/>
    <w:rsid w:val="00386069"/>
    <w:rsid w:val="00390674"/>
    <w:rsid w:val="00392DF0"/>
    <w:rsid w:val="003942A8"/>
    <w:rsid w:val="003963EE"/>
    <w:rsid w:val="00397863"/>
    <w:rsid w:val="003A0821"/>
    <w:rsid w:val="003A17C8"/>
    <w:rsid w:val="003A4FDF"/>
    <w:rsid w:val="003A5208"/>
    <w:rsid w:val="003A7A5D"/>
    <w:rsid w:val="003B03BE"/>
    <w:rsid w:val="003B0A29"/>
    <w:rsid w:val="003B11BC"/>
    <w:rsid w:val="003B1BCB"/>
    <w:rsid w:val="003B46B9"/>
    <w:rsid w:val="003B5DFC"/>
    <w:rsid w:val="003B79D1"/>
    <w:rsid w:val="003C16F0"/>
    <w:rsid w:val="003C5162"/>
    <w:rsid w:val="003C60BD"/>
    <w:rsid w:val="003C6862"/>
    <w:rsid w:val="003C6EDF"/>
    <w:rsid w:val="003D1867"/>
    <w:rsid w:val="003D4CEB"/>
    <w:rsid w:val="003D5896"/>
    <w:rsid w:val="003D70B9"/>
    <w:rsid w:val="003D719C"/>
    <w:rsid w:val="003E2BD0"/>
    <w:rsid w:val="003E2F9A"/>
    <w:rsid w:val="003E4B15"/>
    <w:rsid w:val="003E59A3"/>
    <w:rsid w:val="003E603B"/>
    <w:rsid w:val="003F0EA8"/>
    <w:rsid w:val="003F2794"/>
    <w:rsid w:val="003F2DD5"/>
    <w:rsid w:val="003F35C9"/>
    <w:rsid w:val="003F3F84"/>
    <w:rsid w:val="003F4707"/>
    <w:rsid w:val="003F6E0C"/>
    <w:rsid w:val="003F6E30"/>
    <w:rsid w:val="003F7CE8"/>
    <w:rsid w:val="004016B1"/>
    <w:rsid w:val="00405A83"/>
    <w:rsid w:val="00406600"/>
    <w:rsid w:val="00406BF5"/>
    <w:rsid w:val="00411011"/>
    <w:rsid w:val="004130F1"/>
    <w:rsid w:val="004132C4"/>
    <w:rsid w:val="00414E2A"/>
    <w:rsid w:val="00417A31"/>
    <w:rsid w:val="00420E60"/>
    <w:rsid w:val="004229CC"/>
    <w:rsid w:val="00431C40"/>
    <w:rsid w:val="00435AD6"/>
    <w:rsid w:val="00441805"/>
    <w:rsid w:val="0044192A"/>
    <w:rsid w:val="00443035"/>
    <w:rsid w:val="00443491"/>
    <w:rsid w:val="00447402"/>
    <w:rsid w:val="004479C6"/>
    <w:rsid w:val="004512DF"/>
    <w:rsid w:val="00453071"/>
    <w:rsid w:val="0045755D"/>
    <w:rsid w:val="004611B2"/>
    <w:rsid w:val="00462497"/>
    <w:rsid w:val="004655DA"/>
    <w:rsid w:val="004658AF"/>
    <w:rsid w:val="00465AC3"/>
    <w:rsid w:val="00465B44"/>
    <w:rsid w:val="00466996"/>
    <w:rsid w:val="004674E8"/>
    <w:rsid w:val="00472F88"/>
    <w:rsid w:val="0047719A"/>
    <w:rsid w:val="0048043C"/>
    <w:rsid w:val="00481565"/>
    <w:rsid w:val="00485218"/>
    <w:rsid w:val="00485C82"/>
    <w:rsid w:val="0048600B"/>
    <w:rsid w:val="004903FC"/>
    <w:rsid w:val="0049534F"/>
    <w:rsid w:val="00495CA0"/>
    <w:rsid w:val="0049664D"/>
    <w:rsid w:val="004A0747"/>
    <w:rsid w:val="004A1232"/>
    <w:rsid w:val="004B3DD4"/>
    <w:rsid w:val="004B3E56"/>
    <w:rsid w:val="004B4ECE"/>
    <w:rsid w:val="004B72C8"/>
    <w:rsid w:val="004B745C"/>
    <w:rsid w:val="004B747B"/>
    <w:rsid w:val="004C2072"/>
    <w:rsid w:val="004C220E"/>
    <w:rsid w:val="004C2D69"/>
    <w:rsid w:val="004C44EF"/>
    <w:rsid w:val="004C49E0"/>
    <w:rsid w:val="004C4F85"/>
    <w:rsid w:val="004C6570"/>
    <w:rsid w:val="004D0390"/>
    <w:rsid w:val="004D2DC9"/>
    <w:rsid w:val="004D3CA7"/>
    <w:rsid w:val="004D40BD"/>
    <w:rsid w:val="004D446D"/>
    <w:rsid w:val="004D6D0E"/>
    <w:rsid w:val="004E0AC9"/>
    <w:rsid w:val="004E1428"/>
    <w:rsid w:val="004E1969"/>
    <w:rsid w:val="004E1CE4"/>
    <w:rsid w:val="004E5CBB"/>
    <w:rsid w:val="004E774D"/>
    <w:rsid w:val="004F0869"/>
    <w:rsid w:val="004F0D57"/>
    <w:rsid w:val="004F78B9"/>
    <w:rsid w:val="00500200"/>
    <w:rsid w:val="0050071A"/>
    <w:rsid w:val="00500BF5"/>
    <w:rsid w:val="00501D54"/>
    <w:rsid w:val="005053F2"/>
    <w:rsid w:val="005072DC"/>
    <w:rsid w:val="00511366"/>
    <w:rsid w:val="00511AB6"/>
    <w:rsid w:val="00514EAC"/>
    <w:rsid w:val="0051636B"/>
    <w:rsid w:val="00521083"/>
    <w:rsid w:val="0052269D"/>
    <w:rsid w:val="005229C3"/>
    <w:rsid w:val="005231DF"/>
    <w:rsid w:val="005263EF"/>
    <w:rsid w:val="00527FE6"/>
    <w:rsid w:val="005358C9"/>
    <w:rsid w:val="00540686"/>
    <w:rsid w:val="005419BD"/>
    <w:rsid w:val="00541D33"/>
    <w:rsid w:val="00542266"/>
    <w:rsid w:val="00542CC0"/>
    <w:rsid w:val="005477A4"/>
    <w:rsid w:val="0055028F"/>
    <w:rsid w:val="00550A9B"/>
    <w:rsid w:val="00553B07"/>
    <w:rsid w:val="005542D6"/>
    <w:rsid w:val="0055738D"/>
    <w:rsid w:val="00560247"/>
    <w:rsid w:val="00561448"/>
    <w:rsid w:val="0056186D"/>
    <w:rsid w:val="00561DF9"/>
    <w:rsid w:val="00561F79"/>
    <w:rsid w:val="00563948"/>
    <w:rsid w:val="00563D5B"/>
    <w:rsid w:val="005711A1"/>
    <w:rsid w:val="0057150E"/>
    <w:rsid w:val="00572570"/>
    <w:rsid w:val="00574D23"/>
    <w:rsid w:val="00576BFF"/>
    <w:rsid w:val="005810CB"/>
    <w:rsid w:val="005848DA"/>
    <w:rsid w:val="00586DDF"/>
    <w:rsid w:val="005876BD"/>
    <w:rsid w:val="005878E9"/>
    <w:rsid w:val="0059043E"/>
    <w:rsid w:val="00590A39"/>
    <w:rsid w:val="00593B39"/>
    <w:rsid w:val="005969B5"/>
    <w:rsid w:val="005970B6"/>
    <w:rsid w:val="005A0408"/>
    <w:rsid w:val="005A29B3"/>
    <w:rsid w:val="005A2F27"/>
    <w:rsid w:val="005A4BC4"/>
    <w:rsid w:val="005A7164"/>
    <w:rsid w:val="005B466D"/>
    <w:rsid w:val="005B4E93"/>
    <w:rsid w:val="005B5959"/>
    <w:rsid w:val="005B6680"/>
    <w:rsid w:val="005C17FD"/>
    <w:rsid w:val="005C2CB9"/>
    <w:rsid w:val="005C48E8"/>
    <w:rsid w:val="005C609D"/>
    <w:rsid w:val="005C60B7"/>
    <w:rsid w:val="005C621A"/>
    <w:rsid w:val="005D0604"/>
    <w:rsid w:val="005D1F14"/>
    <w:rsid w:val="005D1F64"/>
    <w:rsid w:val="005D2031"/>
    <w:rsid w:val="005D2437"/>
    <w:rsid w:val="005D2A92"/>
    <w:rsid w:val="005D3807"/>
    <w:rsid w:val="005D3825"/>
    <w:rsid w:val="005D55B4"/>
    <w:rsid w:val="005D7616"/>
    <w:rsid w:val="005E0CA8"/>
    <w:rsid w:val="005E1108"/>
    <w:rsid w:val="005E1360"/>
    <w:rsid w:val="005E3610"/>
    <w:rsid w:val="005E4A1F"/>
    <w:rsid w:val="005F0652"/>
    <w:rsid w:val="005F16E2"/>
    <w:rsid w:val="005F2BAB"/>
    <w:rsid w:val="005F38F9"/>
    <w:rsid w:val="005F4CEE"/>
    <w:rsid w:val="005F6F1A"/>
    <w:rsid w:val="005F753A"/>
    <w:rsid w:val="00602DAE"/>
    <w:rsid w:val="006043EE"/>
    <w:rsid w:val="00604BC4"/>
    <w:rsid w:val="00604FFC"/>
    <w:rsid w:val="00606297"/>
    <w:rsid w:val="006067B1"/>
    <w:rsid w:val="006072F6"/>
    <w:rsid w:val="0061308B"/>
    <w:rsid w:val="00614860"/>
    <w:rsid w:val="00614C4F"/>
    <w:rsid w:val="0061758E"/>
    <w:rsid w:val="00620317"/>
    <w:rsid w:val="00620754"/>
    <w:rsid w:val="006227A7"/>
    <w:rsid w:val="006261FA"/>
    <w:rsid w:val="006320C8"/>
    <w:rsid w:val="006325C5"/>
    <w:rsid w:val="00636EEB"/>
    <w:rsid w:val="00636FFC"/>
    <w:rsid w:val="006403E7"/>
    <w:rsid w:val="00640DC5"/>
    <w:rsid w:val="00642B56"/>
    <w:rsid w:val="00644D23"/>
    <w:rsid w:val="00645311"/>
    <w:rsid w:val="00646BBD"/>
    <w:rsid w:val="0065026A"/>
    <w:rsid w:val="00653CF8"/>
    <w:rsid w:val="00663AF2"/>
    <w:rsid w:val="006678AD"/>
    <w:rsid w:val="00671BAD"/>
    <w:rsid w:val="00675887"/>
    <w:rsid w:val="00682882"/>
    <w:rsid w:val="00685B8E"/>
    <w:rsid w:val="006875F7"/>
    <w:rsid w:val="00687BFB"/>
    <w:rsid w:val="00690443"/>
    <w:rsid w:val="006907E6"/>
    <w:rsid w:val="006922DD"/>
    <w:rsid w:val="006951A0"/>
    <w:rsid w:val="006952AB"/>
    <w:rsid w:val="006A22D1"/>
    <w:rsid w:val="006A301F"/>
    <w:rsid w:val="006A6B08"/>
    <w:rsid w:val="006B1DB6"/>
    <w:rsid w:val="006B2A90"/>
    <w:rsid w:val="006B62AB"/>
    <w:rsid w:val="006B72BA"/>
    <w:rsid w:val="006B73BF"/>
    <w:rsid w:val="006C3F8C"/>
    <w:rsid w:val="006C56C8"/>
    <w:rsid w:val="006C5863"/>
    <w:rsid w:val="006C7255"/>
    <w:rsid w:val="006C732E"/>
    <w:rsid w:val="006D541A"/>
    <w:rsid w:val="006D7A1D"/>
    <w:rsid w:val="006E56CC"/>
    <w:rsid w:val="006E641D"/>
    <w:rsid w:val="006F0588"/>
    <w:rsid w:val="006F425A"/>
    <w:rsid w:val="006F43C0"/>
    <w:rsid w:val="006F6AC0"/>
    <w:rsid w:val="006F76F0"/>
    <w:rsid w:val="0070055E"/>
    <w:rsid w:val="00704042"/>
    <w:rsid w:val="00705CE4"/>
    <w:rsid w:val="00706554"/>
    <w:rsid w:val="007108A1"/>
    <w:rsid w:val="007108B7"/>
    <w:rsid w:val="0071248E"/>
    <w:rsid w:val="00713172"/>
    <w:rsid w:val="00713D19"/>
    <w:rsid w:val="00713F0E"/>
    <w:rsid w:val="0071534E"/>
    <w:rsid w:val="0071545A"/>
    <w:rsid w:val="00720763"/>
    <w:rsid w:val="00723F1C"/>
    <w:rsid w:val="00724574"/>
    <w:rsid w:val="00724B9A"/>
    <w:rsid w:val="00726840"/>
    <w:rsid w:val="00732235"/>
    <w:rsid w:val="007328FA"/>
    <w:rsid w:val="00732A75"/>
    <w:rsid w:val="007402E0"/>
    <w:rsid w:val="00741F85"/>
    <w:rsid w:val="00745B9E"/>
    <w:rsid w:val="00747357"/>
    <w:rsid w:val="00750C74"/>
    <w:rsid w:val="007513AB"/>
    <w:rsid w:val="00751650"/>
    <w:rsid w:val="0075513B"/>
    <w:rsid w:val="00755C9A"/>
    <w:rsid w:val="00756905"/>
    <w:rsid w:val="00757496"/>
    <w:rsid w:val="00757E9D"/>
    <w:rsid w:val="00760713"/>
    <w:rsid w:val="007633DF"/>
    <w:rsid w:val="0076369D"/>
    <w:rsid w:val="00764410"/>
    <w:rsid w:val="007654A0"/>
    <w:rsid w:val="007718DC"/>
    <w:rsid w:val="00780737"/>
    <w:rsid w:val="00782B04"/>
    <w:rsid w:val="00782E13"/>
    <w:rsid w:val="007837D9"/>
    <w:rsid w:val="00784F77"/>
    <w:rsid w:val="0078683C"/>
    <w:rsid w:val="00787FDF"/>
    <w:rsid w:val="00790DD7"/>
    <w:rsid w:val="0079412A"/>
    <w:rsid w:val="00795C44"/>
    <w:rsid w:val="00796813"/>
    <w:rsid w:val="007A2149"/>
    <w:rsid w:val="007A25C2"/>
    <w:rsid w:val="007A2A30"/>
    <w:rsid w:val="007A2D79"/>
    <w:rsid w:val="007A331E"/>
    <w:rsid w:val="007A50E1"/>
    <w:rsid w:val="007B36BD"/>
    <w:rsid w:val="007B498D"/>
    <w:rsid w:val="007B514A"/>
    <w:rsid w:val="007B58A4"/>
    <w:rsid w:val="007B6F9A"/>
    <w:rsid w:val="007B716B"/>
    <w:rsid w:val="007C1BB7"/>
    <w:rsid w:val="007C1BD7"/>
    <w:rsid w:val="007C7B83"/>
    <w:rsid w:val="007D05CA"/>
    <w:rsid w:val="007D33A8"/>
    <w:rsid w:val="007D344B"/>
    <w:rsid w:val="007D41A1"/>
    <w:rsid w:val="007D4ACD"/>
    <w:rsid w:val="007D6AA6"/>
    <w:rsid w:val="007E0621"/>
    <w:rsid w:val="007E190F"/>
    <w:rsid w:val="007E34FE"/>
    <w:rsid w:val="007E3814"/>
    <w:rsid w:val="007F194A"/>
    <w:rsid w:val="007F4D60"/>
    <w:rsid w:val="007F6908"/>
    <w:rsid w:val="007F7458"/>
    <w:rsid w:val="0080156D"/>
    <w:rsid w:val="00803BAB"/>
    <w:rsid w:val="00805CED"/>
    <w:rsid w:val="0080625A"/>
    <w:rsid w:val="00806407"/>
    <w:rsid w:val="0080662E"/>
    <w:rsid w:val="00806DA8"/>
    <w:rsid w:val="00806E70"/>
    <w:rsid w:val="00811AC5"/>
    <w:rsid w:val="00812E99"/>
    <w:rsid w:val="00813070"/>
    <w:rsid w:val="008220E8"/>
    <w:rsid w:val="00822593"/>
    <w:rsid w:val="008244B4"/>
    <w:rsid w:val="00825D08"/>
    <w:rsid w:val="00826549"/>
    <w:rsid w:val="00826A77"/>
    <w:rsid w:val="008310CF"/>
    <w:rsid w:val="008314E5"/>
    <w:rsid w:val="00832D6A"/>
    <w:rsid w:val="00833EA8"/>
    <w:rsid w:val="00835BD0"/>
    <w:rsid w:val="008375E3"/>
    <w:rsid w:val="008401DE"/>
    <w:rsid w:val="00842F2F"/>
    <w:rsid w:val="00844509"/>
    <w:rsid w:val="00845106"/>
    <w:rsid w:val="008461FD"/>
    <w:rsid w:val="00846599"/>
    <w:rsid w:val="008521C5"/>
    <w:rsid w:val="008537B7"/>
    <w:rsid w:val="0085537F"/>
    <w:rsid w:val="00856634"/>
    <w:rsid w:val="0085723F"/>
    <w:rsid w:val="00860CE0"/>
    <w:rsid w:val="008671D1"/>
    <w:rsid w:val="0086739F"/>
    <w:rsid w:val="008701E7"/>
    <w:rsid w:val="00870C8B"/>
    <w:rsid w:val="00870D26"/>
    <w:rsid w:val="00870D88"/>
    <w:rsid w:val="008711AC"/>
    <w:rsid w:val="00871F85"/>
    <w:rsid w:val="008731B4"/>
    <w:rsid w:val="008734DC"/>
    <w:rsid w:val="00874627"/>
    <w:rsid w:val="008751D0"/>
    <w:rsid w:val="00881E86"/>
    <w:rsid w:val="008824D6"/>
    <w:rsid w:val="008825C0"/>
    <w:rsid w:val="00882BEF"/>
    <w:rsid w:val="00884B7A"/>
    <w:rsid w:val="008870B0"/>
    <w:rsid w:val="00895433"/>
    <w:rsid w:val="00895531"/>
    <w:rsid w:val="00897207"/>
    <w:rsid w:val="008A113F"/>
    <w:rsid w:val="008A32A7"/>
    <w:rsid w:val="008A3BEC"/>
    <w:rsid w:val="008A3F46"/>
    <w:rsid w:val="008A667F"/>
    <w:rsid w:val="008A7B2A"/>
    <w:rsid w:val="008B07BF"/>
    <w:rsid w:val="008B08A5"/>
    <w:rsid w:val="008B1A32"/>
    <w:rsid w:val="008B4887"/>
    <w:rsid w:val="008B6E21"/>
    <w:rsid w:val="008B73D8"/>
    <w:rsid w:val="008B786E"/>
    <w:rsid w:val="008C021C"/>
    <w:rsid w:val="008C3C24"/>
    <w:rsid w:val="008C47E0"/>
    <w:rsid w:val="008C4EC8"/>
    <w:rsid w:val="008C567C"/>
    <w:rsid w:val="008C6099"/>
    <w:rsid w:val="008C68AD"/>
    <w:rsid w:val="008C71D2"/>
    <w:rsid w:val="008D05F8"/>
    <w:rsid w:val="008D1D46"/>
    <w:rsid w:val="008D45FD"/>
    <w:rsid w:val="008D7057"/>
    <w:rsid w:val="008E0EDA"/>
    <w:rsid w:val="008E49B3"/>
    <w:rsid w:val="008F02E7"/>
    <w:rsid w:val="008F0F8E"/>
    <w:rsid w:val="008F2A4F"/>
    <w:rsid w:val="008F4E8C"/>
    <w:rsid w:val="00901A73"/>
    <w:rsid w:val="00901C17"/>
    <w:rsid w:val="00902343"/>
    <w:rsid w:val="009035B0"/>
    <w:rsid w:val="009063D0"/>
    <w:rsid w:val="00906A49"/>
    <w:rsid w:val="0091026A"/>
    <w:rsid w:val="0091275C"/>
    <w:rsid w:val="00913653"/>
    <w:rsid w:val="00915CE7"/>
    <w:rsid w:val="00916C75"/>
    <w:rsid w:val="00917353"/>
    <w:rsid w:val="0092026B"/>
    <w:rsid w:val="009269B9"/>
    <w:rsid w:val="00930238"/>
    <w:rsid w:val="00930255"/>
    <w:rsid w:val="009310D3"/>
    <w:rsid w:val="0093250F"/>
    <w:rsid w:val="00932CDF"/>
    <w:rsid w:val="00935EF1"/>
    <w:rsid w:val="00936A57"/>
    <w:rsid w:val="00943072"/>
    <w:rsid w:val="00943745"/>
    <w:rsid w:val="00945049"/>
    <w:rsid w:val="00945C41"/>
    <w:rsid w:val="0094606A"/>
    <w:rsid w:val="00946E2B"/>
    <w:rsid w:val="009502F4"/>
    <w:rsid w:val="0095341C"/>
    <w:rsid w:val="00955A87"/>
    <w:rsid w:val="0096275C"/>
    <w:rsid w:val="0096551C"/>
    <w:rsid w:val="009658D8"/>
    <w:rsid w:val="00965A10"/>
    <w:rsid w:val="00967F50"/>
    <w:rsid w:val="009752A0"/>
    <w:rsid w:val="00982E18"/>
    <w:rsid w:val="00987D43"/>
    <w:rsid w:val="009A0206"/>
    <w:rsid w:val="009A1F1B"/>
    <w:rsid w:val="009A2E68"/>
    <w:rsid w:val="009A34C2"/>
    <w:rsid w:val="009A35AC"/>
    <w:rsid w:val="009A6D74"/>
    <w:rsid w:val="009A6EAB"/>
    <w:rsid w:val="009B2131"/>
    <w:rsid w:val="009B2881"/>
    <w:rsid w:val="009B3AC7"/>
    <w:rsid w:val="009B50A5"/>
    <w:rsid w:val="009B6221"/>
    <w:rsid w:val="009B6A1D"/>
    <w:rsid w:val="009B7A4B"/>
    <w:rsid w:val="009B7E2C"/>
    <w:rsid w:val="009C11ED"/>
    <w:rsid w:val="009C6EFD"/>
    <w:rsid w:val="009C7A87"/>
    <w:rsid w:val="009D3BE8"/>
    <w:rsid w:val="009D3E6B"/>
    <w:rsid w:val="009D4C7E"/>
    <w:rsid w:val="009D5E69"/>
    <w:rsid w:val="009E2954"/>
    <w:rsid w:val="009E49F3"/>
    <w:rsid w:val="009E59FA"/>
    <w:rsid w:val="009E689F"/>
    <w:rsid w:val="009F4DFD"/>
    <w:rsid w:val="009F61FF"/>
    <w:rsid w:val="009F76CE"/>
    <w:rsid w:val="009F7C0B"/>
    <w:rsid w:val="00A01D2B"/>
    <w:rsid w:val="00A02C57"/>
    <w:rsid w:val="00A03340"/>
    <w:rsid w:val="00A10526"/>
    <w:rsid w:val="00A11528"/>
    <w:rsid w:val="00A136C3"/>
    <w:rsid w:val="00A16BFB"/>
    <w:rsid w:val="00A20A81"/>
    <w:rsid w:val="00A2193B"/>
    <w:rsid w:val="00A250A1"/>
    <w:rsid w:val="00A3017F"/>
    <w:rsid w:val="00A302FD"/>
    <w:rsid w:val="00A30C8A"/>
    <w:rsid w:val="00A31BC3"/>
    <w:rsid w:val="00A33AC0"/>
    <w:rsid w:val="00A344E7"/>
    <w:rsid w:val="00A357BD"/>
    <w:rsid w:val="00A36717"/>
    <w:rsid w:val="00A37031"/>
    <w:rsid w:val="00A37FC7"/>
    <w:rsid w:val="00A40260"/>
    <w:rsid w:val="00A4364A"/>
    <w:rsid w:val="00A43897"/>
    <w:rsid w:val="00A46CD2"/>
    <w:rsid w:val="00A47F55"/>
    <w:rsid w:val="00A5202E"/>
    <w:rsid w:val="00A53EC5"/>
    <w:rsid w:val="00A54E2C"/>
    <w:rsid w:val="00A555E9"/>
    <w:rsid w:val="00A5623D"/>
    <w:rsid w:val="00A573CF"/>
    <w:rsid w:val="00A57D2C"/>
    <w:rsid w:val="00A602FF"/>
    <w:rsid w:val="00A617F3"/>
    <w:rsid w:val="00A660CB"/>
    <w:rsid w:val="00A67FE2"/>
    <w:rsid w:val="00A70DA5"/>
    <w:rsid w:val="00A71798"/>
    <w:rsid w:val="00A720D1"/>
    <w:rsid w:val="00A73255"/>
    <w:rsid w:val="00A76699"/>
    <w:rsid w:val="00A779A7"/>
    <w:rsid w:val="00A8076D"/>
    <w:rsid w:val="00A8110E"/>
    <w:rsid w:val="00A824C8"/>
    <w:rsid w:val="00A84513"/>
    <w:rsid w:val="00A91DBE"/>
    <w:rsid w:val="00A944E3"/>
    <w:rsid w:val="00A969BD"/>
    <w:rsid w:val="00A97BF8"/>
    <w:rsid w:val="00AA19EB"/>
    <w:rsid w:val="00AA3557"/>
    <w:rsid w:val="00AA66A7"/>
    <w:rsid w:val="00AB019B"/>
    <w:rsid w:val="00AB2BD1"/>
    <w:rsid w:val="00AB3EFF"/>
    <w:rsid w:val="00AB495D"/>
    <w:rsid w:val="00AB5560"/>
    <w:rsid w:val="00AB6F25"/>
    <w:rsid w:val="00AC1AA3"/>
    <w:rsid w:val="00AC1C86"/>
    <w:rsid w:val="00AC2049"/>
    <w:rsid w:val="00AC5964"/>
    <w:rsid w:val="00AC70B5"/>
    <w:rsid w:val="00AD19B9"/>
    <w:rsid w:val="00AD2E50"/>
    <w:rsid w:val="00AD2FC0"/>
    <w:rsid w:val="00AE05F4"/>
    <w:rsid w:val="00AE1EA3"/>
    <w:rsid w:val="00AE4C53"/>
    <w:rsid w:val="00AE6616"/>
    <w:rsid w:val="00AF0715"/>
    <w:rsid w:val="00AF25CB"/>
    <w:rsid w:val="00AF3814"/>
    <w:rsid w:val="00AF7A62"/>
    <w:rsid w:val="00B00DFB"/>
    <w:rsid w:val="00B01094"/>
    <w:rsid w:val="00B01485"/>
    <w:rsid w:val="00B020CB"/>
    <w:rsid w:val="00B1026D"/>
    <w:rsid w:val="00B10336"/>
    <w:rsid w:val="00B1120C"/>
    <w:rsid w:val="00B147AE"/>
    <w:rsid w:val="00B21BEE"/>
    <w:rsid w:val="00B22D22"/>
    <w:rsid w:val="00B26024"/>
    <w:rsid w:val="00B26795"/>
    <w:rsid w:val="00B309B7"/>
    <w:rsid w:val="00B31B41"/>
    <w:rsid w:val="00B338A7"/>
    <w:rsid w:val="00B33B9B"/>
    <w:rsid w:val="00B3797B"/>
    <w:rsid w:val="00B411DB"/>
    <w:rsid w:val="00B437EE"/>
    <w:rsid w:val="00B43AA1"/>
    <w:rsid w:val="00B451FA"/>
    <w:rsid w:val="00B4745D"/>
    <w:rsid w:val="00B52F59"/>
    <w:rsid w:val="00B53202"/>
    <w:rsid w:val="00B5370C"/>
    <w:rsid w:val="00B559F7"/>
    <w:rsid w:val="00B56CD9"/>
    <w:rsid w:val="00B610C4"/>
    <w:rsid w:val="00B63457"/>
    <w:rsid w:val="00B66702"/>
    <w:rsid w:val="00B6753B"/>
    <w:rsid w:val="00B702BD"/>
    <w:rsid w:val="00B70FFC"/>
    <w:rsid w:val="00B7456F"/>
    <w:rsid w:val="00B74884"/>
    <w:rsid w:val="00B74AD6"/>
    <w:rsid w:val="00B757EA"/>
    <w:rsid w:val="00B77575"/>
    <w:rsid w:val="00B800B2"/>
    <w:rsid w:val="00B8238D"/>
    <w:rsid w:val="00B82F46"/>
    <w:rsid w:val="00B83A0F"/>
    <w:rsid w:val="00B83EA8"/>
    <w:rsid w:val="00B84642"/>
    <w:rsid w:val="00B854E9"/>
    <w:rsid w:val="00B9015B"/>
    <w:rsid w:val="00B91C1A"/>
    <w:rsid w:val="00B95A31"/>
    <w:rsid w:val="00B975F2"/>
    <w:rsid w:val="00BA24D3"/>
    <w:rsid w:val="00BA3989"/>
    <w:rsid w:val="00BB0987"/>
    <w:rsid w:val="00BB1C38"/>
    <w:rsid w:val="00BB48D7"/>
    <w:rsid w:val="00BB7C42"/>
    <w:rsid w:val="00BB7E3D"/>
    <w:rsid w:val="00BC0F24"/>
    <w:rsid w:val="00BC2537"/>
    <w:rsid w:val="00BC2C27"/>
    <w:rsid w:val="00BC3724"/>
    <w:rsid w:val="00BC4CE6"/>
    <w:rsid w:val="00BC57D6"/>
    <w:rsid w:val="00BC7853"/>
    <w:rsid w:val="00BD0CB8"/>
    <w:rsid w:val="00BD20A4"/>
    <w:rsid w:val="00BD36DF"/>
    <w:rsid w:val="00BD43E0"/>
    <w:rsid w:val="00BE0FE1"/>
    <w:rsid w:val="00BE2F98"/>
    <w:rsid w:val="00BE3523"/>
    <w:rsid w:val="00BE4BE7"/>
    <w:rsid w:val="00BE4D62"/>
    <w:rsid w:val="00BF0767"/>
    <w:rsid w:val="00BF1162"/>
    <w:rsid w:val="00BF1C5A"/>
    <w:rsid w:val="00BF5C47"/>
    <w:rsid w:val="00BF7F49"/>
    <w:rsid w:val="00C01EC9"/>
    <w:rsid w:val="00C071AE"/>
    <w:rsid w:val="00C11223"/>
    <w:rsid w:val="00C11DF2"/>
    <w:rsid w:val="00C12097"/>
    <w:rsid w:val="00C13D3E"/>
    <w:rsid w:val="00C14696"/>
    <w:rsid w:val="00C15D47"/>
    <w:rsid w:val="00C22459"/>
    <w:rsid w:val="00C22702"/>
    <w:rsid w:val="00C24439"/>
    <w:rsid w:val="00C27787"/>
    <w:rsid w:val="00C27975"/>
    <w:rsid w:val="00C320F1"/>
    <w:rsid w:val="00C369CE"/>
    <w:rsid w:val="00C41D31"/>
    <w:rsid w:val="00C42313"/>
    <w:rsid w:val="00C42BB9"/>
    <w:rsid w:val="00C4466D"/>
    <w:rsid w:val="00C464C2"/>
    <w:rsid w:val="00C472FE"/>
    <w:rsid w:val="00C50E8E"/>
    <w:rsid w:val="00C52045"/>
    <w:rsid w:val="00C527C0"/>
    <w:rsid w:val="00C52A21"/>
    <w:rsid w:val="00C56535"/>
    <w:rsid w:val="00C57F3E"/>
    <w:rsid w:val="00C60262"/>
    <w:rsid w:val="00C60FB7"/>
    <w:rsid w:val="00C61F62"/>
    <w:rsid w:val="00C64DF1"/>
    <w:rsid w:val="00C671AA"/>
    <w:rsid w:val="00C71168"/>
    <w:rsid w:val="00C72559"/>
    <w:rsid w:val="00C77B5D"/>
    <w:rsid w:val="00C77CC9"/>
    <w:rsid w:val="00C77E02"/>
    <w:rsid w:val="00C84D50"/>
    <w:rsid w:val="00C860A5"/>
    <w:rsid w:val="00C907AF"/>
    <w:rsid w:val="00C92608"/>
    <w:rsid w:val="00C928D7"/>
    <w:rsid w:val="00C95681"/>
    <w:rsid w:val="00C9595C"/>
    <w:rsid w:val="00C95DFB"/>
    <w:rsid w:val="00C964BE"/>
    <w:rsid w:val="00C970F7"/>
    <w:rsid w:val="00CA1575"/>
    <w:rsid w:val="00CA2484"/>
    <w:rsid w:val="00CA3168"/>
    <w:rsid w:val="00CA4F44"/>
    <w:rsid w:val="00CA523B"/>
    <w:rsid w:val="00CA6393"/>
    <w:rsid w:val="00CA754D"/>
    <w:rsid w:val="00CB015E"/>
    <w:rsid w:val="00CB11D0"/>
    <w:rsid w:val="00CB149B"/>
    <w:rsid w:val="00CB512D"/>
    <w:rsid w:val="00CB531C"/>
    <w:rsid w:val="00CB78E4"/>
    <w:rsid w:val="00CC27A8"/>
    <w:rsid w:val="00CC2E18"/>
    <w:rsid w:val="00CC2E64"/>
    <w:rsid w:val="00CC4C71"/>
    <w:rsid w:val="00CD579F"/>
    <w:rsid w:val="00CD7939"/>
    <w:rsid w:val="00CE26FD"/>
    <w:rsid w:val="00CE29D4"/>
    <w:rsid w:val="00CE2C89"/>
    <w:rsid w:val="00CE2F1A"/>
    <w:rsid w:val="00CE4044"/>
    <w:rsid w:val="00CE6047"/>
    <w:rsid w:val="00CE7D94"/>
    <w:rsid w:val="00D07BD2"/>
    <w:rsid w:val="00D10586"/>
    <w:rsid w:val="00D123F4"/>
    <w:rsid w:val="00D1582E"/>
    <w:rsid w:val="00D160D1"/>
    <w:rsid w:val="00D1623A"/>
    <w:rsid w:val="00D17A36"/>
    <w:rsid w:val="00D17EEE"/>
    <w:rsid w:val="00D247C2"/>
    <w:rsid w:val="00D2488D"/>
    <w:rsid w:val="00D26775"/>
    <w:rsid w:val="00D30A92"/>
    <w:rsid w:val="00D30C17"/>
    <w:rsid w:val="00D35DB5"/>
    <w:rsid w:val="00D44165"/>
    <w:rsid w:val="00D4670D"/>
    <w:rsid w:val="00D46936"/>
    <w:rsid w:val="00D4775E"/>
    <w:rsid w:val="00D5091E"/>
    <w:rsid w:val="00D50A49"/>
    <w:rsid w:val="00D52484"/>
    <w:rsid w:val="00D54E1C"/>
    <w:rsid w:val="00D56FE5"/>
    <w:rsid w:val="00D61E7B"/>
    <w:rsid w:val="00D631D8"/>
    <w:rsid w:val="00D639AD"/>
    <w:rsid w:val="00D70D2D"/>
    <w:rsid w:val="00D70EA8"/>
    <w:rsid w:val="00D72BC4"/>
    <w:rsid w:val="00D73C5A"/>
    <w:rsid w:val="00D74B0C"/>
    <w:rsid w:val="00D74FA4"/>
    <w:rsid w:val="00D839FB"/>
    <w:rsid w:val="00D85889"/>
    <w:rsid w:val="00D861AD"/>
    <w:rsid w:val="00D906C9"/>
    <w:rsid w:val="00D909F5"/>
    <w:rsid w:val="00D9157C"/>
    <w:rsid w:val="00D94F1B"/>
    <w:rsid w:val="00D97893"/>
    <w:rsid w:val="00D97F0D"/>
    <w:rsid w:val="00DA1593"/>
    <w:rsid w:val="00DA23E9"/>
    <w:rsid w:val="00DA3154"/>
    <w:rsid w:val="00DA6C93"/>
    <w:rsid w:val="00DA6DF1"/>
    <w:rsid w:val="00DB0C63"/>
    <w:rsid w:val="00DB149F"/>
    <w:rsid w:val="00DB1B42"/>
    <w:rsid w:val="00DB2B48"/>
    <w:rsid w:val="00DB4E21"/>
    <w:rsid w:val="00DB57B8"/>
    <w:rsid w:val="00DC063B"/>
    <w:rsid w:val="00DC1112"/>
    <w:rsid w:val="00DC1CD0"/>
    <w:rsid w:val="00DC5D77"/>
    <w:rsid w:val="00DD174C"/>
    <w:rsid w:val="00DD2284"/>
    <w:rsid w:val="00DD2386"/>
    <w:rsid w:val="00DD2B5F"/>
    <w:rsid w:val="00DD47C9"/>
    <w:rsid w:val="00DD5B47"/>
    <w:rsid w:val="00DD7401"/>
    <w:rsid w:val="00DE39B1"/>
    <w:rsid w:val="00DE587E"/>
    <w:rsid w:val="00DE64D5"/>
    <w:rsid w:val="00DF3433"/>
    <w:rsid w:val="00DF5BE4"/>
    <w:rsid w:val="00E020A4"/>
    <w:rsid w:val="00E043BE"/>
    <w:rsid w:val="00E058AF"/>
    <w:rsid w:val="00E06246"/>
    <w:rsid w:val="00E07275"/>
    <w:rsid w:val="00E10175"/>
    <w:rsid w:val="00E105ED"/>
    <w:rsid w:val="00E11B8F"/>
    <w:rsid w:val="00E11F11"/>
    <w:rsid w:val="00E127DE"/>
    <w:rsid w:val="00E1295F"/>
    <w:rsid w:val="00E14248"/>
    <w:rsid w:val="00E14BF2"/>
    <w:rsid w:val="00E1547E"/>
    <w:rsid w:val="00E16C0E"/>
    <w:rsid w:val="00E25ABB"/>
    <w:rsid w:val="00E26FCE"/>
    <w:rsid w:val="00E30C75"/>
    <w:rsid w:val="00E310BC"/>
    <w:rsid w:val="00E34367"/>
    <w:rsid w:val="00E404E8"/>
    <w:rsid w:val="00E40A93"/>
    <w:rsid w:val="00E40B01"/>
    <w:rsid w:val="00E40B42"/>
    <w:rsid w:val="00E42109"/>
    <w:rsid w:val="00E42E94"/>
    <w:rsid w:val="00E44564"/>
    <w:rsid w:val="00E5040C"/>
    <w:rsid w:val="00E50600"/>
    <w:rsid w:val="00E5326E"/>
    <w:rsid w:val="00E56F2A"/>
    <w:rsid w:val="00E61443"/>
    <w:rsid w:val="00E61983"/>
    <w:rsid w:val="00E63FC2"/>
    <w:rsid w:val="00E67D08"/>
    <w:rsid w:val="00E71BAA"/>
    <w:rsid w:val="00E72B9D"/>
    <w:rsid w:val="00E738D2"/>
    <w:rsid w:val="00E742FA"/>
    <w:rsid w:val="00E74D4F"/>
    <w:rsid w:val="00E76042"/>
    <w:rsid w:val="00E77B85"/>
    <w:rsid w:val="00E81A83"/>
    <w:rsid w:val="00E82CF3"/>
    <w:rsid w:val="00E83B5D"/>
    <w:rsid w:val="00E84B43"/>
    <w:rsid w:val="00E85142"/>
    <w:rsid w:val="00E8571C"/>
    <w:rsid w:val="00E874E1"/>
    <w:rsid w:val="00E9104D"/>
    <w:rsid w:val="00E919A1"/>
    <w:rsid w:val="00E93967"/>
    <w:rsid w:val="00EA09FF"/>
    <w:rsid w:val="00EA1578"/>
    <w:rsid w:val="00EA2856"/>
    <w:rsid w:val="00EA559B"/>
    <w:rsid w:val="00EA5AEB"/>
    <w:rsid w:val="00EA72BB"/>
    <w:rsid w:val="00EA7E1E"/>
    <w:rsid w:val="00EB3BCB"/>
    <w:rsid w:val="00EC103B"/>
    <w:rsid w:val="00EC184E"/>
    <w:rsid w:val="00EC1A41"/>
    <w:rsid w:val="00EC1D27"/>
    <w:rsid w:val="00EC4827"/>
    <w:rsid w:val="00EC58A3"/>
    <w:rsid w:val="00EC721C"/>
    <w:rsid w:val="00ED02AA"/>
    <w:rsid w:val="00ED09CA"/>
    <w:rsid w:val="00ED4D09"/>
    <w:rsid w:val="00EE4A7D"/>
    <w:rsid w:val="00EE5859"/>
    <w:rsid w:val="00EE5C07"/>
    <w:rsid w:val="00EF396B"/>
    <w:rsid w:val="00EF5D66"/>
    <w:rsid w:val="00F013AD"/>
    <w:rsid w:val="00F01CCE"/>
    <w:rsid w:val="00F0224D"/>
    <w:rsid w:val="00F059AD"/>
    <w:rsid w:val="00F100CE"/>
    <w:rsid w:val="00F1118E"/>
    <w:rsid w:val="00F1149F"/>
    <w:rsid w:val="00F13200"/>
    <w:rsid w:val="00F13495"/>
    <w:rsid w:val="00F14783"/>
    <w:rsid w:val="00F20040"/>
    <w:rsid w:val="00F2043C"/>
    <w:rsid w:val="00F21C50"/>
    <w:rsid w:val="00F221F9"/>
    <w:rsid w:val="00F22F47"/>
    <w:rsid w:val="00F2339E"/>
    <w:rsid w:val="00F266B3"/>
    <w:rsid w:val="00F26ACF"/>
    <w:rsid w:val="00F3382D"/>
    <w:rsid w:val="00F3729B"/>
    <w:rsid w:val="00F375AD"/>
    <w:rsid w:val="00F37614"/>
    <w:rsid w:val="00F41B74"/>
    <w:rsid w:val="00F44F9D"/>
    <w:rsid w:val="00F517D6"/>
    <w:rsid w:val="00F52101"/>
    <w:rsid w:val="00F5351F"/>
    <w:rsid w:val="00F53995"/>
    <w:rsid w:val="00F55D49"/>
    <w:rsid w:val="00F57572"/>
    <w:rsid w:val="00F578A9"/>
    <w:rsid w:val="00F578AA"/>
    <w:rsid w:val="00F60756"/>
    <w:rsid w:val="00F609F7"/>
    <w:rsid w:val="00F61E59"/>
    <w:rsid w:val="00F63BCC"/>
    <w:rsid w:val="00F65E3F"/>
    <w:rsid w:val="00F67239"/>
    <w:rsid w:val="00F70BA0"/>
    <w:rsid w:val="00F71BF0"/>
    <w:rsid w:val="00F728EC"/>
    <w:rsid w:val="00F74264"/>
    <w:rsid w:val="00F761C0"/>
    <w:rsid w:val="00F76F97"/>
    <w:rsid w:val="00F7728F"/>
    <w:rsid w:val="00F77379"/>
    <w:rsid w:val="00F77593"/>
    <w:rsid w:val="00F825A1"/>
    <w:rsid w:val="00F844C5"/>
    <w:rsid w:val="00F8597E"/>
    <w:rsid w:val="00F924B2"/>
    <w:rsid w:val="00F9378C"/>
    <w:rsid w:val="00F964E4"/>
    <w:rsid w:val="00FA3BB1"/>
    <w:rsid w:val="00FB0184"/>
    <w:rsid w:val="00FB4564"/>
    <w:rsid w:val="00FB4BDF"/>
    <w:rsid w:val="00FB5BD6"/>
    <w:rsid w:val="00FB754D"/>
    <w:rsid w:val="00FC1191"/>
    <w:rsid w:val="00FC1498"/>
    <w:rsid w:val="00FC1789"/>
    <w:rsid w:val="00FC27F3"/>
    <w:rsid w:val="00FC6EA8"/>
    <w:rsid w:val="00FD182A"/>
    <w:rsid w:val="00FD1CBB"/>
    <w:rsid w:val="00FD52BD"/>
    <w:rsid w:val="00FD5745"/>
    <w:rsid w:val="00FD797B"/>
    <w:rsid w:val="00FE0B60"/>
    <w:rsid w:val="00FE3FAF"/>
    <w:rsid w:val="00FE67BA"/>
    <w:rsid w:val="00FF2526"/>
    <w:rsid w:val="00FF398F"/>
    <w:rsid w:val="00FF4B88"/>
    <w:rsid w:val="00FF54A5"/>
    <w:rsid w:val="00FF5D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6967377">
      <w:bodyDiv w:val="1"/>
      <w:marLeft w:val="0"/>
      <w:marRight w:val="0"/>
      <w:marTop w:val="0"/>
      <w:marBottom w:val="0"/>
      <w:divBdr>
        <w:top w:val="none" w:sz="0" w:space="0" w:color="auto"/>
        <w:left w:val="none" w:sz="0" w:space="0" w:color="auto"/>
        <w:bottom w:val="none" w:sz="0" w:space="0" w:color="auto"/>
        <w:right w:val="none" w:sz="0" w:space="0" w:color="auto"/>
      </w:divBdr>
      <w:divsChild>
        <w:div w:id="643001909">
          <w:marLeft w:val="274"/>
          <w:marRight w:val="0"/>
          <w:marTop w:val="100"/>
          <w:marBottom w:val="0"/>
          <w:divBdr>
            <w:top w:val="none" w:sz="0" w:space="0" w:color="auto"/>
            <w:left w:val="none" w:sz="0" w:space="0" w:color="auto"/>
            <w:bottom w:val="none" w:sz="0" w:space="0" w:color="auto"/>
            <w:right w:val="none" w:sz="0" w:space="0" w:color="auto"/>
          </w:divBdr>
        </w:div>
        <w:div w:id="903685948">
          <w:marLeft w:val="965"/>
          <w:marRight w:val="0"/>
          <w:marTop w:val="100"/>
          <w:marBottom w:val="0"/>
          <w:divBdr>
            <w:top w:val="none" w:sz="0" w:space="0" w:color="auto"/>
            <w:left w:val="none" w:sz="0" w:space="0" w:color="auto"/>
            <w:bottom w:val="none" w:sz="0" w:space="0" w:color="auto"/>
            <w:right w:val="none" w:sz="0" w:space="0" w:color="auto"/>
          </w:divBdr>
        </w:div>
        <w:div w:id="367726880">
          <w:marLeft w:val="965"/>
          <w:marRight w:val="0"/>
          <w:marTop w:val="100"/>
          <w:marBottom w:val="0"/>
          <w:divBdr>
            <w:top w:val="none" w:sz="0" w:space="0" w:color="auto"/>
            <w:left w:val="none" w:sz="0" w:space="0" w:color="auto"/>
            <w:bottom w:val="none" w:sz="0" w:space="0" w:color="auto"/>
            <w:right w:val="none" w:sz="0" w:space="0" w:color="auto"/>
          </w:divBdr>
        </w:div>
        <w:div w:id="733240519">
          <w:marLeft w:val="965"/>
          <w:marRight w:val="0"/>
          <w:marTop w:val="100"/>
          <w:marBottom w:val="0"/>
          <w:divBdr>
            <w:top w:val="none" w:sz="0" w:space="0" w:color="auto"/>
            <w:left w:val="none" w:sz="0" w:space="0" w:color="auto"/>
            <w:bottom w:val="none" w:sz="0" w:space="0" w:color="auto"/>
            <w:right w:val="none" w:sz="0" w:space="0" w:color="auto"/>
          </w:divBdr>
        </w:div>
        <w:div w:id="1302343260">
          <w:marLeft w:val="965"/>
          <w:marRight w:val="0"/>
          <w:marTop w:val="100"/>
          <w:marBottom w:val="0"/>
          <w:divBdr>
            <w:top w:val="none" w:sz="0" w:space="0" w:color="auto"/>
            <w:left w:val="none" w:sz="0" w:space="0" w:color="auto"/>
            <w:bottom w:val="none" w:sz="0" w:space="0" w:color="auto"/>
            <w:right w:val="none" w:sz="0" w:space="0" w:color="auto"/>
          </w:divBdr>
        </w:div>
        <w:div w:id="384835011">
          <w:marLeft w:val="965"/>
          <w:marRight w:val="0"/>
          <w:marTop w:val="100"/>
          <w:marBottom w:val="0"/>
          <w:divBdr>
            <w:top w:val="none" w:sz="0" w:space="0" w:color="auto"/>
            <w:left w:val="none" w:sz="0" w:space="0" w:color="auto"/>
            <w:bottom w:val="none" w:sz="0" w:space="0" w:color="auto"/>
            <w:right w:val="none" w:sz="0" w:space="0" w:color="auto"/>
          </w:divBdr>
        </w:div>
        <w:div w:id="1998682320">
          <w:marLeft w:val="965"/>
          <w:marRight w:val="0"/>
          <w:marTop w:val="100"/>
          <w:marBottom w:val="0"/>
          <w:divBdr>
            <w:top w:val="none" w:sz="0" w:space="0" w:color="auto"/>
            <w:left w:val="none" w:sz="0" w:space="0" w:color="auto"/>
            <w:bottom w:val="none" w:sz="0" w:space="0" w:color="auto"/>
            <w:right w:val="none" w:sz="0" w:space="0" w:color="auto"/>
          </w:divBdr>
        </w:div>
        <w:div w:id="1996764756">
          <w:marLeft w:val="274"/>
          <w:marRight w:val="0"/>
          <w:marTop w:val="100"/>
          <w:marBottom w:val="0"/>
          <w:divBdr>
            <w:top w:val="none" w:sz="0" w:space="0" w:color="auto"/>
            <w:left w:val="none" w:sz="0" w:space="0" w:color="auto"/>
            <w:bottom w:val="none" w:sz="0" w:space="0" w:color="auto"/>
            <w:right w:val="none" w:sz="0" w:space="0" w:color="auto"/>
          </w:divBdr>
        </w:div>
        <w:div w:id="862327472">
          <w:marLeft w:val="965"/>
          <w:marRight w:val="0"/>
          <w:marTop w:val="100"/>
          <w:marBottom w:val="0"/>
          <w:divBdr>
            <w:top w:val="none" w:sz="0" w:space="0" w:color="auto"/>
            <w:left w:val="none" w:sz="0" w:space="0" w:color="auto"/>
            <w:bottom w:val="none" w:sz="0" w:space="0" w:color="auto"/>
            <w:right w:val="none" w:sz="0" w:space="0" w:color="auto"/>
          </w:divBdr>
        </w:div>
        <w:div w:id="447621689">
          <w:marLeft w:val="965"/>
          <w:marRight w:val="0"/>
          <w:marTop w:val="100"/>
          <w:marBottom w:val="0"/>
          <w:divBdr>
            <w:top w:val="none" w:sz="0" w:space="0" w:color="auto"/>
            <w:left w:val="none" w:sz="0" w:space="0" w:color="auto"/>
            <w:bottom w:val="none" w:sz="0" w:space="0" w:color="auto"/>
            <w:right w:val="none" w:sz="0" w:space="0" w:color="auto"/>
          </w:divBdr>
        </w:div>
        <w:div w:id="228807764">
          <w:marLeft w:val="965"/>
          <w:marRight w:val="0"/>
          <w:marTop w:val="100"/>
          <w:marBottom w:val="0"/>
          <w:divBdr>
            <w:top w:val="none" w:sz="0" w:space="0" w:color="auto"/>
            <w:left w:val="none" w:sz="0" w:space="0" w:color="auto"/>
            <w:bottom w:val="none" w:sz="0" w:space="0" w:color="auto"/>
            <w:right w:val="none" w:sz="0" w:space="0" w:color="auto"/>
          </w:divBdr>
        </w:div>
        <w:div w:id="848103149">
          <w:marLeft w:val="965"/>
          <w:marRight w:val="0"/>
          <w:marTop w:val="100"/>
          <w:marBottom w:val="0"/>
          <w:divBdr>
            <w:top w:val="none" w:sz="0" w:space="0" w:color="auto"/>
            <w:left w:val="none" w:sz="0" w:space="0" w:color="auto"/>
            <w:bottom w:val="none" w:sz="0" w:space="0" w:color="auto"/>
            <w:right w:val="none" w:sz="0" w:space="0" w:color="auto"/>
          </w:divBdr>
        </w:div>
        <w:div w:id="519666290">
          <w:marLeft w:val="965"/>
          <w:marRight w:val="0"/>
          <w:marTop w:val="100"/>
          <w:marBottom w:val="0"/>
          <w:divBdr>
            <w:top w:val="none" w:sz="0" w:space="0" w:color="auto"/>
            <w:left w:val="none" w:sz="0" w:space="0" w:color="auto"/>
            <w:bottom w:val="none" w:sz="0" w:space="0" w:color="auto"/>
            <w:right w:val="none" w:sz="0" w:space="0" w:color="auto"/>
          </w:divBdr>
        </w:div>
        <w:div w:id="1320159184">
          <w:marLeft w:val="274"/>
          <w:marRight w:val="0"/>
          <w:marTop w:val="100"/>
          <w:marBottom w:val="0"/>
          <w:divBdr>
            <w:top w:val="none" w:sz="0" w:space="0" w:color="auto"/>
            <w:left w:val="none" w:sz="0" w:space="0" w:color="auto"/>
            <w:bottom w:val="none" w:sz="0" w:space="0" w:color="auto"/>
            <w:right w:val="none" w:sz="0" w:space="0" w:color="auto"/>
          </w:divBdr>
        </w:div>
        <w:div w:id="764810768">
          <w:marLeft w:val="965"/>
          <w:marRight w:val="0"/>
          <w:marTop w:val="100"/>
          <w:marBottom w:val="0"/>
          <w:divBdr>
            <w:top w:val="none" w:sz="0" w:space="0" w:color="auto"/>
            <w:left w:val="none" w:sz="0" w:space="0" w:color="auto"/>
            <w:bottom w:val="none" w:sz="0" w:space="0" w:color="auto"/>
            <w:right w:val="none" w:sz="0" w:space="0" w:color="auto"/>
          </w:divBdr>
        </w:div>
        <w:div w:id="92476896">
          <w:marLeft w:val="965"/>
          <w:marRight w:val="0"/>
          <w:marTop w:val="100"/>
          <w:marBottom w:val="0"/>
          <w:divBdr>
            <w:top w:val="none" w:sz="0" w:space="0" w:color="auto"/>
            <w:left w:val="none" w:sz="0" w:space="0" w:color="auto"/>
            <w:bottom w:val="none" w:sz="0" w:space="0" w:color="auto"/>
            <w:right w:val="none" w:sz="0" w:space="0" w:color="auto"/>
          </w:divBdr>
        </w:div>
        <w:div w:id="589117295">
          <w:marLeft w:val="965"/>
          <w:marRight w:val="0"/>
          <w:marTop w:val="100"/>
          <w:marBottom w:val="0"/>
          <w:divBdr>
            <w:top w:val="none" w:sz="0" w:space="0" w:color="auto"/>
            <w:left w:val="none" w:sz="0" w:space="0" w:color="auto"/>
            <w:bottom w:val="none" w:sz="0" w:space="0" w:color="auto"/>
            <w:right w:val="none" w:sz="0" w:space="0" w:color="auto"/>
          </w:divBdr>
        </w:div>
        <w:div w:id="369959702">
          <w:marLeft w:val="274"/>
          <w:marRight w:val="0"/>
          <w:marTop w:val="10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38608746">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611819916">
      <w:bodyDiv w:val="1"/>
      <w:marLeft w:val="0"/>
      <w:marRight w:val="0"/>
      <w:marTop w:val="0"/>
      <w:marBottom w:val="0"/>
      <w:divBdr>
        <w:top w:val="none" w:sz="0" w:space="0" w:color="auto"/>
        <w:left w:val="none" w:sz="0" w:space="0" w:color="auto"/>
        <w:bottom w:val="none" w:sz="0" w:space="0" w:color="auto"/>
        <w:right w:val="none" w:sz="0" w:space="0" w:color="auto"/>
      </w:divBdr>
      <w:divsChild>
        <w:div w:id="1477991094">
          <w:marLeft w:val="274"/>
          <w:marRight w:val="0"/>
          <w:marTop w:val="100"/>
          <w:marBottom w:val="0"/>
          <w:divBdr>
            <w:top w:val="none" w:sz="0" w:space="0" w:color="auto"/>
            <w:left w:val="none" w:sz="0" w:space="0" w:color="auto"/>
            <w:bottom w:val="none" w:sz="0" w:space="0" w:color="auto"/>
            <w:right w:val="none" w:sz="0" w:space="0" w:color="auto"/>
          </w:divBdr>
        </w:div>
        <w:div w:id="1998878857">
          <w:marLeft w:val="965"/>
          <w:marRight w:val="0"/>
          <w:marTop w:val="100"/>
          <w:marBottom w:val="0"/>
          <w:divBdr>
            <w:top w:val="none" w:sz="0" w:space="0" w:color="auto"/>
            <w:left w:val="none" w:sz="0" w:space="0" w:color="auto"/>
            <w:bottom w:val="none" w:sz="0" w:space="0" w:color="auto"/>
            <w:right w:val="none" w:sz="0" w:space="0" w:color="auto"/>
          </w:divBdr>
        </w:div>
        <w:div w:id="1370960678">
          <w:marLeft w:val="965"/>
          <w:marRight w:val="0"/>
          <w:marTop w:val="100"/>
          <w:marBottom w:val="0"/>
          <w:divBdr>
            <w:top w:val="none" w:sz="0" w:space="0" w:color="auto"/>
            <w:left w:val="none" w:sz="0" w:space="0" w:color="auto"/>
            <w:bottom w:val="none" w:sz="0" w:space="0" w:color="auto"/>
            <w:right w:val="none" w:sz="0" w:space="0" w:color="auto"/>
          </w:divBdr>
        </w:div>
        <w:div w:id="1418551418">
          <w:marLeft w:val="965"/>
          <w:marRight w:val="0"/>
          <w:marTop w:val="100"/>
          <w:marBottom w:val="0"/>
          <w:divBdr>
            <w:top w:val="none" w:sz="0" w:space="0" w:color="auto"/>
            <w:left w:val="none" w:sz="0" w:space="0" w:color="auto"/>
            <w:bottom w:val="none" w:sz="0" w:space="0" w:color="auto"/>
            <w:right w:val="none" w:sz="0" w:space="0" w:color="auto"/>
          </w:divBdr>
        </w:div>
        <w:div w:id="1732001673">
          <w:marLeft w:val="965"/>
          <w:marRight w:val="0"/>
          <w:marTop w:val="100"/>
          <w:marBottom w:val="0"/>
          <w:divBdr>
            <w:top w:val="none" w:sz="0" w:space="0" w:color="auto"/>
            <w:left w:val="none" w:sz="0" w:space="0" w:color="auto"/>
            <w:bottom w:val="none" w:sz="0" w:space="0" w:color="auto"/>
            <w:right w:val="none" w:sz="0" w:space="0" w:color="auto"/>
          </w:divBdr>
        </w:div>
        <w:div w:id="893780064">
          <w:marLeft w:val="965"/>
          <w:marRight w:val="0"/>
          <w:marTop w:val="100"/>
          <w:marBottom w:val="0"/>
          <w:divBdr>
            <w:top w:val="none" w:sz="0" w:space="0" w:color="auto"/>
            <w:left w:val="none" w:sz="0" w:space="0" w:color="auto"/>
            <w:bottom w:val="none" w:sz="0" w:space="0" w:color="auto"/>
            <w:right w:val="none" w:sz="0" w:space="0" w:color="auto"/>
          </w:divBdr>
        </w:div>
        <w:div w:id="570430824">
          <w:marLeft w:val="965"/>
          <w:marRight w:val="0"/>
          <w:marTop w:val="100"/>
          <w:marBottom w:val="0"/>
          <w:divBdr>
            <w:top w:val="none" w:sz="0" w:space="0" w:color="auto"/>
            <w:left w:val="none" w:sz="0" w:space="0" w:color="auto"/>
            <w:bottom w:val="none" w:sz="0" w:space="0" w:color="auto"/>
            <w:right w:val="none" w:sz="0" w:space="0" w:color="auto"/>
          </w:divBdr>
        </w:div>
        <w:div w:id="400561927">
          <w:marLeft w:val="274"/>
          <w:marRight w:val="0"/>
          <w:marTop w:val="100"/>
          <w:marBottom w:val="0"/>
          <w:divBdr>
            <w:top w:val="none" w:sz="0" w:space="0" w:color="auto"/>
            <w:left w:val="none" w:sz="0" w:space="0" w:color="auto"/>
            <w:bottom w:val="none" w:sz="0" w:space="0" w:color="auto"/>
            <w:right w:val="none" w:sz="0" w:space="0" w:color="auto"/>
          </w:divBdr>
        </w:div>
        <w:div w:id="54277766">
          <w:marLeft w:val="965"/>
          <w:marRight w:val="0"/>
          <w:marTop w:val="100"/>
          <w:marBottom w:val="0"/>
          <w:divBdr>
            <w:top w:val="none" w:sz="0" w:space="0" w:color="auto"/>
            <w:left w:val="none" w:sz="0" w:space="0" w:color="auto"/>
            <w:bottom w:val="none" w:sz="0" w:space="0" w:color="auto"/>
            <w:right w:val="none" w:sz="0" w:space="0" w:color="auto"/>
          </w:divBdr>
        </w:div>
        <w:div w:id="257368014">
          <w:marLeft w:val="965"/>
          <w:marRight w:val="0"/>
          <w:marTop w:val="100"/>
          <w:marBottom w:val="0"/>
          <w:divBdr>
            <w:top w:val="none" w:sz="0" w:space="0" w:color="auto"/>
            <w:left w:val="none" w:sz="0" w:space="0" w:color="auto"/>
            <w:bottom w:val="none" w:sz="0" w:space="0" w:color="auto"/>
            <w:right w:val="none" w:sz="0" w:space="0" w:color="auto"/>
          </w:divBdr>
        </w:div>
        <w:div w:id="1270505680">
          <w:marLeft w:val="965"/>
          <w:marRight w:val="0"/>
          <w:marTop w:val="100"/>
          <w:marBottom w:val="0"/>
          <w:divBdr>
            <w:top w:val="none" w:sz="0" w:space="0" w:color="auto"/>
            <w:left w:val="none" w:sz="0" w:space="0" w:color="auto"/>
            <w:bottom w:val="none" w:sz="0" w:space="0" w:color="auto"/>
            <w:right w:val="none" w:sz="0" w:space="0" w:color="auto"/>
          </w:divBdr>
        </w:div>
        <w:div w:id="649793943">
          <w:marLeft w:val="965"/>
          <w:marRight w:val="0"/>
          <w:marTop w:val="100"/>
          <w:marBottom w:val="0"/>
          <w:divBdr>
            <w:top w:val="none" w:sz="0" w:space="0" w:color="auto"/>
            <w:left w:val="none" w:sz="0" w:space="0" w:color="auto"/>
            <w:bottom w:val="none" w:sz="0" w:space="0" w:color="auto"/>
            <w:right w:val="none" w:sz="0" w:space="0" w:color="auto"/>
          </w:divBdr>
        </w:div>
        <w:div w:id="2108690949">
          <w:marLeft w:val="965"/>
          <w:marRight w:val="0"/>
          <w:marTop w:val="100"/>
          <w:marBottom w:val="0"/>
          <w:divBdr>
            <w:top w:val="none" w:sz="0" w:space="0" w:color="auto"/>
            <w:left w:val="none" w:sz="0" w:space="0" w:color="auto"/>
            <w:bottom w:val="none" w:sz="0" w:space="0" w:color="auto"/>
            <w:right w:val="none" w:sz="0" w:space="0" w:color="auto"/>
          </w:divBdr>
        </w:div>
        <w:div w:id="1662155161">
          <w:marLeft w:val="274"/>
          <w:marRight w:val="0"/>
          <w:marTop w:val="100"/>
          <w:marBottom w:val="0"/>
          <w:divBdr>
            <w:top w:val="none" w:sz="0" w:space="0" w:color="auto"/>
            <w:left w:val="none" w:sz="0" w:space="0" w:color="auto"/>
            <w:bottom w:val="none" w:sz="0" w:space="0" w:color="auto"/>
            <w:right w:val="none" w:sz="0" w:space="0" w:color="auto"/>
          </w:divBdr>
        </w:div>
        <w:div w:id="1386103197">
          <w:marLeft w:val="965"/>
          <w:marRight w:val="0"/>
          <w:marTop w:val="100"/>
          <w:marBottom w:val="0"/>
          <w:divBdr>
            <w:top w:val="none" w:sz="0" w:space="0" w:color="auto"/>
            <w:left w:val="none" w:sz="0" w:space="0" w:color="auto"/>
            <w:bottom w:val="none" w:sz="0" w:space="0" w:color="auto"/>
            <w:right w:val="none" w:sz="0" w:space="0" w:color="auto"/>
          </w:divBdr>
        </w:div>
        <w:div w:id="98454964">
          <w:marLeft w:val="965"/>
          <w:marRight w:val="0"/>
          <w:marTop w:val="100"/>
          <w:marBottom w:val="0"/>
          <w:divBdr>
            <w:top w:val="none" w:sz="0" w:space="0" w:color="auto"/>
            <w:left w:val="none" w:sz="0" w:space="0" w:color="auto"/>
            <w:bottom w:val="none" w:sz="0" w:space="0" w:color="auto"/>
            <w:right w:val="none" w:sz="0" w:space="0" w:color="auto"/>
          </w:divBdr>
        </w:div>
        <w:div w:id="1801721499">
          <w:marLeft w:val="965"/>
          <w:marRight w:val="0"/>
          <w:marTop w:val="100"/>
          <w:marBottom w:val="0"/>
          <w:divBdr>
            <w:top w:val="none" w:sz="0" w:space="0" w:color="auto"/>
            <w:left w:val="none" w:sz="0" w:space="0" w:color="auto"/>
            <w:bottom w:val="none" w:sz="0" w:space="0" w:color="auto"/>
            <w:right w:val="none" w:sz="0" w:space="0" w:color="auto"/>
          </w:divBdr>
        </w:div>
        <w:div w:id="489367037">
          <w:marLeft w:val="274"/>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69350495">
      <w:bodyDiv w:val="1"/>
      <w:marLeft w:val="0"/>
      <w:marRight w:val="0"/>
      <w:marTop w:val="0"/>
      <w:marBottom w:val="0"/>
      <w:divBdr>
        <w:top w:val="none" w:sz="0" w:space="0" w:color="auto"/>
        <w:left w:val="none" w:sz="0" w:space="0" w:color="auto"/>
        <w:bottom w:val="none" w:sz="0" w:space="0" w:color="auto"/>
        <w:right w:val="none" w:sz="0" w:space="0" w:color="auto"/>
      </w:divBdr>
      <w:divsChild>
        <w:div w:id="1917089166">
          <w:marLeft w:val="0"/>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5A942-3FF0-4466-8DF6-DC1762FD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2402</Words>
  <Characters>13697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ANKIT BHAMRI</cp:lastModifiedBy>
  <cp:revision>16</cp:revision>
  <cp:lastPrinted>2019-01-22T03:27:00Z</cp:lastPrinted>
  <dcterms:created xsi:type="dcterms:W3CDTF">2021-11-04T07:54:00Z</dcterms:created>
  <dcterms:modified xsi:type="dcterms:W3CDTF">2021-11-05T21:29:00Z</dcterms:modified>
</cp:coreProperties>
</file>