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outlineLvl w:val="0"/>
        <w:rPr>
          <w:rFonts w:hint="default" w:ascii="Arial" w:hAnsi="Arial" w:eastAsia="宋体" w:cs="Arial"/>
          <w:b/>
          <w:bCs/>
          <w:sz w:val="28"/>
          <w:szCs w:val="24"/>
          <w:lang w:val="en-US" w:eastAsia="zh-CN"/>
        </w:rPr>
      </w:pPr>
      <w:r>
        <w:rPr>
          <w:rFonts w:ascii="Arial" w:hAnsi="Arial" w:eastAsia="Batang" w:cs="Arial"/>
          <w:b/>
          <w:bCs/>
          <w:sz w:val="28"/>
          <w:szCs w:val="24"/>
          <w:lang w:eastAsia="en-US"/>
        </w:rPr>
        <w:t>3GPP TSG RAN WG1 #10</w:t>
      </w:r>
      <w:r>
        <w:rPr>
          <w:rFonts w:hint="eastAsia" w:ascii="Arial" w:hAnsi="Arial" w:cs="Arial"/>
          <w:b/>
          <w:bCs/>
          <w:sz w:val="28"/>
          <w:szCs w:val="24"/>
          <w:lang w:val="en-US" w:eastAsia="zh-CN"/>
        </w:rPr>
        <w:t>7</w:t>
      </w:r>
      <w:r>
        <w:rPr>
          <w:rFonts w:ascii="Arial" w:hAnsi="Arial" w:eastAsia="Batang" w:cs="Arial"/>
          <w:b/>
          <w:bCs/>
          <w:sz w:val="28"/>
          <w:szCs w:val="24"/>
          <w:lang w:eastAsia="en-US"/>
        </w:rPr>
        <w:t>-e</w:t>
      </w:r>
      <w:r>
        <w:rPr>
          <w:rFonts w:ascii="Arial" w:hAnsi="Arial" w:eastAsia="Batang" w:cs="Arial"/>
          <w:b/>
          <w:bCs/>
          <w:sz w:val="28"/>
          <w:szCs w:val="24"/>
          <w:lang w:eastAsia="en-US"/>
        </w:rPr>
        <w:tab/>
      </w:r>
      <w:r>
        <w:rPr>
          <w:rFonts w:ascii="Arial" w:hAnsi="Arial" w:eastAsia="Batang" w:cs="Arial"/>
          <w:b/>
          <w:bCs/>
          <w:sz w:val="28"/>
          <w:szCs w:val="24"/>
          <w:lang w:eastAsia="en-US"/>
        </w:rPr>
        <w:tab/>
      </w:r>
      <w:r>
        <w:rPr>
          <w:rFonts w:hint="eastAsia" w:ascii="Arial" w:hAnsi="Arial" w:cs="Arial"/>
          <w:b/>
          <w:bCs/>
          <w:sz w:val="28"/>
          <w:szCs w:val="24"/>
          <w:lang w:val="en-US" w:eastAsia="zh-CN"/>
        </w:rPr>
        <w:t xml:space="preserve">                         </w:t>
      </w:r>
      <w:r>
        <w:rPr>
          <w:rFonts w:hint="eastAsia" w:ascii="Arial" w:hAnsi="Arial" w:eastAsia="Batang" w:cs="Arial"/>
          <w:b/>
          <w:bCs/>
          <w:sz w:val="28"/>
          <w:szCs w:val="24"/>
          <w:lang w:eastAsia="en-US"/>
        </w:rPr>
        <w:t>R1-2111616</w:t>
      </w:r>
    </w:p>
    <w:p>
      <w:pPr>
        <w:tabs>
          <w:tab w:val="center" w:pos="4536"/>
          <w:tab w:val="right" w:pos="9072"/>
        </w:tabs>
        <w:outlineLvl w:val="0"/>
        <w:rPr>
          <w:rFonts w:ascii="Arial" w:hAnsi="Arial" w:eastAsia="Batang" w:cs="Arial"/>
          <w:b/>
          <w:bCs/>
          <w:sz w:val="28"/>
          <w:szCs w:val="24"/>
          <w:lang w:eastAsia="en-US"/>
        </w:rPr>
      </w:pPr>
      <w:r>
        <w:rPr>
          <w:rFonts w:hint="eastAsia" w:ascii="Arial" w:hAnsi="Arial" w:eastAsia="Batang" w:cs="Arial"/>
          <w:b/>
          <w:bCs/>
          <w:sz w:val="28"/>
          <w:szCs w:val="24"/>
          <w:lang w:eastAsia="en-US"/>
        </w:rPr>
        <w:t>e-Meeting, November 11th – 19th, 2021</w:t>
      </w:r>
    </w:p>
    <w:p>
      <w:pPr>
        <w:widowControl w:val="0"/>
        <w:spacing w:after="0"/>
        <w:jc w:val="both"/>
        <w:rPr>
          <w:sz w:val="24"/>
          <w:szCs w:val="24"/>
          <w:lang w:eastAsia="zh-CN"/>
        </w:rPr>
      </w:pPr>
    </w:p>
    <w:p>
      <w:pPr>
        <w:pStyle w:val="104"/>
        <w:spacing w:after="0"/>
        <w:outlineLvl w:val="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4"/>
        <w:spacing w:after="0"/>
        <w:outlineLvl w:val="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Discussion on other aspects of RedCap UE</w:t>
      </w:r>
    </w:p>
    <w:p>
      <w:pPr>
        <w:pStyle w:val="104"/>
        <w:spacing w:after="0"/>
        <w:outlineLvl w:val="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8.6.3</w:t>
      </w:r>
    </w:p>
    <w:p>
      <w:pPr>
        <w:pStyle w:val="104"/>
        <w:spacing w:after="0"/>
        <w:outlineLvl w:val="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6"/>
        </w:numPr>
        <w:rPr>
          <w:rFonts w:ascii="Times New Roman" w:hAnsi="Times New Roman"/>
        </w:rPr>
      </w:pPr>
      <w:bookmarkStart w:id="4" w:name="_Toc120549591"/>
      <w:r>
        <w:rPr>
          <w:rFonts w:ascii="Times New Roman" w:hAnsi="Times New Roman"/>
        </w:rPr>
        <w:t>Introduction</w:t>
      </w:r>
      <w:bookmarkEnd w:id="4"/>
    </w:p>
    <w:p>
      <w:pPr>
        <w:pStyle w:val="134"/>
        <w:numPr>
          <w:ilvl w:val="0"/>
          <w:numId w:val="0"/>
        </w:numPr>
        <w:autoSpaceDN w:val="0"/>
        <w:spacing w:before="0" w:line="252" w:lineRule="auto"/>
        <w:contextualSpacing/>
        <w:rPr>
          <w:rFonts w:eastAsia="MS Mincho"/>
        </w:rPr>
      </w:pPr>
      <w:r>
        <w:rPr>
          <w:rFonts w:hint="eastAsia" w:eastAsiaTheme="minorEastAsia"/>
          <w:bCs/>
          <w:lang w:val="en-US" w:eastAsia="zh-CN"/>
        </w:rPr>
        <w:t xml:space="preserve">Currently, separate initial UL BWP has been agreed to be supported during and after initial access, while support of separate initial DL BWP is still working assumption due to issues such as center frequency alignment, </w:t>
      </w:r>
      <w:r>
        <w:t>configuration of CORESET and CSS(s)</w:t>
      </w:r>
      <w:r>
        <w:rPr>
          <w:rFonts w:hint="eastAsia"/>
          <w:lang w:val="en-US" w:eastAsia="zh-CN"/>
        </w:rPr>
        <w:t xml:space="preserve">, additional SSB. </w:t>
      </w:r>
    </w:p>
    <w:p>
      <w:pPr>
        <w:overflowPunct w:val="0"/>
        <w:autoSpaceDE w:val="0"/>
        <w:autoSpaceDN w:val="0"/>
        <w:adjustRightInd w:val="0"/>
        <w:spacing w:before="0"/>
        <w:jc w:val="both"/>
        <w:textAlignment w:val="baseline"/>
        <w:rPr>
          <w:bCs/>
          <w:lang w:eastAsia="zh-CN"/>
        </w:rPr>
      </w:pPr>
      <w:r>
        <w:rPr>
          <w:bCs/>
          <w:lang w:eastAsia="zh-CN"/>
        </w:rPr>
        <w:t>When separate initial UL/DL BWP is configured, some BWP related behaviour needs to be discussed, including default BWP for BWP switching, and where to monitor paging. In this contribution, such issues are discussed and proposals are made.</w:t>
      </w:r>
    </w:p>
    <w:p>
      <w:pPr>
        <w:pStyle w:val="2"/>
        <w:numPr>
          <w:ilvl w:val="0"/>
          <w:numId w:val="6"/>
        </w:numPr>
        <w:jc w:val="both"/>
        <w:rPr>
          <w:rFonts w:ascii="Times New Roman" w:hAnsi="Times New Roman" w:eastAsiaTheme="minorEastAsia"/>
          <w:lang w:eastAsia="zh-CN"/>
        </w:rPr>
      </w:pPr>
      <w:r>
        <w:rPr>
          <w:rFonts w:ascii="Times New Roman" w:hAnsi="Times New Roman" w:eastAsiaTheme="minorEastAsia"/>
          <w:lang w:eastAsia="zh-CN"/>
        </w:rPr>
        <w:t>Discussion on initial BWP related behaviour</w:t>
      </w:r>
    </w:p>
    <w:p>
      <w:pPr>
        <w:rPr>
          <w:lang w:eastAsia="zh-CN"/>
        </w:rPr>
      </w:pPr>
      <w:r>
        <w:rPr>
          <w:lang w:eastAsia="zh-CN"/>
        </w:rPr>
        <w:t>I</w:t>
      </w:r>
      <w:r>
        <w:rPr>
          <w:rFonts w:hint="eastAsia"/>
          <w:lang w:eastAsia="zh-CN"/>
        </w:rPr>
        <w:t>n</w:t>
      </w:r>
      <w:r>
        <w:rPr>
          <w:lang w:eastAsia="zh-CN"/>
        </w:rPr>
        <w:t xml:space="preserve"> this section, we first discuss the definition of BWP with id=0 when separate initial DL/UL BWP is configured for RedCap UE, and then discuss whether UE can monitor paging on separate initial DL BWP.</w:t>
      </w:r>
    </w:p>
    <w:p>
      <w:pPr>
        <w:pStyle w:val="134"/>
        <w:keepNext/>
        <w:keepLines/>
        <w:numPr>
          <w:ilvl w:val="0"/>
          <w:numId w:val="1"/>
        </w:numPr>
        <w:pBdr>
          <w:top w:val="single" w:color="auto" w:sz="12" w:space="3"/>
        </w:pBdr>
        <w:spacing w:before="240" w:after="180"/>
        <w:ind w:leftChars="0"/>
        <w:outlineLvl w:val="0"/>
        <w:rPr>
          <w:rFonts w:ascii="Cambria" w:hAnsi="Cambria" w:eastAsia="宋体"/>
          <w:b/>
          <w:bCs/>
          <w:vanish/>
          <w:kern w:val="32"/>
          <w:sz w:val="32"/>
          <w:szCs w:val="32"/>
          <w:lang w:eastAsia="zh-CN"/>
        </w:rPr>
      </w:pPr>
    </w:p>
    <w:p>
      <w:pPr>
        <w:pStyle w:val="134"/>
        <w:keepNext/>
        <w:keepLines/>
        <w:numPr>
          <w:ilvl w:val="0"/>
          <w:numId w:val="1"/>
        </w:numPr>
        <w:pBdr>
          <w:top w:val="single" w:color="auto" w:sz="12" w:space="3"/>
        </w:pBdr>
        <w:spacing w:before="240" w:after="180"/>
        <w:ind w:leftChars="0"/>
        <w:outlineLvl w:val="0"/>
        <w:rPr>
          <w:rFonts w:ascii="Cambria" w:hAnsi="Cambria" w:eastAsia="宋体"/>
          <w:b/>
          <w:bCs/>
          <w:vanish/>
          <w:kern w:val="32"/>
          <w:sz w:val="32"/>
          <w:szCs w:val="32"/>
          <w:lang w:eastAsia="zh-CN"/>
        </w:rPr>
      </w:pPr>
    </w:p>
    <w:p>
      <w:pPr>
        <w:pStyle w:val="3"/>
        <w:rPr>
          <w:rFonts w:hint="default" w:ascii="Times New Roman" w:hAnsi="Times New Roman" w:cs="Times New Roman"/>
          <w:lang w:eastAsia="zh-CN"/>
        </w:rPr>
      </w:pPr>
      <w:r>
        <w:rPr>
          <w:rFonts w:hint="default" w:ascii="Times New Roman" w:hAnsi="Times New Roman" w:cs="Times New Roman"/>
          <w:lang w:eastAsia="zh-CN"/>
        </w:rPr>
        <w:t>Discussion on BWP Id=0 for RedCap UEs</w:t>
      </w:r>
    </w:p>
    <w:p>
      <w:pPr>
        <w:rPr>
          <w:rFonts w:hint="eastAsia" w:eastAsia="宋体"/>
          <w:lang w:val="en-US" w:eastAsia="zh-CN"/>
        </w:rPr>
      </w:pPr>
      <w:r>
        <w:rPr>
          <w:lang w:eastAsia="zh-CN"/>
        </w:rPr>
        <w:t xml:space="preserve">According to </w:t>
      </w:r>
      <w:r>
        <w:rPr>
          <w:rFonts w:hint="eastAsia"/>
          <w:lang w:val="en-US" w:eastAsia="zh-CN"/>
        </w:rPr>
        <w:t xml:space="preserve">the following </w:t>
      </w:r>
      <w:r>
        <w:rPr>
          <w:lang w:eastAsia="zh-CN"/>
        </w:rPr>
        <w:t>working assumption</w:t>
      </w:r>
      <w:r>
        <w:rPr>
          <w:rFonts w:hint="eastAsia"/>
          <w:lang w:val="en-US" w:eastAsia="zh-CN"/>
        </w:rPr>
        <w:t xml:space="preserve"> in RAN1#105e[1]</w:t>
      </w:r>
      <w:r>
        <w:rPr>
          <w:lang w:eastAsia="zh-CN"/>
        </w:rPr>
        <w:t xml:space="preserve">, </w:t>
      </w:r>
      <w:r>
        <w:t>even for the scenario where the initial UL BWP for non-RedCap UEs is not configured to be wider than the RedCap UE bandwidth, a separate initial UL BWP can optionally be configured/defined for RedCap UEs</w:t>
      </w:r>
      <w:r>
        <w:rPr>
          <w:lang w:eastAsia="zh-CN"/>
        </w:rPr>
        <w:t xml:space="preserve">. </w:t>
      </w:r>
      <w:r>
        <w:rPr>
          <w:rFonts w:hint="eastAsia"/>
          <w:lang w:val="en-US" w:eastAsia="zh-CN"/>
        </w:rPr>
        <w:t xml:space="preserve">And RAN1#106e made agreement that </w:t>
      </w:r>
      <w:r>
        <w:rPr>
          <w:rFonts w:ascii="Times New Roman" w:hAnsi="Times New Roman"/>
          <w:b w:val="0"/>
          <w:bCs/>
          <w:szCs w:val="20"/>
          <w:lang w:val="en-US"/>
        </w:rPr>
        <w:t xml:space="preserve">a separate initial UL BWP for RedCap UEs </w:t>
      </w:r>
      <w:r>
        <w:rPr>
          <w:rFonts w:hint="eastAsia"/>
          <w:b w:val="0"/>
          <w:bCs/>
          <w:szCs w:val="20"/>
          <w:lang w:val="en-US" w:eastAsia="zh-CN"/>
        </w:rPr>
        <w:t xml:space="preserve">can be configured </w:t>
      </w:r>
      <w:r>
        <w:rPr>
          <w:rFonts w:ascii="Times New Roman" w:hAnsi="Times New Roman"/>
          <w:b w:val="0"/>
          <w:bCs/>
          <w:szCs w:val="20"/>
          <w:lang w:val="en-US"/>
        </w:rPr>
        <w:t>in SIB</w:t>
      </w:r>
      <w:r>
        <w:rPr>
          <w:rFonts w:hint="eastAsia"/>
          <w:b w:val="0"/>
          <w:bCs/>
          <w:szCs w:val="20"/>
          <w:lang w:val="en-US" w:eastAsia="zh-CN"/>
        </w:rPr>
        <w:t>.</w:t>
      </w:r>
    </w:p>
    <w:p>
      <w:pPr>
        <w:rPr>
          <w:lang w:eastAsia="zh-CN"/>
        </w:rPr>
      </w:pPr>
      <w:r>
        <w:rPr>
          <w:sz w:val="20"/>
        </w:rPr>
        <mc:AlternateContent>
          <mc:Choice Requires="wps">
            <w:drawing>
              <wp:inline distT="0" distB="0" distL="114300" distR="114300">
                <wp:extent cx="6040120" cy="1218565"/>
                <wp:effectExtent l="5080" t="4445" r="12700" b="15240"/>
                <wp:docPr id="1" name="文本框 1"/>
                <wp:cNvGraphicFramePr/>
                <a:graphic xmlns:a="http://schemas.openxmlformats.org/drawingml/2006/main">
                  <a:graphicData uri="http://schemas.microsoft.com/office/word/2010/wordprocessingShape">
                    <wps:wsp>
                      <wps:cNvSpPr txBox="1"/>
                      <wps:spPr>
                        <a:xfrm>
                          <a:off x="708025" y="6187440"/>
                          <a:ext cx="6040120" cy="121856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lang w:val="en-US" w:eastAsia="zh-CN"/>
                              </w:rPr>
                            </w:pPr>
                            <w:r>
                              <w:rPr>
                                <w:rFonts w:hint="eastAsia"/>
                                <w:lang w:val="en-US" w:eastAsia="zh-CN"/>
                              </w:rPr>
                              <w:t>RAN1#105e</w:t>
                            </w:r>
                          </w:p>
                          <w:p>
                            <w:pPr>
                              <w:rPr>
                                <w:rFonts w:ascii="Times New Roman" w:hAnsi="Times New Roman"/>
                                <w:szCs w:val="20"/>
                              </w:rPr>
                            </w:pPr>
                            <w:r>
                              <w:rPr>
                                <w:rFonts w:ascii="Times New Roman" w:hAnsi="Times New Roman"/>
                                <w:szCs w:val="20"/>
                                <w:highlight w:val="darkYellow"/>
                              </w:rPr>
                              <w:t>Working assumption</w:t>
                            </w:r>
                            <w:r>
                              <w:rPr>
                                <w:rFonts w:ascii="Times New Roman" w:hAnsi="Times New Roman"/>
                                <w:szCs w:val="20"/>
                              </w:rPr>
                              <w:t>: Both during and after initial access, even for the scenario where the initial UL BWP for non-RedCap UEs is not configured to be wider than the RedCap UE bandwidth, a separate initial UL BWP can optionally be configured/defined for RedCap UEs.</w:t>
                            </w:r>
                          </w:p>
                          <w:p>
                            <w:pPr>
                              <w:numPr>
                                <w:ilvl w:val="0"/>
                                <w:numId w:val="7"/>
                              </w:numPr>
                              <w:rPr>
                                <w:rFonts w:ascii="Times New Roman" w:hAnsi="Times New Roman"/>
                                <w:szCs w:val="20"/>
                              </w:rPr>
                            </w:pPr>
                            <w:r>
                              <w:rPr>
                                <w:rFonts w:ascii="Times New Roman" w:hAnsi="Times New Roman"/>
                                <w:szCs w:val="20"/>
                              </w:rPr>
                              <w:t>RO sharing between RedCap and non-RedCap is not precluded.</w:t>
                            </w: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95.95pt;width:475.6pt;" fillcolor="#FFFFFF [3201]" filled="t" stroked="t" coordsize="21600,21600" o:gfxdata="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K09&#10;z5rTAAAABQEAAA8AAAAAAAAAAQAgAAAAIgAAAGRycy9kb3ducmV2LnhtbFBLAQIUABQAAAAIAIdO&#10;4kByNjL7YQIAAMIEAAAOAAAAAAAAAAEAIAAAACIBAABkcnMvZTJvRG9jLnhtbFBLBQYAAAAABgAG&#10;AFkBAAD1BQAAAAA=&#10;">
                <v:fill on="t" focussize="0,0"/>
                <v:stroke weight="0.5pt" color="#000000 [3204]" joinstyle="round"/>
                <v:imagedata o:title=""/>
                <o:lock v:ext="edit" aspectratio="f"/>
                <v:textbox>
                  <w:txbxContent>
                    <w:p>
                      <w:pPr>
                        <w:rPr>
                          <w:rFonts w:hint="default"/>
                          <w:lang w:val="en-US" w:eastAsia="zh-CN"/>
                        </w:rPr>
                      </w:pPr>
                      <w:r>
                        <w:rPr>
                          <w:rFonts w:hint="eastAsia"/>
                          <w:lang w:val="en-US" w:eastAsia="zh-CN"/>
                        </w:rPr>
                        <w:t>RAN1#105e</w:t>
                      </w:r>
                    </w:p>
                    <w:p>
                      <w:pPr>
                        <w:rPr>
                          <w:rFonts w:ascii="Times New Roman" w:hAnsi="Times New Roman"/>
                          <w:szCs w:val="20"/>
                        </w:rPr>
                      </w:pPr>
                      <w:r>
                        <w:rPr>
                          <w:rFonts w:ascii="Times New Roman" w:hAnsi="Times New Roman"/>
                          <w:szCs w:val="20"/>
                          <w:highlight w:val="darkYellow"/>
                        </w:rPr>
                        <w:t>Working assumption</w:t>
                      </w:r>
                      <w:r>
                        <w:rPr>
                          <w:rFonts w:ascii="Times New Roman" w:hAnsi="Times New Roman"/>
                          <w:szCs w:val="20"/>
                        </w:rPr>
                        <w:t>: Both during and after initial access, even for the scenario where the initial UL BWP for non-RedCap UEs is not configured to be wider than the RedCap UE bandwidth, a separate initial UL BWP can optionally be configured/defined for RedCap UEs.</w:t>
                      </w:r>
                    </w:p>
                    <w:p>
                      <w:pPr>
                        <w:numPr>
                          <w:ilvl w:val="0"/>
                          <w:numId w:val="7"/>
                        </w:numPr>
                        <w:rPr>
                          <w:rFonts w:ascii="Times New Roman" w:hAnsi="Times New Roman"/>
                          <w:szCs w:val="20"/>
                        </w:rPr>
                      </w:pPr>
                      <w:r>
                        <w:rPr>
                          <w:rFonts w:ascii="Times New Roman" w:hAnsi="Times New Roman"/>
                          <w:szCs w:val="20"/>
                        </w:rPr>
                        <w:t>RO sharing between RedCap and non-RedCap is not precluded.</w:t>
                      </w:r>
                    </w:p>
                    <w:p/>
                  </w:txbxContent>
                </v:textbox>
                <w10:wrap type="none"/>
                <w10:anchorlock/>
              </v:shape>
            </w:pict>
          </mc:Fallback>
        </mc:AlternateContent>
      </w:r>
    </w:p>
    <w:p>
      <w:pPr>
        <w:rPr>
          <w:lang w:eastAsia="zh-CN"/>
        </w:rPr>
      </w:pPr>
      <w:r>
        <w:rPr>
          <w:sz w:val="20"/>
        </w:rPr>
        <mc:AlternateContent>
          <mc:Choice Requires="wps">
            <w:drawing>
              <wp:inline distT="0" distB="0" distL="114300" distR="114300">
                <wp:extent cx="6040120" cy="2000885"/>
                <wp:effectExtent l="4445" t="4445" r="13335" b="13970"/>
                <wp:docPr id="3" name="文本框 3"/>
                <wp:cNvGraphicFramePr/>
                <a:graphic xmlns:a="http://schemas.openxmlformats.org/drawingml/2006/main">
                  <a:graphicData uri="http://schemas.microsoft.com/office/word/2010/wordprocessingShape">
                    <wps:wsp>
                      <wps:cNvSpPr txBox="1"/>
                      <wps:spPr>
                        <a:xfrm>
                          <a:off x="708025" y="6187440"/>
                          <a:ext cx="6040120" cy="200088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lang w:val="en-US" w:eastAsia="zh-CN"/>
                              </w:rPr>
                            </w:pPr>
                            <w:r>
                              <w:rPr>
                                <w:rFonts w:hint="eastAsia"/>
                                <w:lang w:val="en-US" w:eastAsia="zh-CN"/>
                              </w:rPr>
                              <w:t>RAN1#106e</w:t>
                            </w:r>
                          </w:p>
                          <w:p>
                            <w:pPr>
                              <w:rPr>
                                <w:b/>
                                <w:highlight w:val="green"/>
                              </w:rPr>
                            </w:pPr>
                            <w:r>
                              <w:rPr>
                                <w:b/>
                                <w:highlight w:val="green"/>
                              </w:rPr>
                              <w:t>Agreement</w:t>
                            </w:r>
                          </w:p>
                          <w:p>
                            <w:pPr>
                              <w:pStyle w:val="134"/>
                              <w:numPr>
                                <w:ilvl w:val="0"/>
                                <w:numId w:val="8"/>
                              </w:numPr>
                              <w:spacing w:after="180" w:line="252" w:lineRule="auto"/>
                              <w:ind w:leftChars="0"/>
                              <w:contextualSpacing/>
                              <w:rPr>
                                <w:rFonts w:ascii="Times New Roman" w:hAnsi="Times New Roman"/>
                                <w:b w:val="0"/>
                                <w:bCs/>
                                <w:szCs w:val="20"/>
                                <w:lang w:val="en-US"/>
                              </w:rPr>
                            </w:pPr>
                            <w:r>
                              <w:rPr>
                                <w:rFonts w:ascii="Times New Roman" w:hAnsi="Times New Roman"/>
                                <w:b w:val="0"/>
                                <w:bCs/>
                                <w:szCs w:val="20"/>
                                <w:lang w:val="en-US"/>
                              </w:rPr>
                              <w:t>For a cell that allows a RedCap UE to access, network can configure a separate initial UL BWP for RedCap UEs in SIB</w:t>
                            </w:r>
                          </w:p>
                          <w:p>
                            <w:pPr>
                              <w:pStyle w:val="134"/>
                              <w:numPr>
                                <w:ilvl w:val="1"/>
                                <w:numId w:val="8"/>
                              </w:numPr>
                              <w:spacing w:after="180" w:line="252" w:lineRule="auto"/>
                              <w:ind w:leftChars="0"/>
                              <w:contextualSpacing/>
                              <w:rPr>
                                <w:rFonts w:ascii="Times New Roman" w:hAnsi="Times New Roman"/>
                                <w:b w:val="0"/>
                                <w:bCs/>
                                <w:szCs w:val="20"/>
                              </w:rPr>
                            </w:pPr>
                            <w:r>
                              <w:rPr>
                                <w:rFonts w:ascii="Times New Roman" w:hAnsi="Times New Roman"/>
                                <w:b w:val="0"/>
                                <w:bCs/>
                                <w:szCs w:val="20"/>
                              </w:rPr>
                              <w:t>It can be used both during and after initial access.</w:t>
                            </w:r>
                          </w:p>
                          <w:p>
                            <w:pPr>
                              <w:pStyle w:val="134"/>
                              <w:numPr>
                                <w:ilvl w:val="1"/>
                                <w:numId w:val="8"/>
                              </w:numPr>
                              <w:spacing w:after="180" w:line="252" w:lineRule="auto"/>
                              <w:ind w:leftChars="0"/>
                              <w:contextualSpacing/>
                              <w:rPr>
                                <w:rFonts w:ascii="Times New Roman" w:hAnsi="Times New Roman"/>
                                <w:b w:val="0"/>
                                <w:bCs/>
                                <w:szCs w:val="20"/>
                              </w:rPr>
                            </w:pPr>
                            <w:r>
                              <w:rPr>
                                <w:rFonts w:ascii="Times New Roman" w:hAnsi="Times New Roman"/>
                                <w:b w:val="0"/>
                                <w:bCs/>
                                <w:szCs w:val="20"/>
                                <w:lang w:val="en-US"/>
                              </w:rPr>
                              <w:t>It is no wider than the maximum RedCap UE bandwidth.</w:t>
                            </w:r>
                          </w:p>
                          <w:p>
                            <w:pPr>
                              <w:pStyle w:val="134"/>
                              <w:numPr>
                                <w:ilvl w:val="1"/>
                                <w:numId w:val="8"/>
                              </w:numPr>
                              <w:spacing w:after="180" w:line="252" w:lineRule="auto"/>
                              <w:ind w:leftChars="0"/>
                              <w:contextualSpacing/>
                              <w:rPr>
                                <w:rFonts w:ascii="Times New Roman" w:hAnsi="Times New Roman"/>
                                <w:b w:val="0"/>
                                <w:bCs/>
                                <w:szCs w:val="20"/>
                              </w:rPr>
                            </w:pPr>
                            <w:r>
                              <w:rPr>
                                <w:rFonts w:ascii="Times New Roman" w:hAnsi="Times New Roman"/>
                                <w:b w:val="0"/>
                                <w:bCs/>
                                <w:szCs w:val="20"/>
                              </w:rPr>
                              <w:t>It is always configured if the initial UL BWP for non-RedCap UEs is wider than the maximum RedCap UE bandwidth</w:t>
                            </w:r>
                          </w:p>
                          <w:p>
                            <w:pPr>
                              <w:pStyle w:val="134"/>
                              <w:numPr>
                                <w:ilvl w:val="1"/>
                                <w:numId w:val="8"/>
                              </w:numPr>
                              <w:spacing w:after="180" w:line="252" w:lineRule="auto"/>
                              <w:ind w:leftChars="0"/>
                              <w:contextualSpacing/>
                              <w:rPr>
                                <w:rFonts w:ascii="Times New Roman" w:hAnsi="Times New Roman"/>
                                <w:b w:val="0"/>
                                <w:bCs/>
                                <w:szCs w:val="20"/>
                                <w:lang w:val="en-US"/>
                              </w:rPr>
                            </w:pPr>
                            <w:r>
                              <w:rPr>
                                <w:rFonts w:ascii="Times New Roman" w:hAnsi="Times New Roman"/>
                                <w:b w:val="0"/>
                                <w:bCs/>
                                <w:szCs w:val="20"/>
                                <w:lang w:val="en-US"/>
                              </w:rPr>
                              <w:t>This applies to both TDD and FDD (including FD FDD and HD FDD) cases</w:t>
                            </w:r>
                          </w:p>
                          <w:p>
                            <w:pPr>
                              <w:pStyle w:val="134"/>
                              <w:numPr>
                                <w:ilvl w:val="1"/>
                                <w:numId w:val="8"/>
                              </w:numPr>
                              <w:spacing w:after="180" w:line="252" w:lineRule="auto"/>
                              <w:ind w:leftChars="0"/>
                              <w:contextualSpacing/>
                              <w:rPr>
                                <w:rFonts w:ascii="Times New Roman" w:hAnsi="Times New Roman"/>
                                <w:b w:val="0"/>
                                <w:bCs/>
                                <w:strike/>
                                <w:szCs w:val="20"/>
                                <w:lang w:val="en-US"/>
                              </w:rPr>
                            </w:pPr>
                            <w:r>
                              <w:rPr>
                                <w:rFonts w:ascii="Times New Roman" w:hAnsi="Times New Roman"/>
                                <w:b w:val="0"/>
                                <w:bCs/>
                                <w:strike/>
                                <w:szCs w:val="20"/>
                                <w:lang w:val="en-US"/>
                              </w:rPr>
                              <w:t>FFS whether part of the configuration is implicitly signaled</w:t>
                            </w: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157.55pt;width:475.6pt;" fillcolor="#FFFFFF [3201]" filled="t" stroked="t" coordsize="21600,21600" o:gfxdata="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NciMQ9MAAAAFAQAADwAAAAAAAAABACAAAAAiAAAAZHJzL2Rvd25yZXYueG1sUEsBAhQAFAAAAAgA&#10;h07iQLDUfIhjAgAAwwQAAA4AAAAAAAAAAQAgAAAAIgEAAGRycy9lMm9Eb2MueG1sUEsFBgAAAAAG&#10;AAYAWQEAAPcFAAAAAA==&#10;">
                <v:fill on="t" focussize="0,0"/>
                <v:stroke weight="0.5pt" color="#000000 [3204]" joinstyle="round"/>
                <v:imagedata o:title=""/>
                <o:lock v:ext="edit" aspectratio="f"/>
                <v:textbox>
                  <w:txbxContent>
                    <w:p>
                      <w:pPr>
                        <w:rPr>
                          <w:rFonts w:hint="default"/>
                          <w:lang w:val="en-US" w:eastAsia="zh-CN"/>
                        </w:rPr>
                      </w:pPr>
                      <w:r>
                        <w:rPr>
                          <w:rFonts w:hint="eastAsia"/>
                          <w:lang w:val="en-US" w:eastAsia="zh-CN"/>
                        </w:rPr>
                        <w:t>RAN1#106e</w:t>
                      </w:r>
                    </w:p>
                    <w:p>
                      <w:pPr>
                        <w:rPr>
                          <w:b/>
                          <w:highlight w:val="green"/>
                        </w:rPr>
                      </w:pPr>
                      <w:r>
                        <w:rPr>
                          <w:b/>
                          <w:highlight w:val="green"/>
                        </w:rPr>
                        <w:t>Agreement</w:t>
                      </w:r>
                    </w:p>
                    <w:p>
                      <w:pPr>
                        <w:pStyle w:val="134"/>
                        <w:numPr>
                          <w:ilvl w:val="0"/>
                          <w:numId w:val="8"/>
                        </w:numPr>
                        <w:spacing w:after="180" w:line="252" w:lineRule="auto"/>
                        <w:ind w:leftChars="0"/>
                        <w:contextualSpacing/>
                        <w:rPr>
                          <w:rFonts w:ascii="Times New Roman" w:hAnsi="Times New Roman"/>
                          <w:b w:val="0"/>
                          <w:bCs/>
                          <w:szCs w:val="20"/>
                          <w:lang w:val="en-US"/>
                        </w:rPr>
                      </w:pPr>
                      <w:r>
                        <w:rPr>
                          <w:rFonts w:ascii="Times New Roman" w:hAnsi="Times New Roman"/>
                          <w:b w:val="0"/>
                          <w:bCs/>
                          <w:szCs w:val="20"/>
                          <w:lang w:val="en-US"/>
                        </w:rPr>
                        <w:t>For a cell that allows a RedCap UE to access, network can configure a separate initial UL BWP for RedCap UEs in SIB</w:t>
                      </w:r>
                    </w:p>
                    <w:p>
                      <w:pPr>
                        <w:pStyle w:val="134"/>
                        <w:numPr>
                          <w:ilvl w:val="1"/>
                          <w:numId w:val="8"/>
                        </w:numPr>
                        <w:spacing w:after="180" w:line="252" w:lineRule="auto"/>
                        <w:ind w:leftChars="0"/>
                        <w:contextualSpacing/>
                        <w:rPr>
                          <w:rFonts w:ascii="Times New Roman" w:hAnsi="Times New Roman"/>
                          <w:b w:val="0"/>
                          <w:bCs/>
                          <w:szCs w:val="20"/>
                        </w:rPr>
                      </w:pPr>
                      <w:r>
                        <w:rPr>
                          <w:rFonts w:ascii="Times New Roman" w:hAnsi="Times New Roman"/>
                          <w:b w:val="0"/>
                          <w:bCs/>
                          <w:szCs w:val="20"/>
                        </w:rPr>
                        <w:t>It can be used both during and after initial access.</w:t>
                      </w:r>
                    </w:p>
                    <w:p>
                      <w:pPr>
                        <w:pStyle w:val="134"/>
                        <w:numPr>
                          <w:ilvl w:val="1"/>
                          <w:numId w:val="8"/>
                        </w:numPr>
                        <w:spacing w:after="180" w:line="252" w:lineRule="auto"/>
                        <w:ind w:leftChars="0"/>
                        <w:contextualSpacing/>
                        <w:rPr>
                          <w:rFonts w:ascii="Times New Roman" w:hAnsi="Times New Roman"/>
                          <w:b w:val="0"/>
                          <w:bCs/>
                          <w:szCs w:val="20"/>
                        </w:rPr>
                      </w:pPr>
                      <w:r>
                        <w:rPr>
                          <w:rFonts w:ascii="Times New Roman" w:hAnsi="Times New Roman"/>
                          <w:b w:val="0"/>
                          <w:bCs/>
                          <w:szCs w:val="20"/>
                          <w:lang w:val="en-US"/>
                        </w:rPr>
                        <w:t>It is no wider than the maximum RedCap UE bandwidth.</w:t>
                      </w:r>
                    </w:p>
                    <w:p>
                      <w:pPr>
                        <w:pStyle w:val="134"/>
                        <w:numPr>
                          <w:ilvl w:val="1"/>
                          <w:numId w:val="8"/>
                        </w:numPr>
                        <w:spacing w:after="180" w:line="252" w:lineRule="auto"/>
                        <w:ind w:leftChars="0"/>
                        <w:contextualSpacing/>
                        <w:rPr>
                          <w:rFonts w:ascii="Times New Roman" w:hAnsi="Times New Roman"/>
                          <w:b w:val="0"/>
                          <w:bCs/>
                          <w:szCs w:val="20"/>
                        </w:rPr>
                      </w:pPr>
                      <w:r>
                        <w:rPr>
                          <w:rFonts w:ascii="Times New Roman" w:hAnsi="Times New Roman"/>
                          <w:b w:val="0"/>
                          <w:bCs/>
                          <w:szCs w:val="20"/>
                        </w:rPr>
                        <w:t>It is always configured if the initial UL BWP for non-RedCap UEs is wider than the maximum RedCap UE bandwidth</w:t>
                      </w:r>
                    </w:p>
                    <w:p>
                      <w:pPr>
                        <w:pStyle w:val="134"/>
                        <w:numPr>
                          <w:ilvl w:val="1"/>
                          <w:numId w:val="8"/>
                        </w:numPr>
                        <w:spacing w:after="180" w:line="252" w:lineRule="auto"/>
                        <w:ind w:leftChars="0"/>
                        <w:contextualSpacing/>
                        <w:rPr>
                          <w:rFonts w:ascii="Times New Roman" w:hAnsi="Times New Roman"/>
                          <w:b w:val="0"/>
                          <w:bCs/>
                          <w:szCs w:val="20"/>
                          <w:lang w:val="en-US"/>
                        </w:rPr>
                      </w:pPr>
                      <w:r>
                        <w:rPr>
                          <w:rFonts w:ascii="Times New Roman" w:hAnsi="Times New Roman"/>
                          <w:b w:val="0"/>
                          <w:bCs/>
                          <w:szCs w:val="20"/>
                          <w:lang w:val="en-US"/>
                        </w:rPr>
                        <w:t>This applies to both TDD and FDD (including FD FDD and HD FDD) cases</w:t>
                      </w:r>
                    </w:p>
                    <w:p>
                      <w:pPr>
                        <w:pStyle w:val="134"/>
                        <w:numPr>
                          <w:ilvl w:val="1"/>
                          <w:numId w:val="8"/>
                        </w:numPr>
                        <w:spacing w:after="180" w:line="252" w:lineRule="auto"/>
                        <w:ind w:leftChars="0"/>
                        <w:contextualSpacing/>
                        <w:rPr>
                          <w:rFonts w:ascii="Times New Roman" w:hAnsi="Times New Roman"/>
                          <w:b w:val="0"/>
                          <w:bCs/>
                          <w:strike/>
                          <w:szCs w:val="20"/>
                          <w:lang w:val="en-US"/>
                        </w:rPr>
                      </w:pPr>
                      <w:r>
                        <w:rPr>
                          <w:rFonts w:ascii="Times New Roman" w:hAnsi="Times New Roman"/>
                          <w:b w:val="0"/>
                          <w:bCs/>
                          <w:strike/>
                          <w:szCs w:val="20"/>
                          <w:lang w:val="en-US"/>
                        </w:rPr>
                        <w:t>FFS whether part of the configuration is implicitly signaled</w:t>
                      </w:r>
                    </w:p>
                    <w:p/>
                  </w:txbxContent>
                </v:textbox>
                <w10:wrap type="none"/>
                <w10:anchorlock/>
              </v:shape>
            </w:pict>
          </mc:Fallback>
        </mc:AlternateContent>
      </w:r>
    </w:p>
    <w:p>
      <w:pPr>
        <w:rPr>
          <w:lang w:eastAsia="zh-CN"/>
        </w:rPr>
      </w:pPr>
    </w:p>
    <w:p>
      <w:pPr>
        <w:rPr>
          <w:lang w:eastAsia="zh-CN"/>
        </w:rPr>
      </w:pPr>
      <w:r>
        <w:rPr>
          <w:lang w:eastAsia="zh-CN"/>
        </w:rPr>
        <w:t>For th</w:t>
      </w:r>
      <w:r>
        <w:rPr>
          <w:rFonts w:hint="eastAsia"/>
          <w:lang w:val="en-US" w:eastAsia="zh-CN"/>
        </w:rPr>
        <w:t>e</w:t>
      </w:r>
      <w:r>
        <w:rPr>
          <w:lang w:eastAsia="zh-CN"/>
        </w:rPr>
        <w:t xml:space="preserve"> scenario</w:t>
      </w:r>
      <w:r>
        <w:rPr>
          <w:rFonts w:hint="eastAsia"/>
          <w:lang w:val="en-US" w:eastAsia="zh-CN"/>
        </w:rPr>
        <w:t xml:space="preserve"> </w:t>
      </w:r>
      <w:r>
        <w:rPr>
          <w:rFonts w:ascii="Times New Roman" w:hAnsi="Times New Roman"/>
          <w:szCs w:val="20"/>
        </w:rPr>
        <w:t>where the initial UL BWP for non-RedCap UEs is not configured to be wider than the RedCap UE bandwidth</w:t>
      </w:r>
      <w:r>
        <w:rPr>
          <w:lang w:eastAsia="zh-CN"/>
        </w:rPr>
        <w:t xml:space="preserve">, the motivation of configuring a separate initial UL BWP may be for </w:t>
      </w:r>
      <w:r>
        <w:rPr>
          <w:rFonts w:hint="eastAsia"/>
          <w:lang w:val="en-US" w:eastAsia="zh-CN"/>
        </w:rPr>
        <w:t xml:space="preserve">initial access offloading or </w:t>
      </w:r>
      <w:r>
        <w:rPr>
          <w:lang w:eastAsia="zh-CN"/>
        </w:rPr>
        <w:t>traffic offloading</w:t>
      </w:r>
      <w:r>
        <w:rPr>
          <w:rFonts w:hint="eastAsia"/>
          <w:lang w:val="en-US" w:eastAsia="zh-CN"/>
        </w:rPr>
        <w:t>, since UE can still work on such UL BWP after initial access</w:t>
      </w:r>
      <w:r>
        <w:rPr>
          <w:lang w:eastAsia="zh-CN"/>
        </w:rPr>
        <w:t>. When the number of UEs is reduced, offloading will become not necessary. So BWP switching can be used to switch RedCap UEs from separate initial BWP to the same initial BWP as non-RedCap devices</w:t>
      </w:r>
      <w:r>
        <w:rPr>
          <w:rFonts w:hint="eastAsia"/>
          <w:lang w:val="en-US" w:eastAsia="zh-CN"/>
        </w:rPr>
        <w:t>, so that t</w:t>
      </w:r>
      <w:r>
        <w:rPr>
          <w:lang w:eastAsia="zh-CN"/>
        </w:rPr>
        <w:t>he number of initial BWPs maintained by the base station can be reduced when the traffic load is light.</w:t>
      </w:r>
    </w:p>
    <w:p>
      <w:pPr>
        <w:rPr>
          <w:lang w:eastAsia="zh-CN"/>
        </w:rPr>
      </w:pPr>
      <w:r>
        <w:rPr>
          <w:lang w:eastAsia="zh-CN"/>
        </w:rPr>
        <w:t>On the other hand, for connected UEs, if the data rate demand decreases, it should be able to work on narrow bandwi</w:t>
      </w:r>
      <w:r>
        <w:rPr>
          <w:rFonts w:hint="eastAsia"/>
          <w:lang w:val="en-US" w:eastAsia="zh-CN"/>
        </w:rPr>
        <w:t>d</w:t>
      </w:r>
      <w:r>
        <w:rPr>
          <w:lang w:eastAsia="zh-CN"/>
        </w:rPr>
        <w:t>th BWP to achieve energy saving. When the data rate requirement is high, it can switch to a larger BWP. Therefore, it is proposed that the RedCap UE can support BWP switching. And all the three BWP switching mechanisms such RRC configuration, timer-based and DCI-based can be supported.</w:t>
      </w:r>
    </w:p>
    <w:p>
      <w:pPr>
        <w:widowControl w:val="0"/>
        <w:autoSpaceDE w:val="0"/>
        <w:autoSpaceDN w:val="0"/>
        <w:adjustRightInd w:val="0"/>
        <w:spacing w:before="0" w:after="0"/>
        <w:rPr>
          <w:b/>
          <w:lang w:eastAsia="zh-CN"/>
        </w:rPr>
      </w:pPr>
      <w:r>
        <w:rPr>
          <w:b/>
          <w:lang w:eastAsia="zh-CN"/>
        </w:rPr>
        <w:t>P</w:t>
      </w:r>
      <w:r>
        <w:rPr>
          <w:rFonts w:hint="eastAsia"/>
          <w:b/>
          <w:lang w:eastAsia="zh-CN"/>
        </w:rPr>
        <w:t>roposal</w:t>
      </w:r>
      <w:r>
        <w:rPr>
          <w:b/>
          <w:lang w:eastAsia="zh-CN"/>
        </w:rPr>
        <w:t xml:space="preserve"> 1</w:t>
      </w:r>
      <w:r>
        <w:rPr>
          <w:rFonts w:hint="eastAsia"/>
          <w:b/>
          <w:lang w:eastAsia="zh-CN"/>
        </w:rPr>
        <w:t>:</w:t>
      </w:r>
      <w:r>
        <w:rPr>
          <w:b/>
          <w:lang w:eastAsia="zh-CN"/>
        </w:rPr>
        <w:t xml:space="preserve"> RRC configuration based, timer-based and DCI-based BWP switching are supported by RedCap UE.</w:t>
      </w:r>
    </w:p>
    <w:p>
      <w:pPr>
        <w:widowControl w:val="0"/>
        <w:autoSpaceDE w:val="0"/>
        <w:autoSpaceDN w:val="0"/>
        <w:adjustRightInd w:val="0"/>
        <w:spacing w:before="0" w:after="0"/>
        <w:rPr>
          <w:b/>
          <w:lang w:eastAsia="zh-CN"/>
        </w:rPr>
      </w:pPr>
    </w:p>
    <w:p>
      <w:pPr>
        <w:widowControl w:val="0"/>
        <w:autoSpaceDE w:val="0"/>
        <w:autoSpaceDN w:val="0"/>
        <w:adjustRightInd w:val="0"/>
        <w:spacing w:before="0" w:after="0"/>
        <w:rPr>
          <w:lang w:eastAsia="zh-CN"/>
        </w:rPr>
      </w:pPr>
      <w:r>
        <w:rPr>
          <w:lang w:eastAsia="zh-CN"/>
        </w:rPr>
        <w:t xml:space="preserve">To support BWP switching, the definition of BWP with Id = 0 needs to be discussed. According to current specification, the initial BWP is referred to by BWP-Id = 0. When the number of BWPs configured by RRC is less than or equal to 3, DCI can trigger a BWP switch to BWP 0. BWP switching can also be triggered by BWP inactivity timer, </w:t>
      </w:r>
    </w:p>
    <w:p>
      <w:pPr>
        <w:rPr>
          <w:lang w:eastAsia="zh-CN"/>
        </w:rPr>
      </w:pPr>
      <w:r>
        <w:rPr>
          <w:lang w:eastAsia="zh-CN"/>
        </w:rPr>
        <w:t xml:space="preserve">UE switches its active BWP to default BWP upon expiry of the BWP inactivity timer. </w:t>
      </w:r>
      <w:r>
        <w:rPr>
          <w:rFonts w:hint="eastAsia"/>
          <w:lang w:eastAsia="zh-CN"/>
        </w:rPr>
        <w:t>I</w:t>
      </w:r>
      <w:r>
        <w:rPr>
          <w:lang w:eastAsia="zh-CN"/>
        </w:rPr>
        <w:t>f the default BWP is not configured, the UE uses the initial BWP as default BWP. Therefore, it is necessary to clarify which initial BWP corresponds to BWP Id=0 for RedCap UEs when separate initial BWP is configured.</w:t>
      </w:r>
    </w:p>
    <w:p>
      <w:pPr>
        <w:rPr>
          <w:lang w:eastAsia="zh-CN"/>
        </w:rPr>
      </w:pPr>
      <w:r>
        <w:rPr>
          <w:lang w:eastAsia="zh-CN"/>
        </w:rPr>
        <w:t>When the initial UL/DL BWP of the non-RedCap UE is wider than 20MHz, the redcap UE cannot work on the non-redcap initial UL/DL BWP, so for this case, its BWP 0 should be the separate initial UL/DL BWP.</w:t>
      </w:r>
    </w:p>
    <w:p>
      <w:pPr>
        <w:rPr>
          <w:lang w:eastAsia="zh-CN"/>
        </w:rPr>
      </w:pPr>
      <w:r>
        <w:rPr>
          <w:lang w:eastAsia="zh-CN"/>
        </w:rPr>
        <w:t>When the initial UL/DL BWP of the non-RedCap terminal is no wider than 20MHz, the redcap terminal can work on the non-RedCap initial UL/DL BWP, which means the non-RedCap initial UL/DL BWP can be one BWP of RedCap UE.</w:t>
      </w:r>
      <w:r>
        <w:rPr>
          <w:rFonts w:hint="eastAsia"/>
          <w:lang w:val="en-US" w:eastAsia="zh-CN"/>
        </w:rPr>
        <w:t xml:space="preserve"> For example, even when separate initial DL BWP is configured, paging CSS may not be configured on it, UE can monitoring PO on the CORESET#0 defined initial DL BWP, and switch to separate initial UL/DL BWP during initial access.</w:t>
      </w:r>
      <w:r>
        <w:rPr>
          <w:lang w:eastAsia="zh-CN"/>
        </w:rPr>
        <w:t xml:space="preserve"> </w:t>
      </w:r>
      <w:r>
        <w:rPr>
          <w:rFonts w:hint="eastAsia"/>
          <w:lang w:val="en-US" w:eastAsia="zh-CN"/>
        </w:rPr>
        <w:t>In this case, i</w:t>
      </w:r>
      <w:r>
        <w:rPr>
          <w:lang w:eastAsia="zh-CN"/>
        </w:rPr>
        <w:t xml:space="preserve">f the redcap UE accesses the network through the separate initial BWP, the BWP 0 </w:t>
      </w:r>
      <w:r>
        <w:rPr>
          <w:rFonts w:hint="eastAsia"/>
          <w:lang w:val="en-US" w:eastAsia="zh-CN"/>
        </w:rPr>
        <w:t>should</w:t>
      </w:r>
      <w:r>
        <w:rPr>
          <w:lang w:eastAsia="zh-CN"/>
        </w:rPr>
        <w:t xml:space="preserve"> be the separate initial </w:t>
      </w:r>
      <w:r>
        <w:rPr>
          <w:rFonts w:hint="eastAsia"/>
          <w:lang w:val="en-US" w:eastAsia="zh-CN"/>
        </w:rPr>
        <w:t xml:space="preserve">UL/DL </w:t>
      </w:r>
      <w:r>
        <w:rPr>
          <w:lang w:eastAsia="zh-CN"/>
        </w:rPr>
        <w:t xml:space="preserve">BWP. </w:t>
      </w:r>
      <w:r>
        <w:rPr>
          <w:rFonts w:hint="eastAsia"/>
          <w:lang w:val="en-US" w:eastAsia="zh-CN"/>
        </w:rPr>
        <w:t>I</w:t>
      </w:r>
      <w:r>
        <w:rPr>
          <w:lang w:eastAsia="zh-CN"/>
        </w:rPr>
        <w:t xml:space="preserve">f the network wants the flexibility of switching </w:t>
      </w:r>
      <w:r>
        <w:rPr>
          <w:rFonts w:hint="eastAsia"/>
          <w:lang w:val="en-US" w:eastAsia="zh-CN"/>
        </w:rPr>
        <w:t xml:space="preserve">connected RedCap </w:t>
      </w:r>
      <w:r>
        <w:rPr>
          <w:lang w:eastAsia="zh-CN"/>
        </w:rPr>
        <w:t>UE</w:t>
      </w:r>
      <w:r>
        <w:rPr>
          <w:rFonts w:hint="eastAsia"/>
          <w:lang w:val="en-US" w:eastAsia="zh-CN"/>
        </w:rPr>
        <w:t>s</w:t>
      </w:r>
      <w:r>
        <w:rPr>
          <w:lang w:eastAsia="zh-CN"/>
        </w:rPr>
        <w:t xml:space="preserve"> to initial DL/UL BWP of non-RedCap UE, it can reconfigure the non-RedCap initial UL/DL BWP to be a RRC configured BWP</w:t>
      </w:r>
      <w:r>
        <w:rPr>
          <w:rFonts w:hint="eastAsia"/>
          <w:lang w:val="en-US" w:eastAsia="zh-CN"/>
        </w:rPr>
        <w:t>, other than BWP0</w:t>
      </w:r>
      <w:r>
        <w:rPr>
          <w:lang w:eastAsia="zh-CN"/>
        </w:rPr>
        <w:t xml:space="preserve">. There is another possibility that, </w:t>
      </w:r>
      <w:r>
        <w:rPr>
          <w:rFonts w:hint="eastAsia"/>
          <w:lang w:val="en-US" w:eastAsia="zh-CN"/>
        </w:rPr>
        <w:t>when gNB doesn</w:t>
      </w:r>
      <w:r>
        <w:rPr>
          <w:rFonts w:hint="default"/>
          <w:lang w:val="en-US" w:eastAsia="zh-CN"/>
        </w:rPr>
        <w:t>’</w:t>
      </w:r>
      <w:r>
        <w:rPr>
          <w:rFonts w:hint="eastAsia"/>
          <w:lang w:val="en-US" w:eastAsia="zh-CN"/>
        </w:rPr>
        <w:t xml:space="preserve">t want to identify RedCap UEs, it may also allowed </w:t>
      </w:r>
      <w:r>
        <w:rPr>
          <w:lang w:eastAsia="zh-CN"/>
        </w:rPr>
        <w:t xml:space="preserve">RedCap UE </w:t>
      </w:r>
      <w:r>
        <w:rPr>
          <w:rFonts w:hint="eastAsia"/>
          <w:lang w:val="en-US" w:eastAsia="zh-CN"/>
        </w:rPr>
        <w:t>to</w:t>
      </w:r>
      <w:r>
        <w:rPr>
          <w:lang w:eastAsia="zh-CN"/>
        </w:rPr>
        <w:t xml:space="preserve"> access the network through the non-RedCap initial UL/DL BWP since its bandwidth is no wider than 20MHz, in this case, it’s better to set the non-RedCap</w:t>
      </w:r>
      <w:r>
        <w:rPr>
          <w:rFonts w:hint="eastAsia"/>
          <w:lang w:val="en-US" w:eastAsia="zh-CN"/>
        </w:rPr>
        <w:t xml:space="preserve"> UEs</w:t>
      </w:r>
      <w:r>
        <w:rPr>
          <w:rFonts w:hint="default"/>
          <w:lang w:val="en-US" w:eastAsia="zh-CN"/>
        </w:rPr>
        <w:t>’</w:t>
      </w:r>
      <w:r>
        <w:rPr>
          <w:lang w:eastAsia="zh-CN"/>
        </w:rPr>
        <w:t xml:space="preserve"> initial UL/DL BWP to be </w:t>
      </w:r>
      <w:r>
        <w:rPr>
          <w:rFonts w:hint="eastAsia"/>
          <w:lang w:eastAsia="zh-CN"/>
        </w:rPr>
        <w:t>BWP</w:t>
      </w:r>
      <w:r>
        <w:rPr>
          <w:lang w:eastAsia="zh-CN"/>
        </w:rPr>
        <w:t xml:space="preserve"> 0.</w:t>
      </w:r>
    </w:p>
    <w:p>
      <w:pPr>
        <w:rPr>
          <w:lang w:eastAsia="zh-CN"/>
        </w:rPr>
      </w:pPr>
      <w:r>
        <w:rPr>
          <w:lang w:eastAsia="zh-CN"/>
        </w:rPr>
        <w:t xml:space="preserve">Therefore, for a </w:t>
      </w:r>
      <w:r>
        <w:rPr>
          <w:rFonts w:hint="eastAsia"/>
          <w:lang w:eastAsia="zh-CN"/>
        </w:rPr>
        <w:t>RedCap</w:t>
      </w:r>
      <w:r>
        <w:rPr>
          <w:lang w:eastAsia="zh-CN"/>
        </w:rPr>
        <w:t xml:space="preserve"> UE, its BWP 0 is proposed to be the initial BWP which it uses for initial access, and the BWP 0 can be the separate initial DL/UL BWP or the initial DL/UL BWP for non-RedCap UE if they are no wider than 20MHz</w:t>
      </w:r>
      <w:r>
        <w:rPr>
          <w:rFonts w:hint="eastAsia"/>
          <w:lang w:val="en-US" w:eastAsia="zh-CN"/>
        </w:rPr>
        <w:t xml:space="preserve"> and used for random access</w:t>
      </w:r>
      <w:r>
        <w:rPr>
          <w:lang w:eastAsia="zh-CN"/>
        </w:rPr>
        <w:t>.</w:t>
      </w:r>
    </w:p>
    <w:p>
      <w:pPr>
        <w:rPr>
          <w:b/>
          <w:lang w:eastAsia="zh-CN"/>
        </w:rPr>
      </w:pPr>
      <w:r>
        <w:rPr>
          <w:b/>
          <w:lang w:eastAsia="zh-CN"/>
        </w:rPr>
        <w:t>P</w:t>
      </w:r>
      <w:r>
        <w:rPr>
          <w:rFonts w:hint="eastAsia"/>
          <w:b/>
          <w:lang w:eastAsia="zh-CN"/>
        </w:rPr>
        <w:t>roposal</w:t>
      </w:r>
      <w:r>
        <w:rPr>
          <w:b/>
          <w:lang w:eastAsia="zh-CN"/>
        </w:rPr>
        <w:t xml:space="preserve"> 2</w:t>
      </w:r>
      <w:r>
        <w:rPr>
          <w:rFonts w:hint="eastAsia"/>
          <w:b/>
          <w:lang w:eastAsia="zh-CN"/>
        </w:rPr>
        <w:t>:</w:t>
      </w:r>
      <w:r>
        <w:rPr>
          <w:b/>
          <w:lang w:eastAsia="zh-CN"/>
        </w:rPr>
        <w:t xml:space="preserve"> For a </w:t>
      </w:r>
      <w:r>
        <w:rPr>
          <w:rFonts w:hint="eastAsia"/>
          <w:b/>
          <w:lang w:eastAsia="zh-CN"/>
        </w:rPr>
        <w:t>RedCap</w:t>
      </w:r>
      <w:r>
        <w:rPr>
          <w:b/>
          <w:lang w:eastAsia="zh-CN"/>
        </w:rPr>
        <w:t xml:space="preserve"> UE, its BWP 0 is the initial BWP that UE used for initial access.</w:t>
      </w:r>
    </w:p>
    <w:p>
      <w:pPr>
        <w:pStyle w:val="3"/>
        <w:rPr>
          <w:rFonts w:hint="default" w:ascii="Times New Roman" w:hAnsi="Times New Roman" w:cs="Times New Roman"/>
          <w:lang w:eastAsia="zh-CN"/>
        </w:rPr>
      </w:pPr>
      <w:r>
        <w:rPr>
          <w:rFonts w:hint="default" w:ascii="Times New Roman" w:hAnsi="Times New Roman" w:cs="Times New Roman"/>
          <w:lang w:eastAsia="zh-CN"/>
        </w:rPr>
        <w:t>Discussion on initial DL BWP for paging monitoring</w:t>
      </w:r>
    </w:p>
    <w:p>
      <w:pPr>
        <w:rPr>
          <w:lang w:eastAsia="zh-CN"/>
        </w:rPr>
      </w:pPr>
      <w:r>
        <w:rPr>
          <w:lang w:eastAsia="zh-CN"/>
        </w:rPr>
        <w:t>When separate initial UL BWP is configured, random access can be initiated on the separate initial UL BWP, and the UE can receive the transmission of Msg2 and Msg4 during initial access on the separate initial DL BWP accordingly. But whether paging can be detected on the separate initial DL BWP needs to be discussed.</w:t>
      </w:r>
    </w:p>
    <w:p>
      <w:pPr>
        <w:rPr>
          <w:lang w:eastAsia="zh-CN"/>
        </w:rPr>
      </w:pPr>
      <w:r>
        <w:rPr>
          <w:lang w:eastAsia="zh-CN"/>
        </w:rPr>
        <w:t>For UE before RRC connection, the initial DL BWP is equal to CORESET#0, so the bandwidth of initial DL BWP for idle UE is always smaller than 20MHz. When separate initial DL BWP is configured for RedCap UEs, there will be two initial DL BWPs for RedCap UEs.</w:t>
      </w:r>
      <w:r>
        <w:rPr>
          <w:rFonts w:hint="eastAsia"/>
          <w:lang w:eastAsia="zh-CN"/>
        </w:rPr>
        <w:t xml:space="preserve"> </w:t>
      </w:r>
      <w:r>
        <w:rPr>
          <w:lang w:eastAsia="zh-CN"/>
        </w:rPr>
        <w:t>Considering that the RedCap service characteristics may be different from the eMBB/URLLC service, if different DRX parameters can be configured on the separate initial DL BWP to better match the redcap service characteristics, unnecessary RedCap wakeup can be avoided and energy saving can be achieved.</w:t>
      </w:r>
      <w:r>
        <w:rPr>
          <w:rFonts w:hint="eastAsia"/>
          <w:lang w:val="en-US" w:eastAsia="zh-CN"/>
        </w:rPr>
        <w:t xml:space="preserve"> And allow paging on separate initial DL BWP can also resolve paging capacity issue.</w:t>
      </w:r>
      <w:r>
        <w:rPr>
          <w:lang w:eastAsia="zh-CN"/>
        </w:rPr>
        <w:t xml:space="preserve"> So paging monitoring on separate initial DL BWP can be supported for RedCap idle/inactive UEs.</w:t>
      </w:r>
    </w:p>
    <w:p>
      <w:pPr>
        <w:rPr>
          <w:rFonts w:hint="default"/>
          <w:lang w:val="en-US" w:eastAsia="zh-CN"/>
        </w:rPr>
      </w:pPr>
      <w:r>
        <w:rPr>
          <w:rFonts w:hint="eastAsia"/>
          <w:lang w:val="en-US" w:eastAsia="zh-CN"/>
        </w:rPr>
        <w:t xml:space="preserve">But it should be up to gNB to decide whether to configure PO on separate initial DL BWP. When there is no capacity issue for paging, the POs can be shared by RedCap and non-RedCap UEs. </w:t>
      </w:r>
    </w:p>
    <w:p>
      <w:pPr>
        <w:rPr>
          <w:b/>
          <w:lang w:eastAsia="zh-CN"/>
        </w:rPr>
      </w:pPr>
      <w:r>
        <w:rPr>
          <w:b/>
          <w:lang w:eastAsia="zh-CN"/>
        </w:rPr>
        <w:t>P</w:t>
      </w:r>
      <w:r>
        <w:rPr>
          <w:rFonts w:hint="eastAsia"/>
          <w:b/>
          <w:lang w:eastAsia="zh-CN"/>
        </w:rPr>
        <w:t>roposal</w:t>
      </w:r>
      <w:r>
        <w:rPr>
          <w:b/>
          <w:lang w:eastAsia="zh-CN"/>
        </w:rPr>
        <w:t xml:space="preserve"> 3</w:t>
      </w:r>
      <w:r>
        <w:rPr>
          <w:rFonts w:hint="eastAsia"/>
          <w:b/>
          <w:lang w:eastAsia="zh-CN"/>
        </w:rPr>
        <w:t>:</w:t>
      </w:r>
      <w:r>
        <w:rPr>
          <w:b/>
          <w:lang w:eastAsia="zh-CN"/>
        </w:rPr>
        <w:t xml:space="preserve"> Paging monitoring on separate initial DL BWP can be supported for idle/inactive RedCap UEs.</w:t>
      </w:r>
    </w:p>
    <w:p>
      <w:pPr>
        <w:rPr>
          <w:rFonts w:hint="eastAsia"/>
          <w:b/>
          <w:lang w:val="en-US" w:eastAsia="zh-CN"/>
        </w:rPr>
      </w:pPr>
      <w:r>
        <w:rPr>
          <w:rFonts w:hint="eastAsia"/>
          <w:b/>
          <w:lang w:val="en-US" w:eastAsia="zh-CN"/>
        </w:rPr>
        <w:t>Proposal 4: Whether to configure paging monitoring on separate initial DL BWP is up to gNB.</w:t>
      </w:r>
    </w:p>
    <w:p>
      <w:pPr>
        <w:pStyle w:val="2"/>
        <w:numPr>
          <w:ilvl w:val="0"/>
          <w:numId w:val="6"/>
        </w:numPr>
        <w:jc w:val="both"/>
        <w:rPr>
          <w:rFonts w:ascii="Times New Roman" w:hAnsi="Times New Roman" w:eastAsiaTheme="minorEastAsia"/>
          <w:lang w:eastAsia="zh-CN"/>
        </w:rPr>
      </w:pPr>
      <w:r>
        <w:rPr>
          <w:rFonts w:ascii="Times New Roman" w:hAnsi="Times New Roman" w:eastAsiaTheme="minorEastAsia"/>
          <w:lang w:eastAsia="zh-CN"/>
        </w:rPr>
        <w:t>Conclusions</w:t>
      </w:r>
    </w:p>
    <w:p>
      <w:pPr>
        <w:jc w:val="both"/>
        <w:rPr>
          <w:lang w:eastAsia="zh-CN"/>
        </w:rPr>
      </w:pPr>
      <w:r>
        <w:t xml:space="preserve">In this contribution, considering that separate initial DL/UL BWP may be configured for RedCap UEs, </w:t>
      </w:r>
      <w:r>
        <w:rPr>
          <w:lang w:eastAsia="zh-CN"/>
        </w:rPr>
        <w:t xml:space="preserve">some BWP related </w:t>
      </w:r>
      <w:r>
        <w:rPr>
          <w:rFonts w:hint="eastAsia"/>
          <w:lang w:eastAsia="zh-CN"/>
        </w:rPr>
        <w:t>behaviors</w:t>
      </w:r>
      <w:r>
        <w:rPr>
          <w:lang w:eastAsia="zh-CN"/>
        </w:rPr>
        <w:t xml:space="preserve"> such as default BWP or where to monitor paging for idle RedCap UE are discussed. The following proposals are made,</w:t>
      </w:r>
    </w:p>
    <w:p>
      <w:pPr>
        <w:widowControl w:val="0"/>
        <w:autoSpaceDE w:val="0"/>
        <w:autoSpaceDN w:val="0"/>
        <w:adjustRightInd w:val="0"/>
        <w:spacing w:before="0" w:after="0"/>
        <w:rPr>
          <w:b/>
          <w:lang w:eastAsia="zh-CN"/>
        </w:rPr>
      </w:pPr>
      <w:r>
        <w:rPr>
          <w:b/>
          <w:lang w:eastAsia="zh-CN"/>
        </w:rPr>
        <w:t>P</w:t>
      </w:r>
      <w:r>
        <w:rPr>
          <w:rFonts w:hint="eastAsia"/>
          <w:b/>
          <w:lang w:eastAsia="zh-CN"/>
        </w:rPr>
        <w:t>roposal</w:t>
      </w:r>
      <w:r>
        <w:rPr>
          <w:b/>
          <w:lang w:eastAsia="zh-CN"/>
        </w:rPr>
        <w:t xml:space="preserve"> 1</w:t>
      </w:r>
      <w:r>
        <w:rPr>
          <w:rFonts w:hint="eastAsia"/>
          <w:b/>
          <w:lang w:eastAsia="zh-CN"/>
        </w:rPr>
        <w:t>:</w:t>
      </w:r>
      <w:r>
        <w:rPr>
          <w:b/>
          <w:lang w:eastAsia="zh-CN"/>
        </w:rPr>
        <w:t xml:space="preserve"> RRC configuration based, timer-based and DCI-based BWP switching are supported by RedCap UE.</w:t>
      </w:r>
    </w:p>
    <w:p>
      <w:pPr>
        <w:jc w:val="both"/>
        <w:rPr>
          <w:lang w:eastAsia="zh-CN"/>
        </w:rPr>
      </w:pPr>
      <w:r>
        <w:rPr>
          <w:b/>
          <w:lang w:eastAsia="zh-CN"/>
        </w:rPr>
        <w:t>P</w:t>
      </w:r>
      <w:r>
        <w:rPr>
          <w:rFonts w:hint="eastAsia"/>
          <w:b/>
          <w:lang w:eastAsia="zh-CN"/>
        </w:rPr>
        <w:t>roposal</w:t>
      </w:r>
      <w:r>
        <w:rPr>
          <w:b/>
          <w:lang w:eastAsia="zh-CN"/>
        </w:rPr>
        <w:t xml:space="preserve"> 2</w:t>
      </w:r>
      <w:r>
        <w:rPr>
          <w:rFonts w:hint="eastAsia"/>
          <w:b/>
          <w:lang w:eastAsia="zh-CN"/>
        </w:rPr>
        <w:t>:</w:t>
      </w:r>
      <w:r>
        <w:rPr>
          <w:b/>
          <w:lang w:eastAsia="zh-CN"/>
        </w:rPr>
        <w:t xml:space="preserve"> For a </w:t>
      </w:r>
      <w:r>
        <w:rPr>
          <w:rFonts w:hint="eastAsia"/>
          <w:b/>
          <w:lang w:eastAsia="zh-CN"/>
        </w:rPr>
        <w:t>RedCap</w:t>
      </w:r>
      <w:r>
        <w:rPr>
          <w:b/>
          <w:lang w:eastAsia="zh-CN"/>
        </w:rPr>
        <w:t xml:space="preserve"> UE, its BWP 0 is the initial BWP that UE used for initial access.</w:t>
      </w:r>
      <w:bookmarkStart w:id="5" w:name="_GoBack"/>
      <w:bookmarkEnd w:id="5"/>
    </w:p>
    <w:p>
      <w:pPr>
        <w:rPr>
          <w:b/>
          <w:lang w:eastAsia="zh-CN"/>
        </w:rPr>
      </w:pPr>
      <w:r>
        <w:rPr>
          <w:b/>
          <w:lang w:eastAsia="zh-CN"/>
        </w:rPr>
        <w:t>P</w:t>
      </w:r>
      <w:r>
        <w:rPr>
          <w:rFonts w:hint="eastAsia"/>
          <w:b/>
          <w:lang w:eastAsia="zh-CN"/>
        </w:rPr>
        <w:t>roposal</w:t>
      </w:r>
      <w:r>
        <w:rPr>
          <w:b/>
          <w:lang w:eastAsia="zh-CN"/>
        </w:rPr>
        <w:t xml:space="preserve"> 3</w:t>
      </w:r>
      <w:r>
        <w:rPr>
          <w:rFonts w:hint="eastAsia"/>
          <w:b/>
          <w:lang w:eastAsia="zh-CN"/>
        </w:rPr>
        <w:t>:</w:t>
      </w:r>
      <w:r>
        <w:rPr>
          <w:b/>
          <w:lang w:eastAsia="zh-CN"/>
        </w:rPr>
        <w:t xml:space="preserve"> Paging monitoring on separate initial DL BWP can be supported for idle/inactive </w:t>
      </w:r>
      <w:r>
        <w:rPr>
          <w:rFonts w:hint="eastAsia"/>
          <w:b/>
          <w:lang w:eastAsia="zh-CN"/>
        </w:rPr>
        <w:t>Red</w:t>
      </w:r>
      <w:r>
        <w:rPr>
          <w:b/>
          <w:lang w:eastAsia="zh-CN"/>
        </w:rPr>
        <w:t>Cap UEs.</w:t>
      </w:r>
    </w:p>
    <w:p>
      <w:pPr>
        <w:rPr>
          <w:b/>
          <w:lang w:eastAsia="zh-CN"/>
        </w:rPr>
      </w:pPr>
      <w:r>
        <w:rPr>
          <w:rFonts w:hint="eastAsia"/>
          <w:b/>
          <w:lang w:val="en-US" w:eastAsia="zh-CN"/>
        </w:rPr>
        <w:t>Proposal 4: Whether to configure paging monitoring on separate initial DL BWP is up to gNB.</w:t>
      </w:r>
    </w:p>
    <w:p>
      <w:pPr>
        <w:pStyle w:val="2"/>
        <w:numPr>
          <w:ilvl w:val="0"/>
          <w:numId w:val="6"/>
        </w:numPr>
        <w:rPr>
          <w:rFonts w:ascii="Times New Roman" w:hAnsi="Times New Roman" w:eastAsiaTheme="minorEastAsia"/>
          <w:lang w:eastAsia="zh-CN"/>
        </w:rPr>
      </w:pPr>
      <w:r>
        <w:rPr>
          <w:rFonts w:ascii="Times New Roman" w:hAnsi="Times New Roman" w:eastAsiaTheme="minorEastAsia"/>
          <w:lang w:eastAsia="zh-CN"/>
        </w:rPr>
        <w:t>References</w:t>
      </w:r>
    </w:p>
    <w:p>
      <w:pPr>
        <w:numPr>
          <w:ilvl w:val="0"/>
          <w:numId w:val="9"/>
        </w:numPr>
        <w:outlineLvl w:val="0"/>
        <w:rPr>
          <w:lang w:val="en-US"/>
        </w:rPr>
      </w:pPr>
      <w:r>
        <w:rPr>
          <w:lang w:val="en-US"/>
        </w:rPr>
        <w:t>Draft Report of 3GPP TSG RAN WG1 #105-e v0.2.0</w:t>
      </w:r>
      <w:r>
        <w:rPr>
          <w:rFonts w:hint="eastAsia"/>
          <w:lang w:val="en-US" w:eastAsia="zh-CN"/>
        </w:rPr>
        <w:t>.</w:t>
      </w:r>
    </w:p>
    <w:p>
      <w:pPr>
        <w:numPr>
          <w:ilvl w:val="0"/>
          <w:numId w:val="9"/>
        </w:numPr>
        <w:outlineLvl w:val="0"/>
        <w:rPr>
          <w:lang w:val="zh-CN" w:eastAsia="zh-CN"/>
        </w:rPr>
      </w:pPr>
      <w:r>
        <w:rPr>
          <w:rFonts w:hint="eastAsia"/>
          <w:lang w:val="zh-CN" w:eastAsia="zh-CN"/>
        </w:rPr>
        <w:t>Draft Report of 3GPP TSG RAN WG1 #106-e v0.2.0</w:t>
      </w:r>
      <w:r>
        <w:rPr>
          <w:rFonts w:hint="eastAsia"/>
          <w:lang w:val="en-US" w:eastAsia="zh-CN"/>
        </w:rPr>
        <w:t>.</w:t>
      </w: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ZapfDingbats">
    <w:altName w:val="Segoe Print"/>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바탕">
    <w:altName w:val="Malgun Gothic"/>
    <w:panose1 w:val="02030600000101010101"/>
    <w:charset w:val="81"/>
    <w:family w:val="roman"/>
    <w:pitch w:val="default"/>
    <w:sig w:usb0="00000000" w:usb1="00000000"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32C35F"/>
    <w:multiLevelType w:val="singleLevel"/>
    <w:tmpl w:val="A132C35F"/>
    <w:lvl w:ilvl="0" w:tentative="0">
      <w:start w:val="1"/>
      <w:numFmt w:val="decimal"/>
      <w:suff w:val="space"/>
      <w:lvlText w:val="[%1]."/>
      <w:lvlJc w:val="left"/>
    </w:lvl>
  </w:abstractNum>
  <w:abstractNum w:abstractNumId="1">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2">
    <w:nsid w:val="1A600F6A"/>
    <w:multiLevelType w:val="multilevel"/>
    <w:tmpl w:val="1A600F6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4">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5">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6">
    <w:nsid w:val="54092835"/>
    <w:multiLevelType w:val="multilevel"/>
    <w:tmpl w:val="54092835"/>
    <w:lvl w:ilvl="0" w:tentative="0">
      <w:start w:val="5"/>
      <w:numFmt w:val="bullet"/>
      <w:lvlText w:val=""/>
      <w:lvlJc w:val="left"/>
      <w:pPr>
        <w:ind w:left="720" w:hanging="360"/>
      </w:pPr>
      <w:rPr>
        <w:rFonts w:hint="default" w:ascii="Symbol" w:hAnsi="Symbol"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5743E42"/>
    <w:multiLevelType w:val="multilevel"/>
    <w:tmpl w:val="75743E42"/>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8">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1"/>
  </w:num>
  <w:num w:numId="3">
    <w:abstractNumId w:val="8"/>
  </w:num>
  <w:num w:numId="4">
    <w:abstractNumId w:val="5"/>
  </w:num>
  <w:num w:numId="5">
    <w:abstractNumId w:val="3"/>
    <w:lvlOverride w:ilvl="0">
      <w:startOverride w:val="1"/>
    </w:lvlOverride>
  </w:num>
  <w:num w:numId="6">
    <w:abstractNumId w:val="4"/>
  </w:num>
  <w:num w:numId="7">
    <w:abstractNumId w:val="6"/>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rawingGridHorizontalSpacing w:val="120"/>
  <w:drawingGridVerticalSpacing w:val="120"/>
  <w:displayVerticalDrawingGridEvery w:val="0"/>
  <w:doNotUseMarginsForDrawingGridOrigin w:val="1"/>
  <w:drawingGridHorizontalOrigin w:val="1800"/>
  <w:drawingGridVerticalOrigin w:val="1440"/>
  <w:doNotShadeFormData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571"/>
    <w:rsid w:val="00002D15"/>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55B"/>
    <w:rsid w:val="00005833"/>
    <w:rsid w:val="00005B39"/>
    <w:rsid w:val="00005F8B"/>
    <w:rsid w:val="000060C6"/>
    <w:rsid w:val="00006119"/>
    <w:rsid w:val="00006186"/>
    <w:rsid w:val="000067C5"/>
    <w:rsid w:val="00006E55"/>
    <w:rsid w:val="00006EA3"/>
    <w:rsid w:val="00007012"/>
    <w:rsid w:val="00007726"/>
    <w:rsid w:val="000079F7"/>
    <w:rsid w:val="00007C4C"/>
    <w:rsid w:val="00007E66"/>
    <w:rsid w:val="00010764"/>
    <w:rsid w:val="00010A2E"/>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5E4"/>
    <w:rsid w:val="00014796"/>
    <w:rsid w:val="00014D95"/>
    <w:rsid w:val="00014F5F"/>
    <w:rsid w:val="000154C2"/>
    <w:rsid w:val="00015753"/>
    <w:rsid w:val="00015902"/>
    <w:rsid w:val="00015A1C"/>
    <w:rsid w:val="000164FB"/>
    <w:rsid w:val="00016C16"/>
    <w:rsid w:val="00016DA7"/>
    <w:rsid w:val="00016E91"/>
    <w:rsid w:val="000176A8"/>
    <w:rsid w:val="00017A1A"/>
    <w:rsid w:val="00017AAE"/>
    <w:rsid w:val="00017BB0"/>
    <w:rsid w:val="00017E82"/>
    <w:rsid w:val="00017E87"/>
    <w:rsid w:val="000201D1"/>
    <w:rsid w:val="00020457"/>
    <w:rsid w:val="0002184D"/>
    <w:rsid w:val="00021884"/>
    <w:rsid w:val="0002198E"/>
    <w:rsid w:val="00021A14"/>
    <w:rsid w:val="00022A54"/>
    <w:rsid w:val="00022D93"/>
    <w:rsid w:val="00023A85"/>
    <w:rsid w:val="00023BCD"/>
    <w:rsid w:val="00023FBF"/>
    <w:rsid w:val="0002404D"/>
    <w:rsid w:val="00024170"/>
    <w:rsid w:val="000241B0"/>
    <w:rsid w:val="0002420F"/>
    <w:rsid w:val="000242A3"/>
    <w:rsid w:val="0002489D"/>
    <w:rsid w:val="00024A32"/>
    <w:rsid w:val="00024DA9"/>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630"/>
    <w:rsid w:val="000307DA"/>
    <w:rsid w:val="0003141C"/>
    <w:rsid w:val="000314A0"/>
    <w:rsid w:val="0003176E"/>
    <w:rsid w:val="000319B0"/>
    <w:rsid w:val="00031D46"/>
    <w:rsid w:val="00032478"/>
    <w:rsid w:val="000325C3"/>
    <w:rsid w:val="0003293E"/>
    <w:rsid w:val="000338D8"/>
    <w:rsid w:val="00033B1E"/>
    <w:rsid w:val="00033F8F"/>
    <w:rsid w:val="00034589"/>
    <w:rsid w:val="00034FF6"/>
    <w:rsid w:val="0003510D"/>
    <w:rsid w:val="00035340"/>
    <w:rsid w:val="0003569D"/>
    <w:rsid w:val="00035BE7"/>
    <w:rsid w:val="000378BB"/>
    <w:rsid w:val="00037C7E"/>
    <w:rsid w:val="0004012A"/>
    <w:rsid w:val="000416BC"/>
    <w:rsid w:val="00041910"/>
    <w:rsid w:val="00041961"/>
    <w:rsid w:val="00041976"/>
    <w:rsid w:val="000420BC"/>
    <w:rsid w:val="00042177"/>
    <w:rsid w:val="000425B7"/>
    <w:rsid w:val="00042776"/>
    <w:rsid w:val="000427F7"/>
    <w:rsid w:val="00042AFB"/>
    <w:rsid w:val="00043B6C"/>
    <w:rsid w:val="00043D95"/>
    <w:rsid w:val="00044469"/>
    <w:rsid w:val="00044ACE"/>
    <w:rsid w:val="00044C9A"/>
    <w:rsid w:val="000459EF"/>
    <w:rsid w:val="0004645D"/>
    <w:rsid w:val="000465B4"/>
    <w:rsid w:val="00046684"/>
    <w:rsid w:val="00046B84"/>
    <w:rsid w:val="00046D1E"/>
    <w:rsid w:val="00046E22"/>
    <w:rsid w:val="00046F98"/>
    <w:rsid w:val="00047156"/>
    <w:rsid w:val="00047647"/>
    <w:rsid w:val="0005018F"/>
    <w:rsid w:val="0005158F"/>
    <w:rsid w:val="00051A49"/>
    <w:rsid w:val="00051D76"/>
    <w:rsid w:val="00051FFE"/>
    <w:rsid w:val="000523A2"/>
    <w:rsid w:val="00052608"/>
    <w:rsid w:val="0005269D"/>
    <w:rsid w:val="000527C0"/>
    <w:rsid w:val="0005293E"/>
    <w:rsid w:val="00053AF4"/>
    <w:rsid w:val="00053B1F"/>
    <w:rsid w:val="00053EF4"/>
    <w:rsid w:val="00054810"/>
    <w:rsid w:val="00054CC1"/>
    <w:rsid w:val="000554C4"/>
    <w:rsid w:val="000555C4"/>
    <w:rsid w:val="0005585A"/>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4BED"/>
    <w:rsid w:val="00075077"/>
    <w:rsid w:val="000754EC"/>
    <w:rsid w:val="0007645E"/>
    <w:rsid w:val="00076678"/>
    <w:rsid w:val="00076A0C"/>
    <w:rsid w:val="00076A88"/>
    <w:rsid w:val="00076B12"/>
    <w:rsid w:val="0007777E"/>
    <w:rsid w:val="000779AF"/>
    <w:rsid w:val="00077D8A"/>
    <w:rsid w:val="00077D99"/>
    <w:rsid w:val="00080190"/>
    <w:rsid w:val="00080E30"/>
    <w:rsid w:val="00080FF4"/>
    <w:rsid w:val="00081255"/>
    <w:rsid w:val="00081BC7"/>
    <w:rsid w:val="00081C2D"/>
    <w:rsid w:val="0008207F"/>
    <w:rsid w:val="00082126"/>
    <w:rsid w:val="0008232D"/>
    <w:rsid w:val="00082535"/>
    <w:rsid w:val="000829B4"/>
    <w:rsid w:val="00082A07"/>
    <w:rsid w:val="00083612"/>
    <w:rsid w:val="00083AC0"/>
    <w:rsid w:val="00083C02"/>
    <w:rsid w:val="00083CC7"/>
    <w:rsid w:val="00084114"/>
    <w:rsid w:val="00084A00"/>
    <w:rsid w:val="00084BCD"/>
    <w:rsid w:val="00085276"/>
    <w:rsid w:val="000855F3"/>
    <w:rsid w:val="00086AE0"/>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C10"/>
    <w:rsid w:val="00095D7E"/>
    <w:rsid w:val="00095FB3"/>
    <w:rsid w:val="00096346"/>
    <w:rsid w:val="00096641"/>
    <w:rsid w:val="0009672C"/>
    <w:rsid w:val="00096B35"/>
    <w:rsid w:val="00096FDB"/>
    <w:rsid w:val="000976B9"/>
    <w:rsid w:val="00097898"/>
    <w:rsid w:val="000978D8"/>
    <w:rsid w:val="00097CD4"/>
    <w:rsid w:val="00097E74"/>
    <w:rsid w:val="000A01A9"/>
    <w:rsid w:val="000A0446"/>
    <w:rsid w:val="000A04C9"/>
    <w:rsid w:val="000A09CC"/>
    <w:rsid w:val="000A1092"/>
    <w:rsid w:val="000A13B3"/>
    <w:rsid w:val="000A1887"/>
    <w:rsid w:val="000A188A"/>
    <w:rsid w:val="000A2144"/>
    <w:rsid w:val="000A2614"/>
    <w:rsid w:val="000A310A"/>
    <w:rsid w:val="000A33F0"/>
    <w:rsid w:val="000A3E82"/>
    <w:rsid w:val="000A4AC4"/>
    <w:rsid w:val="000A4AD5"/>
    <w:rsid w:val="000A4B8B"/>
    <w:rsid w:val="000A4CB0"/>
    <w:rsid w:val="000A511E"/>
    <w:rsid w:val="000A552F"/>
    <w:rsid w:val="000A55B3"/>
    <w:rsid w:val="000A5ACB"/>
    <w:rsid w:val="000A5B15"/>
    <w:rsid w:val="000A5BC6"/>
    <w:rsid w:val="000A5D38"/>
    <w:rsid w:val="000A5E1D"/>
    <w:rsid w:val="000A680D"/>
    <w:rsid w:val="000A689F"/>
    <w:rsid w:val="000A68CA"/>
    <w:rsid w:val="000A6A47"/>
    <w:rsid w:val="000A6A59"/>
    <w:rsid w:val="000A6C74"/>
    <w:rsid w:val="000A758C"/>
    <w:rsid w:val="000A7C54"/>
    <w:rsid w:val="000A7C7A"/>
    <w:rsid w:val="000B006E"/>
    <w:rsid w:val="000B05C4"/>
    <w:rsid w:val="000B098D"/>
    <w:rsid w:val="000B0CC8"/>
    <w:rsid w:val="000B0E31"/>
    <w:rsid w:val="000B0F83"/>
    <w:rsid w:val="000B193F"/>
    <w:rsid w:val="000B19BE"/>
    <w:rsid w:val="000B2553"/>
    <w:rsid w:val="000B2E1C"/>
    <w:rsid w:val="000B2F6C"/>
    <w:rsid w:val="000B36BC"/>
    <w:rsid w:val="000B3928"/>
    <w:rsid w:val="000B3C84"/>
    <w:rsid w:val="000B4163"/>
    <w:rsid w:val="000B4232"/>
    <w:rsid w:val="000B434A"/>
    <w:rsid w:val="000B451D"/>
    <w:rsid w:val="000B45CF"/>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135"/>
    <w:rsid w:val="000C1412"/>
    <w:rsid w:val="000C1A0B"/>
    <w:rsid w:val="000C1FC4"/>
    <w:rsid w:val="000C2E4E"/>
    <w:rsid w:val="000C35C6"/>
    <w:rsid w:val="000C396F"/>
    <w:rsid w:val="000C3FB0"/>
    <w:rsid w:val="000C4A8A"/>
    <w:rsid w:val="000C4DEA"/>
    <w:rsid w:val="000C5085"/>
    <w:rsid w:val="000C5190"/>
    <w:rsid w:val="000C5344"/>
    <w:rsid w:val="000C5FFE"/>
    <w:rsid w:val="000C65CC"/>
    <w:rsid w:val="000C65F3"/>
    <w:rsid w:val="000C68FA"/>
    <w:rsid w:val="000C690A"/>
    <w:rsid w:val="000C6F84"/>
    <w:rsid w:val="000C701F"/>
    <w:rsid w:val="000C7317"/>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997"/>
    <w:rsid w:val="000D2A6B"/>
    <w:rsid w:val="000D3083"/>
    <w:rsid w:val="000D3303"/>
    <w:rsid w:val="000D3454"/>
    <w:rsid w:val="000D3541"/>
    <w:rsid w:val="000D3620"/>
    <w:rsid w:val="000D38AD"/>
    <w:rsid w:val="000D3AE7"/>
    <w:rsid w:val="000D3DD5"/>
    <w:rsid w:val="000D3E8D"/>
    <w:rsid w:val="000D4205"/>
    <w:rsid w:val="000D46D5"/>
    <w:rsid w:val="000D4913"/>
    <w:rsid w:val="000D4945"/>
    <w:rsid w:val="000D4AF3"/>
    <w:rsid w:val="000D4B45"/>
    <w:rsid w:val="000D4F8B"/>
    <w:rsid w:val="000D548A"/>
    <w:rsid w:val="000D580C"/>
    <w:rsid w:val="000D60C8"/>
    <w:rsid w:val="000D63FD"/>
    <w:rsid w:val="000D66B4"/>
    <w:rsid w:val="000D7308"/>
    <w:rsid w:val="000D7521"/>
    <w:rsid w:val="000E0EC6"/>
    <w:rsid w:val="000E1047"/>
    <w:rsid w:val="000E13BE"/>
    <w:rsid w:val="000E14D0"/>
    <w:rsid w:val="000E199F"/>
    <w:rsid w:val="000E1CFB"/>
    <w:rsid w:val="000E265A"/>
    <w:rsid w:val="000E279A"/>
    <w:rsid w:val="000E2A3A"/>
    <w:rsid w:val="000E2D30"/>
    <w:rsid w:val="000E2D40"/>
    <w:rsid w:val="000E3175"/>
    <w:rsid w:val="000E33D0"/>
    <w:rsid w:val="000E350B"/>
    <w:rsid w:val="000E3B82"/>
    <w:rsid w:val="000E3E84"/>
    <w:rsid w:val="000E4121"/>
    <w:rsid w:val="000E4B6C"/>
    <w:rsid w:val="000E4CC9"/>
    <w:rsid w:val="000E5060"/>
    <w:rsid w:val="000E52F0"/>
    <w:rsid w:val="000E57F9"/>
    <w:rsid w:val="000E59C2"/>
    <w:rsid w:val="000E5B7D"/>
    <w:rsid w:val="000E6461"/>
    <w:rsid w:val="000E6852"/>
    <w:rsid w:val="000E694F"/>
    <w:rsid w:val="000E7511"/>
    <w:rsid w:val="000E77BA"/>
    <w:rsid w:val="000E7869"/>
    <w:rsid w:val="000F04FD"/>
    <w:rsid w:val="000F0CC4"/>
    <w:rsid w:val="000F0D30"/>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929"/>
    <w:rsid w:val="000F5BC8"/>
    <w:rsid w:val="000F600C"/>
    <w:rsid w:val="000F60B1"/>
    <w:rsid w:val="000F70A2"/>
    <w:rsid w:val="000F7468"/>
    <w:rsid w:val="000F77EF"/>
    <w:rsid w:val="000F78F0"/>
    <w:rsid w:val="000F7C42"/>
    <w:rsid w:val="000F7D05"/>
    <w:rsid w:val="000F7EFB"/>
    <w:rsid w:val="000F7F21"/>
    <w:rsid w:val="000F7FAB"/>
    <w:rsid w:val="001003BE"/>
    <w:rsid w:val="001005A4"/>
    <w:rsid w:val="00100744"/>
    <w:rsid w:val="00100921"/>
    <w:rsid w:val="001009AA"/>
    <w:rsid w:val="00100F59"/>
    <w:rsid w:val="001010C3"/>
    <w:rsid w:val="00101A97"/>
    <w:rsid w:val="00102057"/>
    <w:rsid w:val="001023C5"/>
    <w:rsid w:val="001027F4"/>
    <w:rsid w:val="00102A7F"/>
    <w:rsid w:val="0010302C"/>
    <w:rsid w:val="0010323F"/>
    <w:rsid w:val="00103420"/>
    <w:rsid w:val="00103454"/>
    <w:rsid w:val="0010345D"/>
    <w:rsid w:val="00103804"/>
    <w:rsid w:val="00103B97"/>
    <w:rsid w:val="0010413C"/>
    <w:rsid w:val="001044D8"/>
    <w:rsid w:val="00104A90"/>
    <w:rsid w:val="00104DA1"/>
    <w:rsid w:val="00104FF3"/>
    <w:rsid w:val="00105615"/>
    <w:rsid w:val="0010584B"/>
    <w:rsid w:val="001059C3"/>
    <w:rsid w:val="00105D65"/>
    <w:rsid w:val="00105F0F"/>
    <w:rsid w:val="001060B4"/>
    <w:rsid w:val="0010616C"/>
    <w:rsid w:val="001063B9"/>
    <w:rsid w:val="001074B7"/>
    <w:rsid w:val="001078D6"/>
    <w:rsid w:val="00107E5D"/>
    <w:rsid w:val="001102EE"/>
    <w:rsid w:val="001106EC"/>
    <w:rsid w:val="00110D44"/>
    <w:rsid w:val="00110EF6"/>
    <w:rsid w:val="001110DD"/>
    <w:rsid w:val="00111297"/>
    <w:rsid w:val="00112B32"/>
    <w:rsid w:val="00112F55"/>
    <w:rsid w:val="001134A5"/>
    <w:rsid w:val="00113DCC"/>
    <w:rsid w:val="0011409D"/>
    <w:rsid w:val="00114BAA"/>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C15"/>
    <w:rsid w:val="00126E0C"/>
    <w:rsid w:val="00127058"/>
    <w:rsid w:val="00127176"/>
    <w:rsid w:val="001273DB"/>
    <w:rsid w:val="001279F0"/>
    <w:rsid w:val="00127EA2"/>
    <w:rsid w:val="001302CB"/>
    <w:rsid w:val="0013032A"/>
    <w:rsid w:val="001304A1"/>
    <w:rsid w:val="0013139A"/>
    <w:rsid w:val="001313FC"/>
    <w:rsid w:val="00131633"/>
    <w:rsid w:val="001319E3"/>
    <w:rsid w:val="00131C8A"/>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381"/>
    <w:rsid w:val="00144B25"/>
    <w:rsid w:val="00144E1E"/>
    <w:rsid w:val="00144E53"/>
    <w:rsid w:val="00145312"/>
    <w:rsid w:val="0014646E"/>
    <w:rsid w:val="00146615"/>
    <w:rsid w:val="0014679A"/>
    <w:rsid w:val="00146805"/>
    <w:rsid w:val="001469C5"/>
    <w:rsid w:val="00146A38"/>
    <w:rsid w:val="00146B9E"/>
    <w:rsid w:val="00147420"/>
    <w:rsid w:val="00147862"/>
    <w:rsid w:val="001479FE"/>
    <w:rsid w:val="00147BDE"/>
    <w:rsid w:val="0015046A"/>
    <w:rsid w:val="00150503"/>
    <w:rsid w:val="001509E6"/>
    <w:rsid w:val="00150C7E"/>
    <w:rsid w:val="00150E18"/>
    <w:rsid w:val="001511EF"/>
    <w:rsid w:val="001516CD"/>
    <w:rsid w:val="00151FF3"/>
    <w:rsid w:val="00152226"/>
    <w:rsid w:val="0015279F"/>
    <w:rsid w:val="00152FD5"/>
    <w:rsid w:val="0015317A"/>
    <w:rsid w:val="00153F78"/>
    <w:rsid w:val="00153FEF"/>
    <w:rsid w:val="00154206"/>
    <w:rsid w:val="00154349"/>
    <w:rsid w:val="001548C0"/>
    <w:rsid w:val="001554FC"/>
    <w:rsid w:val="00155847"/>
    <w:rsid w:val="00155CA0"/>
    <w:rsid w:val="00155DE9"/>
    <w:rsid w:val="0015631A"/>
    <w:rsid w:val="00156BE5"/>
    <w:rsid w:val="00156C63"/>
    <w:rsid w:val="00156EF9"/>
    <w:rsid w:val="0015713D"/>
    <w:rsid w:val="001572B7"/>
    <w:rsid w:val="00157507"/>
    <w:rsid w:val="0015767C"/>
    <w:rsid w:val="00157885"/>
    <w:rsid w:val="00157CE1"/>
    <w:rsid w:val="00160068"/>
    <w:rsid w:val="00160354"/>
    <w:rsid w:val="001608FC"/>
    <w:rsid w:val="00161386"/>
    <w:rsid w:val="00161FD6"/>
    <w:rsid w:val="00162044"/>
    <w:rsid w:val="00162129"/>
    <w:rsid w:val="00162285"/>
    <w:rsid w:val="001625DF"/>
    <w:rsid w:val="001627CB"/>
    <w:rsid w:val="001631C1"/>
    <w:rsid w:val="00163BA9"/>
    <w:rsid w:val="001641B7"/>
    <w:rsid w:val="00164A98"/>
    <w:rsid w:val="00164AAB"/>
    <w:rsid w:val="00164BE7"/>
    <w:rsid w:val="00165284"/>
    <w:rsid w:val="00165429"/>
    <w:rsid w:val="001658D1"/>
    <w:rsid w:val="00165DC5"/>
    <w:rsid w:val="00165FBE"/>
    <w:rsid w:val="00166079"/>
    <w:rsid w:val="00166B86"/>
    <w:rsid w:val="00166B8F"/>
    <w:rsid w:val="00166C08"/>
    <w:rsid w:val="00166EE3"/>
    <w:rsid w:val="00170A7C"/>
    <w:rsid w:val="00171291"/>
    <w:rsid w:val="00171308"/>
    <w:rsid w:val="00171752"/>
    <w:rsid w:val="00171C3B"/>
    <w:rsid w:val="00171D20"/>
    <w:rsid w:val="00172236"/>
    <w:rsid w:val="001728A1"/>
    <w:rsid w:val="00172C86"/>
    <w:rsid w:val="00173304"/>
    <w:rsid w:val="00173356"/>
    <w:rsid w:val="001734C9"/>
    <w:rsid w:val="00173B0B"/>
    <w:rsid w:val="00173D52"/>
    <w:rsid w:val="001740DD"/>
    <w:rsid w:val="00174557"/>
    <w:rsid w:val="00174D8E"/>
    <w:rsid w:val="0017512E"/>
    <w:rsid w:val="001752C4"/>
    <w:rsid w:val="00175988"/>
    <w:rsid w:val="00176433"/>
    <w:rsid w:val="00176D3B"/>
    <w:rsid w:val="00176E4B"/>
    <w:rsid w:val="00176F07"/>
    <w:rsid w:val="00177180"/>
    <w:rsid w:val="001776EE"/>
    <w:rsid w:val="00177C9B"/>
    <w:rsid w:val="00177F85"/>
    <w:rsid w:val="00180CD3"/>
    <w:rsid w:val="0018139F"/>
    <w:rsid w:val="0018145E"/>
    <w:rsid w:val="00181571"/>
    <w:rsid w:val="00181B40"/>
    <w:rsid w:val="0018237A"/>
    <w:rsid w:val="001823B6"/>
    <w:rsid w:val="00182E34"/>
    <w:rsid w:val="00182F7A"/>
    <w:rsid w:val="0018368F"/>
    <w:rsid w:val="00184678"/>
    <w:rsid w:val="0018471A"/>
    <w:rsid w:val="00184912"/>
    <w:rsid w:val="00184F5F"/>
    <w:rsid w:val="00185B10"/>
    <w:rsid w:val="00185D6E"/>
    <w:rsid w:val="00186816"/>
    <w:rsid w:val="00186C71"/>
    <w:rsid w:val="00186E32"/>
    <w:rsid w:val="00187237"/>
    <w:rsid w:val="001875CA"/>
    <w:rsid w:val="001877C3"/>
    <w:rsid w:val="00187CE5"/>
    <w:rsid w:val="0019077B"/>
    <w:rsid w:val="00190962"/>
    <w:rsid w:val="00190D90"/>
    <w:rsid w:val="001912BA"/>
    <w:rsid w:val="001912C6"/>
    <w:rsid w:val="00191677"/>
    <w:rsid w:val="00192051"/>
    <w:rsid w:val="00192223"/>
    <w:rsid w:val="00192363"/>
    <w:rsid w:val="001925E6"/>
    <w:rsid w:val="001926F4"/>
    <w:rsid w:val="001929FF"/>
    <w:rsid w:val="001932EA"/>
    <w:rsid w:val="001936C5"/>
    <w:rsid w:val="00193945"/>
    <w:rsid w:val="00193DB0"/>
    <w:rsid w:val="001943B9"/>
    <w:rsid w:val="001945BF"/>
    <w:rsid w:val="0019464E"/>
    <w:rsid w:val="0019467F"/>
    <w:rsid w:val="00194771"/>
    <w:rsid w:val="00195639"/>
    <w:rsid w:val="00195AE6"/>
    <w:rsid w:val="00195B0B"/>
    <w:rsid w:val="0019680D"/>
    <w:rsid w:val="0019688E"/>
    <w:rsid w:val="001968C0"/>
    <w:rsid w:val="00196B76"/>
    <w:rsid w:val="001973E2"/>
    <w:rsid w:val="00197EA3"/>
    <w:rsid w:val="00197F72"/>
    <w:rsid w:val="001A04FC"/>
    <w:rsid w:val="001A069F"/>
    <w:rsid w:val="001A0D32"/>
    <w:rsid w:val="001A0EB4"/>
    <w:rsid w:val="001A1060"/>
    <w:rsid w:val="001A1561"/>
    <w:rsid w:val="001A1610"/>
    <w:rsid w:val="001A16C2"/>
    <w:rsid w:val="001A181C"/>
    <w:rsid w:val="001A193D"/>
    <w:rsid w:val="001A2706"/>
    <w:rsid w:val="001A27BF"/>
    <w:rsid w:val="001A359C"/>
    <w:rsid w:val="001A35B2"/>
    <w:rsid w:val="001A386C"/>
    <w:rsid w:val="001A3B12"/>
    <w:rsid w:val="001A3D9B"/>
    <w:rsid w:val="001A3DEF"/>
    <w:rsid w:val="001A3EFF"/>
    <w:rsid w:val="001A4541"/>
    <w:rsid w:val="001A45DE"/>
    <w:rsid w:val="001A4817"/>
    <w:rsid w:val="001A4B63"/>
    <w:rsid w:val="001A4CA0"/>
    <w:rsid w:val="001A5860"/>
    <w:rsid w:val="001A5BBA"/>
    <w:rsid w:val="001A5CDA"/>
    <w:rsid w:val="001A5CF2"/>
    <w:rsid w:val="001A6F3C"/>
    <w:rsid w:val="001A7691"/>
    <w:rsid w:val="001A78B0"/>
    <w:rsid w:val="001A7958"/>
    <w:rsid w:val="001A7BCE"/>
    <w:rsid w:val="001A7CD9"/>
    <w:rsid w:val="001A7FDF"/>
    <w:rsid w:val="001B01EC"/>
    <w:rsid w:val="001B041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2BB"/>
    <w:rsid w:val="001B4B54"/>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9A2"/>
    <w:rsid w:val="001C7503"/>
    <w:rsid w:val="001C7655"/>
    <w:rsid w:val="001C76F0"/>
    <w:rsid w:val="001C7A36"/>
    <w:rsid w:val="001C7FB7"/>
    <w:rsid w:val="001D0188"/>
    <w:rsid w:val="001D01A1"/>
    <w:rsid w:val="001D050D"/>
    <w:rsid w:val="001D0E76"/>
    <w:rsid w:val="001D0EB1"/>
    <w:rsid w:val="001D11AE"/>
    <w:rsid w:val="001D15EA"/>
    <w:rsid w:val="001D1A96"/>
    <w:rsid w:val="001D1CED"/>
    <w:rsid w:val="001D20C1"/>
    <w:rsid w:val="001D20D0"/>
    <w:rsid w:val="001D309D"/>
    <w:rsid w:val="001D31D0"/>
    <w:rsid w:val="001D42E4"/>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3D"/>
    <w:rsid w:val="001D7FC4"/>
    <w:rsid w:val="001E00BA"/>
    <w:rsid w:val="001E01C0"/>
    <w:rsid w:val="001E01EF"/>
    <w:rsid w:val="001E0854"/>
    <w:rsid w:val="001E0B42"/>
    <w:rsid w:val="001E1020"/>
    <w:rsid w:val="001E10C4"/>
    <w:rsid w:val="001E128C"/>
    <w:rsid w:val="001E14D3"/>
    <w:rsid w:val="001E1873"/>
    <w:rsid w:val="001E1C37"/>
    <w:rsid w:val="001E1EB7"/>
    <w:rsid w:val="001E1EE3"/>
    <w:rsid w:val="001E2109"/>
    <w:rsid w:val="001E2AA1"/>
    <w:rsid w:val="001E2C7A"/>
    <w:rsid w:val="001E2E40"/>
    <w:rsid w:val="001E3389"/>
    <w:rsid w:val="001E3D73"/>
    <w:rsid w:val="001E3FAC"/>
    <w:rsid w:val="001E461D"/>
    <w:rsid w:val="001E55F7"/>
    <w:rsid w:val="001E56F0"/>
    <w:rsid w:val="001E57A3"/>
    <w:rsid w:val="001E58A3"/>
    <w:rsid w:val="001E5E70"/>
    <w:rsid w:val="001E62CA"/>
    <w:rsid w:val="001E637F"/>
    <w:rsid w:val="001E646A"/>
    <w:rsid w:val="001E66B3"/>
    <w:rsid w:val="001E6A74"/>
    <w:rsid w:val="001E6CDC"/>
    <w:rsid w:val="001E707A"/>
    <w:rsid w:val="001E7283"/>
    <w:rsid w:val="001E73A4"/>
    <w:rsid w:val="001E7B9F"/>
    <w:rsid w:val="001E7C94"/>
    <w:rsid w:val="001E7D62"/>
    <w:rsid w:val="001E7F38"/>
    <w:rsid w:val="001F0610"/>
    <w:rsid w:val="001F0750"/>
    <w:rsid w:val="001F0876"/>
    <w:rsid w:val="001F1410"/>
    <w:rsid w:val="001F18D9"/>
    <w:rsid w:val="001F1F85"/>
    <w:rsid w:val="001F204E"/>
    <w:rsid w:val="001F210B"/>
    <w:rsid w:val="001F222A"/>
    <w:rsid w:val="001F2751"/>
    <w:rsid w:val="001F27CA"/>
    <w:rsid w:val="001F2BBB"/>
    <w:rsid w:val="001F2CA7"/>
    <w:rsid w:val="001F3730"/>
    <w:rsid w:val="001F3F5B"/>
    <w:rsid w:val="001F400C"/>
    <w:rsid w:val="001F4644"/>
    <w:rsid w:val="001F4803"/>
    <w:rsid w:val="001F4E2C"/>
    <w:rsid w:val="001F4FDF"/>
    <w:rsid w:val="001F51CC"/>
    <w:rsid w:val="001F52BC"/>
    <w:rsid w:val="001F537C"/>
    <w:rsid w:val="001F56A0"/>
    <w:rsid w:val="001F5B65"/>
    <w:rsid w:val="001F5BD7"/>
    <w:rsid w:val="001F6389"/>
    <w:rsid w:val="001F659B"/>
    <w:rsid w:val="001F663A"/>
    <w:rsid w:val="001F66AF"/>
    <w:rsid w:val="001F6770"/>
    <w:rsid w:val="001F6798"/>
    <w:rsid w:val="001F6B0B"/>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B6A"/>
    <w:rsid w:val="00207DA7"/>
    <w:rsid w:val="00210371"/>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A29"/>
    <w:rsid w:val="00217CAD"/>
    <w:rsid w:val="00217CBE"/>
    <w:rsid w:val="0022005C"/>
    <w:rsid w:val="002208C9"/>
    <w:rsid w:val="00221063"/>
    <w:rsid w:val="0022159C"/>
    <w:rsid w:val="0022164F"/>
    <w:rsid w:val="00221656"/>
    <w:rsid w:val="00221B3A"/>
    <w:rsid w:val="00221ED4"/>
    <w:rsid w:val="0022227E"/>
    <w:rsid w:val="0022279D"/>
    <w:rsid w:val="00222B96"/>
    <w:rsid w:val="00223751"/>
    <w:rsid w:val="00223850"/>
    <w:rsid w:val="00223B8B"/>
    <w:rsid w:val="0022407F"/>
    <w:rsid w:val="002242A3"/>
    <w:rsid w:val="002246E0"/>
    <w:rsid w:val="00224E2B"/>
    <w:rsid w:val="002255A1"/>
    <w:rsid w:val="00226706"/>
    <w:rsid w:val="0022705A"/>
    <w:rsid w:val="0022715F"/>
    <w:rsid w:val="002273C5"/>
    <w:rsid w:val="00227597"/>
    <w:rsid w:val="00230148"/>
    <w:rsid w:val="0023038A"/>
    <w:rsid w:val="00230977"/>
    <w:rsid w:val="00230E00"/>
    <w:rsid w:val="002317A1"/>
    <w:rsid w:val="0023203C"/>
    <w:rsid w:val="0023282E"/>
    <w:rsid w:val="00232B6D"/>
    <w:rsid w:val="00232DA4"/>
    <w:rsid w:val="00232DC6"/>
    <w:rsid w:val="002331FB"/>
    <w:rsid w:val="002333FA"/>
    <w:rsid w:val="002338CB"/>
    <w:rsid w:val="002339AE"/>
    <w:rsid w:val="00234736"/>
    <w:rsid w:val="002347BE"/>
    <w:rsid w:val="00234B71"/>
    <w:rsid w:val="0023509B"/>
    <w:rsid w:val="00235668"/>
    <w:rsid w:val="00235A7F"/>
    <w:rsid w:val="00235CA6"/>
    <w:rsid w:val="0023603B"/>
    <w:rsid w:val="00236047"/>
    <w:rsid w:val="002366D3"/>
    <w:rsid w:val="00236870"/>
    <w:rsid w:val="002368CA"/>
    <w:rsid w:val="00236E1C"/>
    <w:rsid w:val="0023716A"/>
    <w:rsid w:val="00237291"/>
    <w:rsid w:val="00237491"/>
    <w:rsid w:val="002401FA"/>
    <w:rsid w:val="00240793"/>
    <w:rsid w:val="00240D5F"/>
    <w:rsid w:val="002410DA"/>
    <w:rsid w:val="002412DA"/>
    <w:rsid w:val="00241B74"/>
    <w:rsid w:val="00241D8C"/>
    <w:rsid w:val="00241DBF"/>
    <w:rsid w:val="002421FB"/>
    <w:rsid w:val="00242406"/>
    <w:rsid w:val="00242605"/>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137"/>
    <w:rsid w:val="0024724D"/>
    <w:rsid w:val="002475A6"/>
    <w:rsid w:val="002475FE"/>
    <w:rsid w:val="002478B3"/>
    <w:rsid w:val="00247AD6"/>
    <w:rsid w:val="00247D81"/>
    <w:rsid w:val="00247F46"/>
    <w:rsid w:val="00247FA8"/>
    <w:rsid w:val="00250575"/>
    <w:rsid w:val="00250C0A"/>
    <w:rsid w:val="00250D91"/>
    <w:rsid w:val="00250F09"/>
    <w:rsid w:val="00251247"/>
    <w:rsid w:val="002516F7"/>
    <w:rsid w:val="002518E3"/>
    <w:rsid w:val="00251A7C"/>
    <w:rsid w:val="00252177"/>
    <w:rsid w:val="00252368"/>
    <w:rsid w:val="0025255F"/>
    <w:rsid w:val="002526F3"/>
    <w:rsid w:val="00252738"/>
    <w:rsid w:val="002531DC"/>
    <w:rsid w:val="002533DA"/>
    <w:rsid w:val="00254B03"/>
    <w:rsid w:val="00255139"/>
    <w:rsid w:val="00255174"/>
    <w:rsid w:val="00255214"/>
    <w:rsid w:val="00255459"/>
    <w:rsid w:val="00255CDA"/>
    <w:rsid w:val="00255FE1"/>
    <w:rsid w:val="002576A6"/>
    <w:rsid w:val="0025781C"/>
    <w:rsid w:val="002579B1"/>
    <w:rsid w:val="00257B6E"/>
    <w:rsid w:val="00257B75"/>
    <w:rsid w:val="00257E6C"/>
    <w:rsid w:val="00260047"/>
    <w:rsid w:val="002606F9"/>
    <w:rsid w:val="00260E58"/>
    <w:rsid w:val="0026161F"/>
    <w:rsid w:val="0026189E"/>
    <w:rsid w:val="002621D8"/>
    <w:rsid w:val="002628D8"/>
    <w:rsid w:val="00262B50"/>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D93"/>
    <w:rsid w:val="00267EDB"/>
    <w:rsid w:val="00270122"/>
    <w:rsid w:val="0027074A"/>
    <w:rsid w:val="00271732"/>
    <w:rsid w:val="002724E0"/>
    <w:rsid w:val="002727FB"/>
    <w:rsid w:val="00272A47"/>
    <w:rsid w:val="0027344E"/>
    <w:rsid w:val="0027347E"/>
    <w:rsid w:val="00273E15"/>
    <w:rsid w:val="0027405C"/>
    <w:rsid w:val="00275167"/>
    <w:rsid w:val="002754DA"/>
    <w:rsid w:val="0027555D"/>
    <w:rsid w:val="00275DA9"/>
    <w:rsid w:val="0027641A"/>
    <w:rsid w:val="002766BB"/>
    <w:rsid w:val="00276B0B"/>
    <w:rsid w:val="00276B3E"/>
    <w:rsid w:val="00276E4C"/>
    <w:rsid w:val="00277412"/>
    <w:rsid w:val="0027773A"/>
    <w:rsid w:val="0027779A"/>
    <w:rsid w:val="00277D32"/>
    <w:rsid w:val="0028007F"/>
    <w:rsid w:val="0028036B"/>
    <w:rsid w:val="0028065E"/>
    <w:rsid w:val="0028083F"/>
    <w:rsid w:val="00280B8B"/>
    <w:rsid w:val="002814DB"/>
    <w:rsid w:val="00281867"/>
    <w:rsid w:val="00281E53"/>
    <w:rsid w:val="00281E88"/>
    <w:rsid w:val="00282D81"/>
    <w:rsid w:val="002834EF"/>
    <w:rsid w:val="00283884"/>
    <w:rsid w:val="00283B84"/>
    <w:rsid w:val="00284079"/>
    <w:rsid w:val="002847D1"/>
    <w:rsid w:val="00284B2F"/>
    <w:rsid w:val="00284D5F"/>
    <w:rsid w:val="00284E0C"/>
    <w:rsid w:val="00284FC1"/>
    <w:rsid w:val="00285467"/>
    <w:rsid w:val="002854D2"/>
    <w:rsid w:val="002858B2"/>
    <w:rsid w:val="00285B81"/>
    <w:rsid w:val="002861D7"/>
    <w:rsid w:val="00286AF8"/>
    <w:rsid w:val="00286F69"/>
    <w:rsid w:val="00287387"/>
    <w:rsid w:val="002875EE"/>
    <w:rsid w:val="0028771F"/>
    <w:rsid w:val="00287CE2"/>
    <w:rsid w:val="00290367"/>
    <w:rsid w:val="002903F0"/>
    <w:rsid w:val="00290609"/>
    <w:rsid w:val="0029076D"/>
    <w:rsid w:val="00290D20"/>
    <w:rsid w:val="00290D5F"/>
    <w:rsid w:val="00290DDC"/>
    <w:rsid w:val="00291150"/>
    <w:rsid w:val="0029118C"/>
    <w:rsid w:val="002918AB"/>
    <w:rsid w:val="00291980"/>
    <w:rsid w:val="00292113"/>
    <w:rsid w:val="002930BA"/>
    <w:rsid w:val="00294079"/>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905"/>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67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AAD"/>
    <w:rsid w:val="002C0C5A"/>
    <w:rsid w:val="002C1A63"/>
    <w:rsid w:val="002C1B2B"/>
    <w:rsid w:val="002C1F8B"/>
    <w:rsid w:val="002C2060"/>
    <w:rsid w:val="002C2471"/>
    <w:rsid w:val="002C2A19"/>
    <w:rsid w:val="002C3375"/>
    <w:rsid w:val="002C3420"/>
    <w:rsid w:val="002C38FA"/>
    <w:rsid w:val="002C393F"/>
    <w:rsid w:val="002C3DC5"/>
    <w:rsid w:val="002C4305"/>
    <w:rsid w:val="002C43B8"/>
    <w:rsid w:val="002C4A4A"/>
    <w:rsid w:val="002C5385"/>
    <w:rsid w:val="002C5622"/>
    <w:rsid w:val="002C5BB9"/>
    <w:rsid w:val="002C5CC6"/>
    <w:rsid w:val="002C6069"/>
    <w:rsid w:val="002C6558"/>
    <w:rsid w:val="002C6AB3"/>
    <w:rsid w:val="002C6CBE"/>
    <w:rsid w:val="002C72A3"/>
    <w:rsid w:val="002C7412"/>
    <w:rsid w:val="002C776A"/>
    <w:rsid w:val="002C78DF"/>
    <w:rsid w:val="002D0517"/>
    <w:rsid w:val="002D07D9"/>
    <w:rsid w:val="002D0B89"/>
    <w:rsid w:val="002D14A5"/>
    <w:rsid w:val="002D1505"/>
    <w:rsid w:val="002D1866"/>
    <w:rsid w:val="002D1A6F"/>
    <w:rsid w:val="002D1AD2"/>
    <w:rsid w:val="002D2D76"/>
    <w:rsid w:val="002D325E"/>
    <w:rsid w:val="002D3665"/>
    <w:rsid w:val="002D368D"/>
    <w:rsid w:val="002D388C"/>
    <w:rsid w:val="002D392A"/>
    <w:rsid w:val="002D3C3E"/>
    <w:rsid w:val="002D3D6D"/>
    <w:rsid w:val="002D4180"/>
    <w:rsid w:val="002D418C"/>
    <w:rsid w:val="002D4466"/>
    <w:rsid w:val="002D44D5"/>
    <w:rsid w:val="002D46CC"/>
    <w:rsid w:val="002D46FC"/>
    <w:rsid w:val="002D54B0"/>
    <w:rsid w:val="002D5F2C"/>
    <w:rsid w:val="002D5F86"/>
    <w:rsid w:val="002D6A35"/>
    <w:rsid w:val="002D70BB"/>
    <w:rsid w:val="002D7309"/>
    <w:rsid w:val="002D739F"/>
    <w:rsid w:val="002D7FFD"/>
    <w:rsid w:val="002E0592"/>
    <w:rsid w:val="002E06A8"/>
    <w:rsid w:val="002E0E55"/>
    <w:rsid w:val="002E1589"/>
    <w:rsid w:val="002E2C92"/>
    <w:rsid w:val="002E43A0"/>
    <w:rsid w:val="002E482B"/>
    <w:rsid w:val="002E4903"/>
    <w:rsid w:val="002E5874"/>
    <w:rsid w:val="002E5F86"/>
    <w:rsid w:val="002E631C"/>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27C"/>
    <w:rsid w:val="002F234B"/>
    <w:rsid w:val="002F251B"/>
    <w:rsid w:val="002F2845"/>
    <w:rsid w:val="002F2B49"/>
    <w:rsid w:val="002F2F0C"/>
    <w:rsid w:val="002F316D"/>
    <w:rsid w:val="002F341A"/>
    <w:rsid w:val="002F3EF1"/>
    <w:rsid w:val="002F4418"/>
    <w:rsid w:val="002F45AE"/>
    <w:rsid w:val="002F45DC"/>
    <w:rsid w:val="002F46FC"/>
    <w:rsid w:val="002F585C"/>
    <w:rsid w:val="002F61AB"/>
    <w:rsid w:val="002F61D5"/>
    <w:rsid w:val="002F65DA"/>
    <w:rsid w:val="002F714D"/>
    <w:rsid w:val="002F77F9"/>
    <w:rsid w:val="00300428"/>
    <w:rsid w:val="00300534"/>
    <w:rsid w:val="00300A2F"/>
    <w:rsid w:val="00300ECF"/>
    <w:rsid w:val="00300FB4"/>
    <w:rsid w:val="00301524"/>
    <w:rsid w:val="003018CD"/>
    <w:rsid w:val="00302218"/>
    <w:rsid w:val="00302421"/>
    <w:rsid w:val="00302523"/>
    <w:rsid w:val="0030265C"/>
    <w:rsid w:val="003029BD"/>
    <w:rsid w:val="00302D99"/>
    <w:rsid w:val="0030310F"/>
    <w:rsid w:val="0030323A"/>
    <w:rsid w:val="00303978"/>
    <w:rsid w:val="00303D18"/>
    <w:rsid w:val="00303F2A"/>
    <w:rsid w:val="0030430C"/>
    <w:rsid w:val="00304ABA"/>
    <w:rsid w:val="00305072"/>
    <w:rsid w:val="00305188"/>
    <w:rsid w:val="00305482"/>
    <w:rsid w:val="00305AB5"/>
    <w:rsid w:val="00305BCE"/>
    <w:rsid w:val="00305D6C"/>
    <w:rsid w:val="00306018"/>
    <w:rsid w:val="003067F4"/>
    <w:rsid w:val="00306F3C"/>
    <w:rsid w:val="00306FC7"/>
    <w:rsid w:val="00306FF2"/>
    <w:rsid w:val="00307522"/>
    <w:rsid w:val="003078AD"/>
    <w:rsid w:val="0030797D"/>
    <w:rsid w:val="00307A85"/>
    <w:rsid w:val="00307D7D"/>
    <w:rsid w:val="00307E97"/>
    <w:rsid w:val="00307FD0"/>
    <w:rsid w:val="0031018A"/>
    <w:rsid w:val="00310357"/>
    <w:rsid w:val="00310A52"/>
    <w:rsid w:val="00310C53"/>
    <w:rsid w:val="003116E3"/>
    <w:rsid w:val="0031182B"/>
    <w:rsid w:val="00311B82"/>
    <w:rsid w:val="00311C8C"/>
    <w:rsid w:val="00311E19"/>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F0A"/>
    <w:rsid w:val="00315048"/>
    <w:rsid w:val="00315151"/>
    <w:rsid w:val="00315399"/>
    <w:rsid w:val="0031565D"/>
    <w:rsid w:val="00315ACF"/>
    <w:rsid w:val="00315C01"/>
    <w:rsid w:val="00315CB1"/>
    <w:rsid w:val="00316977"/>
    <w:rsid w:val="00316CCF"/>
    <w:rsid w:val="003173AE"/>
    <w:rsid w:val="00317505"/>
    <w:rsid w:val="003178B3"/>
    <w:rsid w:val="00317A00"/>
    <w:rsid w:val="0032001B"/>
    <w:rsid w:val="00320382"/>
    <w:rsid w:val="00320A8E"/>
    <w:rsid w:val="00320B43"/>
    <w:rsid w:val="003212B8"/>
    <w:rsid w:val="003217B8"/>
    <w:rsid w:val="00322547"/>
    <w:rsid w:val="0032272B"/>
    <w:rsid w:val="00322EE5"/>
    <w:rsid w:val="00322F85"/>
    <w:rsid w:val="003230D0"/>
    <w:rsid w:val="003234A3"/>
    <w:rsid w:val="003237B8"/>
    <w:rsid w:val="00323907"/>
    <w:rsid w:val="003239E1"/>
    <w:rsid w:val="00323C96"/>
    <w:rsid w:val="0032507F"/>
    <w:rsid w:val="003260A6"/>
    <w:rsid w:val="00326129"/>
    <w:rsid w:val="003263AB"/>
    <w:rsid w:val="003263F6"/>
    <w:rsid w:val="00326496"/>
    <w:rsid w:val="003266F1"/>
    <w:rsid w:val="00326D33"/>
    <w:rsid w:val="00326E17"/>
    <w:rsid w:val="00327238"/>
    <w:rsid w:val="00327CAE"/>
    <w:rsid w:val="00327F04"/>
    <w:rsid w:val="00330186"/>
    <w:rsid w:val="003301AD"/>
    <w:rsid w:val="00330435"/>
    <w:rsid w:val="0033075F"/>
    <w:rsid w:val="003309F5"/>
    <w:rsid w:val="00330F8C"/>
    <w:rsid w:val="0033103C"/>
    <w:rsid w:val="003315CE"/>
    <w:rsid w:val="00331E83"/>
    <w:rsid w:val="00331F98"/>
    <w:rsid w:val="003320F6"/>
    <w:rsid w:val="00332530"/>
    <w:rsid w:val="0033315D"/>
    <w:rsid w:val="00333439"/>
    <w:rsid w:val="003339D7"/>
    <w:rsid w:val="00333B35"/>
    <w:rsid w:val="0033431A"/>
    <w:rsid w:val="00334D3D"/>
    <w:rsid w:val="00334EB9"/>
    <w:rsid w:val="00335121"/>
    <w:rsid w:val="00335223"/>
    <w:rsid w:val="00335827"/>
    <w:rsid w:val="00335AFE"/>
    <w:rsid w:val="0033613B"/>
    <w:rsid w:val="0033616B"/>
    <w:rsid w:val="00336406"/>
    <w:rsid w:val="00336601"/>
    <w:rsid w:val="00336D33"/>
    <w:rsid w:val="00336E10"/>
    <w:rsid w:val="00337560"/>
    <w:rsid w:val="003377CA"/>
    <w:rsid w:val="00337CDA"/>
    <w:rsid w:val="00337FC6"/>
    <w:rsid w:val="00340235"/>
    <w:rsid w:val="003404AD"/>
    <w:rsid w:val="00340554"/>
    <w:rsid w:val="00340A98"/>
    <w:rsid w:val="00340FCB"/>
    <w:rsid w:val="00341395"/>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5CA7"/>
    <w:rsid w:val="0035625F"/>
    <w:rsid w:val="003564A4"/>
    <w:rsid w:val="00356548"/>
    <w:rsid w:val="003567AE"/>
    <w:rsid w:val="0035697B"/>
    <w:rsid w:val="00356F93"/>
    <w:rsid w:val="003575A7"/>
    <w:rsid w:val="00357A3C"/>
    <w:rsid w:val="00357B3F"/>
    <w:rsid w:val="00357FD5"/>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2D13"/>
    <w:rsid w:val="003634DD"/>
    <w:rsid w:val="00363940"/>
    <w:rsid w:val="00363A1E"/>
    <w:rsid w:val="00363C34"/>
    <w:rsid w:val="003640A0"/>
    <w:rsid w:val="00364173"/>
    <w:rsid w:val="003644EF"/>
    <w:rsid w:val="00364646"/>
    <w:rsid w:val="003649DD"/>
    <w:rsid w:val="00364CC9"/>
    <w:rsid w:val="00365345"/>
    <w:rsid w:val="0036548D"/>
    <w:rsid w:val="003654AB"/>
    <w:rsid w:val="003654F8"/>
    <w:rsid w:val="00366ED5"/>
    <w:rsid w:val="00367244"/>
    <w:rsid w:val="00367D26"/>
    <w:rsid w:val="00367F51"/>
    <w:rsid w:val="0037021B"/>
    <w:rsid w:val="003706EC"/>
    <w:rsid w:val="00370CB6"/>
    <w:rsid w:val="00370DAF"/>
    <w:rsid w:val="00371216"/>
    <w:rsid w:val="00371BD4"/>
    <w:rsid w:val="003721D7"/>
    <w:rsid w:val="003723D6"/>
    <w:rsid w:val="0037263D"/>
    <w:rsid w:val="00372723"/>
    <w:rsid w:val="00372794"/>
    <w:rsid w:val="00372EC0"/>
    <w:rsid w:val="003731A0"/>
    <w:rsid w:val="00373500"/>
    <w:rsid w:val="003738F4"/>
    <w:rsid w:val="00373A7E"/>
    <w:rsid w:val="00373C9B"/>
    <w:rsid w:val="00373D93"/>
    <w:rsid w:val="0037413C"/>
    <w:rsid w:val="0037432C"/>
    <w:rsid w:val="00374597"/>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59"/>
    <w:rsid w:val="00380B6F"/>
    <w:rsid w:val="00380BC4"/>
    <w:rsid w:val="003812DC"/>
    <w:rsid w:val="003812E9"/>
    <w:rsid w:val="003812F9"/>
    <w:rsid w:val="003814BE"/>
    <w:rsid w:val="0038190D"/>
    <w:rsid w:val="00381CEC"/>
    <w:rsid w:val="00382029"/>
    <w:rsid w:val="003825DF"/>
    <w:rsid w:val="00382782"/>
    <w:rsid w:val="00382C8A"/>
    <w:rsid w:val="0038301D"/>
    <w:rsid w:val="003830AC"/>
    <w:rsid w:val="0038317C"/>
    <w:rsid w:val="003832AC"/>
    <w:rsid w:val="00383481"/>
    <w:rsid w:val="00383C5F"/>
    <w:rsid w:val="00384072"/>
    <w:rsid w:val="00384170"/>
    <w:rsid w:val="00384214"/>
    <w:rsid w:val="00384453"/>
    <w:rsid w:val="00384DC7"/>
    <w:rsid w:val="00385155"/>
    <w:rsid w:val="003852A3"/>
    <w:rsid w:val="00385332"/>
    <w:rsid w:val="003854C2"/>
    <w:rsid w:val="003855E1"/>
    <w:rsid w:val="00385678"/>
    <w:rsid w:val="00385DD0"/>
    <w:rsid w:val="003861F8"/>
    <w:rsid w:val="003864D8"/>
    <w:rsid w:val="003864F0"/>
    <w:rsid w:val="00386B1C"/>
    <w:rsid w:val="00386F9D"/>
    <w:rsid w:val="003870CF"/>
    <w:rsid w:val="00387142"/>
    <w:rsid w:val="003871F3"/>
    <w:rsid w:val="0038757B"/>
    <w:rsid w:val="0038773F"/>
    <w:rsid w:val="00387F1E"/>
    <w:rsid w:val="00390B38"/>
    <w:rsid w:val="00390D24"/>
    <w:rsid w:val="003920C6"/>
    <w:rsid w:val="003922FB"/>
    <w:rsid w:val="00392905"/>
    <w:rsid w:val="00392D0A"/>
    <w:rsid w:val="00393248"/>
    <w:rsid w:val="00393621"/>
    <w:rsid w:val="003938D4"/>
    <w:rsid w:val="003946EE"/>
    <w:rsid w:val="00394CF8"/>
    <w:rsid w:val="00394FD4"/>
    <w:rsid w:val="00395101"/>
    <w:rsid w:val="00395115"/>
    <w:rsid w:val="00395165"/>
    <w:rsid w:val="0039516D"/>
    <w:rsid w:val="00395330"/>
    <w:rsid w:val="00395405"/>
    <w:rsid w:val="003955C8"/>
    <w:rsid w:val="00395857"/>
    <w:rsid w:val="003963CD"/>
    <w:rsid w:val="00396B29"/>
    <w:rsid w:val="00397044"/>
    <w:rsid w:val="0039704D"/>
    <w:rsid w:val="00397109"/>
    <w:rsid w:val="00397872"/>
    <w:rsid w:val="00397D54"/>
    <w:rsid w:val="003A0441"/>
    <w:rsid w:val="003A05C9"/>
    <w:rsid w:val="003A0BDB"/>
    <w:rsid w:val="003A0C92"/>
    <w:rsid w:val="003A0CA2"/>
    <w:rsid w:val="003A0EED"/>
    <w:rsid w:val="003A1052"/>
    <w:rsid w:val="003A12EB"/>
    <w:rsid w:val="003A13C2"/>
    <w:rsid w:val="003A1590"/>
    <w:rsid w:val="003A190B"/>
    <w:rsid w:val="003A1AC5"/>
    <w:rsid w:val="003A1F79"/>
    <w:rsid w:val="003A209A"/>
    <w:rsid w:val="003A213C"/>
    <w:rsid w:val="003A2169"/>
    <w:rsid w:val="003A2463"/>
    <w:rsid w:val="003A2D89"/>
    <w:rsid w:val="003A322A"/>
    <w:rsid w:val="003A349A"/>
    <w:rsid w:val="003A4155"/>
    <w:rsid w:val="003A4311"/>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7304"/>
    <w:rsid w:val="003A74F1"/>
    <w:rsid w:val="003A7A2C"/>
    <w:rsid w:val="003A7CC8"/>
    <w:rsid w:val="003A7E78"/>
    <w:rsid w:val="003B0735"/>
    <w:rsid w:val="003B0878"/>
    <w:rsid w:val="003B08D4"/>
    <w:rsid w:val="003B0BAB"/>
    <w:rsid w:val="003B0BDD"/>
    <w:rsid w:val="003B0E88"/>
    <w:rsid w:val="003B1155"/>
    <w:rsid w:val="003B1301"/>
    <w:rsid w:val="003B1BC5"/>
    <w:rsid w:val="003B21C8"/>
    <w:rsid w:val="003B2432"/>
    <w:rsid w:val="003B2DAA"/>
    <w:rsid w:val="003B35A7"/>
    <w:rsid w:val="003B3A67"/>
    <w:rsid w:val="003B5378"/>
    <w:rsid w:val="003B5BB3"/>
    <w:rsid w:val="003B5C48"/>
    <w:rsid w:val="003B5CFC"/>
    <w:rsid w:val="003B6062"/>
    <w:rsid w:val="003B6CFC"/>
    <w:rsid w:val="003B6F9A"/>
    <w:rsid w:val="003B734B"/>
    <w:rsid w:val="003B7560"/>
    <w:rsid w:val="003B75DA"/>
    <w:rsid w:val="003B7B85"/>
    <w:rsid w:val="003C014F"/>
    <w:rsid w:val="003C0BB3"/>
    <w:rsid w:val="003C0CAF"/>
    <w:rsid w:val="003C12C5"/>
    <w:rsid w:val="003C14E4"/>
    <w:rsid w:val="003C22D1"/>
    <w:rsid w:val="003C26C9"/>
    <w:rsid w:val="003C3157"/>
    <w:rsid w:val="003C34FD"/>
    <w:rsid w:val="003C35B3"/>
    <w:rsid w:val="003C46FD"/>
    <w:rsid w:val="003C49F1"/>
    <w:rsid w:val="003C4C01"/>
    <w:rsid w:val="003C4F89"/>
    <w:rsid w:val="003C54F4"/>
    <w:rsid w:val="003C55F8"/>
    <w:rsid w:val="003C5D4E"/>
    <w:rsid w:val="003C6268"/>
    <w:rsid w:val="003C67BC"/>
    <w:rsid w:val="003C68F5"/>
    <w:rsid w:val="003C69EB"/>
    <w:rsid w:val="003C6A09"/>
    <w:rsid w:val="003C73EE"/>
    <w:rsid w:val="003C7723"/>
    <w:rsid w:val="003C7AA5"/>
    <w:rsid w:val="003D05D2"/>
    <w:rsid w:val="003D1038"/>
    <w:rsid w:val="003D1152"/>
    <w:rsid w:val="003D1927"/>
    <w:rsid w:val="003D2485"/>
    <w:rsid w:val="003D3521"/>
    <w:rsid w:val="003D3817"/>
    <w:rsid w:val="003D4086"/>
    <w:rsid w:val="003D438A"/>
    <w:rsid w:val="003D4769"/>
    <w:rsid w:val="003D47E8"/>
    <w:rsid w:val="003D4950"/>
    <w:rsid w:val="003D4CF7"/>
    <w:rsid w:val="003D4F39"/>
    <w:rsid w:val="003D4F40"/>
    <w:rsid w:val="003D566C"/>
    <w:rsid w:val="003D5FD4"/>
    <w:rsid w:val="003D617D"/>
    <w:rsid w:val="003D663B"/>
    <w:rsid w:val="003D6ABC"/>
    <w:rsid w:val="003D712B"/>
    <w:rsid w:val="003D728A"/>
    <w:rsid w:val="003D7387"/>
    <w:rsid w:val="003E00BB"/>
    <w:rsid w:val="003E02EA"/>
    <w:rsid w:val="003E1493"/>
    <w:rsid w:val="003E2D05"/>
    <w:rsid w:val="003E2ED2"/>
    <w:rsid w:val="003E3057"/>
    <w:rsid w:val="003E32BF"/>
    <w:rsid w:val="003E344A"/>
    <w:rsid w:val="003E3826"/>
    <w:rsid w:val="003E3A68"/>
    <w:rsid w:val="003E4657"/>
    <w:rsid w:val="003E4695"/>
    <w:rsid w:val="003E481A"/>
    <w:rsid w:val="003E4E88"/>
    <w:rsid w:val="003E51C1"/>
    <w:rsid w:val="003E52A3"/>
    <w:rsid w:val="003E5581"/>
    <w:rsid w:val="003E55F8"/>
    <w:rsid w:val="003E5629"/>
    <w:rsid w:val="003E5EB1"/>
    <w:rsid w:val="003E6CC8"/>
    <w:rsid w:val="003E6FD3"/>
    <w:rsid w:val="003E72EE"/>
    <w:rsid w:val="003E7659"/>
    <w:rsid w:val="003E76EE"/>
    <w:rsid w:val="003E7A87"/>
    <w:rsid w:val="003E7E6A"/>
    <w:rsid w:val="003F00A9"/>
    <w:rsid w:val="003F08F8"/>
    <w:rsid w:val="003F1130"/>
    <w:rsid w:val="003F2140"/>
    <w:rsid w:val="003F2199"/>
    <w:rsid w:val="003F247F"/>
    <w:rsid w:val="003F285A"/>
    <w:rsid w:val="003F2A74"/>
    <w:rsid w:val="003F2AB9"/>
    <w:rsid w:val="003F2B04"/>
    <w:rsid w:val="003F398D"/>
    <w:rsid w:val="003F3A36"/>
    <w:rsid w:val="003F3B32"/>
    <w:rsid w:val="003F3E66"/>
    <w:rsid w:val="003F4643"/>
    <w:rsid w:val="003F5571"/>
    <w:rsid w:val="003F57FA"/>
    <w:rsid w:val="003F59F7"/>
    <w:rsid w:val="003F5B00"/>
    <w:rsid w:val="003F693C"/>
    <w:rsid w:val="003F7287"/>
    <w:rsid w:val="003F7BE6"/>
    <w:rsid w:val="00400FC6"/>
    <w:rsid w:val="00400FFC"/>
    <w:rsid w:val="0040159E"/>
    <w:rsid w:val="00401687"/>
    <w:rsid w:val="00401EF0"/>
    <w:rsid w:val="00402112"/>
    <w:rsid w:val="004028C2"/>
    <w:rsid w:val="0040294F"/>
    <w:rsid w:val="00402E43"/>
    <w:rsid w:val="0040310A"/>
    <w:rsid w:val="0040324D"/>
    <w:rsid w:val="00403461"/>
    <w:rsid w:val="004035D1"/>
    <w:rsid w:val="00403AD6"/>
    <w:rsid w:val="00403F04"/>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262"/>
    <w:rsid w:val="00411545"/>
    <w:rsid w:val="004117E2"/>
    <w:rsid w:val="0041186F"/>
    <w:rsid w:val="00411F57"/>
    <w:rsid w:val="004124FF"/>
    <w:rsid w:val="00412906"/>
    <w:rsid w:val="004131B3"/>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734"/>
    <w:rsid w:val="0042099C"/>
    <w:rsid w:val="00420B0A"/>
    <w:rsid w:val="00420F3A"/>
    <w:rsid w:val="00421CB6"/>
    <w:rsid w:val="00422005"/>
    <w:rsid w:val="0042203F"/>
    <w:rsid w:val="00422077"/>
    <w:rsid w:val="0042232D"/>
    <w:rsid w:val="00422399"/>
    <w:rsid w:val="004224E0"/>
    <w:rsid w:val="00422981"/>
    <w:rsid w:val="00422994"/>
    <w:rsid w:val="00422E08"/>
    <w:rsid w:val="00422FE3"/>
    <w:rsid w:val="00423204"/>
    <w:rsid w:val="0042387C"/>
    <w:rsid w:val="00423FE2"/>
    <w:rsid w:val="00424070"/>
    <w:rsid w:val="0042408C"/>
    <w:rsid w:val="00425B8F"/>
    <w:rsid w:val="00425D71"/>
    <w:rsid w:val="00426093"/>
    <w:rsid w:val="00426109"/>
    <w:rsid w:val="0042627E"/>
    <w:rsid w:val="00426E5F"/>
    <w:rsid w:val="00426FCF"/>
    <w:rsid w:val="0042719A"/>
    <w:rsid w:val="0042777D"/>
    <w:rsid w:val="004279C0"/>
    <w:rsid w:val="00427AB6"/>
    <w:rsid w:val="00427BD9"/>
    <w:rsid w:val="004300ED"/>
    <w:rsid w:val="004301EA"/>
    <w:rsid w:val="004305D9"/>
    <w:rsid w:val="00430C58"/>
    <w:rsid w:val="00431426"/>
    <w:rsid w:val="00431562"/>
    <w:rsid w:val="00431B0C"/>
    <w:rsid w:val="00431C3A"/>
    <w:rsid w:val="00431F2D"/>
    <w:rsid w:val="004324EB"/>
    <w:rsid w:val="004326D9"/>
    <w:rsid w:val="0043339D"/>
    <w:rsid w:val="0043356A"/>
    <w:rsid w:val="00433B53"/>
    <w:rsid w:val="00433F90"/>
    <w:rsid w:val="00434A71"/>
    <w:rsid w:val="0043506F"/>
    <w:rsid w:val="0043517A"/>
    <w:rsid w:val="00435207"/>
    <w:rsid w:val="004354B8"/>
    <w:rsid w:val="00435F83"/>
    <w:rsid w:val="00435FE0"/>
    <w:rsid w:val="0043601B"/>
    <w:rsid w:val="0043624E"/>
    <w:rsid w:val="004365C7"/>
    <w:rsid w:val="00436630"/>
    <w:rsid w:val="004368EA"/>
    <w:rsid w:val="00436DB5"/>
    <w:rsid w:val="00436F1A"/>
    <w:rsid w:val="00437159"/>
    <w:rsid w:val="00437361"/>
    <w:rsid w:val="00437433"/>
    <w:rsid w:val="0043743A"/>
    <w:rsid w:val="0043789C"/>
    <w:rsid w:val="00437AAE"/>
    <w:rsid w:val="00437B53"/>
    <w:rsid w:val="004403F5"/>
    <w:rsid w:val="004404C0"/>
    <w:rsid w:val="0044092D"/>
    <w:rsid w:val="00440D4F"/>
    <w:rsid w:val="00440F2C"/>
    <w:rsid w:val="004410E2"/>
    <w:rsid w:val="0044154C"/>
    <w:rsid w:val="00441565"/>
    <w:rsid w:val="004419D7"/>
    <w:rsid w:val="00441B64"/>
    <w:rsid w:val="00441C75"/>
    <w:rsid w:val="004421DF"/>
    <w:rsid w:val="0044247E"/>
    <w:rsid w:val="004424C9"/>
    <w:rsid w:val="00442741"/>
    <w:rsid w:val="00442C26"/>
    <w:rsid w:val="00443270"/>
    <w:rsid w:val="004433A9"/>
    <w:rsid w:val="00443852"/>
    <w:rsid w:val="004438CF"/>
    <w:rsid w:val="004439FC"/>
    <w:rsid w:val="00443BB1"/>
    <w:rsid w:val="0044494F"/>
    <w:rsid w:val="00444D05"/>
    <w:rsid w:val="00445015"/>
    <w:rsid w:val="004452DC"/>
    <w:rsid w:val="004452F6"/>
    <w:rsid w:val="00445537"/>
    <w:rsid w:val="0044626E"/>
    <w:rsid w:val="004468A4"/>
    <w:rsid w:val="00446F3F"/>
    <w:rsid w:val="004477CD"/>
    <w:rsid w:val="004501F6"/>
    <w:rsid w:val="004502D7"/>
    <w:rsid w:val="00450495"/>
    <w:rsid w:val="00450D86"/>
    <w:rsid w:val="00451357"/>
    <w:rsid w:val="0045165F"/>
    <w:rsid w:val="004518E2"/>
    <w:rsid w:val="00451968"/>
    <w:rsid w:val="0045263F"/>
    <w:rsid w:val="00452A98"/>
    <w:rsid w:val="00452BDA"/>
    <w:rsid w:val="00453174"/>
    <w:rsid w:val="00453750"/>
    <w:rsid w:val="004537CF"/>
    <w:rsid w:val="004539FC"/>
    <w:rsid w:val="00453AE2"/>
    <w:rsid w:val="00453D69"/>
    <w:rsid w:val="0045428B"/>
    <w:rsid w:val="00454577"/>
    <w:rsid w:val="0045461E"/>
    <w:rsid w:val="004546E5"/>
    <w:rsid w:val="00454D4A"/>
    <w:rsid w:val="00455105"/>
    <w:rsid w:val="004551BC"/>
    <w:rsid w:val="004554B7"/>
    <w:rsid w:val="00455C94"/>
    <w:rsid w:val="004563D8"/>
    <w:rsid w:val="004566C4"/>
    <w:rsid w:val="00456792"/>
    <w:rsid w:val="00456A4F"/>
    <w:rsid w:val="00456D72"/>
    <w:rsid w:val="00456F48"/>
    <w:rsid w:val="004575AB"/>
    <w:rsid w:val="004575FB"/>
    <w:rsid w:val="0045762E"/>
    <w:rsid w:val="00457BA3"/>
    <w:rsid w:val="004600F8"/>
    <w:rsid w:val="00460B1A"/>
    <w:rsid w:val="00460B5A"/>
    <w:rsid w:val="00460C28"/>
    <w:rsid w:val="004610F2"/>
    <w:rsid w:val="004616E2"/>
    <w:rsid w:val="00461753"/>
    <w:rsid w:val="00461831"/>
    <w:rsid w:val="00461BC2"/>
    <w:rsid w:val="0046234D"/>
    <w:rsid w:val="004627EB"/>
    <w:rsid w:val="00462AF2"/>
    <w:rsid w:val="00462C24"/>
    <w:rsid w:val="00462EC7"/>
    <w:rsid w:val="00463827"/>
    <w:rsid w:val="004638DA"/>
    <w:rsid w:val="00463963"/>
    <w:rsid w:val="00463BE3"/>
    <w:rsid w:val="00463E45"/>
    <w:rsid w:val="00463F4A"/>
    <w:rsid w:val="0046406B"/>
    <w:rsid w:val="00464136"/>
    <w:rsid w:val="00464530"/>
    <w:rsid w:val="00464CC8"/>
    <w:rsid w:val="00464CF9"/>
    <w:rsid w:val="00464FA2"/>
    <w:rsid w:val="00465447"/>
    <w:rsid w:val="00465C06"/>
    <w:rsid w:val="00465E29"/>
    <w:rsid w:val="0046633C"/>
    <w:rsid w:val="0046700B"/>
    <w:rsid w:val="0046759F"/>
    <w:rsid w:val="0047048A"/>
    <w:rsid w:val="00470D03"/>
    <w:rsid w:val="00471917"/>
    <w:rsid w:val="00471A0B"/>
    <w:rsid w:val="00471E2D"/>
    <w:rsid w:val="00471F7A"/>
    <w:rsid w:val="00471FD5"/>
    <w:rsid w:val="004720F7"/>
    <w:rsid w:val="004726F9"/>
    <w:rsid w:val="00473053"/>
    <w:rsid w:val="00473730"/>
    <w:rsid w:val="00473A01"/>
    <w:rsid w:val="00473C2E"/>
    <w:rsid w:val="00474EE8"/>
    <w:rsid w:val="00474EF4"/>
    <w:rsid w:val="004753E7"/>
    <w:rsid w:val="0047560F"/>
    <w:rsid w:val="004762AB"/>
    <w:rsid w:val="00476482"/>
    <w:rsid w:val="00476842"/>
    <w:rsid w:val="00476B38"/>
    <w:rsid w:val="00476FF6"/>
    <w:rsid w:val="00477118"/>
    <w:rsid w:val="004772F0"/>
    <w:rsid w:val="0047765F"/>
    <w:rsid w:val="00477693"/>
    <w:rsid w:val="00477E83"/>
    <w:rsid w:val="00477FE3"/>
    <w:rsid w:val="004800BF"/>
    <w:rsid w:val="00480584"/>
    <w:rsid w:val="004819F0"/>
    <w:rsid w:val="004825B2"/>
    <w:rsid w:val="00482B81"/>
    <w:rsid w:val="00482F1E"/>
    <w:rsid w:val="00483252"/>
    <w:rsid w:val="00483577"/>
    <w:rsid w:val="004835E4"/>
    <w:rsid w:val="00484630"/>
    <w:rsid w:val="00484A89"/>
    <w:rsid w:val="00484FD7"/>
    <w:rsid w:val="004853E5"/>
    <w:rsid w:val="00486046"/>
    <w:rsid w:val="00486A9E"/>
    <w:rsid w:val="00487079"/>
    <w:rsid w:val="00487282"/>
    <w:rsid w:val="00487386"/>
    <w:rsid w:val="004875C4"/>
    <w:rsid w:val="00487BA4"/>
    <w:rsid w:val="00490111"/>
    <w:rsid w:val="0049099D"/>
    <w:rsid w:val="00490C06"/>
    <w:rsid w:val="00490E04"/>
    <w:rsid w:val="004913A8"/>
    <w:rsid w:val="00491985"/>
    <w:rsid w:val="00491AC6"/>
    <w:rsid w:val="00491DB8"/>
    <w:rsid w:val="0049201C"/>
    <w:rsid w:val="004921C7"/>
    <w:rsid w:val="00492367"/>
    <w:rsid w:val="00492C71"/>
    <w:rsid w:val="004932C7"/>
    <w:rsid w:val="004933D5"/>
    <w:rsid w:val="004935A9"/>
    <w:rsid w:val="004937DD"/>
    <w:rsid w:val="00493B57"/>
    <w:rsid w:val="00493EB7"/>
    <w:rsid w:val="0049405E"/>
    <w:rsid w:val="0049423B"/>
    <w:rsid w:val="00494655"/>
    <w:rsid w:val="00494AC5"/>
    <w:rsid w:val="00495118"/>
    <w:rsid w:val="00495917"/>
    <w:rsid w:val="004961F4"/>
    <w:rsid w:val="00496455"/>
    <w:rsid w:val="004965DB"/>
    <w:rsid w:val="00497076"/>
    <w:rsid w:val="00497481"/>
    <w:rsid w:val="0049780D"/>
    <w:rsid w:val="00497D63"/>
    <w:rsid w:val="004A00BC"/>
    <w:rsid w:val="004A0197"/>
    <w:rsid w:val="004A01A6"/>
    <w:rsid w:val="004A03D9"/>
    <w:rsid w:val="004A03FA"/>
    <w:rsid w:val="004A066C"/>
    <w:rsid w:val="004A0D7F"/>
    <w:rsid w:val="004A0DF4"/>
    <w:rsid w:val="004A0E57"/>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F2B"/>
    <w:rsid w:val="004B2A85"/>
    <w:rsid w:val="004B2AD8"/>
    <w:rsid w:val="004B2CFB"/>
    <w:rsid w:val="004B3166"/>
    <w:rsid w:val="004B33AB"/>
    <w:rsid w:val="004B356F"/>
    <w:rsid w:val="004B3644"/>
    <w:rsid w:val="004B378F"/>
    <w:rsid w:val="004B393A"/>
    <w:rsid w:val="004B3D05"/>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2D"/>
    <w:rsid w:val="004B75DA"/>
    <w:rsid w:val="004B7AE2"/>
    <w:rsid w:val="004B7B0D"/>
    <w:rsid w:val="004B7F10"/>
    <w:rsid w:val="004C03B8"/>
    <w:rsid w:val="004C08DF"/>
    <w:rsid w:val="004C0934"/>
    <w:rsid w:val="004C0A67"/>
    <w:rsid w:val="004C0D3B"/>
    <w:rsid w:val="004C12C3"/>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AA"/>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1E"/>
    <w:rsid w:val="004E1855"/>
    <w:rsid w:val="004E22D5"/>
    <w:rsid w:val="004E295E"/>
    <w:rsid w:val="004E36E2"/>
    <w:rsid w:val="004E3C56"/>
    <w:rsid w:val="004E3FF2"/>
    <w:rsid w:val="004E5242"/>
    <w:rsid w:val="004E546A"/>
    <w:rsid w:val="004E5811"/>
    <w:rsid w:val="004E5D89"/>
    <w:rsid w:val="004E6043"/>
    <w:rsid w:val="004E6372"/>
    <w:rsid w:val="004E681F"/>
    <w:rsid w:val="004E6824"/>
    <w:rsid w:val="004E6DE1"/>
    <w:rsid w:val="004E7242"/>
    <w:rsid w:val="004E758D"/>
    <w:rsid w:val="004E7678"/>
    <w:rsid w:val="004E76D6"/>
    <w:rsid w:val="004E77DD"/>
    <w:rsid w:val="004E7886"/>
    <w:rsid w:val="004E7B1D"/>
    <w:rsid w:val="004F077B"/>
    <w:rsid w:val="004F0B77"/>
    <w:rsid w:val="004F0CC8"/>
    <w:rsid w:val="004F130D"/>
    <w:rsid w:val="004F13E0"/>
    <w:rsid w:val="004F1496"/>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0B4"/>
    <w:rsid w:val="004F573C"/>
    <w:rsid w:val="004F5779"/>
    <w:rsid w:val="004F5793"/>
    <w:rsid w:val="004F594E"/>
    <w:rsid w:val="004F5B03"/>
    <w:rsid w:val="004F611D"/>
    <w:rsid w:val="004F656F"/>
    <w:rsid w:val="004F677C"/>
    <w:rsid w:val="004F6FC4"/>
    <w:rsid w:val="004F6FF9"/>
    <w:rsid w:val="004F7666"/>
    <w:rsid w:val="004F77AF"/>
    <w:rsid w:val="004F7D4D"/>
    <w:rsid w:val="004F7F2F"/>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4060"/>
    <w:rsid w:val="00504360"/>
    <w:rsid w:val="005045A1"/>
    <w:rsid w:val="00504FEF"/>
    <w:rsid w:val="00505CCD"/>
    <w:rsid w:val="00505DA9"/>
    <w:rsid w:val="00505E6E"/>
    <w:rsid w:val="005061F3"/>
    <w:rsid w:val="005069D8"/>
    <w:rsid w:val="00506A78"/>
    <w:rsid w:val="00506C7D"/>
    <w:rsid w:val="005074F1"/>
    <w:rsid w:val="005075BA"/>
    <w:rsid w:val="00507C88"/>
    <w:rsid w:val="005101DB"/>
    <w:rsid w:val="00510575"/>
    <w:rsid w:val="00510A35"/>
    <w:rsid w:val="005113D4"/>
    <w:rsid w:val="0051147C"/>
    <w:rsid w:val="0051153C"/>
    <w:rsid w:val="00511C47"/>
    <w:rsid w:val="00511FFE"/>
    <w:rsid w:val="00512D11"/>
    <w:rsid w:val="00512F1D"/>
    <w:rsid w:val="00512FEE"/>
    <w:rsid w:val="005132AA"/>
    <w:rsid w:val="0051363A"/>
    <w:rsid w:val="00513892"/>
    <w:rsid w:val="00513D37"/>
    <w:rsid w:val="00513DBC"/>
    <w:rsid w:val="00513F90"/>
    <w:rsid w:val="0051439D"/>
    <w:rsid w:val="00514664"/>
    <w:rsid w:val="00514FBA"/>
    <w:rsid w:val="0051544B"/>
    <w:rsid w:val="00515519"/>
    <w:rsid w:val="00515646"/>
    <w:rsid w:val="00515AA5"/>
    <w:rsid w:val="00515D51"/>
    <w:rsid w:val="0051668F"/>
    <w:rsid w:val="005166EE"/>
    <w:rsid w:val="00517571"/>
    <w:rsid w:val="00517687"/>
    <w:rsid w:val="005178AE"/>
    <w:rsid w:val="00517CBA"/>
    <w:rsid w:val="005206C1"/>
    <w:rsid w:val="00520A84"/>
    <w:rsid w:val="00520FB6"/>
    <w:rsid w:val="00521269"/>
    <w:rsid w:val="0052139F"/>
    <w:rsid w:val="00521442"/>
    <w:rsid w:val="00521997"/>
    <w:rsid w:val="00521C01"/>
    <w:rsid w:val="00521D6D"/>
    <w:rsid w:val="00521D87"/>
    <w:rsid w:val="005221B8"/>
    <w:rsid w:val="00522680"/>
    <w:rsid w:val="005227C3"/>
    <w:rsid w:val="00522CB7"/>
    <w:rsid w:val="005230F3"/>
    <w:rsid w:val="00523400"/>
    <w:rsid w:val="005237AF"/>
    <w:rsid w:val="005239A5"/>
    <w:rsid w:val="00523ECD"/>
    <w:rsid w:val="00524397"/>
    <w:rsid w:val="005244CC"/>
    <w:rsid w:val="00524646"/>
    <w:rsid w:val="00524852"/>
    <w:rsid w:val="00524B6F"/>
    <w:rsid w:val="005254B5"/>
    <w:rsid w:val="00525765"/>
    <w:rsid w:val="00525945"/>
    <w:rsid w:val="00525C10"/>
    <w:rsid w:val="00526B3A"/>
    <w:rsid w:val="00526FFE"/>
    <w:rsid w:val="0052705D"/>
    <w:rsid w:val="0052708F"/>
    <w:rsid w:val="005270BF"/>
    <w:rsid w:val="00527F8F"/>
    <w:rsid w:val="005304CB"/>
    <w:rsid w:val="00530D34"/>
    <w:rsid w:val="00531508"/>
    <w:rsid w:val="0053197B"/>
    <w:rsid w:val="00531A84"/>
    <w:rsid w:val="00531C94"/>
    <w:rsid w:val="00531F23"/>
    <w:rsid w:val="00532818"/>
    <w:rsid w:val="00534239"/>
    <w:rsid w:val="005345D8"/>
    <w:rsid w:val="005349B4"/>
    <w:rsid w:val="005349D6"/>
    <w:rsid w:val="005349F6"/>
    <w:rsid w:val="00534A63"/>
    <w:rsid w:val="00534CF9"/>
    <w:rsid w:val="00535437"/>
    <w:rsid w:val="005354B8"/>
    <w:rsid w:val="005357C7"/>
    <w:rsid w:val="005359D7"/>
    <w:rsid w:val="00535AA5"/>
    <w:rsid w:val="00536023"/>
    <w:rsid w:val="00536914"/>
    <w:rsid w:val="00536EE0"/>
    <w:rsid w:val="00536FD4"/>
    <w:rsid w:val="0053727B"/>
    <w:rsid w:val="005377E0"/>
    <w:rsid w:val="0053795B"/>
    <w:rsid w:val="00537CF2"/>
    <w:rsid w:val="00537E38"/>
    <w:rsid w:val="00537F5F"/>
    <w:rsid w:val="005402E6"/>
    <w:rsid w:val="005402F0"/>
    <w:rsid w:val="00540428"/>
    <w:rsid w:val="0054048B"/>
    <w:rsid w:val="0054060C"/>
    <w:rsid w:val="00540AAE"/>
    <w:rsid w:val="00540AE8"/>
    <w:rsid w:val="00540B00"/>
    <w:rsid w:val="00540C10"/>
    <w:rsid w:val="00540DA5"/>
    <w:rsid w:val="00540E6F"/>
    <w:rsid w:val="00540F84"/>
    <w:rsid w:val="00541844"/>
    <w:rsid w:val="00541851"/>
    <w:rsid w:val="00541A81"/>
    <w:rsid w:val="00541CE6"/>
    <w:rsid w:val="00541D19"/>
    <w:rsid w:val="00541D2B"/>
    <w:rsid w:val="00541DE4"/>
    <w:rsid w:val="00542012"/>
    <w:rsid w:val="005425F9"/>
    <w:rsid w:val="00542E96"/>
    <w:rsid w:val="00542F32"/>
    <w:rsid w:val="005430F9"/>
    <w:rsid w:val="00543741"/>
    <w:rsid w:val="00543785"/>
    <w:rsid w:val="00543D62"/>
    <w:rsid w:val="0054409E"/>
    <w:rsid w:val="00544584"/>
    <w:rsid w:val="0054482D"/>
    <w:rsid w:val="00544AE8"/>
    <w:rsid w:val="00544CD3"/>
    <w:rsid w:val="00544EBA"/>
    <w:rsid w:val="005450D1"/>
    <w:rsid w:val="00545175"/>
    <w:rsid w:val="005455AC"/>
    <w:rsid w:val="00545614"/>
    <w:rsid w:val="00546459"/>
    <w:rsid w:val="00546699"/>
    <w:rsid w:val="00546E18"/>
    <w:rsid w:val="00547060"/>
    <w:rsid w:val="00547874"/>
    <w:rsid w:val="005502DC"/>
    <w:rsid w:val="0055049C"/>
    <w:rsid w:val="00550B17"/>
    <w:rsid w:val="00550B24"/>
    <w:rsid w:val="005514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1373"/>
    <w:rsid w:val="00561A59"/>
    <w:rsid w:val="00561CDA"/>
    <w:rsid w:val="00561ED1"/>
    <w:rsid w:val="00562C03"/>
    <w:rsid w:val="00562EB9"/>
    <w:rsid w:val="005636F0"/>
    <w:rsid w:val="00563D96"/>
    <w:rsid w:val="00563F1D"/>
    <w:rsid w:val="00564225"/>
    <w:rsid w:val="00565916"/>
    <w:rsid w:val="00565E1D"/>
    <w:rsid w:val="00565E62"/>
    <w:rsid w:val="00566092"/>
    <w:rsid w:val="005666C9"/>
    <w:rsid w:val="00566A29"/>
    <w:rsid w:val="00566B55"/>
    <w:rsid w:val="00566E3F"/>
    <w:rsid w:val="00566FA5"/>
    <w:rsid w:val="00566FC3"/>
    <w:rsid w:val="0056753C"/>
    <w:rsid w:val="00567A81"/>
    <w:rsid w:val="005700CD"/>
    <w:rsid w:val="00570B24"/>
    <w:rsid w:val="00570E24"/>
    <w:rsid w:val="00570E47"/>
    <w:rsid w:val="00570F1C"/>
    <w:rsid w:val="0057140E"/>
    <w:rsid w:val="00571DBF"/>
    <w:rsid w:val="005721C6"/>
    <w:rsid w:val="005725B7"/>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5FE4"/>
    <w:rsid w:val="005767D8"/>
    <w:rsid w:val="00576F76"/>
    <w:rsid w:val="00577014"/>
    <w:rsid w:val="0057777C"/>
    <w:rsid w:val="005777FC"/>
    <w:rsid w:val="00577B63"/>
    <w:rsid w:val="005800F2"/>
    <w:rsid w:val="005806F1"/>
    <w:rsid w:val="00580820"/>
    <w:rsid w:val="00580AFD"/>
    <w:rsid w:val="00580EFF"/>
    <w:rsid w:val="0058191C"/>
    <w:rsid w:val="0058229E"/>
    <w:rsid w:val="005828EE"/>
    <w:rsid w:val="00582ADB"/>
    <w:rsid w:val="00582B72"/>
    <w:rsid w:val="005830F8"/>
    <w:rsid w:val="0058342A"/>
    <w:rsid w:val="0058357D"/>
    <w:rsid w:val="00583736"/>
    <w:rsid w:val="00583C7B"/>
    <w:rsid w:val="00583F80"/>
    <w:rsid w:val="005842F9"/>
    <w:rsid w:val="00584313"/>
    <w:rsid w:val="00584A61"/>
    <w:rsid w:val="00584AB1"/>
    <w:rsid w:val="00585590"/>
    <w:rsid w:val="00585707"/>
    <w:rsid w:val="00585988"/>
    <w:rsid w:val="00586098"/>
    <w:rsid w:val="00586233"/>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E7C"/>
    <w:rsid w:val="0059119E"/>
    <w:rsid w:val="00591303"/>
    <w:rsid w:val="00591C01"/>
    <w:rsid w:val="00592940"/>
    <w:rsid w:val="00592C26"/>
    <w:rsid w:val="00592CB1"/>
    <w:rsid w:val="00593AF9"/>
    <w:rsid w:val="00594396"/>
    <w:rsid w:val="0059463B"/>
    <w:rsid w:val="00594B07"/>
    <w:rsid w:val="00594C15"/>
    <w:rsid w:val="00594D65"/>
    <w:rsid w:val="005951B3"/>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1E71"/>
    <w:rsid w:val="005A2097"/>
    <w:rsid w:val="005A23F7"/>
    <w:rsid w:val="005A2A95"/>
    <w:rsid w:val="005A2B02"/>
    <w:rsid w:val="005A2C06"/>
    <w:rsid w:val="005A337F"/>
    <w:rsid w:val="005A3BD2"/>
    <w:rsid w:val="005A444D"/>
    <w:rsid w:val="005A4AAA"/>
    <w:rsid w:val="005A4C3E"/>
    <w:rsid w:val="005A581E"/>
    <w:rsid w:val="005A5AF0"/>
    <w:rsid w:val="005A5B91"/>
    <w:rsid w:val="005A5FE1"/>
    <w:rsid w:val="005A61B9"/>
    <w:rsid w:val="005A677E"/>
    <w:rsid w:val="005A697C"/>
    <w:rsid w:val="005A7091"/>
    <w:rsid w:val="005A70EE"/>
    <w:rsid w:val="005A7421"/>
    <w:rsid w:val="005A7C6E"/>
    <w:rsid w:val="005B083D"/>
    <w:rsid w:val="005B0C78"/>
    <w:rsid w:val="005B176E"/>
    <w:rsid w:val="005B18BF"/>
    <w:rsid w:val="005B235D"/>
    <w:rsid w:val="005B2515"/>
    <w:rsid w:val="005B2866"/>
    <w:rsid w:val="005B2A14"/>
    <w:rsid w:val="005B2D34"/>
    <w:rsid w:val="005B2EF2"/>
    <w:rsid w:val="005B3146"/>
    <w:rsid w:val="005B31C4"/>
    <w:rsid w:val="005B325E"/>
    <w:rsid w:val="005B3370"/>
    <w:rsid w:val="005B3490"/>
    <w:rsid w:val="005B3B82"/>
    <w:rsid w:val="005B3BE8"/>
    <w:rsid w:val="005B3C78"/>
    <w:rsid w:val="005B3E1E"/>
    <w:rsid w:val="005B406E"/>
    <w:rsid w:val="005B46CB"/>
    <w:rsid w:val="005B4B7F"/>
    <w:rsid w:val="005B4C69"/>
    <w:rsid w:val="005B51B8"/>
    <w:rsid w:val="005B549A"/>
    <w:rsid w:val="005B6099"/>
    <w:rsid w:val="005B60AA"/>
    <w:rsid w:val="005B694D"/>
    <w:rsid w:val="005B6DD2"/>
    <w:rsid w:val="005B776C"/>
    <w:rsid w:val="005B77A0"/>
    <w:rsid w:val="005B7BD7"/>
    <w:rsid w:val="005B7D2C"/>
    <w:rsid w:val="005B7EE3"/>
    <w:rsid w:val="005B7F18"/>
    <w:rsid w:val="005C0023"/>
    <w:rsid w:val="005C0488"/>
    <w:rsid w:val="005C0E08"/>
    <w:rsid w:val="005C1C73"/>
    <w:rsid w:val="005C2767"/>
    <w:rsid w:val="005C2938"/>
    <w:rsid w:val="005C343E"/>
    <w:rsid w:val="005C384E"/>
    <w:rsid w:val="005C3C17"/>
    <w:rsid w:val="005C3DFA"/>
    <w:rsid w:val="005C4013"/>
    <w:rsid w:val="005C4540"/>
    <w:rsid w:val="005C4660"/>
    <w:rsid w:val="005C4C4E"/>
    <w:rsid w:val="005C519E"/>
    <w:rsid w:val="005C53A5"/>
    <w:rsid w:val="005C5519"/>
    <w:rsid w:val="005C5592"/>
    <w:rsid w:val="005C569F"/>
    <w:rsid w:val="005C58BD"/>
    <w:rsid w:val="005C5AB3"/>
    <w:rsid w:val="005C5CB7"/>
    <w:rsid w:val="005C6450"/>
    <w:rsid w:val="005C64D2"/>
    <w:rsid w:val="005C6679"/>
    <w:rsid w:val="005C6AB4"/>
    <w:rsid w:val="005C6B8D"/>
    <w:rsid w:val="005C73B4"/>
    <w:rsid w:val="005C7563"/>
    <w:rsid w:val="005C7763"/>
    <w:rsid w:val="005C7A22"/>
    <w:rsid w:val="005C7BF3"/>
    <w:rsid w:val="005C7CB4"/>
    <w:rsid w:val="005D0959"/>
    <w:rsid w:val="005D0E33"/>
    <w:rsid w:val="005D1D8E"/>
    <w:rsid w:val="005D1FF0"/>
    <w:rsid w:val="005D2569"/>
    <w:rsid w:val="005D2900"/>
    <w:rsid w:val="005D2C43"/>
    <w:rsid w:val="005D2CE0"/>
    <w:rsid w:val="005D2D7A"/>
    <w:rsid w:val="005D3398"/>
    <w:rsid w:val="005D3ACB"/>
    <w:rsid w:val="005D3B22"/>
    <w:rsid w:val="005D3CA1"/>
    <w:rsid w:val="005D3DA6"/>
    <w:rsid w:val="005D3FBC"/>
    <w:rsid w:val="005D40C0"/>
    <w:rsid w:val="005D40D2"/>
    <w:rsid w:val="005D449A"/>
    <w:rsid w:val="005D4811"/>
    <w:rsid w:val="005D499B"/>
    <w:rsid w:val="005D4E51"/>
    <w:rsid w:val="005D529E"/>
    <w:rsid w:val="005D5691"/>
    <w:rsid w:val="005D571B"/>
    <w:rsid w:val="005D5EE9"/>
    <w:rsid w:val="005D6492"/>
    <w:rsid w:val="005D66A4"/>
    <w:rsid w:val="005D6B25"/>
    <w:rsid w:val="005D7189"/>
    <w:rsid w:val="005D782A"/>
    <w:rsid w:val="005E0755"/>
    <w:rsid w:val="005E0823"/>
    <w:rsid w:val="005E0F1F"/>
    <w:rsid w:val="005E0F43"/>
    <w:rsid w:val="005E135B"/>
    <w:rsid w:val="005E1BB1"/>
    <w:rsid w:val="005E1F24"/>
    <w:rsid w:val="005E205B"/>
    <w:rsid w:val="005E293D"/>
    <w:rsid w:val="005E2E3C"/>
    <w:rsid w:val="005E3716"/>
    <w:rsid w:val="005E3FF5"/>
    <w:rsid w:val="005E4215"/>
    <w:rsid w:val="005E44FB"/>
    <w:rsid w:val="005E4625"/>
    <w:rsid w:val="005E48A5"/>
    <w:rsid w:val="005E4BD6"/>
    <w:rsid w:val="005E4FA2"/>
    <w:rsid w:val="005E5576"/>
    <w:rsid w:val="005E58CC"/>
    <w:rsid w:val="005E6242"/>
    <w:rsid w:val="005E677D"/>
    <w:rsid w:val="005E7240"/>
    <w:rsid w:val="005E72A2"/>
    <w:rsid w:val="005E736A"/>
    <w:rsid w:val="005E78A8"/>
    <w:rsid w:val="005E7BB1"/>
    <w:rsid w:val="005E7C1C"/>
    <w:rsid w:val="005F026E"/>
    <w:rsid w:val="005F028F"/>
    <w:rsid w:val="005F0340"/>
    <w:rsid w:val="005F054A"/>
    <w:rsid w:val="005F0696"/>
    <w:rsid w:val="005F0BB0"/>
    <w:rsid w:val="005F0CE3"/>
    <w:rsid w:val="005F0DA9"/>
    <w:rsid w:val="005F0F47"/>
    <w:rsid w:val="005F1632"/>
    <w:rsid w:val="005F199C"/>
    <w:rsid w:val="005F2709"/>
    <w:rsid w:val="005F2B52"/>
    <w:rsid w:val="005F3095"/>
    <w:rsid w:val="005F39B1"/>
    <w:rsid w:val="005F3AEE"/>
    <w:rsid w:val="005F3C78"/>
    <w:rsid w:val="005F4A08"/>
    <w:rsid w:val="005F4E34"/>
    <w:rsid w:val="005F524F"/>
    <w:rsid w:val="005F6029"/>
    <w:rsid w:val="005F60E7"/>
    <w:rsid w:val="005F6717"/>
    <w:rsid w:val="005F6A3B"/>
    <w:rsid w:val="005F7732"/>
    <w:rsid w:val="0060018E"/>
    <w:rsid w:val="006006A0"/>
    <w:rsid w:val="006007BB"/>
    <w:rsid w:val="00600903"/>
    <w:rsid w:val="00600C64"/>
    <w:rsid w:val="00600C74"/>
    <w:rsid w:val="00600F73"/>
    <w:rsid w:val="00600F81"/>
    <w:rsid w:val="0060131A"/>
    <w:rsid w:val="00601402"/>
    <w:rsid w:val="006016CA"/>
    <w:rsid w:val="00601E05"/>
    <w:rsid w:val="00601F82"/>
    <w:rsid w:val="0060270F"/>
    <w:rsid w:val="00602726"/>
    <w:rsid w:val="00602F14"/>
    <w:rsid w:val="00603D3E"/>
    <w:rsid w:val="006040C8"/>
    <w:rsid w:val="006042B5"/>
    <w:rsid w:val="0060430E"/>
    <w:rsid w:val="00604523"/>
    <w:rsid w:val="006046E6"/>
    <w:rsid w:val="00604916"/>
    <w:rsid w:val="00604973"/>
    <w:rsid w:val="006049AC"/>
    <w:rsid w:val="00604DEA"/>
    <w:rsid w:val="00604E30"/>
    <w:rsid w:val="006052D6"/>
    <w:rsid w:val="00605366"/>
    <w:rsid w:val="006061E5"/>
    <w:rsid w:val="006061F2"/>
    <w:rsid w:val="006063BA"/>
    <w:rsid w:val="00606867"/>
    <w:rsid w:val="0060721D"/>
    <w:rsid w:val="0060754E"/>
    <w:rsid w:val="00607836"/>
    <w:rsid w:val="00610438"/>
    <w:rsid w:val="0061099C"/>
    <w:rsid w:val="00611B56"/>
    <w:rsid w:val="0061201C"/>
    <w:rsid w:val="00612964"/>
    <w:rsid w:val="0061338C"/>
    <w:rsid w:val="0061339E"/>
    <w:rsid w:val="00613531"/>
    <w:rsid w:val="006136E7"/>
    <w:rsid w:val="00613A0F"/>
    <w:rsid w:val="00613BA9"/>
    <w:rsid w:val="00613F63"/>
    <w:rsid w:val="00614265"/>
    <w:rsid w:val="00614372"/>
    <w:rsid w:val="006144D8"/>
    <w:rsid w:val="0061494F"/>
    <w:rsid w:val="00615002"/>
    <w:rsid w:val="00615EBF"/>
    <w:rsid w:val="0061696E"/>
    <w:rsid w:val="00616A99"/>
    <w:rsid w:val="00617147"/>
    <w:rsid w:val="00617A02"/>
    <w:rsid w:val="00617A14"/>
    <w:rsid w:val="00617BD0"/>
    <w:rsid w:val="006204D9"/>
    <w:rsid w:val="00620C13"/>
    <w:rsid w:val="00620C1C"/>
    <w:rsid w:val="00620C25"/>
    <w:rsid w:val="00620DA8"/>
    <w:rsid w:val="006213A0"/>
    <w:rsid w:val="0062166B"/>
    <w:rsid w:val="0062193A"/>
    <w:rsid w:val="00621C65"/>
    <w:rsid w:val="00622201"/>
    <w:rsid w:val="006223DB"/>
    <w:rsid w:val="006229E7"/>
    <w:rsid w:val="00622CAF"/>
    <w:rsid w:val="00623588"/>
    <w:rsid w:val="00623BAA"/>
    <w:rsid w:val="00623BBC"/>
    <w:rsid w:val="00623F83"/>
    <w:rsid w:val="006248E4"/>
    <w:rsid w:val="00624F68"/>
    <w:rsid w:val="00625040"/>
    <w:rsid w:val="006263E0"/>
    <w:rsid w:val="00627042"/>
    <w:rsid w:val="006273C4"/>
    <w:rsid w:val="00627702"/>
    <w:rsid w:val="00627D5C"/>
    <w:rsid w:val="00627D77"/>
    <w:rsid w:val="00630249"/>
    <w:rsid w:val="006302F0"/>
    <w:rsid w:val="00630482"/>
    <w:rsid w:val="0063075A"/>
    <w:rsid w:val="00630CAF"/>
    <w:rsid w:val="00631A32"/>
    <w:rsid w:val="00631E57"/>
    <w:rsid w:val="00632A67"/>
    <w:rsid w:val="00632D1B"/>
    <w:rsid w:val="006332F7"/>
    <w:rsid w:val="00633C06"/>
    <w:rsid w:val="00633C82"/>
    <w:rsid w:val="0063439B"/>
    <w:rsid w:val="0063503E"/>
    <w:rsid w:val="006350EE"/>
    <w:rsid w:val="006352E4"/>
    <w:rsid w:val="00635446"/>
    <w:rsid w:val="00635774"/>
    <w:rsid w:val="00635BA4"/>
    <w:rsid w:val="00635CFC"/>
    <w:rsid w:val="006362B6"/>
    <w:rsid w:val="00636612"/>
    <w:rsid w:val="00637572"/>
    <w:rsid w:val="0063793E"/>
    <w:rsid w:val="00637D77"/>
    <w:rsid w:val="00641078"/>
    <w:rsid w:val="0064128F"/>
    <w:rsid w:val="00641417"/>
    <w:rsid w:val="0064182B"/>
    <w:rsid w:val="00641AA7"/>
    <w:rsid w:val="00641BFE"/>
    <w:rsid w:val="00641D7F"/>
    <w:rsid w:val="00641E64"/>
    <w:rsid w:val="00642C6B"/>
    <w:rsid w:val="00642E9A"/>
    <w:rsid w:val="00643692"/>
    <w:rsid w:val="00643907"/>
    <w:rsid w:val="00643B87"/>
    <w:rsid w:val="00643C8B"/>
    <w:rsid w:val="00643D13"/>
    <w:rsid w:val="006449EC"/>
    <w:rsid w:val="00644F55"/>
    <w:rsid w:val="006451A1"/>
    <w:rsid w:val="006457C0"/>
    <w:rsid w:val="00645B62"/>
    <w:rsid w:val="00645C8D"/>
    <w:rsid w:val="00645FF5"/>
    <w:rsid w:val="00646358"/>
    <w:rsid w:val="0064644A"/>
    <w:rsid w:val="006469DA"/>
    <w:rsid w:val="00646A5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872"/>
    <w:rsid w:val="00655A0B"/>
    <w:rsid w:val="00655B58"/>
    <w:rsid w:val="00655E28"/>
    <w:rsid w:val="00656116"/>
    <w:rsid w:val="00656562"/>
    <w:rsid w:val="00656B8A"/>
    <w:rsid w:val="00656E4A"/>
    <w:rsid w:val="00657043"/>
    <w:rsid w:val="00657305"/>
    <w:rsid w:val="00657526"/>
    <w:rsid w:val="00657534"/>
    <w:rsid w:val="00657933"/>
    <w:rsid w:val="00657AFD"/>
    <w:rsid w:val="00660512"/>
    <w:rsid w:val="0066073B"/>
    <w:rsid w:val="00660B69"/>
    <w:rsid w:val="00660C61"/>
    <w:rsid w:val="00661105"/>
    <w:rsid w:val="006613F3"/>
    <w:rsid w:val="00661971"/>
    <w:rsid w:val="00661B09"/>
    <w:rsid w:val="00661BB2"/>
    <w:rsid w:val="00661F04"/>
    <w:rsid w:val="0066223C"/>
    <w:rsid w:val="00662248"/>
    <w:rsid w:val="00662684"/>
    <w:rsid w:val="00662DD2"/>
    <w:rsid w:val="00662F27"/>
    <w:rsid w:val="00663573"/>
    <w:rsid w:val="0066377F"/>
    <w:rsid w:val="006639BD"/>
    <w:rsid w:val="00664060"/>
    <w:rsid w:val="00664078"/>
    <w:rsid w:val="00664AA8"/>
    <w:rsid w:val="00664E13"/>
    <w:rsid w:val="00665352"/>
    <w:rsid w:val="00665536"/>
    <w:rsid w:val="00665873"/>
    <w:rsid w:val="006665F1"/>
    <w:rsid w:val="006668F1"/>
    <w:rsid w:val="00666D19"/>
    <w:rsid w:val="00666FD4"/>
    <w:rsid w:val="00667035"/>
    <w:rsid w:val="00667515"/>
    <w:rsid w:val="006676D8"/>
    <w:rsid w:val="006676F5"/>
    <w:rsid w:val="00667F7C"/>
    <w:rsid w:val="00670651"/>
    <w:rsid w:val="00670754"/>
    <w:rsid w:val="006709A0"/>
    <w:rsid w:val="00670C56"/>
    <w:rsid w:val="00671898"/>
    <w:rsid w:val="006718AE"/>
    <w:rsid w:val="00671C9C"/>
    <w:rsid w:val="00672109"/>
    <w:rsid w:val="00672BB2"/>
    <w:rsid w:val="00673156"/>
    <w:rsid w:val="0067316D"/>
    <w:rsid w:val="00673790"/>
    <w:rsid w:val="0067380D"/>
    <w:rsid w:val="00673880"/>
    <w:rsid w:val="00673F15"/>
    <w:rsid w:val="00674120"/>
    <w:rsid w:val="006744A9"/>
    <w:rsid w:val="0067459F"/>
    <w:rsid w:val="006747A4"/>
    <w:rsid w:val="00674DF2"/>
    <w:rsid w:val="00675048"/>
    <w:rsid w:val="00675942"/>
    <w:rsid w:val="00675CCC"/>
    <w:rsid w:val="00676364"/>
    <w:rsid w:val="0067654E"/>
    <w:rsid w:val="006766BE"/>
    <w:rsid w:val="006768CD"/>
    <w:rsid w:val="006774CA"/>
    <w:rsid w:val="006774E5"/>
    <w:rsid w:val="006777E0"/>
    <w:rsid w:val="00677AA1"/>
    <w:rsid w:val="00677BA6"/>
    <w:rsid w:val="00677E5D"/>
    <w:rsid w:val="00677F05"/>
    <w:rsid w:val="0068025C"/>
    <w:rsid w:val="006803F2"/>
    <w:rsid w:val="0068064C"/>
    <w:rsid w:val="006809FA"/>
    <w:rsid w:val="00680D5C"/>
    <w:rsid w:val="00680E32"/>
    <w:rsid w:val="0068111C"/>
    <w:rsid w:val="006819BE"/>
    <w:rsid w:val="00681BCB"/>
    <w:rsid w:val="00681EF6"/>
    <w:rsid w:val="006820C5"/>
    <w:rsid w:val="006822C6"/>
    <w:rsid w:val="00682B7E"/>
    <w:rsid w:val="00682C1E"/>
    <w:rsid w:val="006830BC"/>
    <w:rsid w:val="00683146"/>
    <w:rsid w:val="0068376C"/>
    <w:rsid w:val="00683A54"/>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C8C"/>
    <w:rsid w:val="00690452"/>
    <w:rsid w:val="006909C1"/>
    <w:rsid w:val="00690F29"/>
    <w:rsid w:val="00691324"/>
    <w:rsid w:val="00692287"/>
    <w:rsid w:val="00692289"/>
    <w:rsid w:val="00692919"/>
    <w:rsid w:val="006929EB"/>
    <w:rsid w:val="00692E9E"/>
    <w:rsid w:val="00693145"/>
    <w:rsid w:val="006933DB"/>
    <w:rsid w:val="00693590"/>
    <w:rsid w:val="00693809"/>
    <w:rsid w:val="00693824"/>
    <w:rsid w:val="006939D0"/>
    <w:rsid w:val="00693A72"/>
    <w:rsid w:val="00693E0E"/>
    <w:rsid w:val="00693E19"/>
    <w:rsid w:val="00693EA6"/>
    <w:rsid w:val="00694123"/>
    <w:rsid w:val="0069416D"/>
    <w:rsid w:val="0069435A"/>
    <w:rsid w:val="006945FC"/>
    <w:rsid w:val="0069461E"/>
    <w:rsid w:val="00694BC3"/>
    <w:rsid w:val="00694CBC"/>
    <w:rsid w:val="00694D7D"/>
    <w:rsid w:val="00694EAA"/>
    <w:rsid w:val="00694F8D"/>
    <w:rsid w:val="0069515B"/>
    <w:rsid w:val="006952A8"/>
    <w:rsid w:val="006956B6"/>
    <w:rsid w:val="0069586D"/>
    <w:rsid w:val="00696243"/>
    <w:rsid w:val="0069679A"/>
    <w:rsid w:val="00697067"/>
    <w:rsid w:val="00697331"/>
    <w:rsid w:val="006973FA"/>
    <w:rsid w:val="0069750A"/>
    <w:rsid w:val="0069760D"/>
    <w:rsid w:val="006A01D4"/>
    <w:rsid w:val="006A0549"/>
    <w:rsid w:val="006A0595"/>
    <w:rsid w:val="006A05CF"/>
    <w:rsid w:val="006A0C44"/>
    <w:rsid w:val="006A0F4F"/>
    <w:rsid w:val="006A11C6"/>
    <w:rsid w:val="006A15D5"/>
    <w:rsid w:val="006A16CE"/>
    <w:rsid w:val="006A1803"/>
    <w:rsid w:val="006A19B3"/>
    <w:rsid w:val="006A2E5B"/>
    <w:rsid w:val="006A2FE1"/>
    <w:rsid w:val="006A30D3"/>
    <w:rsid w:val="006A313E"/>
    <w:rsid w:val="006A3141"/>
    <w:rsid w:val="006A3712"/>
    <w:rsid w:val="006A3A59"/>
    <w:rsid w:val="006A434B"/>
    <w:rsid w:val="006A4455"/>
    <w:rsid w:val="006A44F5"/>
    <w:rsid w:val="006A4D39"/>
    <w:rsid w:val="006A4E70"/>
    <w:rsid w:val="006A50F8"/>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3E5"/>
    <w:rsid w:val="006B3635"/>
    <w:rsid w:val="006B3848"/>
    <w:rsid w:val="006B3ABF"/>
    <w:rsid w:val="006B3E64"/>
    <w:rsid w:val="006B4696"/>
    <w:rsid w:val="006B47F9"/>
    <w:rsid w:val="006B4F22"/>
    <w:rsid w:val="006B5AF5"/>
    <w:rsid w:val="006B5B2A"/>
    <w:rsid w:val="006B5BE5"/>
    <w:rsid w:val="006B6104"/>
    <w:rsid w:val="006B68BF"/>
    <w:rsid w:val="006B6A06"/>
    <w:rsid w:val="006B6D93"/>
    <w:rsid w:val="006B766F"/>
    <w:rsid w:val="006B7854"/>
    <w:rsid w:val="006B7A0E"/>
    <w:rsid w:val="006B7D6C"/>
    <w:rsid w:val="006C0006"/>
    <w:rsid w:val="006C06AD"/>
    <w:rsid w:val="006C0A28"/>
    <w:rsid w:val="006C0C3B"/>
    <w:rsid w:val="006C0E56"/>
    <w:rsid w:val="006C148F"/>
    <w:rsid w:val="006C184A"/>
    <w:rsid w:val="006C215C"/>
    <w:rsid w:val="006C2163"/>
    <w:rsid w:val="006C26BB"/>
    <w:rsid w:val="006C2B65"/>
    <w:rsid w:val="006C3605"/>
    <w:rsid w:val="006C3AE3"/>
    <w:rsid w:val="006C3E39"/>
    <w:rsid w:val="006C41A5"/>
    <w:rsid w:val="006C4564"/>
    <w:rsid w:val="006C47A0"/>
    <w:rsid w:val="006C47BA"/>
    <w:rsid w:val="006C4FE4"/>
    <w:rsid w:val="006C506E"/>
    <w:rsid w:val="006C5201"/>
    <w:rsid w:val="006C5B58"/>
    <w:rsid w:val="006C5E60"/>
    <w:rsid w:val="006C6315"/>
    <w:rsid w:val="006C6C53"/>
    <w:rsid w:val="006C6CB1"/>
    <w:rsid w:val="006C6D07"/>
    <w:rsid w:val="006C7098"/>
    <w:rsid w:val="006C7B1F"/>
    <w:rsid w:val="006D0147"/>
    <w:rsid w:val="006D0814"/>
    <w:rsid w:val="006D0C25"/>
    <w:rsid w:val="006D0ED0"/>
    <w:rsid w:val="006D1082"/>
    <w:rsid w:val="006D13A1"/>
    <w:rsid w:val="006D1434"/>
    <w:rsid w:val="006D15DC"/>
    <w:rsid w:val="006D1703"/>
    <w:rsid w:val="006D1C8E"/>
    <w:rsid w:val="006D1F9B"/>
    <w:rsid w:val="006D2437"/>
    <w:rsid w:val="006D294C"/>
    <w:rsid w:val="006D3292"/>
    <w:rsid w:val="006D34F7"/>
    <w:rsid w:val="006D38F2"/>
    <w:rsid w:val="006D4259"/>
    <w:rsid w:val="006D4512"/>
    <w:rsid w:val="006D49E2"/>
    <w:rsid w:val="006D4E02"/>
    <w:rsid w:val="006D5636"/>
    <w:rsid w:val="006D5B67"/>
    <w:rsid w:val="006D5CB3"/>
    <w:rsid w:val="006D6005"/>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1034"/>
    <w:rsid w:val="006E17C0"/>
    <w:rsid w:val="006E17F2"/>
    <w:rsid w:val="006E1AA5"/>
    <w:rsid w:val="006E1D49"/>
    <w:rsid w:val="006E1DD8"/>
    <w:rsid w:val="006E2201"/>
    <w:rsid w:val="006E2958"/>
    <w:rsid w:val="006E2C15"/>
    <w:rsid w:val="006E3384"/>
    <w:rsid w:val="006E388E"/>
    <w:rsid w:val="006E3D42"/>
    <w:rsid w:val="006E460F"/>
    <w:rsid w:val="006E4647"/>
    <w:rsid w:val="006E4BA6"/>
    <w:rsid w:val="006E4D4F"/>
    <w:rsid w:val="006E4DB8"/>
    <w:rsid w:val="006E513D"/>
    <w:rsid w:val="006E514B"/>
    <w:rsid w:val="006E53CC"/>
    <w:rsid w:val="006E554C"/>
    <w:rsid w:val="006E5C81"/>
    <w:rsid w:val="006E5DC5"/>
    <w:rsid w:val="006E5EF3"/>
    <w:rsid w:val="006E699D"/>
    <w:rsid w:val="006E6EB3"/>
    <w:rsid w:val="006E7266"/>
    <w:rsid w:val="006E7595"/>
    <w:rsid w:val="006E75D7"/>
    <w:rsid w:val="006F0789"/>
    <w:rsid w:val="006F1242"/>
    <w:rsid w:val="006F1257"/>
    <w:rsid w:val="006F1486"/>
    <w:rsid w:val="006F1FA4"/>
    <w:rsid w:val="006F24DF"/>
    <w:rsid w:val="006F2891"/>
    <w:rsid w:val="006F295D"/>
    <w:rsid w:val="006F3348"/>
    <w:rsid w:val="006F3B6A"/>
    <w:rsid w:val="006F3DC3"/>
    <w:rsid w:val="006F4B31"/>
    <w:rsid w:val="006F5919"/>
    <w:rsid w:val="006F5CC0"/>
    <w:rsid w:val="006F61C2"/>
    <w:rsid w:val="006F61F7"/>
    <w:rsid w:val="006F6800"/>
    <w:rsid w:val="006F6AD1"/>
    <w:rsid w:val="006F6DAD"/>
    <w:rsid w:val="006F6F86"/>
    <w:rsid w:val="006F71D9"/>
    <w:rsid w:val="006F7490"/>
    <w:rsid w:val="00700C05"/>
    <w:rsid w:val="00701241"/>
    <w:rsid w:val="007013CD"/>
    <w:rsid w:val="00701A0A"/>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051"/>
    <w:rsid w:val="007062AE"/>
    <w:rsid w:val="0070652F"/>
    <w:rsid w:val="00706631"/>
    <w:rsid w:val="0070669E"/>
    <w:rsid w:val="00707602"/>
    <w:rsid w:val="007076B0"/>
    <w:rsid w:val="0070774D"/>
    <w:rsid w:val="00707795"/>
    <w:rsid w:val="00707F73"/>
    <w:rsid w:val="00710296"/>
    <w:rsid w:val="00710310"/>
    <w:rsid w:val="00710955"/>
    <w:rsid w:val="00710AFD"/>
    <w:rsid w:val="00710BC9"/>
    <w:rsid w:val="00710C24"/>
    <w:rsid w:val="00710C49"/>
    <w:rsid w:val="00710CA7"/>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4B3E"/>
    <w:rsid w:val="007158E2"/>
    <w:rsid w:val="00715B72"/>
    <w:rsid w:val="00715F25"/>
    <w:rsid w:val="00716140"/>
    <w:rsid w:val="00716172"/>
    <w:rsid w:val="0071685E"/>
    <w:rsid w:val="00716B28"/>
    <w:rsid w:val="007172D0"/>
    <w:rsid w:val="0071741D"/>
    <w:rsid w:val="00717C23"/>
    <w:rsid w:val="00717CE1"/>
    <w:rsid w:val="00720D4E"/>
    <w:rsid w:val="007214B7"/>
    <w:rsid w:val="00721A54"/>
    <w:rsid w:val="00721D5A"/>
    <w:rsid w:val="00721DDB"/>
    <w:rsid w:val="00722054"/>
    <w:rsid w:val="007221C5"/>
    <w:rsid w:val="00722632"/>
    <w:rsid w:val="0072282C"/>
    <w:rsid w:val="00722BE6"/>
    <w:rsid w:val="00722D6F"/>
    <w:rsid w:val="00722E2E"/>
    <w:rsid w:val="00723459"/>
    <w:rsid w:val="00723AE1"/>
    <w:rsid w:val="00724019"/>
    <w:rsid w:val="007242BC"/>
    <w:rsid w:val="007244DF"/>
    <w:rsid w:val="007246F4"/>
    <w:rsid w:val="00725440"/>
    <w:rsid w:val="007254C6"/>
    <w:rsid w:val="007268AF"/>
    <w:rsid w:val="0072759B"/>
    <w:rsid w:val="007277F5"/>
    <w:rsid w:val="007278A5"/>
    <w:rsid w:val="00727996"/>
    <w:rsid w:val="00730030"/>
    <w:rsid w:val="00730B8A"/>
    <w:rsid w:val="00730DE1"/>
    <w:rsid w:val="0073116A"/>
    <w:rsid w:val="007322B8"/>
    <w:rsid w:val="007322CC"/>
    <w:rsid w:val="0073247F"/>
    <w:rsid w:val="0073278D"/>
    <w:rsid w:val="00732880"/>
    <w:rsid w:val="00732EF5"/>
    <w:rsid w:val="007333DF"/>
    <w:rsid w:val="007339AB"/>
    <w:rsid w:val="00733BE5"/>
    <w:rsid w:val="007355B5"/>
    <w:rsid w:val="007357ED"/>
    <w:rsid w:val="00735A76"/>
    <w:rsid w:val="00735B10"/>
    <w:rsid w:val="00735E4D"/>
    <w:rsid w:val="007363AA"/>
    <w:rsid w:val="00736CA2"/>
    <w:rsid w:val="00736DD7"/>
    <w:rsid w:val="007376CC"/>
    <w:rsid w:val="007376CF"/>
    <w:rsid w:val="00737861"/>
    <w:rsid w:val="00737E09"/>
    <w:rsid w:val="0074014C"/>
    <w:rsid w:val="0074048A"/>
    <w:rsid w:val="007407F6"/>
    <w:rsid w:val="00740BEF"/>
    <w:rsid w:val="00740E22"/>
    <w:rsid w:val="00741534"/>
    <w:rsid w:val="00741B45"/>
    <w:rsid w:val="00742021"/>
    <w:rsid w:val="00742308"/>
    <w:rsid w:val="007429E9"/>
    <w:rsid w:val="00742A2D"/>
    <w:rsid w:val="00742D84"/>
    <w:rsid w:val="00742F7F"/>
    <w:rsid w:val="007431DE"/>
    <w:rsid w:val="0074321B"/>
    <w:rsid w:val="00743288"/>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46E"/>
    <w:rsid w:val="007515B4"/>
    <w:rsid w:val="007517F7"/>
    <w:rsid w:val="00751832"/>
    <w:rsid w:val="00751A5B"/>
    <w:rsid w:val="007520BC"/>
    <w:rsid w:val="00752422"/>
    <w:rsid w:val="007524C6"/>
    <w:rsid w:val="007526C3"/>
    <w:rsid w:val="00752714"/>
    <w:rsid w:val="00753672"/>
    <w:rsid w:val="00753776"/>
    <w:rsid w:val="00753851"/>
    <w:rsid w:val="00753982"/>
    <w:rsid w:val="0075581D"/>
    <w:rsid w:val="00756313"/>
    <w:rsid w:val="00756779"/>
    <w:rsid w:val="00756AB5"/>
    <w:rsid w:val="00757046"/>
    <w:rsid w:val="00757194"/>
    <w:rsid w:val="00757285"/>
    <w:rsid w:val="00757460"/>
    <w:rsid w:val="0075787F"/>
    <w:rsid w:val="00757913"/>
    <w:rsid w:val="007579B7"/>
    <w:rsid w:val="00757A24"/>
    <w:rsid w:val="00757AE9"/>
    <w:rsid w:val="00757E84"/>
    <w:rsid w:val="00757FA5"/>
    <w:rsid w:val="00760363"/>
    <w:rsid w:val="0076038B"/>
    <w:rsid w:val="007606C0"/>
    <w:rsid w:val="00760B74"/>
    <w:rsid w:val="00761664"/>
    <w:rsid w:val="0076186F"/>
    <w:rsid w:val="00761D5C"/>
    <w:rsid w:val="00762009"/>
    <w:rsid w:val="00762182"/>
    <w:rsid w:val="007625BB"/>
    <w:rsid w:val="00762758"/>
    <w:rsid w:val="00763024"/>
    <w:rsid w:val="007634E1"/>
    <w:rsid w:val="0076357C"/>
    <w:rsid w:val="00764071"/>
    <w:rsid w:val="0076489B"/>
    <w:rsid w:val="00764D42"/>
    <w:rsid w:val="00764E53"/>
    <w:rsid w:val="00765059"/>
    <w:rsid w:val="0076515A"/>
    <w:rsid w:val="00765587"/>
    <w:rsid w:val="0076559D"/>
    <w:rsid w:val="00765697"/>
    <w:rsid w:val="0076579A"/>
    <w:rsid w:val="00766336"/>
    <w:rsid w:val="00766570"/>
    <w:rsid w:val="00766716"/>
    <w:rsid w:val="007668DF"/>
    <w:rsid w:val="00766B07"/>
    <w:rsid w:val="00766F58"/>
    <w:rsid w:val="00767C0A"/>
    <w:rsid w:val="00767C1E"/>
    <w:rsid w:val="00770145"/>
    <w:rsid w:val="00770A78"/>
    <w:rsid w:val="00770D05"/>
    <w:rsid w:val="00771066"/>
    <w:rsid w:val="00771BEA"/>
    <w:rsid w:val="00771E97"/>
    <w:rsid w:val="007725C7"/>
    <w:rsid w:val="00772D00"/>
    <w:rsid w:val="00772E1E"/>
    <w:rsid w:val="00773AB6"/>
    <w:rsid w:val="00774971"/>
    <w:rsid w:val="00774E5C"/>
    <w:rsid w:val="0077560E"/>
    <w:rsid w:val="0077585E"/>
    <w:rsid w:val="00775871"/>
    <w:rsid w:val="007765B2"/>
    <w:rsid w:val="0077691C"/>
    <w:rsid w:val="00776C29"/>
    <w:rsid w:val="00777334"/>
    <w:rsid w:val="00777909"/>
    <w:rsid w:val="0077797B"/>
    <w:rsid w:val="00777A21"/>
    <w:rsid w:val="00777B65"/>
    <w:rsid w:val="00777C28"/>
    <w:rsid w:val="00777E9A"/>
    <w:rsid w:val="0078122D"/>
    <w:rsid w:val="00781375"/>
    <w:rsid w:val="00781456"/>
    <w:rsid w:val="00781687"/>
    <w:rsid w:val="00781BD3"/>
    <w:rsid w:val="00781C73"/>
    <w:rsid w:val="00781DB7"/>
    <w:rsid w:val="00782516"/>
    <w:rsid w:val="0078291E"/>
    <w:rsid w:val="00783591"/>
    <w:rsid w:val="00783A9B"/>
    <w:rsid w:val="00783B2F"/>
    <w:rsid w:val="00784299"/>
    <w:rsid w:val="00784734"/>
    <w:rsid w:val="00784AD1"/>
    <w:rsid w:val="00785BA8"/>
    <w:rsid w:val="00785C7F"/>
    <w:rsid w:val="007863BD"/>
    <w:rsid w:val="0078674A"/>
    <w:rsid w:val="00786851"/>
    <w:rsid w:val="00786BBE"/>
    <w:rsid w:val="00786D18"/>
    <w:rsid w:val="007871EA"/>
    <w:rsid w:val="0078730B"/>
    <w:rsid w:val="00787462"/>
    <w:rsid w:val="0078753E"/>
    <w:rsid w:val="00787720"/>
    <w:rsid w:val="007878FF"/>
    <w:rsid w:val="00787A21"/>
    <w:rsid w:val="00787A92"/>
    <w:rsid w:val="00787C26"/>
    <w:rsid w:val="00787FD1"/>
    <w:rsid w:val="0079011E"/>
    <w:rsid w:val="00790621"/>
    <w:rsid w:val="007906D9"/>
    <w:rsid w:val="00790706"/>
    <w:rsid w:val="0079079A"/>
    <w:rsid w:val="007907C8"/>
    <w:rsid w:val="00790E84"/>
    <w:rsid w:val="0079177F"/>
    <w:rsid w:val="00791857"/>
    <w:rsid w:val="00791884"/>
    <w:rsid w:val="00791977"/>
    <w:rsid w:val="00791A1A"/>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252"/>
    <w:rsid w:val="007956DA"/>
    <w:rsid w:val="00795906"/>
    <w:rsid w:val="00795E1D"/>
    <w:rsid w:val="00795E2B"/>
    <w:rsid w:val="0079612A"/>
    <w:rsid w:val="00796455"/>
    <w:rsid w:val="0079666E"/>
    <w:rsid w:val="0079680F"/>
    <w:rsid w:val="0079746C"/>
    <w:rsid w:val="00797484"/>
    <w:rsid w:val="00797BD9"/>
    <w:rsid w:val="00797F0D"/>
    <w:rsid w:val="007A03C4"/>
    <w:rsid w:val="007A0752"/>
    <w:rsid w:val="007A084E"/>
    <w:rsid w:val="007A1655"/>
    <w:rsid w:val="007A18F4"/>
    <w:rsid w:val="007A1915"/>
    <w:rsid w:val="007A1F39"/>
    <w:rsid w:val="007A214E"/>
    <w:rsid w:val="007A2705"/>
    <w:rsid w:val="007A277F"/>
    <w:rsid w:val="007A287E"/>
    <w:rsid w:val="007A29DB"/>
    <w:rsid w:val="007A2EA5"/>
    <w:rsid w:val="007A2EC9"/>
    <w:rsid w:val="007A305B"/>
    <w:rsid w:val="007A3391"/>
    <w:rsid w:val="007A3581"/>
    <w:rsid w:val="007A36F7"/>
    <w:rsid w:val="007A3FC6"/>
    <w:rsid w:val="007A4A52"/>
    <w:rsid w:val="007A5598"/>
    <w:rsid w:val="007A5B4A"/>
    <w:rsid w:val="007A617C"/>
    <w:rsid w:val="007A6261"/>
    <w:rsid w:val="007A68EF"/>
    <w:rsid w:val="007A69B2"/>
    <w:rsid w:val="007A6C6F"/>
    <w:rsid w:val="007A73C2"/>
    <w:rsid w:val="007A75C0"/>
    <w:rsid w:val="007A79E5"/>
    <w:rsid w:val="007A7A4A"/>
    <w:rsid w:val="007A7C80"/>
    <w:rsid w:val="007B023A"/>
    <w:rsid w:val="007B0399"/>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C97"/>
    <w:rsid w:val="007B5E35"/>
    <w:rsid w:val="007B6282"/>
    <w:rsid w:val="007B639E"/>
    <w:rsid w:val="007B66F6"/>
    <w:rsid w:val="007B679B"/>
    <w:rsid w:val="007B6833"/>
    <w:rsid w:val="007B6B46"/>
    <w:rsid w:val="007B72D9"/>
    <w:rsid w:val="007B7572"/>
    <w:rsid w:val="007B7A96"/>
    <w:rsid w:val="007C08B2"/>
    <w:rsid w:val="007C0A9B"/>
    <w:rsid w:val="007C10D7"/>
    <w:rsid w:val="007C118C"/>
    <w:rsid w:val="007C12E4"/>
    <w:rsid w:val="007C145A"/>
    <w:rsid w:val="007C190F"/>
    <w:rsid w:val="007C1B71"/>
    <w:rsid w:val="007C1EAC"/>
    <w:rsid w:val="007C210E"/>
    <w:rsid w:val="007C22CB"/>
    <w:rsid w:val="007C2415"/>
    <w:rsid w:val="007C3B17"/>
    <w:rsid w:val="007C3E3C"/>
    <w:rsid w:val="007C3EAE"/>
    <w:rsid w:val="007C4008"/>
    <w:rsid w:val="007C4E80"/>
    <w:rsid w:val="007C5899"/>
    <w:rsid w:val="007C5CDB"/>
    <w:rsid w:val="007C5F24"/>
    <w:rsid w:val="007C6167"/>
    <w:rsid w:val="007C6544"/>
    <w:rsid w:val="007C673D"/>
    <w:rsid w:val="007C6A01"/>
    <w:rsid w:val="007C6A2F"/>
    <w:rsid w:val="007C6B35"/>
    <w:rsid w:val="007C6F86"/>
    <w:rsid w:val="007C78B8"/>
    <w:rsid w:val="007C7ADF"/>
    <w:rsid w:val="007C7B6D"/>
    <w:rsid w:val="007D04B8"/>
    <w:rsid w:val="007D0513"/>
    <w:rsid w:val="007D05A2"/>
    <w:rsid w:val="007D0892"/>
    <w:rsid w:val="007D0B79"/>
    <w:rsid w:val="007D0BD7"/>
    <w:rsid w:val="007D1D35"/>
    <w:rsid w:val="007D206F"/>
    <w:rsid w:val="007D2336"/>
    <w:rsid w:val="007D2385"/>
    <w:rsid w:val="007D261A"/>
    <w:rsid w:val="007D2EB4"/>
    <w:rsid w:val="007D3784"/>
    <w:rsid w:val="007D3890"/>
    <w:rsid w:val="007D40FC"/>
    <w:rsid w:val="007D411E"/>
    <w:rsid w:val="007D43F0"/>
    <w:rsid w:val="007D44C0"/>
    <w:rsid w:val="007D46CB"/>
    <w:rsid w:val="007D4FB8"/>
    <w:rsid w:val="007D50BA"/>
    <w:rsid w:val="007D542B"/>
    <w:rsid w:val="007D58B4"/>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1C0"/>
    <w:rsid w:val="007E235D"/>
    <w:rsid w:val="007E2577"/>
    <w:rsid w:val="007E2EC1"/>
    <w:rsid w:val="007E3C23"/>
    <w:rsid w:val="007E4033"/>
    <w:rsid w:val="007E4882"/>
    <w:rsid w:val="007E4988"/>
    <w:rsid w:val="007E4E7F"/>
    <w:rsid w:val="007E4E96"/>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2BD"/>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D0F"/>
    <w:rsid w:val="007F6457"/>
    <w:rsid w:val="007F765D"/>
    <w:rsid w:val="0080008A"/>
    <w:rsid w:val="008002AF"/>
    <w:rsid w:val="00800621"/>
    <w:rsid w:val="00800947"/>
    <w:rsid w:val="00800C32"/>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4745"/>
    <w:rsid w:val="00805141"/>
    <w:rsid w:val="00805606"/>
    <w:rsid w:val="008057BE"/>
    <w:rsid w:val="008057C0"/>
    <w:rsid w:val="00805823"/>
    <w:rsid w:val="00805920"/>
    <w:rsid w:val="00805CD3"/>
    <w:rsid w:val="00806F89"/>
    <w:rsid w:val="0080711D"/>
    <w:rsid w:val="0080737C"/>
    <w:rsid w:val="00807460"/>
    <w:rsid w:val="00807C21"/>
    <w:rsid w:val="00807CED"/>
    <w:rsid w:val="00810925"/>
    <w:rsid w:val="0081097E"/>
    <w:rsid w:val="00810BCD"/>
    <w:rsid w:val="00810EF8"/>
    <w:rsid w:val="00810F0F"/>
    <w:rsid w:val="0081112F"/>
    <w:rsid w:val="00811157"/>
    <w:rsid w:val="008115EE"/>
    <w:rsid w:val="00811CB1"/>
    <w:rsid w:val="00811F5B"/>
    <w:rsid w:val="0081263C"/>
    <w:rsid w:val="00812CEE"/>
    <w:rsid w:val="00813080"/>
    <w:rsid w:val="00813D2C"/>
    <w:rsid w:val="00813DC0"/>
    <w:rsid w:val="00813E06"/>
    <w:rsid w:val="00814493"/>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C8"/>
    <w:rsid w:val="008206E4"/>
    <w:rsid w:val="00820D5A"/>
    <w:rsid w:val="00820E5E"/>
    <w:rsid w:val="00821455"/>
    <w:rsid w:val="008216E2"/>
    <w:rsid w:val="0082187F"/>
    <w:rsid w:val="008218D0"/>
    <w:rsid w:val="00821ADD"/>
    <w:rsid w:val="00821E84"/>
    <w:rsid w:val="0082246B"/>
    <w:rsid w:val="0082254C"/>
    <w:rsid w:val="00822935"/>
    <w:rsid w:val="00822CAB"/>
    <w:rsid w:val="008231A4"/>
    <w:rsid w:val="008234DF"/>
    <w:rsid w:val="00823B69"/>
    <w:rsid w:val="00823E6F"/>
    <w:rsid w:val="0082460E"/>
    <w:rsid w:val="008247B0"/>
    <w:rsid w:val="00824C47"/>
    <w:rsid w:val="008253DB"/>
    <w:rsid w:val="00825631"/>
    <w:rsid w:val="008259CD"/>
    <w:rsid w:val="00825BF7"/>
    <w:rsid w:val="0082613D"/>
    <w:rsid w:val="008264A8"/>
    <w:rsid w:val="00826538"/>
    <w:rsid w:val="00826706"/>
    <w:rsid w:val="00826815"/>
    <w:rsid w:val="00827555"/>
    <w:rsid w:val="00827802"/>
    <w:rsid w:val="00827F18"/>
    <w:rsid w:val="0083040E"/>
    <w:rsid w:val="00830520"/>
    <w:rsid w:val="0083074B"/>
    <w:rsid w:val="00831211"/>
    <w:rsid w:val="008319EC"/>
    <w:rsid w:val="00831F4B"/>
    <w:rsid w:val="00831FEC"/>
    <w:rsid w:val="00832A7C"/>
    <w:rsid w:val="00832B54"/>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81D"/>
    <w:rsid w:val="00844A46"/>
    <w:rsid w:val="00844C7E"/>
    <w:rsid w:val="00844E50"/>
    <w:rsid w:val="00845354"/>
    <w:rsid w:val="008454FE"/>
    <w:rsid w:val="008456FF"/>
    <w:rsid w:val="00845C3C"/>
    <w:rsid w:val="00845C9A"/>
    <w:rsid w:val="00845F4C"/>
    <w:rsid w:val="00846960"/>
    <w:rsid w:val="00846C50"/>
    <w:rsid w:val="00847196"/>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1F"/>
    <w:rsid w:val="00861833"/>
    <w:rsid w:val="008619FF"/>
    <w:rsid w:val="00861BE6"/>
    <w:rsid w:val="00861D57"/>
    <w:rsid w:val="008622C8"/>
    <w:rsid w:val="00862C0C"/>
    <w:rsid w:val="00862D15"/>
    <w:rsid w:val="00863299"/>
    <w:rsid w:val="0086385E"/>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547"/>
    <w:rsid w:val="008668DD"/>
    <w:rsid w:val="00866A16"/>
    <w:rsid w:val="00866AE2"/>
    <w:rsid w:val="00867829"/>
    <w:rsid w:val="00867B4C"/>
    <w:rsid w:val="00867E26"/>
    <w:rsid w:val="00867EFC"/>
    <w:rsid w:val="0087047D"/>
    <w:rsid w:val="008711F4"/>
    <w:rsid w:val="00871951"/>
    <w:rsid w:val="00871B1E"/>
    <w:rsid w:val="00871C24"/>
    <w:rsid w:val="00871FA1"/>
    <w:rsid w:val="00872057"/>
    <w:rsid w:val="00872F7E"/>
    <w:rsid w:val="00872F88"/>
    <w:rsid w:val="008733EA"/>
    <w:rsid w:val="008734D4"/>
    <w:rsid w:val="008741A3"/>
    <w:rsid w:val="0087514C"/>
    <w:rsid w:val="00875151"/>
    <w:rsid w:val="0087528B"/>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8BC"/>
    <w:rsid w:val="00880A55"/>
    <w:rsid w:val="00880F69"/>
    <w:rsid w:val="008811E3"/>
    <w:rsid w:val="00881BEA"/>
    <w:rsid w:val="00881EB1"/>
    <w:rsid w:val="0088303A"/>
    <w:rsid w:val="00883085"/>
    <w:rsid w:val="008832EC"/>
    <w:rsid w:val="008838B4"/>
    <w:rsid w:val="00883BAC"/>
    <w:rsid w:val="00884232"/>
    <w:rsid w:val="0088429C"/>
    <w:rsid w:val="00884DF8"/>
    <w:rsid w:val="00885B64"/>
    <w:rsid w:val="00885BBC"/>
    <w:rsid w:val="0088675A"/>
    <w:rsid w:val="00886BE6"/>
    <w:rsid w:val="00887759"/>
    <w:rsid w:val="00887A94"/>
    <w:rsid w:val="00887B6A"/>
    <w:rsid w:val="00887DDB"/>
    <w:rsid w:val="00890081"/>
    <w:rsid w:val="008900F0"/>
    <w:rsid w:val="00890225"/>
    <w:rsid w:val="0089061F"/>
    <w:rsid w:val="00890A21"/>
    <w:rsid w:val="00890A50"/>
    <w:rsid w:val="00891360"/>
    <w:rsid w:val="0089194E"/>
    <w:rsid w:val="00892502"/>
    <w:rsid w:val="00892530"/>
    <w:rsid w:val="0089259D"/>
    <w:rsid w:val="00892F00"/>
    <w:rsid w:val="008930AE"/>
    <w:rsid w:val="0089318C"/>
    <w:rsid w:val="00893222"/>
    <w:rsid w:val="00893FD3"/>
    <w:rsid w:val="00894406"/>
    <w:rsid w:val="008944B8"/>
    <w:rsid w:val="00894B37"/>
    <w:rsid w:val="00894F9C"/>
    <w:rsid w:val="00895497"/>
    <w:rsid w:val="008954F5"/>
    <w:rsid w:val="008955CB"/>
    <w:rsid w:val="00895A8C"/>
    <w:rsid w:val="00895B48"/>
    <w:rsid w:val="00895B61"/>
    <w:rsid w:val="00895F71"/>
    <w:rsid w:val="00896442"/>
    <w:rsid w:val="008964AE"/>
    <w:rsid w:val="008965CF"/>
    <w:rsid w:val="008965EF"/>
    <w:rsid w:val="00896620"/>
    <w:rsid w:val="0089694B"/>
    <w:rsid w:val="00896EB9"/>
    <w:rsid w:val="00897178"/>
    <w:rsid w:val="00897348"/>
    <w:rsid w:val="00897430"/>
    <w:rsid w:val="008974DF"/>
    <w:rsid w:val="0089771D"/>
    <w:rsid w:val="00897C11"/>
    <w:rsid w:val="00897F29"/>
    <w:rsid w:val="008A0232"/>
    <w:rsid w:val="008A0E54"/>
    <w:rsid w:val="008A0E5A"/>
    <w:rsid w:val="008A144A"/>
    <w:rsid w:val="008A21FE"/>
    <w:rsid w:val="008A2688"/>
    <w:rsid w:val="008A2F3C"/>
    <w:rsid w:val="008A3449"/>
    <w:rsid w:val="008A36EB"/>
    <w:rsid w:val="008A38B1"/>
    <w:rsid w:val="008A3A37"/>
    <w:rsid w:val="008A3CA2"/>
    <w:rsid w:val="008A3D03"/>
    <w:rsid w:val="008A408A"/>
    <w:rsid w:val="008A41D9"/>
    <w:rsid w:val="008A435B"/>
    <w:rsid w:val="008A48C2"/>
    <w:rsid w:val="008A50B3"/>
    <w:rsid w:val="008A5388"/>
    <w:rsid w:val="008A5DD6"/>
    <w:rsid w:val="008A622D"/>
    <w:rsid w:val="008A658A"/>
    <w:rsid w:val="008A6594"/>
    <w:rsid w:val="008A668B"/>
    <w:rsid w:val="008A66C5"/>
    <w:rsid w:val="008A670D"/>
    <w:rsid w:val="008A6956"/>
    <w:rsid w:val="008A69A0"/>
    <w:rsid w:val="008A6E1D"/>
    <w:rsid w:val="008A6EEA"/>
    <w:rsid w:val="008A6F16"/>
    <w:rsid w:val="008A7062"/>
    <w:rsid w:val="008A7227"/>
    <w:rsid w:val="008A747F"/>
    <w:rsid w:val="008A770A"/>
    <w:rsid w:val="008A7880"/>
    <w:rsid w:val="008A79E0"/>
    <w:rsid w:val="008A7DC6"/>
    <w:rsid w:val="008A7EB6"/>
    <w:rsid w:val="008A7FD0"/>
    <w:rsid w:val="008B0604"/>
    <w:rsid w:val="008B0AC0"/>
    <w:rsid w:val="008B0E19"/>
    <w:rsid w:val="008B1139"/>
    <w:rsid w:val="008B12B0"/>
    <w:rsid w:val="008B1355"/>
    <w:rsid w:val="008B1649"/>
    <w:rsid w:val="008B16BB"/>
    <w:rsid w:val="008B1785"/>
    <w:rsid w:val="008B198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665"/>
    <w:rsid w:val="008B5DA4"/>
    <w:rsid w:val="008B5E8B"/>
    <w:rsid w:val="008B6159"/>
    <w:rsid w:val="008B61A7"/>
    <w:rsid w:val="008B63EF"/>
    <w:rsid w:val="008B6BC0"/>
    <w:rsid w:val="008B72D7"/>
    <w:rsid w:val="008B7C15"/>
    <w:rsid w:val="008B7F95"/>
    <w:rsid w:val="008C0AD0"/>
    <w:rsid w:val="008C0E9B"/>
    <w:rsid w:val="008C1773"/>
    <w:rsid w:val="008C18B3"/>
    <w:rsid w:val="008C1EFD"/>
    <w:rsid w:val="008C1F3C"/>
    <w:rsid w:val="008C2037"/>
    <w:rsid w:val="008C239A"/>
    <w:rsid w:val="008C297D"/>
    <w:rsid w:val="008C3044"/>
    <w:rsid w:val="008C374F"/>
    <w:rsid w:val="008C3A8B"/>
    <w:rsid w:val="008C3B87"/>
    <w:rsid w:val="008C3CE5"/>
    <w:rsid w:val="008C42C1"/>
    <w:rsid w:val="008C4C66"/>
    <w:rsid w:val="008C5141"/>
    <w:rsid w:val="008C5306"/>
    <w:rsid w:val="008C5433"/>
    <w:rsid w:val="008C6C65"/>
    <w:rsid w:val="008C6CD5"/>
    <w:rsid w:val="008C752A"/>
    <w:rsid w:val="008C781D"/>
    <w:rsid w:val="008D0621"/>
    <w:rsid w:val="008D064C"/>
    <w:rsid w:val="008D075B"/>
    <w:rsid w:val="008D0ACC"/>
    <w:rsid w:val="008D0D02"/>
    <w:rsid w:val="008D1BC9"/>
    <w:rsid w:val="008D1FC9"/>
    <w:rsid w:val="008D2883"/>
    <w:rsid w:val="008D2B6D"/>
    <w:rsid w:val="008D412C"/>
    <w:rsid w:val="008D4136"/>
    <w:rsid w:val="008D4F2B"/>
    <w:rsid w:val="008D570D"/>
    <w:rsid w:val="008D5959"/>
    <w:rsid w:val="008D596E"/>
    <w:rsid w:val="008D65A7"/>
    <w:rsid w:val="008D6614"/>
    <w:rsid w:val="008D6916"/>
    <w:rsid w:val="008D6CF5"/>
    <w:rsid w:val="008D70CC"/>
    <w:rsid w:val="008D7129"/>
    <w:rsid w:val="008D7416"/>
    <w:rsid w:val="008D750F"/>
    <w:rsid w:val="008D78B7"/>
    <w:rsid w:val="008E0161"/>
    <w:rsid w:val="008E0AD1"/>
    <w:rsid w:val="008E0E76"/>
    <w:rsid w:val="008E1440"/>
    <w:rsid w:val="008E1941"/>
    <w:rsid w:val="008E258A"/>
    <w:rsid w:val="008E2DCA"/>
    <w:rsid w:val="008E2E53"/>
    <w:rsid w:val="008E311C"/>
    <w:rsid w:val="008E31E3"/>
    <w:rsid w:val="008E3ABA"/>
    <w:rsid w:val="008E3C7A"/>
    <w:rsid w:val="008E3DAE"/>
    <w:rsid w:val="008E3FA7"/>
    <w:rsid w:val="008E4034"/>
    <w:rsid w:val="008E4463"/>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3AB3"/>
    <w:rsid w:val="008F4C74"/>
    <w:rsid w:val="008F4DA1"/>
    <w:rsid w:val="008F4E15"/>
    <w:rsid w:val="008F4F5D"/>
    <w:rsid w:val="008F6487"/>
    <w:rsid w:val="008F65CA"/>
    <w:rsid w:val="008F6759"/>
    <w:rsid w:val="008F68EA"/>
    <w:rsid w:val="008F709A"/>
    <w:rsid w:val="008F73E2"/>
    <w:rsid w:val="008F7460"/>
    <w:rsid w:val="008F7A8B"/>
    <w:rsid w:val="008F7BBC"/>
    <w:rsid w:val="008F7BD6"/>
    <w:rsid w:val="008F7D0C"/>
    <w:rsid w:val="0090059F"/>
    <w:rsid w:val="009005CB"/>
    <w:rsid w:val="009006FF"/>
    <w:rsid w:val="009007D0"/>
    <w:rsid w:val="00900840"/>
    <w:rsid w:val="00900902"/>
    <w:rsid w:val="0090095A"/>
    <w:rsid w:val="00900E60"/>
    <w:rsid w:val="0090141A"/>
    <w:rsid w:val="00901D3D"/>
    <w:rsid w:val="00901ED2"/>
    <w:rsid w:val="00902756"/>
    <w:rsid w:val="00902764"/>
    <w:rsid w:val="009028C9"/>
    <w:rsid w:val="00902CAD"/>
    <w:rsid w:val="00902CD9"/>
    <w:rsid w:val="00902D1F"/>
    <w:rsid w:val="009032D7"/>
    <w:rsid w:val="009035F6"/>
    <w:rsid w:val="00903EC1"/>
    <w:rsid w:val="009042CA"/>
    <w:rsid w:val="00904698"/>
    <w:rsid w:val="009052C0"/>
    <w:rsid w:val="00905FD6"/>
    <w:rsid w:val="009060D2"/>
    <w:rsid w:val="00906260"/>
    <w:rsid w:val="0090637C"/>
    <w:rsid w:val="009065F3"/>
    <w:rsid w:val="009069E2"/>
    <w:rsid w:val="00906C9A"/>
    <w:rsid w:val="00906FD1"/>
    <w:rsid w:val="00907192"/>
    <w:rsid w:val="009072F0"/>
    <w:rsid w:val="00907423"/>
    <w:rsid w:val="00907618"/>
    <w:rsid w:val="00907750"/>
    <w:rsid w:val="009079B3"/>
    <w:rsid w:val="00907B07"/>
    <w:rsid w:val="00907CC8"/>
    <w:rsid w:val="00907D16"/>
    <w:rsid w:val="00910C18"/>
    <w:rsid w:val="0091160D"/>
    <w:rsid w:val="00911761"/>
    <w:rsid w:val="00911B25"/>
    <w:rsid w:val="00911F9E"/>
    <w:rsid w:val="009125BD"/>
    <w:rsid w:val="00912763"/>
    <w:rsid w:val="00912D8C"/>
    <w:rsid w:val="009131C9"/>
    <w:rsid w:val="00913266"/>
    <w:rsid w:val="009135AF"/>
    <w:rsid w:val="00913663"/>
    <w:rsid w:val="009136F0"/>
    <w:rsid w:val="00913933"/>
    <w:rsid w:val="009139D6"/>
    <w:rsid w:val="0091416B"/>
    <w:rsid w:val="00914608"/>
    <w:rsid w:val="009147B0"/>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709"/>
    <w:rsid w:val="009204A6"/>
    <w:rsid w:val="0092089D"/>
    <w:rsid w:val="009208E9"/>
    <w:rsid w:val="00920F36"/>
    <w:rsid w:val="00920FCD"/>
    <w:rsid w:val="00921AE4"/>
    <w:rsid w:val="00921BC7"/>
    <w:rsid w:val="009229F6"/>
    <w:rsid w:val="00922B9F"/>
    <w:rsid w:val="00922CE9"/>
    <w:rsid w:val="009230ED"/>
    <w:rsid w:val="009235C1"/>
    <w:rsid w:val="00923C33"/>
    <w:rsid w:val="00923CEE"/>
    <w:rsid w:val="00923F52"/>
    <w:rsid w:val="00924806"/>
    <w:rsid w:val="00925128"/>
    <w:rsid w:val="009256D8"/>
    <w:rsid w:val="00925778"/>
    <w:rsid w:val="00925E0E"/>
    <w:rsid w:val="00925EF4"/>
    <w:rsid w:val="00925F05"/>
    <w:rsid w:val="00926238"/>
    <w:rsid w:val="00926484"/>
    <w:rsid w:val="0092657D"/>
    <w:rsid w:val="0092675E"/>
    <w:rsid w:val="00926A4B"/>
    <w:rsid w:val="009279D6"/>
    <w:rsid w:val="00927C3E"/>
    <w:rsid w:val="00927C84"/>
    <w:rsid w:val="00927DC4"/>
    <w:rsid w:val="00927DE1"/>
    <w:rsid w:val="00927FCB"/>
    <w:rsid w:val="0093009C"/>
    <w:rsid w:val="00930305"/>
    <w:rsid w:val="009308FD"/>
    <w:rsid w:val="009309BD"/>
    <w:rsid w:val="00931C3E"/>
    <w:rsid w:val="009320A7"/>
    <w:rsid w:val="00932341"/>
    <w:rsid w:val="00932914"/>
    <w:rsid w:val="00932F43"/>
    <w:rsid w:val="0093334A"/>
    <w:rsid w:val="00933B1E"/>
    <w:rsid w:val="0093456C"/>
    <w:rsid w:val="009347AE"/>
    <w:rsid w:val="00935C04"/>
    <w:rsid w:val="00935C8D"/>
    <w:rsid w:val="009371EE"/>
    <w:rsid w:val="009378B9"/>
    <w:rsid w:val="009378D0"/>
    <w:rsid w:val="00937A38"/>
    <w:rsid w:val="00937A52"/>
    <w:rsid w:val="009403E3"/>
    <w:rsid w:val="00940793"/>
    <w:rsid w:val="0094098E"/>
    <w:rsid w:val="00940E87"/>
    <w:rsid w:val="00940F2E"/>
    <w:rsid w:val="0094123D"/>
    <w:rsid w:val="00941821"/>
    <w:rsid w:val="0094186C"/>
    <w:rsid w:val="00941A5E"/>
    <w:rsid w:val="00941C5B"/>
    <w:rsid w:val="00942701"/>
    <w:rsid w:val="0094276B"/>
    <w:rsid w:val="00942AB8"/>
    <w:rsid w:val="00942AC6"/>
    <w:rsid w:val="009431BF"/>
    <w:rsid w:val="009438B4"/>
    <w:rsid w:val="0094399F"/>
    <w:rsid w:val="00943A8C"/>
    <w:rsid w:val="00943D98"/>
    <w:rsid w:val="00943E44"/>
    <w:rsid w:val="00944184"/>
    <w:rsid w:val="00944505"/>
    <w:rsid w:val="0094452B"/>
    <w:rsid w:val="0094494F"/>
    <w:rsid w:val="00945245"/>
    <w:rsid w:val="00945446"/>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FB6"/>
    <w:rsid w:val="009524AA"/>
    <w:rsid w:val="00952677"/>
    <w:rsid w:val="00953142"/>
    <w:rsid w:val="0095324C"/>
    <w:rsid w:val="009536EF"/>
    <w:rsid w:val="009538B7"/>
    <w:rsid w:val="009544C1"/>
    <w:rsid w:val="00954804"/>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DCC"/>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9D3"/>
    <w:rsid w:val="00965A84"/>
    <w:rsid w:val="00965E38"/>
    <w:rsid w:val="00965E76"/>
    <w:rsid w:val="009662BC"/>
    <w:rsid w:val="00966328"/>
    <w:rsid w:val="0096646F"/>
    <w:rsid w:val="00966694"/>
    <w:rsid w:val="009668B2"/>
    <w:rsid w:val="009669FC"/>
    <w:rsid w:val="00966F04"/>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F09"/>
    <w:rsid w:val="009730B0"/>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6AB"/>
    <w:rsid w:val="00977AC4"/>
    <w:rsid w:val="0098064B"/>
    <w:rsid w:val="00980779"/>
    <w:rsid w:val="00980C49"/>
    <w:rsid w:val="009813F4"/>
    <w:rsid w:val="00981886"/>
    <w:rsid w:val="00981A3F"/>
    <w:rsid w:val="00981B60"/>
    <w:rsid w:val="0098210E"/>
    <w:rsid w:val="009821C3"/>
    <w:rsid w:val="00982B5D"/>
    <w:rsid w:val="00982B6B"/>
    <w:rsid w:val="00982D03"/>
    <w:rsid w:val="00982DE5"/>
    <w:rsid w:val="00982E2E"/>
    <w:rsid w:val="00982E5E"/>
    <w:rsid w:val="00984045"/>
    <w:rsid w:val="009840F0"/>
    <w:rsid w:val="00984531"/>
    <w:rsid w:val="0098483C"/>
    <w:rsid w:val="00984BF2"/>
    <w:rsid w:val="00984D1E"/>
    <w:rsid w:val="00984EE6"/>
    <w:rsid w:val="009853FC"/>
    <w:rsid w:val="009859BB"/>
    <w:rsid w:val="00985B69"/>
    <w:rsid w:val="00985BE7"/>
    <w:rsid w:val="009860BB"/>
    <w:rsid w:val="00986AD8"/>
    <w:rsid w:val="009870BD"/>
    <w:rsid w:val="00990036"/>
    <w:rsid w:val="00990058"/>
    <w:rsid w:val="009914BB"/>
    <w:rsid w:val="00991788"/>
    <w:rsid w:val="00991D9D"/>
    <w:rsid w:val="00991FDB"/>
    <w:rsid w:val="0099214A"/>
    <w:rsid w:val="00992C26"/>
    <w:rsid w:val="00992E5F"/>
    <w:rsid w:val="00992EC8"/>
    <w:rsid w:val="009932EB"/>
    <w:rsid w:val="00993B79"/>
    <w:rsid w:val="00993CAE"/>
    <w:rsid w:val="00993EA7"/>
    <w:rsid w:val="00994498"/>
    <w:rsid w:val="0099494A"/>
    <w:rsid w:val="00994C12"/>
    <w:rsid w:val="00994D8E"/>
    <w:rsid w:val="00994E56"/>
    <w:rsid w:val="00995C10"/>
    <w:rsid w:val="00995C43"/>
    <w:rsid w:val="00995E7B"/>
    <w:rsid w:val="00996127"/>
    <w:rsid w:val="009961AE"/>
    <w:rsid w:val="009964AA"/>
    <w:rsid w:val="009964EE"/>
    <w:rsid w:val="009966C4"/>
    <w:rsid w:val="00996C72"/>
    <w:rsid w:val="00996F1C"/>
    <w:rsid w:val="00996F4F"/>
    <w:rsid w:val="0099707A"/>
    <w:rsid w:val="009971B4"/>
    <w:rsid w:val="009978E2"/>
    <w:rsid w:val="009A01EC"/>
    <w:rsid w:val="009A027E"/>
    <w:rsid w:val="009A0402"/>
    <w:rsid w:val="009A1DD4"/>
    <w:rsid w:val="009A225B"/>
    <w:rsid w:val="009A22A0"/>
    <w:rsid w:val="009A33F5"/>
    <w:rsid w:val="009A34FC"/>
    <w:rsid w:val="009A3685"/>
    <w:rsid w:val="009A3745"/>
    <w:rsid w:val="009A3B64"/>
    <w:rsid w:val="009A3FB2"/>
    <w:rsid w:val="009A4689"/>
    <w:rsid w:val="009A47CF"/>
    <w:rsid w:val="009A47D7"/>
    <w:rsid w:val="009A4F1E"/>
    <w:rsid w:val="009A517B"/>
    <w:rsid w:val="009A52CE"/>
    <w:rsid w:val="009A5324"/>
    <w:rsid w:val="009A555F"/>
    <w:rsid w:val="009A5D4A"/>
    <w:rsid w:val="009A6064"/>
    <w:rsid w:val="009A621A"/>
    <w:rsid w:val="009A6846"/>
    <w:rsid w:val="009A6AF9"/>
    <w:rsid w:val="009A7374"/>
    <w:rsid w:val="009A7DDB"/>
    <w:rsid w:val="009A7E41"/>
    <w:rsid w:val="009B014A"/>
    <w:rsid w:val="009B0532"/>
    <w:rsid w:val="009B0D27"/>
    <w:rsid w:val="009B0DF8"/>
    <w:rsid w:val="009B118C"/>
    <w:rsid w:val="009B18E3"/>
    <w:rsid w:val="009B22F7"/>
    <w:rsid w:val="009B236D"/>
    <w:rsid w:val="009B2A3B"/>
    <w:rsid w:val="009B2C0B"/>
    <w:rsid w:val="009B3555"/>
    <w:rsid w:val="009B3749"/>
    <w:rsid w:val="009B39B5"/>
    <w:rsid w:val="009B3BCB"/>
    <w:rsid w:val="009B455A"/>
    <w:rsid w:val="009B4C4B"/>
    <w:rsid w:val="009B5273"/>
    <w:rsid w:val="009B5301"/>
    <w:rsid w:val="009B6337"/>
    <w:rsid w:val="009B645A"/>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AEA"/>
    <w:rsid w:val="009D3CEA"/>
    <w:rsid w:val="009D3E83"/>
    <w:rsid w:val="009D4D01"/>
    <w:rsid w:val="009D4F18"/>
    <w:rsid w:val="009D545A"/>
    <w:rsid w:val="009D5474"/>
    <w:rsid w:val="009D57F8"/>
    <w:rsid w:val="009D587A"/>
    <w:rsid w:val="009D5D11"/>
    <w:rsid w:val="009D5F1D"/>
    <w:rsid w:val="009D65DD"/>
    <w:rsid w:val="009D6715"/>
    <w:rsid w:val="009D683F"/>
    <w:rsid w:val="009D6DD9"/>
    <w:rsid w:val="009D77CA"/>
    <w:rsid w:val="009D7B6E"/>
    <w:rsid w:val="009D7BE4"/>
    <w:rsid w:val="009D7EDC"/>
    <w:rsid w:val="009E0C62"/>
    <w:rsid w:val="009E0C76"/>
    <w:rsid w:val="009E0D26"/>
    <w:rsid w:val="009E1E79"/>
    <w:rsid w:val="009E1FFF"/>
    <w:rsid w:val="009E2840"/>
    <w:rsid w:val="009E2888"/>
    <w:rsid w:val="009E2A59"/>
    <w:rsid w:val="009E2F44"/>
    <w:rsid w:val="009E32AD"/>
    <w:rsid w:val="009E3B95"/>
    <w:rsid w:val="009E3C69"/>
    <w:rsid w:val="009E3D63"/>
    <w:rsid w:val="009E3E1F"/>
    <w:rsid w:val="009E4240"/>
    <w:rsid w:val="009E4CE8"/>
    <w:rsid w:val="009E4EA7"/>
    <w:rsid w:val="009E51A1"/>
    <w:rsid w:val="009E533A"/>
    <w:rsid w:val="009E57AF"/>
    <w:rsid w:val="009E5CBF"/>
    <w:rsid w:val="009E60BA"/>
    <w:rsid w:val="009E6B44"/>
    <w:rsid w:val="009E74D1"/>
    <w:rsid w:val="009E7563"/>
    <w:rsid w:val="009E7687"/>
    <w:rsid w:val="009E7A05"/>
    <w:rsid w:val="009E7AFB"/>
    <w:rsid w:val="009E7C05"/>
    <w:rsid w:val="009F002B"/>
    <w:rsid w:val="009F0593"/>
    <w:rsid w:val="009F0F7F"/>
    <w:rsid w:val="009F0FE8"/>
    <w:rsid w:val="009F1131"/>
    <w:rsid w:val="009F128F"/>
    <w:rsid w:val="009F14EF"/>
    <w:rsid w:val="009F157D"/>
    <w:rsid w:val="009F2087"/>
    <w:rsid w:val="009F208F"/>
    <w:rsid w:val="009F2155"/>
    <w:rsid w:val="009F2273"/>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682"/>
    <w:rsid w:val="009F58E2"/>
    <w:rsid w:val="009F59D9"/>
    <w:rsid w:val="009F5BF9"/>
    <w:rsid w:val="009F5D4F"/>
    <w:rsid w:val="009F5DD3"/>
    <w:rsid w:val="009F6352"/>
    <w:rsid w:val="009F7B92"/>
    <w:rsid w:val="009F7FC2"/>
    <w:rsid w:val="00A00007"/>
    <w:rsid w:val="00A00333"/>
    <w:rsid w:val="00A0067C"/>
    <w:rsid w:val="00A00811"/>
    <w:rsid w:val="00A009A1"/>
    <w:rsid w:val="00A00BAC"/>
    <w:rsid w:val="00A01050"/>
    <w:rsid w:val="00A0123C"/>
    <w:rsid w:val="00A0127B"/>
    <w:rsid w:val="00A0139B"/>
    <w:rsid w:val="00A013E1"/>
    <w:rsid w:val="00A01AF8"/>
    <w:rsid w:val="00A01E92"/>
    <w:rsid w:val="00A024A9"/>
    <w:rsid w:val="00A0258E"/>
    <w:rsid w:val="00A0297E"/>
    <w:rsid w:val="00A02E53"/>
    <w:rsid w:val="00A03500"/>
    <w:rsid w:val="00A0384F"/>
    <w:rsid w:val="00A03B99"/>
    <w:rsid w:val="00A040E1"/>
    <w:rsid w:val="00A042F8"/>
    <w:rsid w:val="00A0432B"/>
    <w:rsid w:val="00A04BDB"/>
    <w:rsid w:val="00A04E73"/>
    <w:rsid w:val="00A052CF"/>
    <w:rsid w:val="00A054AA"/>
    <w:rsid w:val="00A0586A"/>
    <w:rsid w:val="00A05B3C"/>
    <w:rsid w:val="00A063B2"/>
    <w:rsid w:val="00A06663"/>
    <w:rsid w:val="00A067D4"/>
    <w:rsid w:val="00A068C9"/>
    <w:rsid w:val="00A06921"/>
    <w:rsid w:val="00A06C15"/>
    <w:rsid w:val="00A06D49"/>
    <w:rsid w:val="00A07437"/>
    <w:rsid w:val="00A077FD"/>
    <w:rsid w:val="00A07E07"/>
    <w:rsid w:val="00A102C6"/>
    <w:rsid w:val="00A10304"/>
    <w:rsid w:val="00A10637"/>
    <w:rsid w:val="00A107E1"/>
    <w:rsid w:val="00A108DE"/>
    <w:rsid w:val="00A11299"/>
    <w:rsid w:val="00A11B24"/>
    <w:rsid w:val="00A11E9C"/>
    <w:rsid w:val="00A125FD"/>
    <w:rsid w:val="00A127EE"/>
    <w:rsid w:val="00A12AF7"/>
    <w:rsid w:val="00A12C9A"/>
    <w:rsid w:val="00A12CB5"/>
    <w:rsid w:val="00A12E9D"/>
    <w:rsid w:val="00A13747"/>
    <w:rsid w:val="00A13B02"/>
    <w:rsid w:val="00A13B3B"/>
    <w:rsid w:val="00A1468A"/>
    <w:rsid w:val="00A147AD"/>
    <w:rsid w:val="00A1532F"/>
    <w:rsid w:val="00A15803"/>
    <w:rsid w:val="00A16123"/>
    <w:rsid w:val="00A16821"/>
    <w:rsid w:val="00A16A61"/>
    <w:rsid w:val="00A16B41"/>
    <w:rsid w:val="00A16DD9"/>
    <w:rsid w:val="00A16EAC"/>
    <w:rsid w:val="00A17201"/>
    <w:rsid w:val="00A172BB"/>
    <w:rsid w:val="00A175FF"/>
    <w:rsid w:val="00A17652"/>
    <w:rsid w:val="00A178C0"/>
    <w:rsid w:val="00A178DA"/>
    <w:rsid w:val="00A202A9"/>
    <w:rsid w:val="00A20A36"/>
    <w:rsid w:val="00A20ECB"/>
    <w:rsid w:val="00A2126D"/>
    <w:rsid w:val="00A215A5"/>
    <w:rsid w:val="00A21996"/>
    <w:rsid w:val="00A223D7"/>
    <w:rsid w:val="00A2241F"/>
    <w:rsid w:val="00A224AD"/>
    <w:rsid w:val="00A2251D"/>
    <w:rsid w:val="00A22CA0"/>
    <w:rsid w:val="00A236BA"/>
    <w:rsid w:val="00A240D4"/>
    <w:rsid w:val="00A24F4A"/>
    <w:rsid w:val="00A253E1"/>
    <w:rsid w:val="00A254A8"/>
    <w:rsid w:val="00A258CE"/>
    <w:rsid w:val="00A259DB"/>
    <w:rsid w:val="00A2635C"/>
    <w:rsid w:val="00A2669F"/>
    <w:rsid w:val="00A26BBB"/>
    <w:rsid w:val="00A273DD"/>
    <w:rsid w:val="00A27965"/>
    <w:rsid w:val="00A27A99"/>
    <w:rsid w:val="00A27D06"/>
    <w:rsid w:val="00A31567"/>
    <w:rsid w:val="00A32A9D"/>
    <w:rsid w:val="00A32B0A"/>
    <w:rsid w:val="00A32D29"/>
    <w:rsid w:val="00A332F9"/>
    <w:rsid w:val="00A33AF8"/>
    <w:rsid w:val="00A33C66"/>
    <w:rsid w:val="00A33FE1"/>
    <w:rsid w:val="00A344AD"/>
    <w:rsid w:val="00A34873"/>
    <w:rsid w:val="00A354CF"/>
    <w:rsid w:val="00A362A1"/>
    <w:rsid w:val="00A362DE"/>
    <w:rsid w:val="00A3641F"/>
    <w:rsid w:val="00A3654F"/>
    <w:rsid w:val="00A367F8"/>
    <w:rsid w:val="00A36A7D"/>
    <w:rsid w:val="00A37423"/>
    <w:rsid w:val="00A379C5"/>
    <w:rsid w:val="00A37A30"/>
    <w:rsid w:val="00A37B09"/>
    <w:rsid w:val="00A37BD2"/>
    <w:rsid w:val="00A37E1A"/>
    <w:rsid w:val="00A40080"/>
    <w:rsid w:val="00A40E32"/>
    <w:rsid w:val="00A41160"/>
    <w:rsid w:val="00A412B1"/>
    <w:rsid w:val="00A413CD"/>
    <w:rsid w:val="00A418C3"/>
    <w:rsid w:val="00A4258D"/>
    <w:rsid w:val="00A427E2"/>
    <w:rsid w:val="00A42882"/>
    <w:rsid w:val="00A42919"/>
    <w:rsid w:val="00A429EE"/>
    <w:rsid w:val="00A42A73"/>
    <w:rsid w:val="00A434E2"/>
    <w:rsid w:val="00A4353A"/>
    <w:rsid w:val="00A438D8"/>
    <w:rsid w:val="00A439FD"/>
    <w:rsid w:val="00A43D72"/>
    <w:rsid w:val="00A43D7F"/>
    <w:rsid w:val="00A4402D"/>
    <w:rsid w:val="00A448CA"/>
    <w:rsid w:val="00A44F38"/>
    <w:rsid w:val="00A44F61"/>
    <w:rsid w:val="00A456FC"/>
    <w:rsid w:val="00A4624F"/>
    <w:rsid w:val="00A464CB"/>
    <w:rsid w:val="00A467B6"/>
    <w:rsid w:val="00A46940"/>
    <w:rsid w:val="00A46A07"/>
    <w:rsid w:val="00A46B72"/>
    <w:rsid w:val="00A46BBC"/>
    <w:rsid w:val="00A46D4D"/>
    <w:rsid w:val="00A47370"/>
    <w:rsid w:val="00A4738E"/>
    <w:rsid w:val="00A4758B"/>
    <w:rsid w:val="00A4792B"/>
    <w:rsid w:val="00A47E40"/>
    <w:rsid w:val="00A47F3F"/>
    <w:rsid w:val="00A50265"/>
    <w:rsid w:val="00A506D1"/>
    <w:rsid w:val="00A5089F"/>
    <w:rsid w:val="00A50AF8"/>
    <w:rsid w:val="00A50BA1"/>
    <w:rsid w:val="00A50FA1"/>
    <w:rsid w:val="00A51031"/>
    <w:rsid w:val="00A52347"/>
    <w:rsid w:val="00A52727"/>
    <w:rsid w:val="00A52A85"/>
    <w:rsid w:val="00A535EE"/>
    <w:rsid w:val="00A53724"/>
    <w:rsid w:val="00A53BE2"/>
    <w:rsid w:val="00A53E20"/>
    <w:rsid w:val="00A54C26"/>
    <w:rsid w:val="00A54EF6"/>
    <w:rsid w:val="00A55324"/>
    <w:rsid w:val="00A55705"/>
    <w:rsid w:val="00A558DA"/>
    <w:rsid w:val="00A55F25"/>
    <w:rsid w:val="00A56099"/>
    <w:rsid w:val="00A5653D"/>
    <w:rsid w:val="00A56716"/>
    <w:rsid w:val="00A56783"/>
    <w:rsid w:val="00A56A12"/>
    <w:rsid w:val="00A56A39"/>
    <w:rsid w:val="00A56D05"/>
    <w:rsid w:val="00A56F5A"/>
    <w:rsid w:val="00A572F7"/>
    <w:rsid w:val="00A573BF"/>
    <w:rsid w:val="00A57486"/>
    <w:rsid w:val="00A57943"/>
    <w:rsid w:val="00A57B65"/>
    <w:rsid w:val="00A57C5B"/>
    <w:rsid w:val="00A60246"/>
    <w:rsid w:val="00A60352"/>
    <w:rsid w:val="00A603D0"/>
    <w:rsid w:val="00A60E16"/>
    <w:rsid w:val="00A61073"/>
    <w:rsid w:val="00A61083"/>
    <w:rsid w:val="00A614D9"/>
    <w:rsid w:val="00A61CFC"/>
    <w:rsid w:val="00A61D44"/>
    <w:rsid w:val="00A620BD"/>
    <w:rsid w:val="00A62481"/>
    <w:rsid w:val="00A626E3"/>
    <w:rsid w:val="00A627A9"/>
    <w:rsid w:val="00A62EA5"/>
    <w:rsid w:val="00A62F47"/>
    <w:rsid w:val="00A62F52"/>
    <w:rsid w:val="00A6391B"/>
    <w:rsid w:val="00A63AE1"/>
    <w:rsid w:val="00A63B7D"/>
    <w:rsid w:val="00A64114"/>
    <w:rsid w:val="00A641DD"/>
    <w:rsid w:val="00A643F5"/>
    <w:rsid w:val="00A64441"/>
    <w:rsid w:val="00A651C0"/>
    <w:rsid w:val="00A65601"/>
    <w:rsid w:val="00A658C2"/>
    <w:rsid w:val="00A65CEC"/>
    <w:rsid w:val="00A66689"/>
    <w:rsid w:val="00A66F26"/>
    <w:rsid w:val="00A67065"/>
    <w:rsid w:val="00A67278"/>
    <w:rsid w:val="00A672BA"/>
    <w:rsid w:val="00A672E4"/>
    <w:rsid w:val="00A6758C"/>
    <w:rsid w:val="00A6766B"/>
    <w:rsid w:val="00A678B0"/>
    <w:rsid w:val="00A67A2F"/>
    <w:rsid w:val="00A67EFB"/>
    <w:rsid w:val="00A67FCA"/>
    <w:rsid w:val="00A701C7"/>
    <w:rsid w:val="00A704A2"/>
    <w:rsid w:val="00A7051B"/>
    <w:rsid w:val="00A7052A"/>
    <w:rsid w:val="00A70C55"/>
    <w:rsid w:val="00A718BA"/>
    <w:rsid w:val="00A71B3F"/>
    <w:rsid w:val="00A71DFD"/>
    <w:rsid w:val="00A7214E"/>
    <w:rsid w:val="00A727FC"/>
    <w:rsid w:val="00A73063"/>
    <w:rsid w:val="00A73136"/>
    <w:rsid w:val="00A73FBA"/>
    <w:rsid w:val="00A74426"/>
    <w:rsid w:val="00A747C8"/>
    <w:rsid w:val="00A74B26"/>
    <w:rsid w:val="00A74BDB"/>
    <w:rsid w:val="00A753EB"/>
    <w:rsid w:val="00A75406"/>
    <w:rsid w:val="00A75791"/>
    <w:rsid w:val="00A7610C"/>
    <w:rsid w:val="00A762ED"/>
    <w:rsid w:val="00A7681C"/>
    <w:rsid w:val="00A772A4"/>
    <w:rsid w:val="00A7736B"/>
    <w:rsid w:val="00A77855"/>
    <w:rsid w:val="00A77E94"/>
    <w:rsid w:val="00A80015"/>
    <w:rsid w:val="00A805C1"/>
    <w:rsid w:val="00A80617"/>
    <w:rsid w:val="00A80BFE"/>
    <w:rsid w:val="00A80CF1"/>
    <w:rsid w:val="00A80D4F"/>
    <w:rsid w:val="00A80DA7"/>
    <w:rsid w:val="00A8106D"/>
    <w:rsid w:val="00A81386"/>
    <w:rsid w:val="00A816F0"/>
    <w:rsid w:val="00A81DED"/>
    <w:rsid w:val="00A81DF9"/>
    <w:rsid w:val="00A81E89"/>
    <w:rsid w:val="00A82048"/>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52D"/>
    <w:rsid w:val="00A92BBE"/>
    <w:rsid w:val="00A92C28"/>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8E"/>
    <w:rsid w:val="00AA4361"/>
    <w:rsid w:val="00AA43A8"/>
    <w:rsid w:val="00AA48B8"/>
    <w:rsid w:val="00AA499C"/>
    <w:rsid w:val="00AA4D2D"/>
    <w:rsid w:val="00AA54AE"/>
    <w:rsid w:val="00AA5D24"/>
    <w:rsid w:val="00AA5FCA"/>
    <w:rsid w:val="00AA63F5"/>
    <w:rsid w:val="00AA67BA"/>
    <w:rsid w:val="00AA6FDD"/>
    <w:rsid w:val="00AA731F"/>
    <w:rsid w:val="00AA7B5F"/>
    <w:rsid w:val="00AA7D74"/>
    <w:rsid w:val="00AA7DB9"/>
    <w:rsid w:val="00AB029A"/>
    <w:rsid w:val="00AB08A5"/>
    <w:rsid w:val="00AB118C"/>
    <w:rsid w:val="00AB1376"/>
    <w:rsid w:val="00AB1A09"/>
    <w:rsid w:val="00AB1CAA"/>
    <w:rsid w:val="00AB1FBD"/>
    <w:rsid w:val="00AB2065"/>
    <w:rsid w:val="00AB2110"/>
    <w:rsid w:val="00AB25EE"/>
    <w:rsid w:val="00AB261C"/>
    <w:rsid w:val="00AB2A24"/>
    <w:rsid w:val="00AB2B29"/>
    <w:rsid w:val="00AB2F5A"/>
    <w:rsid w:val="00AB3918"/>
    <w:rsid w:val="00AB397E"/>
    <w:rsid w:val="00AB40DC"/>
    <w:rsid w:val="00AB4B62"/>
    <w:rsid w:val="00AB4DFB"/>
    <w:rsid w:val="00AB4FFE"/>
    <w:rsid w:val="00AB55C1"/>
    <w:rsid w:val="00AB60FC"/>
    <w:rsid w:val="00AB627C"/>
    <w:rsid w:val="00AB62EE"/>
    <w:rsid w:val="00AB64BE"/>
    <w:rsid w:val="00AB7227"/>
    <w:rsid w:val="00AB724C"/>
    <w:rsid w:val="00AB74AB"/>
    <w:rsid w:val="00AB79E5"/>
    <w:rsid w:val="00AC001A"/>
    <w:rsid w:val="00AC01AB"/>
    <w:rsid w:val="00AC08A3"/>
    <w:rsid w:val="00AC091D"/>
    <w:rsid w:val="00AC0ACC"/>
    <w:rsid w:val="00AC0B93"/>
    <w:rsid w:val="00AC0E5B"/>
    <w:rsid w:val="00AC11C8"/>
    <w:rsid w:val="00AC131B"/>
    <w:rsid w:val="00AC174A"/>
    <w:rsid w:val="00AC1AA7"/>
    <w:rsid w:val="00AC1C45"/>
    <w:rsid w:val="00AC1F31"/>
    <w:rsid w:val="00AC1FF9"/>
    <w:rsid w:val="00AC2484"/>
    <w:rsid w:val="00AC2590"/>
    <w:rsid w:val="00AC2744"/>
    <w:rsid w:val="00AC2A8F"/>
    <w:rsid w:val="00AC308B"/>
    <w:rsid w:val="00AC314A"/>
    <w:rsid w:val="00AC359F"/>
    <w:rsid w:val="00AC3A24"/>
    <w:rsid w:val="00AC42B5"/>
    <w:rsid w:val="00AC516B"/>
    <w:rsid w:val="00AC5217"/>
    <w:rsid w:val="00AC5565"/>
    <w:rsid w:val="00AC559C"/>
    <w:rsid w:val="00AC55B9"/>
    <w:rsid w:val="00AC56BA"/>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5E2E"/>
    <w:rsid w:val="00AD6646"/>
    <w:rsid w:val="00AD6BE3"/>
    <w:rsid w:val="00AD6BE9"/>
    <w:rsid w:val="00AD70AE"/>
    <w:rsid w:val="00AD7547"/>
    <w:rsid w:val="00AD7738"/>
    <w:rsid w:val="00AD790F"/>
    <w:rsid w:val="00AE034F"/>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8A3"/>
    <w:rsid w:val="00AE3AFA"/>
    <w:rsid w:val="00AE3DFF"/>
    <w:rsid w:val="00AE41FF"/>
    <w:rsid w:val="00AE46E8"/>
    <w:rsid w:val="00AE4FF3"/>
    <w:rsid w:val="00AE548C"/>
    <w:rsid w:val="00AE5A4D"/>
    <w:rsid w:val="00AE5EF6"/>
    <w:rsid w:val="00AE5F4E"/>
    <w:rsid w:val="00AE6251"/>
    <w:rsid w:val="00AE636E"/>
    <w:rsid w:val="00AE6572"/>
    <w:rsid w:val="00AE6D3F"/>
    <w:rsid w:val="00AE70D9"/>
    <w:rsid w:val="00AE718C"/>
    <w:rsid w:val="00AE7228"/>
    <w:rsid w:val="00AE7284"/>
    <w:rsid w:val="00AE72DD"/>
    <w:rsid w:val="00AE7530"/>
    <w:rsid w:val="00AE7683"/>
    <w:rsid w:val="00AE793A"/>
    <w:rsid w:val="00AE7AF3"/>
    <w:rsid w:val="00AE7D26"/>
    <w:rsid w:val="00AF0097"/>
    <w:rsid w:val="00AF01A6"/>
    <w:rsid w:val="00AF0215"/>
    <w:rsid w:val="00AF051E"/>
    <w:rsid w:val="00AF06F0"/>
    <w:rsid w:val="00AF0DF3"/>
    <w:rsid w:val="00AF13BC"/>
    <w:rsid w:val="00AF1676"/>
    <w:rsid w:val="00AF21D0"/>
    <w:rsid w:val="00AF3894"/>
    <w:rsid w:val="00AF3DC1"/>
    <w:rsid w:val="00AF3F6A"/>
    <w:rsid w:val="00AF44F6"/>
    <w:rsid w:val="00AF47AA"/>
    <w:rsid w:val="00AF4C9E"/>
    <w:rsid w:val="00AF4E28"/>
    <w:rsid w:val="00AF518C"/>
    <w:rsid w:val="00AF5B71"/>
    <w:rsid w:val="00AF76DF"/>
    <w:rsid w:val="00AF7D00"/>
    <w:rsid w:val="00B00249"/>
    <w:rsid w:val="00B0053C"/>
    <w:rsid w:val="00B010AB"/>
    <w:rsid w:val="00B01199"/>
    <w:rsid w:val="00B013E8"/>
    <w:rsid w:val="00B01585"/>
    <w:rsid w:val="00B01629"/>
    <w:rsid w:val="00B01B7D"/>
    <w:rsid w:val="00B02322"/>
    <w:rsid w:val="00B0235F"/>
    <w:rsid w:val="00B0359D"/>
    <w:rsid w:val="00B03729"/>
    <w:rsid w:val="00B03F5B"/>
    <w:rsid w:val="00B04503"/>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06DB"/>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6031"/>
    <w:rsid w:val="00B160A2"/>
    <w:rsid w:val="00B16748"/>
    <w:rsid w:val="00B16810"/>
    <w:rsid w:val="00B1697E"/>
    <w:rsid w:val="00B16D95"/>
    <w:rsid w:val="00B16E18"/>
    <w:rsid w:val="00B171A4"/>
    <w:rsid w:val="00B1736B"/>
    <w:rsid w:val="00B17457"/>
    <w:rsid w:val="00B17B83"/>
    <w:rsid w:val="00B17F5B"/>
    <w:rsid w:val="00B203DE"/>
    <w:rsid w:val="00B21642"/>
    <w:rsid w:val="00B21B58"/>
    <w:rsid w:val="00B22103"/>
    <w:rsid w:val="00B227D9"/>
    <w:rsid w:val="00B22E8C"/>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418"/>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6A06"/>
    <w:rsid w:val="00B36F22"/>
    <w:rsid w:val="00B3722D"/>
    <w:rsid w:val="00B37342"/>
    <w:rsid w:val="00B37807"/>
    <w:rsid w:val="00B37EC6"/>
    <w:rsid w:val="00B37F20"/>
    <w:rsid w:val="00B40028"/>
    <w:rsid w:val="00B4022F"/>
    <w:rsid w:val="00B40369"/>
    <w:rsid w:val="00B40677"/>
    <w:rsid w:val="00B40996"/>
    <w:rsid w:val="00B41254"/>
    <w:rsid w:val="00B412C5"/>
    <w:rsid w:val="00B412F9"/>
    <w:rsid w:val="00B41394"/>
    <w:rsid w:val="00B414AD"/>
    <w:rsid w:val="00B41820"/>
    <w:rsid w:val="00B41CD2"/>
    <w:rsid w:val="00B41D7A"/>
    <w:rsid w:val="00B421D6"/>
    <w:rsid w:val="00B4227C"/>
    <w:rsid w:val="00B423D1"/>
    <w:rsid w:val="00B42640"/>
    <w:rsid w:val="00B4281E"/>
    <w:rsid w:val="00B42CBF"/>
    <w:rsid w:val="00B4306D"/>
    <w:rsid w:val="00B4328E"/>
    <w:rsid w:val="00B43DE1"/>
    <w:rsid w:val="00B43F3D"/>
    <w:rsid w:val="00B44340"/>
    <w:rsid w:val="00B44422"/>
    <w:rsid w:val="00B44A03"/>
    <w:rsid w:val="00B4562E"/>
    <w:rsid w:val="00B45783"/>
    <w:rsid w:val="00B46004"/>
    <w:rsid w:val="00B46241"/>
    <w:rsid w:val="00B4627F"/>
    <w:rsid w:val="00B4671F"/>
    <w:rsid w:val="00B474D7"/>
    <w:rsid w:val="00B47AC5"/>
    <w:rsid w:val="00B47D51"/>
    <w:rsid w:val="00B47EE1"/>
    <w:rsid w:val="00B47F59"/>
    <w:rsid w:val="00B509A2"/>
    <w:rsid w:val="00B5145E"/>
    <w:rsid w:val="00B5159B"/>
    <w:rsid w:val="00B52344"/>
    <w:rsid w:val="00B52628"/>
    <w:rsid w:val="00B52B19"/>
    <w:rsid w:val="00B52CBC"/>
    <w:rsid w:val="00B52CFB"/>
    <w:rsid w:val="00B52FFB"/>
    <w:rsid w:val="00B53149"/>
    <w:rsid w:val="00B53919"/>
    <w:rsid w:val="00B53ED5"/>
    <w:rsid w:val="00B542CD"/>
    <w:rsid w:val="00B54363"/>
    <w:rsid w:val="00B548D6"/>
    <w:rsid w:val="00B54931"/>
    <w:rsid w:val="00B54968"/>
    <w:rsid w:val="00B54CF6"/>
    <w:rsid w:val="00B550E6"/>
    <w:rsid w:val="00B554F2"/>
    <w:rsid w:val="00B55DB0"/>
    <w:rsid w:val="00B56080"/>
    <w:rsid w:val="00B56167"/>
    <w:rsid w:val="00B56684"/>
    <w:rsid w:val="00B56861"/>
    <w:rsid w:val="00B56943"/>
    <w:rsid w:val="00B56A8A"/>
    <w:rsid w:val="00B56F42"/>
    <w:rsid w:val="00B574BE"/>
    <w:rsid w:val="00B57911"/>
    <w:rsid w:val="00B60A36"/>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505"/>
    <w:rsid w:val="00B65AF6"/>
    <w:rsid w:val="00B662D7"/>
    <w:rsid w:val="00B66CEC"/>
    <w:rsid w:val="00B66D90"/>
    <w:rsid w:val="00B67A7D"/>
    <w:rsid w:val="00B67AB7"/>
    <w:rsid w:val="00B67C11"/>
    <w:rsid w:val="00B67D0A"/>
    <w:rsid w:val="00B7015B"/>
    <w:rsid w:val="00B704E8"/>
    <w:rsid w:val="00B70612"/>
    <w:rsid w:val="00B706B7"/>
    <w:rsid w:val="00B7093E"/>
    <w:rsid w:val="00B70D8E"/>
    <w:rsid w:val="00B70DF5"/>
    <w:rsid w:val="00B70E7E"/>
    <w:rsid w:val="00B71343"/>
    <w:rsid w:val="00B71509"/>
    <w:rsid w:val="00B718C8"/>
    <w:rsid w:val="00B71F2D"/>
    <w:rsid w:val="00B72095"/>
    <w:rsid w:val="00B72208"/>
    <w:rsid w:val="00B72634"/>
    <w:rsid w:val="00B72AB1"/>
    <w:rsid w:val="00B72F80"/>
    <w:rsid w:val="00B731D8"/>
    <w:rsid w:val="00B7321A"/>
    <w:rsid w:val="00B73890"/>
    <w:rsid w:val="00B73A86"/>
    <w:rsid w:val="00B73B0F"/>
    <w:rsid w:val="00B73EDF"/>
    <w:rsid w:val="00B73F36"/>
    <w:rsid w:val="00B73F6E"/>
    <w:rsid w:val="00B7444C"/>
    <w:rsid w:val="00B746FF"/>
    <w:rsid w:val="00B74764"/>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0F39"/>
    <w:rsid w:val="00B8190A"/>
    <w:rsid w:val="00B81B5C"/>
    <w:rsid w:val="00B81D36"/>
    <w:rsid w:val="00B820A6"/>
    <w:rsid w:val="00B820C2"/>
    <w:rsid w:val="00B825FC"/>
    <w:rsid w:val="00B82C85"/>
    <w:rsid w:val="00B82DC5"/>
    <w:rsid w:val="00B82F23"/>
    <w:rsid w:val="00B83169"/>
    <w:rsid w:val="00B834BE"/>
    <w:rsid w:val="00B835DC"/>
    <w:rsid w:val="00B837D7"/>
    <w:rsid w:val="00B8381D"/>
    <w:rsid w:val="00B84287"/>
    <w:rsid w:val="00B8451A"/>
    <w:rsid w:val="00B84A6A"/>
    <w:rsid w:val="00B84D3C"/>
    <w:rsid w:val="00B85630"/>
    <w:rsid w:val="00B858D4"/>
    <w:rsid w:val="00B864C0"/>
    <w:rsid w:val="00B86BFD"/>
    <w:rsid w:val="00B86C7E"/>
    <w:rsid w:val="00B86FDF"/>
    <w:rsid w:val="00B8780B"/>
    <w:rsid w:val="00B878EE"/>
    <w:rsid w:val="00B87A7F"/>
    <w:rsid w:val="00B87DB6"/>
    <w:rsid w:val="00B87E0D"/>
    <w:rsid w:val="00B90262"/>
    <w:rsid w:val="00B90675"/>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40F4"/>
    <w:rsid w:val="00B943B3"/>
    <w:rsid w:val="00B94C4C"/>
    <w:rsid w:val="00B94CB2"/>
    <w:rsid w:val="00B94ECF"/>
    <w:rsid w:val="00B94EFB"/>
    <w:rsid w:val="00B94F3B"/>
    <w:rsid w:val="00B955BF"/>
    <w:rsid w:val="00B959D1"/>
    <w:rsid w:val="00B968D3"/>
    <w:rsid w:val="00B96EE6"/>
    <w:rsid w:val="00B972ED"/>
    <w:rsid w:val="00B9791D"/>
    <w:rsid w:val="00B97AE5"/>
    <w:rsid w:val="00BA0312"/>
    <w:rsid w:val="00BA0897"/>
    <w:rsid w:val="00BA1210"/>
    <w:rsid w:val="00BA13E1"/>
    <w:rsid w:val="00BA1544"/>
    <w:rsid w:val="00BA15C8"/>
    <w:rsid w:val="00BA16CA"/>
    <w:rsid w:val="00BA1734"/>
    <w:rsid w:val="00BA1865"/>
    <w:rsid w:val="00BA1B97"/>
    <w:rsid w:val="00BA1E32"/>
    <w:rsid w:val="00BA2135"/>
    <w:rsid w:val="00BA2457"/>
    <w:rsid w:val="00BA28DF"/>
    <w:rsid w:val="00BA2C90"/>
    <w:rsid w:val="00BA2D1C"/>
    <w:rsid w:val="00BA31E6"/>
    <w:rsid w:val="00BA3268"/>
    <w:rsid w:val="00BA3D96"/>
    <w:rsid w:val="00BA3DBE"/>
    <w:rsid w:val="00BA429D"/>
    <w:rsid w:val="00BA4A85"/>
    <w:rsid w:val="00BA55A2"/>
    <w:rsid w:val="00BA5C26"/>
    <w:rsid w:val="00BA621A"/>
    <w:rsid w:val="00BA63E1"/>
    <w:rsid w:val="00BA668F"/>
    <w:rsid w:val="00BA673E"/>
    <w:rsid w:val="00BA6A64"/>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755"/>
    <w:rsid w:val="00BB1A82"/>
    <w:rsid w:val="00BB2895"/>
    <w:rsid w:val="00BB29B4"/>
    <w:rsid w:val="00BB2A57"/>
    <w:rsid w:val="00BB2B38"/>
    <w:rsid w:val="00BB2B71"/>
    <w:rsid w:val="00BB2CAD"/>
    <w:rsid w:val="00BB2F4F"/>
    <w:rsid w:val="00BB34B9"/>
    <w:rsid w:val="00BB3C22"/>
    <w:rsid w:val="00BB3F8C"/>
    <w:rsid w:val="00BB44F4"/>
    <w:rsid w:val="00BB4A6D"/>
    <w:rsid w:val="00BB4B06"/>
    <w:rsid w:val="00BB4D27"/>
    <w:rsid w:val="00BB5190"/>
    <w:rsid w:val="00BB537C"/>
    <w:rsid w:val="00BB54CC"/>
    <w:rsid w:val="00BB5C19"/>
    <w:rsid w:val="00BB5FFB"/>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3210"/>
    <w:rsid w:val="00BC34FF"/>
    <w:rsid w:val="00BC3878"/>
    <w:rsid w:val="00BC4321"/>
    <w:rsid w:val="00BC4391"/>
    <w:rsid w:val="00BC4640"/>
    <w:rsid w:val="00BC47ED"/>
    <w:rsid w:val="00BC5435"/>
    <w:rsid w:val="00BC54DF"/>
    <w:rsid w:val="00BC5E5D"/>
    <w:rsid w:val="00BC60E1"/>
    <w:rsid w:val="00BC61A8"/>
    <w:rsid w:val="00BC62EC"/>
    <w:rsid w:val="00BC69B0"/>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6D45"/>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43F"/>
    <w:rsid w:val="00BE1642"/>
    <w:rsid w:val="00BE2817"/>
    <w:rsid w:val="00BE2C78"/>
    <w:rsid w:val="00BE2E5E"/>
    <w:rsid w:val="00BE3098"/>
    <w:rsid w:val="00BE39E0"/>
    <w:rsid w:val="00BE3E17"/>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7E3"/>
    <w:rsid w:val="00BF09DE"/>
    <w:rsid w:val="00BF0C07"/>
    <w:rsid w:val="00BF0C90"/>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59F"/>
    <w:rsid w:val="00BF492C"/>
    <w:rsid w:val="00BF5998"/>
    <w:rsid w:val="00BF5A15"/>
    <w:rsid w:val="00BF5B9D"/>
    <w:rsid w:val="00BF5CCB"/>
    <w:rsid w:val="00BF6B00"/>
    <w:rsid w:val="00BF6C8C"/>
    <w:rsid w:val="00BF6C8F"/>
    <w:rsid w:val="00BF6D93"/>
    <w:rsid w:val="00BF6F1D"/>
    <w:rsid w:val="00BF71A7"/>
    <w:rsid w:val="00BF74AC"/>
    <w:rsid w:val="00BF767C"/>
    <w:rsid w:val="00BF7A28"/>
    <w:rsid w:val="00BF7F9B"/>
    <w:rsid w:val="00C00413"/>
    <w:rsid w:val="00C00A67"/>
    <w:rsid w:val="00C00F78"/>
    <w:rsid w:val="00C01A8D"/>
    <w:rsid w:val="00C01F78"/>
    <w:rsid w:val="00C024B8"/>
    <w:rsid w:val="00C03121"/>
    <w:rsid w:val="00C03B09"/>
    <w:rsid w:val="00C042BB"/>
    <w:rsid w:val="00C042FD"/>
    <w:rsid w:val="00C042FE"/>
    <w:rsid w:val="00C04B3C"/>
    <w:rsid w:val="00C04F10"/>
    <w:rsid w:val="00C04F23"/>
    <w:rsid w:val="00C051C4"/>
    <w:rsid w:val="00C055C6"/>
    <w:rsid w:val="00C059C5"/>
    <w:rsid w:val="00C05D30"/>
    <w:rsid w:val="00C05FB1"/>
    <w:rsid w:val="00C063A4"/>
    <w:rsid w:val="00C067FE"/>
    <w:rsid w:val="00C06B7E"/>
    <w:rsid w:val="00C06CDE"/>
    <w:rsid w:val="00C06F8E"/>
    <w:rsid w:val="00C07345"/>
    <w:rsid w:val="00C07496"/>
    <w:rsid w:val="00C07A8B"/>
    <w:rsid w:val="00C07D2B"/>
    <w:rsid w:val="00C07EF7"/>
    <w:rsid w:val="00C07FE2"/>
    <w:rsid w:val="00C10093"/>
    <w:rsid w:val="00C103E3"/>
    <w:rsid w:val="00C1087B"/>
    <w:rsid w:val="00C10A07"/>
    <w:rsid w:val="00C10A4A"/>
    <w:rsid w:val="00C10AA0"/>
    <w:rsid w:val="00C10BFB"/>
    <w:rsid w:val="00C10C2B"/>
    <w:rsid w:val="00C111A5"/>
    <w:rsid w:val="00C1143A"/>
    <w:rsid w:val="00C1148E"/>
    <w:rsid w:val="00C11515"/>
    <w:rsid w:val="00C11573"/>
    <w:rsid w:val="00C1169E"/>
    <w:rsid w:val="00C11779"/>
    <w:rsid w:val="00C11E21"/>
    <w:rsid w:val="00C12574"/>
    <w:rsid w:val="00C12BB2"/>
    <w:rsid w:val="00C12F17"/>
    <w:rsid w:val="00C12FEF"/>
    <w:rsid w:val="00C132C9"/>
    <w:rsid w:val="00C133F9"/>
    <w:rsid w:val="00C1349A"/>
    <w:rsid w:val="00C13C6E"/>
    <w:rsid w:val="00C13DA4"/>
    <w:rsid w:val="00C13FA0"/>
    <w:rsid w:val="00C14511"/>
    <w:rsid w:val="00C145FC"/>
    <w:rsid w:val="00C14722"/>
    <w:rsid w:val="00C149E2"/>
    <w:rsid w:val="00C14B26"/>
    <w:rsid w:val="00C15FE3"/>
    <w:rsid w:val="00C163AE"/>
    <w:rsid w:val="00C16536"/>
    <w:rsid w:val="00C16CAA"/>
    <w:rsid w:val="00C16CEE"/>
    <w:rsid w:val="00C16D0E"/>
    <w:rsid w:val="00C16E63"/>
    <w:rsid w:val="00C16E97"/>
    <w:rsid w:val="00C175BE"/>
    <w:rsid w:val="00C17623"/>
    <w:rsid w:val="00C178DB"/>
    <w:rsid w:val="00C20219"/>
    <w:rsid w:val="00C2090E"/>
    <w:rsid w:val="00C20E1F"/>
    <w:rsid w:val="00C2139D"/>
    <w:rsid w:val="00C2159D"/>
    <w:rsid w:val="00C21D6F"/>
    <w:rsid w:val="00C21EEE"/>
    <w:rsid w:val="00C22257"/>
    <w:rsid w:val="00C226F6"/>
    <w:rsid w:val="00C22F9B"/>
    <w:rsid w:val="00C23437"/>
    <w:rsid w:val="00C23D15"/>
    <w:rsid w:val="00C253F5"/>
    <w:rsid w:val="00C259DF"/>
    <w:rsid w:val="00C259EC"/>
    <w:rsid w:val="00C25B7D"/>
    <w:rsid w:val="00C25E3D"/>
    <w:rsid w:val="00C261C3"/>
    <w:rsid w:val="00C26402"/>
    <w:rsid w:val="00C26487"/>
    <w:rsid w:val="00C266D7"/>
    <w:rsid w:val="00C26D5D"/>
    <w:rsid w:val="00C27193"/>
    <w:rsid w:val="00C275EC"/>
    <w:rsid w:val="00C27AFD"/>
    <w:rsid w:val="00C30465"/>
    <w:rsid w:val="00C30545"/>
    <w:rsid w:val="00C30B8F"/>
    <w:rsid w:val="00C30BFA"/>
    <w:rsid w:val="00C30ECE"/>
    <w:rsid w:val="00C31143"/>
    <w:rsid w:val="00C31BC7"/>
    <w:rsid w:val="00C31D6F"/>
    <w:rsid w:val="00C31F98"/>
    <w:rsid w:val="00C32280"/>
    <w:rsid w:val="00C32D41"/>
    <w:rsid w:val="00C32F16"/>
    <w:rsid w:val="00C3354F"/>
    <w:rsid w:val="00C33697"/>
    <w:rsid w:val="00C339C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732"/>
    <w:rsid w:val="00C4003C"/>
    <w:rsid w:val="00C40044"/>
    <w:rsid w:val="00C4009D"/>
    <w:rsid w:val="00C40875"/>
    <w:rsid w:val="00C40C6D"/>
    <w:rsid w:val="00C417AF"/>
    <w:rsid w:val="00C420B5"/>
    <w:rsid w:val="00C421F3"/>
    <w:rsid w:val="00C42B14"/>
    <w:rsid w:val="00C4328E"/>
    <w:rsid w:val="00C441B7"/>
    <w:rsid w:val="00C44D4A"/>
    <w:rsid w:val="00C45401"/>
    <w:rsid w:val="00C45405"/>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8AE"/>
    <w:rsid w:val="00C51918"/>
    <w:rsid w:val="00C526B3"/>
    <w:rsid w:val="00C527F7"/>
    <w:rsid w:val="00C52A65"/>
    <w:rsid w:val="00C52CBF"/>
    <w:rsid w:val="00C53167"/>
    <w:rsid w:val="00C534AA"/>
    <w:rsid w:val="00C53A1A"/>
    <w:rsid w:val="00C53A45"/>
    <w:rsid w:val="00C53D78"/>
    <w:rsid w:val="00C53FF1"/>
    <w:rsid w:val="00C5406E"/>
    <w:rsid w:val="00C54524"/>
    <w:rsid w:val="00C545E4"/>
    <w:rsid w:val="00C55575"/>
    <w:rsid w:val="00C5599E"/>
    <w:rsid w:val="00C55C9B"/>
    <w:rsid w:val="00C563EB"/>
    <w:rsid w:val="00C564A4"/>
    <w:rsid w:val="00C5652F"/>
    <w:rsid w:val="00C56AF2"/>
    <w:rsid w:val="00C5717F"/>
    <w:rsid w:val="00C57345"/>
    <w:rsid w:val="00C57A40"/>
    <w:rsid w:val="00C6092E"/>
    <w:rsid w:val="00C6101B"/>
    <w:rsid w:val="00C6119E"/>
    <w:rsid w:val="00C61327"/>
    <w:rsid w:val="00C6164C"/>
    <w:rsid w:val="00C61A25"/>
    <w:rsid w:val="00C62169"/>
    <w:rsid w:val="00C62879"/>
    <w:rsid w:val="00C62C24"/>
    <w:rsid w:val="00C62C57"/>
    <w:rsid w:val="00C62E8F"/>
    <w:rsid w:val="00C62F2B"/>
    <w:rsid w:val="00C62F95"/>
    <w:rsid w:val="00C63827"/>
    <w:rsid w:val="00C63850"/>
    <w:rsid w:val="00C638AA"/>
    <w:rsid w:val="00C63968"/>
    <w:rsid w:val="00C63E0F"/>
    <w:rsid w:val="00C63E9F"/>
    <w:rsid w:val="00C64D32"/>
    <w:rsid w:val="00C6557A"/>
    <w:rsid w:val="00C65851"/>
    <w:rsid w:val="00C65970"/>
    <w:rsid w:val="00C659A9"/>
    <w:rsid w:val="00C65BDF"/>
    <w:rsid w:val="00C66077"/>
    <w:rsid w:val="00C66443"/>
    <w:rsid w:val="00C665E0"/>
    <w:rsid w:val="00C66BCE"/>
    <w:rsid w:val="00C67141"/>
    <w:rsid w:val="00C672F8"/>
    <w:rsid w:val="00C67585"/>
    <w:rsid w:val="00C67FA8"/>
    <w:rsid w:val="00C70109"/>
    <w:rsid w:val="00C70112"/>
    <w:rsid w:val="00C70114"/>
    <w:rsid w:val="00C70387"/>
    <w:rsid w:val="00C7050C"/>
    <w:rsid w:val="00C70553"/>
    <w:rsid w:val="00C70718"/>
    <w:rsid w:val="00C70CC1"/>
    <w:rsid w:val="00C70F73"/>
    <w:rsid w:val="00C70FDF"/>
    <w:rsid w:val="00C7210A"/>
    <w:rsid w:val="00C7296C"/>
    <w:rsid w:val="00C7331A"/>
    <w:rsid w:val="00C739CE"/>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588"/>
    <w:rsid w:val="00C81948"/>
    <w:rsid w:val="00C81A19"/>
    <w:rsid w:val="00C8228A"/>
    <w:rsid w:val="00C827A5"/>
    <w:rsid w:val="00C82A42"/>
    <w:rsid w:val="00C82BA5"/>
    <w:rsid w:val="00C830C8"/>
    <w:rsid w:val="00C835E9"/>
    <w:rsid w:val="00C8446F"/>
    <w:rsid w:val="00C84620"/>
    <w:rsid w:val="00C846D1"/>
    <w:rsid w:val="00C84A9A"/>
    <w:rsid w:val="00C85103"/>
    <w:rsid w:val="00C854E2"/>
    <w:rsid w:val="00C854F5"/>
    <w:rsid w:val="00C856B1"/>
    <w:rsid w:val="00C858DC"/>
    <w:rsid w:val="00C85C17"/>
    <w:rsid w:val="00C85CF3"/>
    <w:rsid w:val="00C85E01"/>
    <w:rsid w:val="00C85F9D"/>
    <w:rsid w:val="00C86422"/>
    <w:rsid w:val="00C86797"/>
    <w:rsid w:val="00C86F72"/>
    <w:rsid w:val="00C8739C"/>
    <w:rsid w:val="00C87CAF"/>
    <w:rsid w:val="00C90EBD"/>
    <w:rsid w:val="00C90EBE"/>
    <w:rsid w:val="00C90FB8"/>
    <w:rsid w:val="00C9103A"/>
    <w:rsid w:val="00C91205"/>
    <w:rsid w:val="00C91245"/>
    <w:rsid w:val="00C9138D"/>
    <w:rsid w:val="00C91590"/>
    <w:rsid w:val="00C91AB6"/>
    <w:rsid w:val="00C928B1"/>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733"/>
    <w:rsid w:val="00C9601F"/>
    <w:rsid w:val="00C96F47"/>
    <w:rsid w:val="00C972AD"/>
    <w:rsid w:val="00C97573"/>
    <w:rsid w:val="00C978C5"/>
    <w:rsid w:val="00C97933"/>
    <w:rsid w:val="00C97A4D"/>
    <w:rsid w:val="00C97C67"/>
    <w:rsid w:val="00CA0593"/>
    <w:rsid w:val="00CA11BB"/>
    <w:rsid w:val="00CA1538"/>
    <w:rsid w:val="00CA1941"/>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2F0"/>
    <w:rsid w:val="00CA730D"/>
    <w:rsid w:val="00CA78F6"/>
    <w:rsid w:val="00CA7C4A"/>
    <w:rsid w:val="00CB025E"/>
    <w:rsid w:val="00CB0405"/>
    <w:rsid w:val="00CB0B14"/>
    <w:rsid w:val="00CB0D33"/>
    <w:rsid w:val="00CB0E59"/>
    <w:rsid w:val="00CB0F9E"/>
    <w:rsid w:val="00CB1061"/>
    <w:rsid w:val="00CB1610"/>
    <w:rsid w:val="00CB1F9A"/>
    <w:rsid w:val="00CB2283"/>
    <w:rsid w:val="00CB2487"/>
    <w:rsid w:val="00CB39D1"/>
    <w:rsid w:val="00CB3ED6"/>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6C45"/>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19A"/>
    <w:rsid w:val="00CC245B"/>
    <w:rsid w:val="00CC2484"/>
    <w:rsid w:val="00CC26F1"/>
    <w:rsid w:val="00CC27E0"/>
    <w:rsid w:val="00CC3185"/>
    <w:rsid w:val="00CC35C4"/>
    <w:rsid w:val="00CC3AFC"/>
    <w:rsid w:val="00CC4734"/>
    <w:rsid w:val="00CC47F5"/>
    <w:rsid w:val="00CC4C9F"/>
    <w:rsid w:val="00CC4D64"/>
    <w:rsid w:val="00CC4F10"/>
    <w:rsid w:val="00CC50B7"/>
    <w:rsid w:val="00CC5499"/>
    <w:rsid w:val="00CC57B3"/>
    <w:rsid w:val="00CC5C24"/>
    <w:rsid w:val="00CC5F3D"/>
    <w:rsid w:val="00CC62EB"/>
    <w:rsid w:val="00CC6584"/>
    <w:rsid w:val="00CC6633"/>
    <w:rsid w:val="00CC6DE8"/>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A18"/>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441"/>
    <w:rsid w:val="00CE54EA"/>
    <w:rsid w:val="00CE54F0"/>
    <w:rsid w:val="00CE575A"/>
    <w:rsid w:val="00CE58B0"/>
    <w:rsid w:val="00CE5940"/>
    <w:rsid w:val="00CE6353"/>
    <w:rsid w:val="00CE6924"/>
    <w:rsid w:val="00CE69E7"/>
    <w:rsid w:val="00CE74DC"/>
    <w:rsid w:val="00CE754B"/>
    <w:rsid w:val="00CE75DB"/>
    <w:rsid w:val="00CE7CA2"/>
    <w:rsid w:val="00CE7D7E"/>
    <w:rsid w:val="00CF0266"/>
    <w:rsid w:val="00CF039E"/>
    <w:rsid w:val="00CF05D5"/>
    <w:rsid w:val="00CF06C9"/>
    <w:rsid w:val="00CF1129"/>
    <w:rsid w:val="00CF11CB"/>
    <w:rsid w:val="00CF1813"/>
    <w:rsid w:val="00CF1AC9"/>
    <w:rsid w:val="00CF1D54"/>
    <w:rsid w:val="00CF1F07"/>
    <w:rsid w:val="00CF20A4"/>
    <w:rsid w:val="00CF2383"/>
    <w:rsid w:val="00CF247F"/>
    <w:rsid w:val="00CF2738"/>
    <w:rsid w:val="00CF2ACC"/>
    <w:rsid w:val="00CF2CE3"/>
    <w:rsid w:val="00CF2D2A"/>
    <w:rsid w:val="00CF2D8D"/>
    <w:rsid w:val="00CF3622"/>
    <w:rsid w:val="00CF3954"/>
    <w:rsid w:val="00CF4146"/>
    <w:rsid w:val="00CF4742"/>
    <w:rsid w:val="00CF4A2A"/>
    <w:rsid w:val="00CF4F20"/>
    <w:rsid w:val="00CF52D6"/>
    <w:rsid w:val="00CF5AE2"/>
    <w:rsid w:val="00CF5B75"/>
    <w:rsid w:val="00CF630B"/>
    <w:rsid w:val="00CF6A4F"/>
    <w:rsid w:val="00CF7931"/>
    <w:rsid w:val="00CF7C91"/>
    <w:rsid w:val="00CF7D28"/>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D7C"/>
    <w:rsid w:val="00D04209"/>
    <w:rsid w:val="00D04224"/>
    <w:rsid w:val="00D046B4"/>
    <w:rsid w:val="00D05156"/>
    <w:rsid w:val="00D056A1"/>
    <w:rsid w:val="00D05743"/>
    <w:rsid w:val="00D06063"/>
    <w:rsid w:val="00D061E8"/>
    <w:rsid w:val="00D06460"/>
    <w:rsid w:val="00D06461"/>
    <w:rsid w:val="00D065E3"/>
    <w:rsid w:val="00D0719C"/>
    <w:rsid w:val="00D07625"/>
    <w:rsid w:val="00D07879"/>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0E"/>
    <w:rsid w:val="00D1315D"/>
    <w:rsid w:val="00D13494"/>
    <w:rsid w:val="00D1379E"/>
    <w:rsid w:val="00D1439C"/>
    <w:rsid w:val="00D14764"/>
    <w:rsid w:val="00D14CDD"/>
    <w:rsid w:val="00D152CC"/>
    <w:rsid w:val="00D1576D"/>
    <w:rsid w:val="00D15A6F"/>
    <w:rsid w:val="00D16475"/>
    <w:rsid w:val="00D165CB"/>
    <w:rsid w:val="00D1687F"/>
    <w:rsid w:val="00D17786"/>
    <w:rsid w:val="00D17D77"/>
    <w:rsid w:val="00D200B9"/>
    <w:rsid w:val="00D2051C"/>
    <w:rsid w:val="00D2073B"/>
    <w:rsid w:val="00D20E5B"/>
    <w:rsid w:val="00D21210"/>
    <w:rsid w:val="00D2167F"/>
    <w:rsid w:val="00D2190F"/>
    <w:rsid w:val="00D21E1C"/>
    <w:rsid w:val="00D2256B"/>
    <w:rsid w:val="00D22F00"/>
    <w:rsid w:val="00D22F68"/>
    <w:rsid w:val="00D233CD"/>
    <w:rsid w:val="00D233EB"/>
    <w:rsid w:val="00D23873"/>
    <w:rsid w:val="00D23947"/>
    <w:rsid w:val="00D23A2C"/>
    <w:rsid w:val="00D2402B"/>
    <w:rsid w:val="00D24057"/>
    <w:rsid w:val="00D241E7"/>
    <w:rsid w:val="00D248E8"/>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1EC7"/>
    <w:rsid w:val="00D3204C"/>
    <w:rsid w:val="00D321E2"/>
    <w:rsid w:val="00D32235"/>
    <w:rsid w:val="00D323FA"/>
    <w:rsid w:val="00D3280C"/>
    <w:rsid w:val="00D3298C"/>
    <w:rsid w:val="00D339CF"/>
    <w:rsid w:val="00D33A49"/>
    <w:rsid w:val="00D341FA"/>
    <w:rsid w:val="00D34228"/>
    <w:rsid w:val="00D34377"/>
    <w:rsid w:val="00D34671"/>
    <w:rsid w:val="00D3470D"/>
    <w:rsid w:val="00D35911"/>
    <w:rsid w:val="00D35C08"/>
    <w:rsid w:val="00D35FB9"/>
    <w:rsid w:val="00D361B7"/>
    <w:rsid w:val="00D3699E"/>
    <w:rsid w:val="00D36AEF"/>
    <w:rsid w:val="00D36BD2"/>
    <w:rsid w:val="00D36DED"/>
    <w:rsid w:val="00D36E06"/>
    <w:rsid w:val="00D36E6F"/>
    <w:rsid w:val="00D3705A"/>
    <w:rsid w:val="00D37129"/>
    <w:rsid w:val="00D373C2"/>
    <w:rsid w:val="00D3757D"/>
    <w:rsid w:val="00D4007B"/>
    <w:rsid w:val="00D406FE"/>
    <w:rsid w:val="00D40B79"/>
    <w:rsid w:val="00D40BCB"/>
    <w:rsid w:val="00D40C37"/>
    <w:rsid w:val="00D40C88"/>
    <w:rsid w:val="00D40F0A"/>
    <w:rsid w:val="00D412FB"/>
    <w:rsid w:val="00D415E0"/>
    <w:rsid w:val="00D4181A"/>
    <w:rsid w:val="00D41AAF"/>
    <w:rsid w:val="00D4225E"/>
    <w:rsid w:val="00D4247C"/>
    <w:rsid w:val="00D42A1E"/>
    <w:rsid w:val="00D43D45"/>
    <w:rsid w:val="00D44DF3"/>
    <w:rsid w:val="00D44E08"/>
    <w:rsid w:val="00D44EB5"/>
    <w:rsid w:val="00D451B1"/>
    <w:rsid w:val="00D4555A"/>
    <w:rsid w:val="00D458B1"/>
    <w:rsid w:val="00D459A1"/>
    <w:rsid w:val="00D45CBC"/>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577E2"/>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3D5F"/>
    <w:rsid w:val="00D6406C"/>
    <w:rsid w:val="00D64096"/>
    <w:rsid w:val="00D6524B"/>
    <w:rsid w:val="00D65E1E"/>
    <w:rsid w:val="00D66449"/>
    <w:rsid w:val="00D666BD"/>
    <w:rsid w:val="00D66F2B"/>
    <w:rsid w:val="00D672D1"/>
    <w:rsid w:val="00D677E2"/>
    <w:rsid w:val="00D70471"/>
    <w:rsid w:val="00D70719"/>
    <w:rsid w:val="00D71010"/>
    <w:rsid w:val="00D71296"/>
    <w:rsid w:val="00D7132C"/>
    <w:rsid w:val="00D723D0"/>
    <w:rsid w:val="00D7258C"/>
    <w:rsid w:val="00D72741"/>
    <w:rsid w:val="00D72E82"/>
    <w:rsid w:val="00D73179"/>
    <w:rsid w:val="00D7371E"/>
    <w:rsid w:val="00D73721"/>
    <w:rsid w:val="00D73838"/>
    <w:rsid w:val="00D73FE9"/>
    <w:rsid w:val="00D741AA"/>
    <w:rsid w:val="00D741C0"/>
    <w:rsid w:val="00D74221"/>
    <w:rsid w:val="00D744B9"/>
    <w:rsid w:val="00D74604"/>
    <w:rsid w:val="00D74BBD"/>
    <w:rsid w:val="00D74CFE"/>
    <w:rsid w:val="00D750A0"/>
    <w:rsid w:val="00D7581F"/>
    <w:rsid w:val="00D75C3A"/>
    <w:rsid w:val="00D75F46"/>
    <w:rsid w:val="00D7641C"/>
    <w:rsid w:val="00D7662C"/>
    <w:rsid w:val="00D76768"/>
    <w:rsid w:val="00D767B2"/>
    <w:rsid w:val="00D76B5A"/>
    <w:rsid w:val="00D7728D"/>
    <w:rsid w:val="00D77E8D"/>
    <w:rsid w:val="00D804F1"/>
    <w:rsid w:val="00D80530"/>
    <w:rsid w:val="00D80549"/>
    <w:rsid w:val="00D809D7"/>
    <w:rsid w:val="00D81113"/>
    <w:rsid w:val="00D81697"/>
    <w:rsid w:val="00D816A0"/>
    <w:rsid w:val="00D81FEB"/>
    <w:rsid w:val="00D825BB"/>
    <w:rsid w:val="00D83391"/>
    <w:rsid w:val="00D835A5"/>
    <w:rsid w:val="00D835DF"/>
    <w:rsid w:val="00D8365D"/>
    <w:rsid w:val="00D83706"/>
    <w:rsid w:val="00D83775"/>
    <w:rsid w:val="00D84868"/>
    <w:rsid w:val="00D84B38"/>
    <w:rsid w:val="00D84BB5"/>
    <w:rsid w:val="00D85A5F"/>
    <w:rsid w:val="00D85B35"/>
    <w:rsid w:val="00D8692A"/>
    <w:rsid w:val="00D86D30"/>
    <w:rsid w:val="00D870BB"/>
    <w:rsid w:val="00D87283"/>
    <w:rsid w:val="00D87395"/>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DE"/>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283"/>
    <w:rsid w:val="00D96514"/>
    <w:rsid w:val="00D965CE"/>
    <w:rsid w:val="00D967AD"/>
    <w:rsid w:val="00D96D45"/>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1AB7"/>
    <w:rsid w:val="00DA1C2E"/>
    <w:rsid w:val="00DA2079"/>
    <w:rsid w:val="00DA2153"/>
    <w:rsid w:val="00DA2156"/>
    <w:rsid w:val="00DA23A1"/>
    <w:rsid w:val="00DA2508"/>
    <w:rsid w:val="00DA272C"/>
    <w:rsid w:val="00DA281F"/>
    <w:rsid w:val="00DA2A11"/>
    <w:rsid w:val="00DA2F4F"/>
    <w:rsid w:val="00DA3AAA"/>
    <w:rsid w:val="00DA3D27"/>
    <w:rsid w:val="00DA436F"/>
    <w:rsid w:val="00DA439A"/>
    <w:rsid w:val="00DA4C81"/>
    <w:rsid w:val="00DA4DEC"/>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30B"/>
    <w:rsid w:val="00DB058A"/>
    <w:rsid w:val="00DB16C9"/>
    <w:rsid w:val="00DB16E7"/>
    <w:rsid w:val="00DB1956"/>
    <w:rsid w:val="00DB1AFB"/>
    <w:rsid w:val="00DB2265"/>
    <w:rsid w:val="00DB28F0"/>
    <w:rsid w:val="00DB30BB"/>
    <w:rsid w:val="00DB325C"/>
    <w:rsid w:val="00DB33A4"/>
    <w:rsid w:val="00DB33BD"/>
    <w:rsid w:val="00DB33C4"/>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432"/>
    <w:rsid w:val="00DB77BB"/>
    <w:rsid w:val="00DB78C1"/>
    <w:rsid w:val="00DB7D5B"/>
    <w:rsid w:val="00DC0279"/>
    <w:rsid w:val="00DC0400"/>
    <w:rsid w:val="00DC0A4E"/>
    <w:rsid w:val="00DC0BD3"/>
    <w:rsid w:val="00DC1700"/>
    <w:rsid w:val="00DC1A53"/>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5F86"/>
    <w:rsid w:val="00DC6075"/>
    <w:rsid w:val="00DC6262"/>
    <w:rsid w:val="00DC681C"/>
    <w:rsid w:val="00DC6FCE"/>
    <w:rsid w:val="00DC787D"/>
    <w:rsid w:val="00DC7A03"/>
    <w:rsid w:val="00DD01C8"/>
    <w:rsid w:val="00DD0B0D"/>
    <w:rsid w:val="00DD1265"/>
    <w:rsid w:val="00DD12FC"/>
    <w:rsid w:val="00DD185D"/>
    <w:rsid w:val="00DD1977"/>
    <w:rsid w:val="00DD1BE7"/>
    <w:rsid w:val="00DD226B"/>
    <w:rsid w:val="00DD2553"/>
    <w:rsid w:val="00DD2CA5"/>
    <w:rsid w:val="00DD3471"/>
    <w:rsid w:val="00DD3A10"/>
    <w:rsid w:val="00DD474B"/>
    <w:rsid w:val="00DD4842"/>
    <w:rsid w:val="00DD4A99"/>
    <w:rsid w:val="00DD50C2"/>
    <w:rsid w:val="00DD5851"/>
    <w:rsid w:val="00DD5946"/>
    <w:rsid w:val="00DD5C09"/>
    <w:rsid w:val="00DD6479"/>
    <w:rsid w:val="00DD681D"/>
    <w:rsid w:val="00DD7183"/>
    <w:rsid w:val="00DD72F4"/>
    <w:rsid w:val="00DD7388"/>
    <w:rsid w:val="00DD77E5"/>
    <w:rsid w:val="00DD7C77"/>
    <w:rsid w:val="00DE182F"/>
    <w:rsid w:val="00DE18A4"/>
    <w:rsid w:val="00DE2130"/>
    <w:rsid w:val="00DE238E"/>
    <w:rsid w:val="00DE2775"/>
    <w:rsid w:val="00DE2BE0"/>
    <w:rsid w:val="00DE2C22"/>
    <w:rsid w:val="00DE3259"/>
    <w:rsid w:val="00DE327F"/>
    <w:rsid w:val="00DE33D0"/>
    <w:rsid w:val="00DE34A3"/>
    <w:rsid w:val="00DE3511"/>
    <w:rsid w:val="00DE3794"/>
    <w:rsid w:val="00DE3824"/>
    <w:rsid w:val="00DE4581"/>
    <w:rsid w:val="00DE494A"/>
    <w:rsid w:val="00DE4C8B"/>
    <w:rsid w:val="00DE4DC5"/>
    <w:rsid w:val="00DE4EDE"/>
    <w:rsid w:val="00DE5257"/>
    <w:rsid w:val="00DE58DB"/>
    <w:rsid w:val="00DE636E"/>
    <w:rsid w:val="00DE640A"/>
    <w:rsid w:val="00DE6456"/>
    <w:rsid w:val="00DE6BB5"/>
    <w:rsid w:val="00DE6DFB"/>
    <w:rsid w:val="00DE7B52"/>
    <w:rsid w:val="00DE7DDF"/>
    <w:rsid w:val="00DE7F33"/>
    <w:rsid w:val="00DF0214"/>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003"/>
    <w:rsid w:val="00DF72D4"/>
    <w:rsid w:val="00DF7338"/>
    <w:rsid w:val="00DF736D"/>
    <w:rsid w:val="00DF7863"/>
    <w:rsid w:val="00DF7994"/>
    <w:rsid w:val="00E00186"/>
    <w:rsid w:val="00E0027A"/>
    <w:rsid w:val="00E00468"/>
    <w:rsid w:val="00E00933"/>
    <w:rsid w:val="00E00A40"/>
    <w:rsid w:val="00E0129D"/>
    <w:rsid w:val="00E013AE"/>
    <w:rsid w:val="00E015EC"/>
    <w:rsid w:val="00E018BF"/>
    <w:rsid w:val="00E01AD5"/>
    <w:rsid w:val="00E01AEA"/>
    <w:rsid w:val="00E01B37"/>
    <w:rsid w:val="00E02230"/>
    <w:rsid w:val="00E02A0D"/>
    <w:rsid w:val="00E03183"/>
    <w:rsid w:val="00E037EA"/>
    <w:rsid w:val="00E03ED2"/>
    <w:rsid w:val="00E0416E"/>
    <w:rsid w:val="00E04208"/>
    <w:rsid w:val="00E04E48"/>
    <w:rsid w:val="00E051F3"/>
    <w:rsid w:val="00E055DC"/>
    <w:rsid w:val="00E059DA"/>
    <w:rsid w:val="00E05C88"/>
    <w:rsid w:val="00E06726"/>
    <w:rsid w:val="00E067AC"/>
    <w:rsid w:val="00E07053"/>
    <w:rsid w:val="00E07125"/>
    <w:rsid w:val="00E072A4"/>
    <w:rsid w:val="00E0764B"/>
    <w:rsid w:val="00E07B0F"/>
    <w:rsid w:val="00E07D3F"/>
    <w:rsid w:val="00E07E9C"/>
    <w:rsid w:val="00E100BC"/>
    <w:rsid w:val="00E1021A"/>
    <w:rsid w:val="00E1035C"/>
    <w:rsid w:val="00E103D4"/>
    <w:rsid w:val="00E1100B"/>
    <w:rsid w:val="00E117A9"/>
    <w:rsid w:val="00E11AC1"/>
    <w:rsid w:val="00E11ACF"/>
    <w:rsid w:val="00E12895"/>
    <w:rsid w:val="00E12954"/>
    <w:rsid w:val="00E12AFC"/>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AF"/>
    <w:rsid w:val="00E17D86"/>
    <w:rsid w:val="00E17EBF"/>
    <w:rsid w:val="00E209C8"/>
    <w:rsid w:val="00E20C69"/>
    <w:rsid w:val="00E20FEC"/>
    <w:rsid w:val="00E2134B"/>
    <w:rsid w:val="00E2169B"/>
    <w:rsid w:val="00E2177E"/>
    <w:rsid w:val="00E2191F"/>
    <w:rsid w:val="00E21F78"/>
    <w:rsid w:val="00E2201E"/>
    <w:rsid w:val="00E2212E"/>
    <w:rsid w:val="00E223B2"/>
    <w:rsid w:val="00E22699"/>
    <w:rsid w:val="00E22DFF"/>
    <w:rsid w:val="00E22F7D"/>
    <w:rsid w:val="00E232AA"/>
    <w:rsid w:val="00E23585"/>
    <w:rsid w:val="00E23BC9"/>
    <w:rsid w:val="00E24176"/>
    <w:rsid w:val="00E2468F"/>
    <w:rsid w:val="00E2485E"/>
    <w:rsid w:val="00E2499B"/>
    <w:rsid w:val="00E24FCA"/>
    <w:rsid w:val="00E2584F"/>
    <w:rsid w:val="00E2597B"/>
    <w:rsid w:val="00E26117"/>
    <w:rsid w:val="00E26296"/>
    <w:rsid w:val="00E26EB2"/>
    <w:rsid w:val="00E26ED4"/>
    <w:rsid w:val="00E26F6D"/>
    <w:rsid w:val="00E27069"/>
    <w:rsid w:val="00E2707F"/>
    <w:rsid w:val="00E274DA"/>
    <w:rsid w:val="00E276FB"/>
    <w:rsid w:val="00E301B4"/>
    <w:rsid w:val="00E303CF"/>
    <w:rsid w:val="00E304F7"/>
    <w:rsid w:val="00E306DC"/>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31D"/>
    <w:rsid w:val="00E34507"/>
    <w:rsid w:val="00E34ECA"/>
    <w:rsid w:val="00E350A8"/>
    <w:rsid w:val="00E353C3"/>
    <w:rsid w:val="00E353F9"/>
    <w:rsid w:val="00E35654"/>
    <w:rsid w:val="00E3652E"/>
    <w:rsid w:val="00E36789"/>
    <w:rsid w:val="00E36D17"/>
    <w:rsid w:val="00E36F35"/>
    <w:rsid w:val="00E36FD3"/>
    <w:rsid w:val="00E371EE"/>
    <w:rsid w:val="00E3723B"/>
    <w:rsid w:val="00E37329"/>
    <w:rsid w:val="00E37608"/>
    <w:rsid w:val="00E37DA8"/>
    <w:rsid w:val="00E401A9"/>
    <w:rsid w:val="00E402CA"/>
    <w:rsid w:val="00E40392"/>
    <w:rsid w:val="00E40ADF"/>
    <w:rsid w:val="00E40E97"/>
    <w:rsid w:val="00E41263"/>
    <w:rsid w:val="00E412B9"/>
    <w:rsid w:val="00E41639"/>
    <w:rsid w:val="00E41ADC"/>
    <w:rsid w:val="00E41CAE"/>
    <w:rsid w:val="00E4252D"/>
    <w:rsid w:val="00E4290D"/>
    <w:rsid w:val="00E42CBB"/>
    <w:rsid w:val="00E43422"/>
    <w:rsid w:val="00E451E3"/>
    <w:rsid w:val="00E453DF"/>
    <w:rsid w:val="00E4566C"/>
    <w:rsid w:val="00E46558"/>
    <w:rsid w:val="00E46574"/>
    <w:rsid w:val="00E473F2"/>
    <w:rsid w:val="00E47687"/>
    <w:rsid w:val="00E47D8B"/>
    <w:rsid w:val="00E47DC9"/>
    <w:rsid w:val="00E504F4"/>
    <w:rsid w:val="00E50721"/>
    <w:rsid w:val="00E50761"/>
    <w:rsid w:val="00E508E1"/>
    <w:rsid w:val="00E508ED"/>
    <w:rsid w:val="00E50E67"/>
    <w:rsid w:val="00E5157D"/>
    <w:rsid w:val="00E51EAD"/>
    <w:rsid w:val="00E52A41"/>
    <w:rsid w:val="00E52AAF"/>
    <w:rsid w:val="00E53506"/>
    <w:rsid w:val="00E5372F"/>
    <w:rsid w:val="00E53AC9"/>
    <w:rsid w:val="00E53B0D"/>
    <w:rsid w:val="00E540E9"/>
    <w:rsid w:val="00E549DE"/>
    <w:rsid w:val="00E54C46"/>
    <w:rsid w:val="00E55EE8"/>
    <w:rsid w:val="00E55F59"/>
    <w:rsid w:val="00E5604A"/>
    <w:rsid w:val="00E5614B"/>
    <w:rsid w:val="00E56542"/>
    <w:rsid w:val="00E5667F"/>
    <w:rsid w:val="00E5678B"/>
    <w:rsid w:val="00E569D6"/>
    <w:rsid w:val="00E56C4B"/>
    <w:rsid w:val="00E56E5B"/>
    <w:rsid w:val="00E573F3"/>
    <w:rsid w:val="00E57416"/>
    <w:rsid w:val="00E57610"/>
    <w:rsid w:val="00E57874"/>
    <w:rsid w:val="00E60268"/>
    <w:rsid w:val="00E60901"/>
    <w:rsid w:val="00E60EE7"/>
    <w:rsid w:val="00E61114"/>
    <w:rsid w:val="00E61215"/>
    <w:rsid w:val="00E61535"/>
    <w:rsid w:val="00E61D17"/>
    <w:rsid w:val="00E621EE"/>
    <w:rsid w:val="00E62355"/>
    <w:rsid w:val="00E62FF9"/>
    <w:rsid w:val="00E6307B"/>
    <w:rsid w:val="00E638EB"/>
    <w:rsid w:val="00E639A4"/>
    <w:rsid w:val="00E63D12"/>
    <w:rsid w:val="00E64090"/>
    <w:rsid w:val="00E64867"/>
    <w:rsid w:val="00E6536C"/>
    <w:rsid w:val="00E654A9"/>
    <w:rsid w:val="00E6567C"/>
    <w:rsid w:val="00E65751"/>
    <w:rsid w:val="00E65EE2"/>
    <w:rsid w:val="00E66119"/>
    <w:rsid w:val="00E66362"/>
    <w:rsid w:val="00E664F5"/>
    <w:rsid w:val="00E6665F"/>
    <w:rsid w:val="00E66DAE"/>
    <w:rsid w:val="00E67CAF"/>
    <w:rsid w:val="00E700D6"/>
    <w:rsid w:val="00E707EB"/>
    <w:rsid w:val="00E708FF"/>
    <w:rsid w:val="00E70A6C"/>
    <w:rsid w:val="00E7164D"/>
    <w:rsid w:val="00E71F92"/>
    <w:rsid w:val="00E722B7"/>
    <w:rsid w:val="00E72F76"/>
    <w:rsid w:val="00E73354"/>
    <w:rsid w:val="00E736AB"/>
    <w:rsid w:val="00E73AE4"/>
    <w:rsid w:val="00E74352"/>
    <w:rsid w:val="00E746EC"/>
    <w:rsid w:val="00E74856"/>
    <w:rsid w:val="00E74BCC"/>
    <w:rsid w:val="00E7518B"/>
    <w:rsid w:val="00E7554B"/>
    <w:rsid w:val="00E75566"/>
    <w:rsid w:val="00E75A70"/>
    <w:rsid w:val="00E75DEE"/>
    <w:rsid w:val="00E76189"/>
    <w:rsid w:val="00E76799"/>
    <w:rsid w:val="00E774E1"/>
    <w:rsid w:val="00E80251"/>
    <w:rsid w:val="00E80A40"/>
    <w:rsid w:val="00E80CAE"/>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3C06"/>
    <w:rsid w:val="00E849C7"/>
    <w:rsid w:val="00E84BBC"/>
    <w:rsid w:val="00E84C12"/>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87EC7"/>
    <w:rsid w:val="00E906FC"/>
    <w:rsid w:val="00E912DE"/>
    <w:rsid w:val="00E91596"/>
    <w:rsid w:val="00E9249A"/>
    <w:rsid w:val="00E925C3"/>
    <w:rsid w:val="00E92E20"/>
    <w:rsid w:val="00E93052"/>
    <w:rsid w:val="00E9375D"/>
    <w:rsid w:val="00E93980"/>
    <w:rsid w:val="00E93D45"/>
    <w:rsid w:val="00E94AC3"/>
    <w:rsid w:val="00E95568"/>
    <w:rsid w:val="00E95A42"/>
    <w:rsid w:val="00E95DC9"/>
    <w:rsid w:val="00E95F59"/>
    <w:rsid w:val="00E9601F"/>
    <w:rsid w:val="00E97020"/>
    <w:rsid w:val="00E9751D"/>
    <w:rsid w:val="00E979A7"/>
    <w:rsid w:val="00E97A01"/>
    <w:rsid w:val="00E97C8C"/>
    <w:rsid w:val="00EA01C6"/>
    <w:rsid w:val="00EA01CE"/>
    <w:rsid w:val="00EA05C2"/>
    <w:rsid w:val="00EA0952"/>
    <w:rsid w:val="00EA0EEA"/>
    <w:rsid w:val="00EA15FF"/>
    <w:rsid w:val="00EA16D2"/>
    <w:rsid w:val="00EA18B0"/>
    <w:rsid w:val="00EA1E0E"/>
    <w:rsid w:val="00EA1F36"/>
    <w:rsid w:val="00EA25A0"/>
    <w:rsid w:val="00EA26C7"/>
    <w:rsid w:val="00EA2B66"/>
    <w:rsid w:val="00EA34FE"/>
    <w:rsid w:val="00EA40B1"/>
    <w:rsid w:val="00EA4174"/>
    <w:rsid w:val="00EA43AD"/>
    <w:rsid w:val="00EA4E55"/>
    <w:rsid w:val="00EA4EF3"/>
    <w:rsid w:val="00EA5911"/>
    <w:rsid w:val="00EA5F68"/>
    <w:rsid w:val="00EA5FDD"/>
    <w:rsid w:val="00EA61C7"/>
    <w:rsid w:val="00EA61C9"/>
    <w:rsid w:val="00EA6249"/>
    <w:rsid w:val="00EA69D1"/>
    <w:rsid w:val="00EA77BE"/>
    <w:rsid w:val="00EA78BE"/>
    <w:rsid w:val="00EA7AC7"/>
    <w:rsid w:val="00EA7BF6"/>
    <w:rsid w:val="00EA7C22"/>
    <w:rsid w:val="00EA7CD0"/>
    <w:rsid w:val="00EA7D46"/>
    <w:rsid w:val="00EB064C"/>
    <w:rsid w:val="00EB1110"/>
    <w:rsid w:val="00EB17DE"/>
    <w:rsid w:val="00EB1A82"/>
    <w:rsid w:val="00EB2171"/>
    <w:rsid w:val="00EB2355"/>
    <w:rsid w:val="00EB255D"/>
    <w:rsid w:val="00EB2628"/>
    <w:rsid w:val="00EB27AB"/>
    <w:rsid w:val="00EB33B5"/>
    <w:rsid w:val="00EB3527"/>
    <w:rsid w:val="00EB4466"/>
    <w:rsid w:val="00EB44C6"/>
    <w:rsid w:val="00EB47EB"/>
    <w:rsid w:val="00EB4917"/>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12A"/>
    <w:rsid w:val="00EC2427"/>
    <w:rsid w:val="00EC25BA"/>
    <w:rsid w:val="00EC2FF7"/>
    <w:rsid w:val="00EC3DF1"/>
    <w:rsid w:val="00EC436E"/>
    <w:rsid w:val="00EC4423"/>
    <w:rsid w:val="00EC44A2"/>
    <w:rsid w:val="00EC45B8"/>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F"/>
    <w:rsid w:val="00EC7CA9"/>
    <w:rsid w:val="00EC7DA7"/>
    <w:rsid w:val="00ED0603"/>
    <w:rsid w:val="00ED064B"/>
    <w:rsid w:val="00ED069E"/>
    <w:rsid w:val="00ED0C81"/>
    <w:rsid w:val="00ED0F51"/>
    <w:rsid w:val="00ED1DCE"/>
    <w:rsid w:val="00ED228C"/>
    <w:rsid w:val="00ED2840"/>
    <w:rsid w:val="00ED2929"/>
    <w:rsid w:val="00ED29EE"/>
    <w:rsid w:val="00ED2CD7"/>
    <w:rsid w:val="00ED3387"/>
    <w:rsid w:val="00ED35E7"/>
    <w:rsid w:val="00ED3DF8"/>
    <w:rsid w:val="00ED41CC"/>
    <w:rsid w:val="00ED477F"/>
    <w:rsid w:val="00ED4C1D"/>
    <w:rsid w:val="00ED4EF5"/>
    <w:rsid w:val="00ED52D6"/>
    <w:rsid w:val="00ED583B"/>
    <w:rsid w:val="00ED5975"/>
    <w:rsid w:val="00ED5A67"/>
    <w:rsid w:val="00ED5B95"/>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BAF"/>
    <w:rsid w:val="00EE2D8A"/>
    <w:rsid w:val="00EE2EC9"/>
    <w:rsid w:val="00EE363C"/>
    <w:rsid w:val="00EE37D6"/>
    <w:rsid w:val="00EE3C64"/>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464"/>
    <w:rsid w:val="00EF172C"/>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5178"/>
    <w:rsid w:val="00EF5249"/>
    <w:rsid w:val="00EF5342"/>
    <w:rsid w:val="00EF5DC1"/>
    <w:rsid w:val="00EF5E8B"/>
    <w:rsid w:val="00EF63C0"/>
    <w:rsid w:val="00EF65F1"/>
    <w:rsid w:val="00EF666C"/>
    <w:rsid w:val="00EF69A1"/>
    <w:rsid w:val="00EF6A36"/>
    <w:rsid w:val="00EF6CD2"/>
    <w:rsid w:val="00EF7CAE"/>
    <w:rsid w:val="00F0064A"/>
    <w:rsid w:val="00F0069C"/>
    <w:rsid w:val="00F00BD0"/>
    <w:rsid w:val="00F01311"/>
    <w:rsid w:val="00F01885"/>
    <w:rsid w:val="00F020BB"/>
    <w:rsid w:val="00F0225B"/>
    <w:rsid w:val="00F023A5"/>
    <w:rsid w:val="00F0262F"/>
    <w:rsid w:val="00F02B3A"/>
    <w:rsid w:val="00F0388D"/>
    <w:rsid w:val="00F04405"/>
    <w:rsid w:val="00F04BC5"/>
    <w:rsid w:val="00F04BF0"/>
    <w:rsid w:val="00F04D10"/>
    <w:rsid w:val="00F04DC9"/>
    <w:rsid w:val="00F05047"/>
    <w:rsid w:val="00F05458"/>
    <w:rsid w:val="00F05975"/>
    <w:rsid w:val="00F05A47"/>
    <w:rsid w:val="00F05BC1"/>
    <w:rsid w:val="00F05C43"/>
    <w:rsid w:val="00F06190"/>
    <w:rsid w:val="00F0671C"/>
    <w:rsid w:val="00F06788"/>
    <w:rsid w:val="00F0678B"/>
    <w:rsid w:val="00F07494"/>
    <w:rsid w:val="00F076AF"/>
    <w:rsid w:val="00F0789F"/>
    <w:rsid w:val="00F0797C"/>
    <w:rsid w:val="00F101A5"/>
    <w:rsid w:val="00F103B7"/>
    <w:rsid w:val="00F10433"/>
    <w:rsid w:val="00F108B4"/>
    <w:rsid w:val="00F10AD6"/>
    <w:rsid w:val="00F113DA"/>
    <w:rsid w:val="00F11EC9"/>
    <w:rsid w:val="00F1239B"/>
    <w:rsid w:val="00F127FD"/>
    <w:rsid w:val="00F1294D"/>
    <w:rsid w:val="00F12DFE"/>
    <w:rsid w:val="00F13049"/>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215"/>
    <w:rsid w:val="00F2330D"/>
    <w:rsid w:val="00F23383"/>
    <w:rsid w:val="00F23744"/>
    <w:rsid w:val="00F2380A"/>
    <w:rsid w:val="00F2393F"/>
    <w:rsid w:val="00F23A50"/>
    <w:rsid w:val="00F23FC1"/>
    <w:rsid w:val="00F241D6"/>
    <w:rsid w:val="00F24C10"/>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0F8D"/>
    <w:rsid w:val="00F3152B"/>
    <w:rsid w:val="00F315E0"/>
    <w:rsid w:val="00F316DD"/>
    <w:rsid w:val="00F3179A"/>
    <w:rsid w:val="00F31C17"/>
    <w:rsid w:val="00F32562"/>
    <w:rsid w:val="00F32630"/>
    <w:rsid w:val="00F32863"/>
    <w:rsid w:val="00F33B17"/>
    <w:rsid w:val="00F33BD5"/>
    <w:rsid w:val="00F33C7D"/>
    <w:rsid w:val="00F33DFE"/>
    <w:rsid w:val="00F342C1"/>
    <w:rsid w:val="00F347ED"/>
    <w:rsid w:val="00F348FD"/>
    <w:rsid w:val="00F35678"/>
    <w:rsid w:val="00F357DD"/>
    <w:rsid w:val="00F36398"/>
    <w:rsid w:val="00F366BB"/>
    <w:rsid w:val="00F36CEE"/>
    <w:rsid w:val="00F37034"/>
    <w:rsid w:val="00F3753F"/>
    <w:rsid w:val="00F37AE9"/>
    <w:rsid w:val="00F37D30"/>
    <w:rsid w:val="00F37F7A"/>
    <w:rsid w:val="00F401DC"/>
    <w:rsid w:val="00F403DE"/>
    <w:rsid w:val="00F404D2"/>
    <w:rsid w:val="00F4059B"/>
    <w:rsid w:val="00F40AF3"/>
    <w:rsid w:val="00F40C64"/>
    <w:rsid w:val="00F40E06"/>
    <w:rsid w:val="00F412C9"/>
    <w:rsid w:val="00F414D2"/>
    <w:rsid w:val="00F41785"/>
    <w:rsid w:val="00F418AF"/>
    <w:rsid w:val="00F418C2"/>
    <w:rsid w:val="00F4196E"/>
    <w:rsid w:val="00F419A8"/>
    <w:rsid w:val="00F41A0A"/>
    <w:rsid w:val="00F425A7"/>
    <w:rsid w:val="00F42883"/>
    <w:rsid w:val="00F429E2"/>
    <w:rsid w:val="00F4328E"/>
    <w:rsid w:val="00F4350A"/>
    <w:rsid w:val="00F43871"/>
    <w:rsid w:val="00F438C7"/>
    <w:rsid w:val="00F43C2E"/>
    <w:rsid w:val="00F43DC7"/>
    <w:rsid w:val="00F44624"/>
    <w:rsid w:val="00F446AA"/>
    <w:rsid w:val="00F44AB1"/>
    <w:rsid w:val="00F44AE1"/>
    <w:rsid w:val="00F44D95"/>
    <w:rsid w:val="00F461DF"/>
    <w:rsid w:val="00F468BE"/>
    <w:rsid w:val="00F4706C"/>
    <w:rsid w:val="00F472A3"/>
    <w:rsid w:val="00F475F7"/>
    <w:rsid w:val="00F4769C"/>
    <w:rsid w:val="00F47C10"/>
    <w:rsid w:val="00F47CD7"/>
    <w:rsid w:val="00F47F5D"/>
    <w:rsid w:val="00F5019A"/>
    <w:rsid w:val="00F50741"/>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6E7"/>
    <w:rsid w:val="00F5473F"/>
    <w:rsid w:val="00F54A2B"/>
    <w:rsid w:val="00F54B3C"/>
    <w:rsid w:val="00F54CCB"/>
    <w:rsid w:val="00F5531B"/>
    <w:rsid w:val="00F55582"/>
    <w:rsid w:val="00F556FA"/>
    <w:rsid w:val="00F55D91"/>
    <w:rsid w:val="00F55E5E"/>
    <w:rsid w:val="00F569D5"/>
    <w:rsid w:val="00F56C7D"/>
    <w:rsid w:val="00F56DC1"/>
    <w:rsid w:val="00F57040"/>
    <w:rsid w:val="00F57B25"/>
    <w:rsid w:val="00F57DEE"/>
    <w:rsid w:val="00F605D8"/>
    <w:rsid w:val="00F609AE"/>
    <w:rsid w:val="00F60AD3"/>
    <w:rsid w:val="00F60C1B"/>
    <w:rsid w:val="00F611C0"/>
    <w:rsid w:val="00F6138B"/>
    <w:rsid w:val="00F61766"/>
    <w:rsid w:val="00F619BD"/>
    <w:rsid w:val="00F6216A"/>
    <w:rsid w:val="00F62AD7"/>
    <w:rsid w:val="00F62E49"/>
    <w:rsid w:val="00F633B8"/>
    <w:rsid w:val="00F633E8"/>
    <w:rsid w:val="00F6341C"/>
    <w:rsid w:val="00F6396E"/>
    <w:rsid w:val="00F63B28"/>
    <w:rsid w:val="00F63C60"/>
    <w:rsid w:val="00F651B3"/>
    <w:rsid w:val="00F653D3"/>
    <w:rsid w:val="00F65620"/>
    <w:rsid w:val="00F65D0F"/>
    <w:rsid w:val="00F65E6A"/>
    <w:rsid w:val="00F66093"/>
    <w:rsid w:val="00F665CA"/>
    <w:rsid w:val="00F668E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4FD"/>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1DE"/>
    <w:rsid w:val="00F762E2"/>
    <w:rsid w:val="00F77093"/>
    <w:rsid w:val="00F773EE"/>
    <w:rsid w:val="00F7760E"/>
    <w:rsid w:val="00F7765D"/>
    <w:rsid w:val="00F77CD7"/>
    <w:rsid w:val="00F80143"/>
    <w:rsid w:val="00F808E0"/>
    <w:rsid w:val="00F809FC"/>
    <w:rsid w:val="00F80D1F"/>
    <w:rsid w:val="00F80DC8"/>
    <w:rsid w:val="00F80ECC"/>
    <w:rsid w:val="00F81249"/>
    <w:rsid w:val="00F813F8"/>
    <w:rsid w:val="00F81461"/>
    <w:rsid w:val="00F814F8"/>
    <w:rsid w:val="00F81DB1"/>
    <w:rsid w:val="00F81F2C"/>
    <w:rsid w:val="00F81FF0"/>
    <w:rsid w:val="00F825E7"/>
    <w:rsid w:val="00F82F48"/>
    <w:rsid w:val="00F83291"/>
    <w:rsid w:val="00F8332D"/>
    <w:rsid w:val="00F83465"/>
    <w:rsid w:val="00F83F36"/>
    <w:rsid w:val="00F842B2"/>
    <w:rsid w:val="00F84515"/>
    <w:rsid w:val="00F846A7"/>
    <w:rsid w:val="00F847D7"/>
    <w:rsid w:val="00F8484B"/>
    <w:rsid w:val="00F84A4A"/>
    <w:rsid w:val="00F84EC7"/>
    <w:rsid w:val="00F84FF2"/>
    <w:rsid w:val="00F8525A"/>
    <w:rsid w:val="00F852C8"/>
    <w:rsid w:val="00F85AD6"/>
    <w:rsid w:val="00F85E94"/>
    <w:rsid w:val="00F86784"/>
    <w:rsid w:val="00F86B25"/>
    <w:rsid w:val="00F86F9D"/>
    <w:rsid w:val="00F8762B"/>
    <w:rsid w:val="00F87ABD"/>
    <w:rsid w:val="00F90C57"/>
    <w:rsid w:val="00F910D6"/>
    <w:rsid w:val="00F91131"/>
    <w:rsid w:val="00F91324"/>
    <w:rsid w:val="00F91B2D"/>
    <w:rsid w:val="00F91C04"/>
    <w:rsid w:val="00F91E23"/>
    <w:rsid w:val="00F92168"/>
    <w:rsid w:val="00F9285D"/>
    <w:rsid w:val="00F928A0"/>
    <w:rsid w:val="00F92A6B"/>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6F88"/>
    <w:rsid w:val="00F970DF"/>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06F"/>
    <w:rsid w:val="00FA5717"/>
    <w:rsid w:val="00FA5B6D"/>
    <w:rsid w:val="00FA6B6C"/>
    <w:rsid w:val="00FA6EF4"/>
    <w:rsid w:val="00FA7746"/>
    <w:rsid w:val="00FA77EB"/>
    <w:rsid w:val="00FA7999"/>
    <w:rsid w:val="00FA7B52"/>
    <w:rsid w:val="00FA7E4D"/>
    <w:rsid w:val="00FB0246"/>
    <w:rsid w:val="00FB0E44"/>
    <w:rsid w:val="00FB190F"/>
    <w:rsid w:val="00FB19E5"/>
    <w:rsid w:val="00FB1BD3"/>
    <w:rsid w:val="00FB1CDC"/>
    <w:rsid w:val="00FB1F2D"/>
    <w:rsid w:val="00FB245F"/>
    <w:rsid w:val="00FB2984"/>
    <w:rsid w:val="00FB2A2E"/>
    <w:rsid w:val="00FB2C91"/>
    <w:rsid w:val="00FB3112"/>
    <w:rsid w:val="00FB378B"/>
    <w:rsid w:val="00FB380B"/>
    <w:rsid w:val="00FB407F"/>
    <w:rsid w:val="00FB4088"/>
    <w:rsid w:val="00FB40E9"/>
    <w:rsid w:val="00FB4346"/>
    <w:rsid w:val="00FB4546"/>
    <w:rsid w:val="00FB4917"/>
    <w:rsid w:val="00FB4ADA"/>
    <w:rsid w:val="00FB4CB9"/>
    <w:rsid w:val="00FB5269"/>
    <w:rsid w:val="00FB5D5E"/>
    <w:rsid w:val="00FB63C4"/>
    <w:rsid w:val="00FB65A1"/>
    <w:rsid w:val="00FB7695"/>
    <w:rsid w:val="00FB7FDA"/>
    <w:rsid w:val="00FC0102"/>
    <w:rsid w:val="00FC05D1"/>
    <w:rsid w:val="00FC0AA5"/>
    <w:rsid w:val="00FC0C73"/>
    <w:rsid w:val="00FC0C8C"/>
    <w:rsid w:val="00FC2457"/>
    <w:rsid w:val="00FC24A6"/>
    <w:rsid w:val="00FC26DA"/>
    <w:rsid w:val="00FC37E5"/>
    <w:rsid w:val="00FC3956"/>
    <w:rsid w:val="00FC3B9D"/>
    <w:rsid w:val="00FC3C5D"/>
    <w:rsid w:val="00FC427B"/>
    <w:rsid w:val="00FC42D8"/>
    <w:rsid w:val="00FC468C"/>
    <w:rsid w:val="00FC4C8C"/>
    <w:rsid w:val="00FC4D8B"/>
    <w:rsid w:val="00FC4D9F"/>
    <w:rsid w:val="00FC4DB4"/>
    <w:rsid w:val="00FC4F4D"/>
    <w:rsid w:val="00FC542B"/>
    <w:rsid w:val="00FC61E9"/>
    <w:rsid w:val="00FC6DA1"/>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2117"/>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88B"/>
    <w:rsid w:val="00FD79C1"/>
    <w:rsid w:val="00FD7B21"/>
    <w:rsid w:val="00FE0299"/>
    <w:rsid w:val="00FE04A4"/>
    <w:rsid w:val="00FE0DC0"/>
    <w:rsid w:val="00FE0F55"/>
    <w:rsid w:val="00FE0FAB"/>
    <w:rsid w:val="00FE0FF7"/>
    <w:rsid w:val="00FE103D"/>
    <w:rsid w:val="00FE1F52"/>
    <w:rsid w:val="00FE22E9"/>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0A"/>
    <w:rsid w:val="00FE555F"/>
    <w:rsid w:val="00FE5586"/>
    <w:rsid w:val="00FE593F"/>
    <w:rsid w:val="00FE5BFB"/>
    <w:rsid w:val="00FE5C22"/>
    <w:rsid w:val="00FE6647"/>
    <w:rsid w:val="00FE6836"/>
    <w:rsid w:val="00FE6CD4"/>
    <w:rsid w:val="00FE6E1A"/>
    <w:rsid w:val="00FE6F71"/>
    <w:rsid w:val="00FE6FBA"/>
    <w:rsid w:val="00FE7312"/>
    <w:rsid w:val="00FE7D17"/>
    <w:rsid w:val="00FF0268"/>
    <w:rsid w:val="00FF0AC2"/>
    <w:rsid w:val="00FF0BFF"/>
    <w:rsid w:val="00FF0DD6"/>
    <w:rsid w:val="00FF19A9"/>
    <w:rsid w:val="00FF21B7"/>
    <w:rsid w:val="00FF2615"/>
    <w:rsid w:val="00FF2985"/>
    <w:rsid w:val="00FF2AF1"/>
    <w:rsid w:val="00FF2BB1"/>
    <w:rsid w:val="00FF30A1"/>
    <w:rsid w:val="00FF41AE"/>
    <w:rsid w:val="00FF424C"/>
    <w:rsid w:val="00FF449E"/>
    <w:rsid w:val="00FF487F"/>
    <w:rsid w:val="00FF4EEB"/>
    <w:rsid w:val="00FF545B"/>
    <w:rsid w:val="00FF5EB6"/>
    <w:rsid w:val="00FF5F13"/>
    <w:rsid w:val="00FF62D0"/>
    <w:rsid w:val="00FF638F"/>
    <w:rsid w:val="00FF67F6"/>
    <w:rsid w:val="00FF6E94"/>
    <w:rsid w:val="00FF7226"/>
    <w:rsid w:val="00FF72BF"/>
    <w:rsid w:val="05245B99"/>
    <w:rsid w:val="06345519"/>
    <w:rsid w:val="0F952D26"/>
    <w:rsid w:val="119A16F5"/>
    <w:rsid w:val="22CD1327"/>
    <w:rsid w:val="25B23E72"/>
    <w:rsid w:val="2B5B5919"/>
    <w:rsid w:val="34033C33"/>
    <w:rsid w:val="3D293BFD"/>
    <w:rsid w:val="44297942"/>
    <w:rsid w:val="466D3198"/>
    <w:rsid w:val="48316ECF"/>
    <w:rsid w:val="49B57A44"/>
    <w:rsid w:val="4C283C71"/>
    <w:rsid w:val="4EA45AEB"/>
    <w:rsid w:val="4EBD6547"/>
    <w:rsid w:val="4FB525DA"/>
    <w:rsid w:val="51573564"/>
    <w:rsid w:val="5D3C6D21"/>
    <w:rsid w:val="5DE22207"/>
    <w:rsid w:val="6A5142E6"/>
    <w:rsid w:val="6AEA27F5"/>
    <w:rsid w:val="7F9F47D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39"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link w:val="59"/>
    <w:qFormat/>
    <w:uiPriority w:val="99"/>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0"/>
    <w:qFormat/>
    <w:uiPriority w:val="0"/>
    <w:pPr>
      <w:numPr>
        <w:ilvl w:val="1"/>
      </w:numPr>
      <w:pBdr>
        <w:top w:val="none" w:color="auto" w:sz="0" w:space="0"/>
      </w:pBdr>
      <w:spacing w:before="180"/>
      <w:outlineLvl w:val="1"/>
    </w:pPr>
    <w:rPr>
      <w:iCs/>
      <w:kern w:val="0"/>
      <w:sz w:val="28"/>
      <w:szCs w:val="28"/>
    </w:rPr>
  </w:style>
  <w:style w:type="paragraph" w:styleId="4">
    <w:name w:val="heading 3"/>
    <w:basedOn w:val="3"/>
    <w:next w:val="1"/>
    <w:link w:val="61"/>
    <w:qFormat/>
    <w:uiPriority w:val="99"/>
    <w:pPr>
      <w:numPr>
        <w:ilvl w:val="2"/>
      </w:numPr>
      <w:spacing w:before="120"/>
      <w:outlineLvl w:val="2"/>
    </w:pPr>
    <w:rPr>
      <w:i/>
      <w:iCs w:val="0"/>
      <w:sz w:val="26"/>
      <w:szCs w:val="26"/>
    </w:rPr>
  </w:style>
  <w:style w:type="paragraph" w:styleId="5">
    <w:name w:val="heading 4"/>
    <w:basedOn w:val="4"/>
    <w:next w:val="1"/>
    <w:link w:val="62"/>
    <w:qFormat/>
    <w:uiPriority w:val="99"/>
    <w:pPr>
      <w:numPr>
        <w:ilvl w:val="3"/>
      </w:numPr>
      <w:outlineLvl w:val="3"/>
    </w:pPr>
    <w:rPr>
      <w:rFonts w:ascii="Calibri" w:hAnsi="Calibri"/>
      <w:sz w:val="28"/>
      <w:szCs w:val="28"/>
    </w:rPr>
  </w:style>
  <w:style w:type="paragraph" w:styleId="6">
    <w:name w:val="heading 5"/>
    <w:basedOn w:val="5"/>
    <w:next w:val="1"/>
    <w:link w:val="63"/>
    <w:qFormat/>
    <w:uiPriority w:val="99"/>
    <w:pPr>
      <w:numPr>
        <w:ilvl w:val="4"/>
      </w:numPr>
      <w:outlineLvl w:val="4"/>
    </w:pPr>
    <w:rPr>
      <w:i w:val="0"/>
      <w:iCs/>
      <w:sz w:val="26"/>
      <w:szCs w:val="26"/>
    </w:rPr>
  </w:style>
  <w:style w:type="paragraph" w:styleId="7">
    <w:name w:val="heading 6"/>
    <w:basedOn w:val="8"/>
    <w:next w:val="1"/>
    <w:link w:val="64"/>
    <w:qFormat/>
    <w:uiPriority w:val="99"/>
    <w:pPr>
      <w:numPr>
        <w:ilvl w:val="5"/>
        <w:numId w:val="1"/>
      </w:numPr>
      <w:outlineLvl w:val="5"/>
    </w:pPr>
    <w:rPr>
      <w:i/>
      <w:iCs w:val="0"/>
      <w:szCs w:val="20"/>
    </w:rPr>
  </w:style>
  <w:style w:type="paragraph" w:styleId="9">
    <w:name w:val="heading 7"/>
    <w:basedOn w:val="8"/>
    <w:next w:val="1"/>
    <w:link w:val="65"/>
    <w:qFormat/>
    <w:uiPriority w:val="99"/>
    <w:pPr>
      <w:numPr>
        <w:ilvl w:val="6"/>
        <w:numId w:val="1"/>
      </w:numPr>
      <w:outlineLvl w:val="6"/>
    </w:pPr>
    <w:rPr>
      <w:b w:val="0"/>
      <w:bCs w:val="0"/>
      <w:i/>
      <w:iCs w:val="0"/>
      <w:sz w:val="24"/>
      <w:szCs w:val="24"/>
    </w:rPr>
  </w:style>
  <w:style w:type="paragraph" w:styleId="10">
    <w:name w:val="heading 8"/>
    <w:basedOn w:val="2"/>
    <w:next w:val="1"/>
    <w:link w:val="66"/>
    <w:qFormat/>
    <w:uiPriority w:val="99"/>
    <w:pPr>
      <w:numPr>
        <w:ilvl w:val="7"/>
      </w:numPr>
      <w:outlineLvl w:val="7"/>
    </w:pPr>
    <w:rPr>
      <w:rFonts w:ascii="Calibri" w:hAnsi="Calibri"/>
      <w:b w:val="0"/>
      <w:bCs w:val="0"/>
      <w:i/>
      <w:iCs/>
      <w:kern w:val="0"/>
      <w:sz w:val="24"/>
      <w:szCs w:val="24"/>
    </w:rPr>
  </w:style>
  <w:style w:type="paragraph" w:styleId="11">
    <w:name w:val="heading 9"/>
    <w:basedOn w:val="10"/>
    <w:next w:val="1"/>
    <w:link w:val="67"/>
    <w:qFormat/>
    <w:uiPriority w:val="99"/>
    <w:pPr>
      <w:numPr>
        <w:ilvl w:val="8"/>
      </w:num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numPr>
        <w:numId w:val="0"/>
      </w:num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99"/>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99"/>
    <w:rPr>
      <w:color w:val="0000FF"/>
      <w:u w:val="single"/>
    </w:rPr>
  </w:style>
  <w:style w:type="character" w:styleId="57">
    <w:name w:val="annotation reference"/>
    <w:qFormat/>
    <w:uiPriority w:val="0"/>
    <w:rPr>
      <w:rFonts w:cs="Times New Roman"/>
      <w:sz w:val="16"/>
      <w:szCs w:val="16"/>
    </w:rPr>
  </w:style>
  <w:style w:type="character" w:styleId="58">
    <w:name w:val="footnote reference"/>
    <w:semiHidden/>
    <w:qFormat/>
    <w:uiPriority w:val="99"/>
    <w:rPr>
      <w:rFonts w:cs="Times New Roman"/>
      <w:b/>
      <w:position w:val="6"/>
      <w:sz w:val="16"/>
    </w:rPr>
  </w:style>
  <w:style w:type="character" w:customStyle="1" w:styleId="59">
    <w:name w:val="标题 1 字符"/>
    <w:link w:val="2"/>
    <w:qFormat/>
    <w:locked/>
    <w:uiPriority w:val="99"/>
    <w:rPr>
      <w:rFonts w:ascii="Cambria" w:hAnsi="Cambria"/>
      <w:b/>
      <w:bCs/>
      <w:kern w:val="32"/>
      <w:sz w:val="32"/>
      <w:szCs w:val="32"/>
      <w:lang w:val="en-GB" w:eastAsia="ja-JP"/>
    </w:rPr>
  </w:style>
  <w:style w:type="character" w:customStyle="1" w:styleId="60">
    <w:name w:val="标题 2 字符"/>
    <w:link w:val="3"/>
    <w:qFormat/>
    <w:locked/>
    <w:uiPriority w:val="0"/>
    <w:rPr>
      <w:rFonts w:ascii="Cambria" w:hAnsi="Cambria"/>
      <w:b/>
      <w:bCs/>
      <w:iCs/>
      <w:sz w:val="28"/>
      <w:szCs w:val="28"/>
      <w:lang w:val="en-GB" w:eastAsia="ja-JP"/>
    </w:rPr>
  </w:style>
  <w:style w:type="character" w:customStyle="1" w:styleId="61">
    <w:name w:val="标题 3 字符"/>
    <w:link w:val="4"/>
    <w:qFormat/>
    <w:locked/>
    <w:uiPriority w:val="99"/>
    <w:rPr>
      <w:rFonts w:ascii="Cambria" w:hAnsi="Cambria"/>
      <w:b/>
      <w:bCs/>
      <w:i/>
      <w:sz w:val="26"/>
      <w:szCs w:val="26"/>
      <w:lang w:val="en-GB" w:eastAsia="ja-JP"/>
    </w:rPr>
  </w:style>
  <w:style w:type="character" w:customStyle="1" w:styleId="62">
    <w:name w:val="标题 4 字符"/>
    <w:link w:val="5"/>
    <w:qFormat/>
    <w:locked/>
    <w:uiPriority w:val="99"/>
    <w:rPr>
      <w:rFonts w:ascii="Calibri" w:hAnsi="Calibri"/>
      <w:b/>
      <w:bCs/>
      <w:i/>
      <w:sz w:val="28"/>
      <w:szCs w:val="28"/>
      <w:lang w:val="en-GB" w:eastAsia="ja-JP"/>
    </w:rPr>
  </w:style>
  <w:style w:type="character" w:customStyle="1" w:styleId="63">
    <w:name w:val="标题 5 字符"/>
    <w:link w:val="6"/>
    <w:qFormat/>
    <w:locked/>
    <w:uiPriority w:val="99"/>
    <w:rPr>
      <w:rFonts w:ascii="Calibri" w:hAnsi="Calibri"/>
      <w:b/>
      <w:bCs/>
      <w:iCs/>
      <w:sz w:val="26"/>
      <w:szCs w:val="26"/>
      <w:lang w:val="en-GB" w:eastAsia="ja-JP"/>
    </w:rPr>
  </w:style>
  <w:style w:type="character" w:customStyle="1" w:styleId="64">
    <w:name w:val="标题 6 字符"/>
    <w:link w:val="7"/>
    <w:qFormat/>
    <w:locked/>
    <w:uiPriority w:val="99"/>
    <w:rPr>
      <w:rFonts w:ascii="Calibri" w:hAnsi="Calibri"/>
      <w:b/>
      <w:bCs/>
      <w:i/>
      <w:lang w:val="en-GB" w:eastAsia="ja-JP"/>
    </w:rPr>
  </w:style>
  <w:style w:type="character" w:customStyle="1" w:styleId="65">
    <w:name w:val="标题 7 字符"/>
    <w:link w:val="9"/>
    <w:qFormat/>
    <w:locked/>
    <w:uiPriority w:val="99"/>
    <w:rPr>
      <w:rFonts w:ascii="Calibri" w:hAnsi="Calibri"/>
      <w:i/>
      <w:sz w:val="24"/>
      <w:szCs w:val="24"/>
      <w:lang w:val="en-GB" w:eastAsia="ja-JP"/>
    </w:rPr>
  </w:style>
  <w:style w:type="character" w:customStyle="1" w:styleId="66">
    <w:name w:val="标题 8 字符"/>
    <w:link w:val="10"/>
    <w:qFormat/>
    <w:locked/>
    <w:uiPriority w:val="99"/>
    <w:rPr>
      <w:rFonts w:ascii="Calibri" w:hAnsi="Calibri"/>
      <w:i/>
      <w:iCs/>
      <w:sz w:val="24"/>
      <w:szCs w:val="24"/>
      <w:lang w:val="en-GB" w:eastAsia="ja-JP"/>
    </w:rPr>
  </w:style>
  <w:style w:type="character" w:customStyle="1" w:styleId="67">
    <w:name w:val="标题 9 字符"/>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semiHidden/>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qFormat/>
    <w:uiPriority w:val="99"/>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uiPriority w:val="99"/>
    <w:pPr>
      <w:keepLines/>
      <w:ind w:left="1135" w:hanging="851"/>
    </w:pPr>
  </w:style>
  <w:style w:type="paragraph" w:customStyle="1" w:styleId="79">
    <w:name w:val="EX"/>
    <w:basedOn w:val="1"/>
    <w:qFormat/>
    <w:uiPriority w:val="99"/>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link w:val="158"/>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99"/>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99"/>
  </w:style>
  <w:style w:type="paragraph" w:customStyle="1" w:styleId="100">
    <w:name w:val="B4"/>
    <w:basedOn w:val="42"/>
    <w:qFormat/>
    <w:uiPriority w:val="99"/>
  </w:style>
  <w:style w:type="paragraph" w:customStyle="1" w:styleId="101">
    <w:name w:val="B5"/>
    <w:basedOn w:val="41"/>
    <w:qFormat/>
    <w:uiPriority w:val="99"/>
  </w:style>
  <w:style w:type="character" w:customStyle="1" w:styleId="102">
    <w:name w:val="页脚 字符"/>
    <w:link w:val="37"/>
    <w:semiHidden/>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0"/>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99"/>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Revision"/>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出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semiHidden/>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5"/>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table" w:customStyle="1" w:styleId="153">
    <w:name w:val="Plain Table 4"/>
    <w:basedOn w:val="49"/>
    <w:qFormat/>
    <w:locked/>
    <w:uiPriority w:val="99"/>
    <w:pPr>
      <w:spacing w:after="0"/>
    </w:p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4">
    <w:name w:val="Grid Table Light"/>
    <w:basedOn w:val="49"/>
    <w:qFormat/>
    <w:locked/>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55">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6">
    <w:name w:val="Placeholder Text"/>
    <w:basedOn w:val="53"/>
    <w:qFormat/>
    <w:uiPriority w:val="67"/>
    <w:rPr>
      <w:color w:val="808080"/>
    </w:rPr>
  </w:style>
  <w:style w:type="table" w:customStyle="1" w:styleId="157">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8">
    <w:name w:val="EQ Char"/>
    <w:link w:val="84"/>
    <w:qFormat/>
    <w:uiPriority w:val="0"/>
    <w:rPr>
      <w:rFonts w:ascii="Times New Roman" w:hAnsi="Times New Roman"/>
      <w:lang w:val="en-GB" w:eastAsia="ja-JP"/>
    </w:rPr>
  </w:style>
  <w:style w:type="paragraph" w:customStyle="1" w:styleId="159">
    <w:name w:val="Default"/>
    <w:qFormat/>
    <w:uiPriority w:val="0"/>
    <w:pPr>
      <w:widowControl w:val="0"/>
      <w:autoSpaceDE w:val="0"/>
      <w:autoSpaceDN w:val="0"/>
      <w:adjustRightInd w:val="0"/>
      <w:spacing w:before="0" w:after="0"/>
      <w:ind w:left="0" w:firstLine="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B3518A-9125-4CF5-BE5B-C28F80CCAFAA}">
  <ds:schemaRefs/>
</ds:datastoreItem>
</file>

<file path=docProps/app.xml><?xml version="1.0" encoding="utf-8"?>
<Properties xmlns="http://schemas.openxmlformats.org/officeDocument/2006/extended-properties" xmlns:vt="http://schemas.openxmlformats.org/officeDocument/2006/docPropsVTypes">
  <Template>3gpp_70</Template>
  <Company>Nokia Siemens Networks</Company>
  <Pages>3</Pages>
  <Words>1066</Words>
  <Characters>6079</Characters>
  <Lines>50</Lines>
  <Paragraphs>14</Paragraphs>
  <TotalTime>42</TotalTime>
  <ScaleCrop>false</ScaleCrop>
  <LinksUpToDate>false</LinksUpToDate>
  <CharactersWithSpaces>7131</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2021-08-06T10:35:00Z</dcterms:created>
  <dc:creator>CMCC</dc:creator>
  <cp:keywords>ESA, style sheet, Winword</cp:keywords>
  <cp:lastModifiedBy>狐狸姐</cp:lastModifiedBy>
  <cp:lastPrinted>2013-04-02T02:18:00Z</cp:lastPrinted>
  <dcterms:modified xsi:type="dcterms:W3CDTF">2021-11-05T08:45:47Z</dcterms:modified>
  <dc:subject>Word for Windows 6.x &amp; 95+</dc:subject>
  <dc:title>ETSI stylesheet (v.7.0)</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2052-11.8.2.10229</vt:lpwstr>
  </property>
</Properties>
</file>