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1522" w:rsidRPr="008314EE" w:rsidRDefault="000A6BF8">
      <w:pPr>
        <w:tabs>
          <w:tab w:val="center" w:pos="4536"/>
          <w:tab w:val="right" w:pos="8647"/>
          <w:tab w:val="right" w:pos="9639"/>
        </w:tabs>
        <w:ind w:right="141"/>
        <w:rPr>
          <w:rFonts w:ascii="Arial" w:eastAsia="等线" w:hAnsi="Arial" w:cs="Arial"/>
          <w:b/>
          <w:bCs/>
          <w:sz w:val="24"/>
          <w:szCs w:val="24"/>
        </w:rPr>
      </w:pPr>
      <w:r w:rsidRPr="008314EE">
        <w:rPr>
          <w:rFonts w:ascii="Arial" w:hAnsi="Arial" w:cs="Arial"/>
          <w:b/>
          <w:bCs/>
          <w:sz w:val="24"/>
          <w:szCs w:val="24"/>
        </w:rPr>
        <w:t xml:space="preserve">3GPP TSG RAN WG1 #107-e                  </w:t>
      </w:r>
      <w:r w:rsidRPr="008314EE">
        <w:rPr>
          <w:rFonts w:ascii="Arial" w:hAnsi="Arial" w:cs="Arial"/>
          <w:b/>
          <w:bCs/>
          <w:sz w:val="24"/>
          <w:szCs w:val="24"/>
        </w:rPr>
        <w:tab/>
        <w:t xml:space="preserve">        </w:t>
      </w:r>
      <w:r w:rsidRPr="008314EE">
        <w:rPr>
          <w:rFonts w:ascii="Arial" w:hAnsi="Arial" w:cs="Arial" w:hint="eastAsia"/>
          <w:b/>
          <w:bCs/>
          <w:sz w:val="24"/>
          <w:szCs w:val="24"/>
        </w:rPr>
        <w:t xml:space="preserve"> </w:t>
      </w:r>
      <w:r w:rsidR="008314EE">
        <w:rPr>
          <w:rFonts w:ascii="Arial" w:hAnsi="Arial" w:cs="Arial"/>
          <w:b/>
          <w:bCs/>
          <w:sz w:val="24"/>
          <w:szCs w:val="24"/>
        </w:rPr>
        <w:t xml:space="preserve">              </w:t>
      </w:r>
      <w:r w:rsidRPr="008314EE">
        <w:rPr>
          <w:rFonts w:ascii="Arial" w:hAnsi="Arial" w:cs="Arial"/>
          <w:b/>
          <w:bCs/>
          <w:sz w:val="24"/>
          <w:szCs w:val="24"/>
        </w:rPr>
        <w:t>R1-2111433</w:t>
      </w:r>
    </w:p>
    <w:p w:rsidR="00B11522" w:rsidRPr="008314EE" w:rsidRDefault="000A6BF8">
      <w:pPr>
        <w:tabs>
          <w:tab w:val="center" w:pos="4536"/>
          <w:tab w:val="right" w:pos="9072"/>
        </w:tabs>
        <w:rPr>
          <w:rFonts w:ascii="Arial" w:eastAsia="MS Mincho" w:hAnsi="Arial" w:cs="Arial"/>
          <w:b/>
          <w:bCs/>
          <w:sz w:val="24"/>
          <w:szCs w:val="24"/>
          <w:lang w:eastAsia="ja-JP"/>
        </w:rPr>
      </w:pPr>
      <w:r w:rsidRPr="008314EE">
        <w:rPr>
          <w:rFonts w:ascii="Arial" w:eastAsia="MS Mincho" w:hAnsi="Arial" w:cs="Arial"/>
          <w:b/>
          <w:bCs/>
          <w:sz w:val="24"/>
          <w:szCs w:val="24"/>
          <w:lang w:eastAsia="ja-JP"/>
        </w:rPr>
        <w:t>e-Meeting, November 11</w:t>
      </w:r>
      <w:r w:rsidRPr="008314EE">
        <w:rPr>
          <w:rFonts w:ascii="Arial" w:eastAsia="MS Mincho" w:hAnsi="Arial" w:cs="Arial"/>
          <w:b/>
          <w:bCs/>
          <w:sz w:val="24"/>
          <w:szCs w:val="24"/>
          <w:vertAlign w:val="superscript"/>
          <w:lang w:eastAsia="ja-JP"/>
        </w:rPr>
        <w:t>th</w:t>
      </w:r>
      <w:r w:rsidRPr="008314EE">
        <w:rPr>
          <w:rFonts w:ascii="Arial" w:eastAsia="MS Mincho" w:hAnsi="Arial" w:cs="Arial"/>
          <w:b/>
          <w:bCs/>
          <w:sz w:val="24"/>
          <w:szCs w:val="24"/>
          <w:lang w:eastAsia="ja-JP"/>
        </w:rPr>
        <w:t xml:space="preserve"> – 19</w:t>
      </w:r>
      <w:r w:rsidRPr="008314EE">
        <w:rPr>
          <w:rFonts w:ascii="Arial" w:eastAsia="MS Mincho" w:hAnsi="Arial" w:cs="Arial"/>
          <w:b/>
          <w:bCs/>
          <w:sz w:val="24"/>
          <w:szCs w:val="24"/>
          <w:vertAlign w:val="superscript"/>
          <w:lang w:eastAsia="ja-JP"/>
        </w:rPr>
        <w:t>th</w:t>
      </w:r>
      <w:r w:rsidRPr="008314EE">
        <w:rPr>
          <w:rFonts w:ascii="Arial" w:eastAsia="MS Mincho" w:hAnsi="Arial" w:cs="Arial"/>
          <w:b/>
          <w:bCs/>
          <w:sz w:val="24"/>
          <w:szCs w:val="24"/>
          <w:lang w:eastAsia="ja-JP"/>
        </w:rPr>
        <w:t>, 2021</w:t>
      </w:r>
    </w:p>
    <w:p w:rsidR="00B11522" w:rsidRPr="008314EE" w:rsidRDefault="00B11522">
      <w:pPr>
        <w:pStyle w:val="3GPPHeader"/>
        <w:rPr>
          <w:rFonts w:ascii="Arial" w:eastAsia="等线" w:hAnsi="Arial" w:cs="Arial"/>
          <w:szCs w:val="24"/>
          <w:highlight w:val="yellow"/>
        </w:rPr>
      </w:pPr>
    </w:p>
    <w:p w:rsidR="00B11522" w:rsidRPr="008314EE" w:rsidRDefault="000A6BF8">
      <w:pPr>
        <w:pStyle w:val="3GPPHeader"/>
        <w:rPr>
          <w:rFonts w:ascii="Arial" w:hAnsi="Arial" w:cs="Arial"/>
          <w:szCs w:val="24"/>
        </w:rPr>
      </w:pPr>
      <w:r w:rsidRPr="008314EE">
        <w:rPr>
          <w:rFonts w:ascii="Arial" w:hAnsi="Arial" w:cs="Arial"/>
          <w:szCs w:val="24"/>
        </w:rPr>
        <w:t>Agenda Item:</w:t>
      </w:r>
      <w:r w:rsidRPr="008314EE">
        <w:rPr>
          <w:rFonts w:ascii="Arial" w:hAnsi="Arial" w:cs="Arial"/>
          <w:szCs w:val="24"/>
        </w:rPr>
        <w:tab/>
        <w:t>8.6.2</w:t>
      </w:r>
    </w:p>
    <w:p w:rsidR="00B11522" w:rsidRPr="008314EE" w:rsidRDefault="000A6BF8">
      <w:pPr>
        <w:pStyle w:val="3GPPHeader"/>
        <w:rPr>
          <w:rFonts w:ascii="Arial" w:hAnsi="Arial" w:cs="Arial"/>
          <w:szCs w:val="24"/>
        </w:rPr>
      </w:pPr>
      <w:r w:rsidRPr="008314EE">
        <w:rPr>
          <w:rFonts w:ascii="Arial" w:hAnsi="Arial" w:cs="Arial"/>
          <w:szCs w:val="24"/>
        </w:rPr>
        <w:t>Source:</w:t>
      </w:r>
      <w:r w:rsidRPr="008314EE">
        <w:rPr>
          <w:rFonts w:ascii="Arial" w:hAnsi="Arial" w:cs="Arial"/>
          <w:szCs w:val="24"/>
        </w:rPr>
        <w:tab/>
      </w:r>
      <w:r w:rsidRPr="008314EE">
        <w:rPr>
          <w:rFonts w:ascii="Arial" w:hAnsi="Arial" w:cs="Arial" w:hint="eastAsia"/>
          <w:szCs w:val="24"/>
        </w:rPr>
        <w:t>Chi</w:t>
      </w:r>
      <w:r w:rsidRPr="008314EE">
        <w:rPr>
          <w:rFonts w:ascii="Arial" w:hAnsi="Arial" w:cs="Arial"/>
          <w:szCs w:val="24"/>
        </w:rPr>
        <w:t xml:space="preserve">na </w:t>
      </w:r>
      <w:r w:rsidRPr="008314EE">
        <w:rPr>
          <w:rFonts w:ascii="Arial" w:hAnsi="Arial" w:cs="Arial" w:hint="eastAsia"/>
          <w:szCs w:val="24"/>
        </w:rPr>
        <w:t>Telecom</w:t>
      </w:r>
    </w:p>
    <w:p w:rsidR="00B11522" w:rsidRPr="008314EE" w:rsidRDefault="000A6BF8" w:rsidP="008314EE">
      <w:pPr>
        <w:pStyle w:val="3GPPHeader"/>
        <w:jc w:val="left"/>
        <w:rPr>
          <w:rFonts w:ascii="Arial" w:hAnsi="Arial" w:cs="Arial"/>
          <w:szCs w:val="24"/>
        </w:rPr>
      </w:pPr>
      <w:r w:rsidRPr="008314EE">
        <w:rPr>
          <w:rFonts w:ascii="Arial" w:hAnsi="Arial" w:cs="Arial"/>
          <w:szCs w:val="24"/>
        </w:rPr>
        <w:t>Title:</w:t>
      </w:r>
      <w:r w:rsidRPr="008314EE">
        <w:rPr>
          <w:rFonts w:ascii="Arial" w:hAnsi="Arial" w:cs="Arial"/>
          <w:szCs w:val="24"/>
        </w:rPr>
        <w:tab/>
      </w:r>
      <w:bookmarkStart w:id="0" w:name="_GoBack"/>
      <w:bookmarkEnd w:id="0"/>
      <w:r w:rsidRPr="008314EE">
        <w:rPr>
          <w:rFonts w:ascii="Arial" w:hAnsi="Arial" w:cs="Arial"/>
          <w:szCs w:val="24"/>
        </w:rPr>
        <w:t>Remaining issues on RAN1 aspects for</w:t>
      </w:r>
      <w:r w:rsidRPr="008314EE">
        <w:rPr>
          <w:rFonts w:ascii="Arial" w:hAnsi="Arial" w:cs="Arial"/>
          <w:szCs w:val="24"/>
        </w:rPr>
        <w:t xml:space="preserve"> RAN2-led features for RedCap</w:t>
      </w:r>
    </w:p>
    <w:p w:rsidR="00B11522" w:rsidRPr="008314EE" w:rsidRDefault="000A6BF8">
      <w:pPr>
        <w:pStyle w:val="3GPPHeader"/>
        <w:rPr>
          <w:rFonts w:ascii="Arial" w:eastAsia="等线" w:hAnsi="Arial" w:cs="Arial"/>
          <w:szCs w:val="24"/>
        </w:rPr>
      </w:pPr>
      <w:r w:rsidRPr="008314EE">
        <w:rPr>
          <w:rFonts w:ascii="Arial" w:hAnsi="Arial" w:cs="Arial"/>
          <w:szCs w:val="24"/>
        </w:rPr>
        <w:t>Document for:</w:t>
      </w:r>
      <w:r w:rsidRPr="008314EE">
        <w:rPr>
          <w:rFonts w:ascii="Arial" w:hAnsi="Arial" w:cs="Arial"/>
          <w:szCs w:val="24"/>
        </w:rPr>
        <w:tab/>
        <w:t>Discussion</w:t>
      </w:r>
    </w:p>
    <w:p w:rsidR="00B11522" w:rsidRDefault="000A6BF8">
      <w:pPr>
        <w:pStyle w:val="1"/>
        <w:rPr>
          <w:rFonts w:cs="Arial"/>
          <w:lang w:val="en-US"/>
        </w:rPr>
      </w:pPr>
      <w:r>
        <w:rPr>
          <w:rFonts w:cs="Arial"/>
          <w:lang w:val="en-US"/>
        </w:rPr>
        <w:t>Introduction</w:t>
      </w:r>
    </w:p>
    <w:p w:rsidR="00B11522" w:rsidRDefault="000A6BF8">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The work item on NR support of reduced capability NR devices </w:t>
      </w:r>
      <w:r>
        <w:rPr>
          <w:rFonts w:ascii="Times New Roman" w:eastAsia="宋体" w:hAnsi="Times New Roman" w:cs="Times New Roman" w:hint="eastAsia"/>
          <w:kern w:val="0"/>
          <w:szCs w:val="21"/>
        </w:rPr>
        <w:t>was</w:t>
      </w:r>
      <w:r>
        <w:rPr>
          <w:rFonts w:ascii="Times New Roman" w:eastAsia="宋体" w:hAnsi="Times New Roman" w:cs="Times New Roman"/>
          <w:kern w:val="0"/>
          <w:szCs w:val="21"/>
        </w:rPr>
        <w:t xml:space="preserve"> approved in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_Ref60822875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[1]</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xml:space="preserve"> and revised in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_Ref67906043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[2]</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xml:space="preserve">. The objectives on RAN1 aspects for RAN2-led features for RedCap are as followed: </w:t>
      </w:r>
    </w:p>
    <w:p w:rsidR="00B11522" w:rsidRDefault="000A6BF8">
      <w:pPr>
        <w:pStyle w:val="B1"/>
        <w:widowControl/>
        <w:numPr>
          <w:ilvl w:val="0"/>
          <w:numId w:val="14"/>
        </w:numPr>
        <w:overflowPunct w:val="0"/>
        <w:autoSpaceDE w:val="0"/>
        <w:autoSpaceDN w:val="0"/>
        <w:adjustRightInd w:val="0"/>
        <w:spacing w:after="180"/>
        <w:textAlignment w:val="baseline"/>
        <w:rPr>
          <w:rFonts w:eastAsia="宋体"/>
          <w:bCs/>
          <w:lang w:eastAsia="ja-JP"/>
        </w:rPr>
      </w:pPr>
      <w:r>
        <w:rPr>
          <w:rFonts w:eastAsia="宋体"/>
          <w:bCs/>
          <w:lang w:eastAsia="ja-JP"/>
        </w:rPr>
        <w:t>Specify definition of one RedCap UE type including capabilities for RedCap UE identification and for constraining the use of those RedCap capabilities only for RedCap UEs, and preventing RedCap UEs from using capabilities not intended for RedCap UEs inclu</w:t>
      </w:r>
      <w:r>
        <w:rPr>
          <w:rFonts w:eastAsia="宋体"/>
          <w:bCs/>
          <w:lang w:eastAsia="ja-JP"/>
        </w:rPr>
        <w:t>ding at least carrier aggregation, dual connectivity and wider bandwidths. [RAN2, RAN1]</w:t>
      </w:r>
    </w:p>
    <w:p w:rsidR="00B11522" w:rsidRDefault="000A6BF8">
      <w:pPr>
        <w:pStyle w:val="B1"/>
        <w:widowControl/>
        <w:numPr>
          <w:ilvl w:val="1"/>
          <w:numId w:val="14"/>
        </w:numPr>
        <w:overflowPunct w:val="0"/>
        <w:autoSpaceDE w:val="0"/>
        <w:autoSpaceDN w:val="0"/>
        <w:adjustRightInd w:val="0"/>
        <w:spacing w:after="180"/>
        <w:textAlignment w:val="baseline"/>
        <w:rPr>
          <w:rFonts w:eastAsia="宋体"/>
          <w:bCs/>
          <w:lang w:eastAsia="ja-JP"/>
        </w:rPr>
      </w:pPr>
      <w:r>
        <w:rPr>
          <w:rFonts w:eastAsia="宋体"/>
          <w:bCs/>
          <w:lang w:eastAsia="ja-JP"/>
        </w:rPr>
        <w:t>The existing UE capability framework is used; changes to capability signalling are specified only if necessary.</w:t>
      </w:r>
    </w:p>
    <w:p w:rsidR="00B11522" w:rsidRDefault="000A6BF8">
      <w:pPr>
        <w:pStyle w:val="B1"/>
        <w:widowControl/>
        <w:numPr>
          <w:ilvl w:val="0"/>
          <w:numId w:val="14"/>
        </w:numPr>
        <w:overflowPunct w:val="0"/>
        <w:autoSpaceDE w:val="0"/>
        <w:autoSpaceDN w:val="0"/>
        <w:adjustRightInd w:val="0"/>
        <w:spacing w:after="180"/>
        <w:textAlignment w:val="baseline"/>
        <w:rPr>
          <w:rFonts w:eastAsia="宋体"/>
          <w:bCs/>
          <w:lang w:eastAsia="ja-JP"/>
        </w:rPr>
      </w:pPr>
      <w:r>
        <w:rPr>
          <w:rFonts w:eastAsia="宋体"/>
          <w:bCs/>
          <w:lang w:eastAsia="ja-JP"/>
        </w:rPr>
        <w:t xml:space="preserve">Specify functionality that will enable RedCap UEs to be </w:t>
      </w:r>
      <w:r>
        <w:rPr>
          <w:rFonts w:eastAsia="宋体"/>
          <w:bCs/>
          <w:lang w:eastAsia="ja-JP"/>
        </w:rPr>
        <w:t>explicitly identifiable to networks through an early indication in Msg1 and/or Msg3, and Msg A if supported, including the ability for the early indication to be configurable by the network. [RAN2, RAN1]</w:t>
      </w:r>
    </w:p>
    <w:p w:rsidR="00B11522" w:rsidRDefault="000A6BF8">
      <w:pPr>
        <w:pStyle w:val="B1"/>
        <w:widowControl/>
        <w:numPr>
          <w:ilvl w:val="0"/>
          <w:numId w:val="14"/>
        </w:numPr>
        <w:overflowPunct w:val="0"/>
        <w:autoSpaceDE w:val="0"/>
        <w:autoSpaceDN w:val="0"/>
        <w:adjustRightInd w:val="0"/>
        <w:spacing w:after="180"/>
        <w:textAlignment w:val="baseline"/>
        <w:rPr>
          <w:rFonts w:eastAsia="宋体"/>
          <w:bCs/>
          <w:lang w:eastAsia="ja-JP"/>
        </w:rPr>
      </w:pPr>
      <w:bookmarkStart w:id="1" w:name="_Hlk67648184"/>
      <w:r>
        <w:rPr>
          <w:rFonts w:eastAsia="宋体"/>
          <w:bCs/>
          <w:lang w:eastAsia="ja-JP"/>
        </w:rPr>
        <w:t xml:space="preserve">Specify a system information indication to indicate </w:t>
      </w:r>
      <w:r>
        <w:rPr>
          <w:rFonts w:eastAsia="宋体"/>
          <w:bCs/>
          <w:lang w:eastAsia="ja-JP"/>
        </w:rPr>
        <w:t xml:space="preserve">whether a RedCap UE can camp on the cell/frequency or not; </w:t>
      </w:r>
      <w:bookmarkStart w:id="2" w:name="_Hlk67650013"/>
      <w:r>
        <w:rPr>
          <w:rFonts w:eastAsia="宋体"/>
          <w:bCs/>
          <w:lang w:eastAsia="ja-JP"/>
        </w:rPr>
        <w:t>it shall be possible for the indication to be specific to the number of Rx branches of the UE</w:t>
      </w:r>
      <w:bookmarkEnd w:id="1"/>
      <w:bookmarkEnd w:id="2"/>
      <w:r>
        <w:rPr>
          <w:rFonts w:eastAsia="宋体"/>
          <w:bCs/>
          <w:lang w:eastAsia="ja-JP"/>
        </w:rPr>
        <w:t xml:space="preserve">. [RAN2, RAN1] </w:t>
      </w:r>
    </w:p>
    <w:p w:rsidR="00B11522" w:rsidRDefault="000A6BF8">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his contribution provides views on remaining issues on </w:t>
      </w:r>
      <w:r>
        <w:rPr>
          <w:rFonts w:ascii="Times New Roman" w:eastAsia="宋体" w:hAnsi="Times New Roman" w:cs="Times New Roman" w:hint="eastAsia"/>
          <w:kern w:val="0"/>
          <w:szCs w:val="21"/>
        </w:rPr>
        <w:t>RAN1</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a</w:t>
      </w:r>
      <w:r>
        <w:rPr>
          <w:rFonts w:ascii="Times New Roman" w:eastAsia="宋体" w:hAnsi="Times New Roman" w:cs="Times New Roman"/>
          <w:kern w:val="0"/>
          <w:szCs w:val="21"/>
        </w:rPr>
        <w:t xml:space="preserve">spects for RAN2-led </w:t>
      </w:r>
      <w:r>
        <w:rPr>
          <w:rFonts w:ascii="Times New Roman" w:eastAsia="宋体" w:hAnsi="Times New Roman" w:cs="Times New Roman"/>
          <w:kern w:val="0"/>
          <w:szCs w:val="21"/>
        </w:rPr>
        <w:t>features for RedCap.</w:t>
      </w:r>
    </w:p>
    <w:p w:rsidR="00B11522" w:rsidRDefault="000A6BF8">
      <w:pPr>
        <w:pStyle w:val="1"/>
        <w:rPr>
          <w:rFonts w:cs="Arial"/>
          <w:lang w:val="en-US"/>
        </w:rPr>
      </w:pPr>
      <w:r>
        <w:rPr>
          <w:rFonts w:cs="Arial"/>
          <w:lang w:val="en-US" w:eastAsia="zh-CN"/>
        </w:rPr>
        <w:t>RAN1 aspects for RAN2-led features for RedCap</w:t>
      </w:r>
    </w:p>
    <w:p w:rsidR="00B11522" w:rsidRDefault="000A6BF8">
      <w:pPr>
        <w:pStyle w:val="2"/>
        <w:rPr>
          <w:rFonts w:cs="Arial"/>
        </w:rPr>
      </w:pPr>
      <w:r>
        <w:rPr>
          <w:rFonts w:cs="Arial"/>
          <w:lang w:eastAsia="zh-CN"/>
        </w:rPr>
        <w:t>E</w:t>
      </w:r>
      <w:r>
        <w:rPr>
          <w:rFonts w:cs="Arial" w:hint="eastAsia"/>
          <w:lang w:eastAsia="zh-CN"/>
        </w:rPr>
        <w:t>arly</w:t>
      </w:r>
      <w:r>
        <w:rPr>
          <w:rFonts w:cs="Arial"/>
          <w:lang w:eastAsia="zh-CN"/>
        </w:rPr>
        <w:t xml:space="preserve"> indication</w:t>
      </w:r>
    </w:p>
    <w:p w:rsidR="00B11522" w:rsidRDefault="000A6BF8">
      <w:pPr>
        <w:rPr>
          <w:rFonts w:ascii="Times New Roman" w:eastAsia="等线" w:hAnsi="Times New Roman"/>
          <w:szCs w:val="20"/>
        </w:rPr>
      </w:pPr>
      <w:r>
        <w:rPr>
          <w:rFonts w:ascii="Times New Roman" w:eastAsia="宋体" w:hAnsi="Times New Roman" w:cs="Times New Roman"/>
          <w:kern w:val="0"/>
          <w:szCs w:val="21"/>
        </w:rPr>
        <w:t xml:space="preserve">In RAN1#106-e meeting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_Ref70337977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[3]</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_Ref61000392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there was the following agreement related to early identification for 4-step RACH.</w:t>
      </w:r>
    </w:p>
    <w:p w:rsidR="00B11522" w:rsidRDefault="000A6BF8">
      <w:pPr>
        <w:rPr>
          <w:rFonts w:ascii="Times New Roman" w:hAnsi="Times New Roman" w:cs="Times New Roman"/>
          <w:b/>
          <w:highlight w:val="green"/>
        </w:rPr>
      </w:pPr>
      <w:r>
        <w:rPr>
          <w:rFonts w:ascii="Times New Roman" w:hAnsi="Times New Roman" w:cs="Times New Roman"/>
          <w:b/>
          <w:highlight w:val="green"/>
        </w:rPr>
        <w:t>Agreement</w:t>
      </w:r>
    </w:p>
    <w:p w:rsidR="00B11522" w:rsidRDefault="000A6BF8">
      <w:pPr>
        <w:spacing w:line="252" w:lineRule="auto"/>
        <w:rPr>
          <w:rFonts w:ascii="Times New Roman" w:eastAsia="Times New Roman" w:hAnsi="Times New Roman" w:cs="Times New Roman"/>
        </w:rPr>
      </w:pPr>
      <w:r>
        <w:rPr>
          <w:rFonts w:ascii="Times New Roman" w:hAnsi="Times New Roman" w:cs="Times New Roman"/>
          <w:bCs/>
        </w:rPr>
        <w:t>Confirm the following working assumption with the modifications in red:</w:t>
      </w:r>
    </w:p>
    <w:p w:rsidR="00B11522" w:rsidRDefault="000A6BF8">
      <w:pPr>
        <w:widowControl/>
        <w:numPr>
          <w:ilvl w:val="0"/>
          <w:numId w:val="26"/>
        </w:numPr>
        <w:spacing w:line="252" w:lineRule="auto"/>
        <w:rPr>
          <w:rFonts w:ascii="Times New Roman" w:eastAsia="Times New Roman" w:hAnsi="Times New Roman" w:cs="Times New Roman"/>
        </w:rPr>
      </w:pPr>
      <w:r>
        <w:rPr>
          <w:rFonts w:ascii="Times New Roman" w:eastAsia="Times New Roman" w:hAnsi="Times New Roman" w:cs="Times New Roman"/>
        </w:rPr>
        <w:t>For 4-step RACH, support t</w:t>
      </w:r>
      <w:r>
        <w:rPr>
          <w:rFonts w:ascii="Times New Roman" w:eastAsia="Times New Roman" w:hAnsi="Times New Roman" w:cs="Times New Roman"/>
        </w:rPr>
        <w:t>he early indication of RedCap UEs at least in Msg1.</w:t>
      </w:r>
    </w:p>
    <w:p w:rsidR="00B11522" w:rsidRDefault="000A6BF8">
      <w:pPr>
        <w:widowControl/>
        <w:numPr>
          <w:ilvl w:val="1"/>
          <w:numId w:val="26"/>
        </w:numPr>
        <w:spacing w:line="252" w:lineRule="auto"/>
        <w:rPr>
          <w:rFonts w:ascii="Times New Roman" w:eastAsia="Times New Roman" w:hAnsi="Times New Roman" w:cs="Times New Roman"/>
        </w:rPr>
      </w:pPr>
      <w:r>
        <w:rPr>
          <w:rFonts w:ascii="Times New Roman" w:eastAsia="Times New Roman" w:hAnsi="Times New Roman" w:cs="Times New Roman"/>
        </w:rPr>
        <w:t>The early indication in Msg1 can be configured to be enabled/disabled</w:t>
      </w:r>
      <w:r>
        <w:rPr>
          <w:rFonts w:ascii="Times New Roman" w:eastAsia="Times New Roman" w:hAnsi="Times New Roman" w:cs="Times New Roman"/>
          <w:color w:val="FF0000"/>
          <w:u w:val="single"/>
        </w:rPr>
        <w:t xml:space="preserve"> via SIB</w:t>
      </w:r>
    </w:p>
    <w:p w:rsidR="00B11522" w:rsidRDefault="000A6BF8">
      <w:pPr>
        <w:widowControl/>
        <w:numPr>
          <w:ilvl w:val="1"/>
          <w:numId w:val="26"/>
        </w:numPr>
        <w:spacing w:line="252" w:lineRule="auto"/>
        <w:rPr>
          <w:rFonts w:ascii="Times New Roman" w:eastAsia="Times New Roman" w:hAnsi="Times New Roman" w:cs="Times New Roman"/>
        </w:rPr>
      </w:pPr>
      <w:r>
        <w:rPr>
          <w:rFonts w:ascii="Times New Roman" w:eastAsia="Times New Roman" w:hAnsi="Times New Roman" w:cs="Times New Roman"/>
          <w:strike/>
          <w:color w:val="FF0000"/>
        </w:rPr>
        <w:t>FFS details e.g.:</w:t>
      </w:r>
      <w:r>
        <w:rPr>
          <w:rFonts w:ascii="Times New Roman" w:eastAsia="Times New Roman" w:hAnsi="Times New Roman" w:cs="Times New Roman"/>
          <w:strike/>
        </w:rPr>
        <w:t xml:space="preserve"> </w:t>
      </w:r>
      <w:r>
        <w:rPr>
          <w:rFonts w:ascii="Times New Roman" w:eastAsia="Times New Roman" w:hAnsi="Times New Roman" w:cs="Times New Roman"/>
          <w:color w:val="FF0000"/>
          <w:u w:val="single"/>
        </w:rPr>
        <w:t>From RAN1 perspective, the following methods can be used for early indication both for shared initial UL BWP</w:t>
      </w:r>
      <w:r>
        <w:rPr>
          <w:rFonts w:ascii="Times New Roman" w:eastAsia="Times New Roman" w:hAnsi="Times New Roman" w:cs="Times New Roman"/>
          <w:color w:val="FF0000"/>
          <w:u w:val="single"/>
        </w:rPr>
        <w:t xml:space="preserve"> and </w:t>
      </w:r>
      <w:r>
        <w:rPr>
          <w:rFonts w:ascii="Times New Roman" w:eastAsia="Times New Roman" w:hAnsi="Times New Roman" w:cs="Times New Roman"/>
        </w:rPr>
        <w:t xml:space="preserve">separate initial UL BWP </w:t>
      </w:r>
      <w:r>
        <w:rPr>
          <w:rFonts w:ascii="Times New Roman" w:eastAsia="Times New Roman" w:hAnsi="Times New Roman" w:cs="Times New Roman"/>
          <w:color w:val="FF0000"/>
          <w:u w:val="single"/>
        </w:rPr>
        <w:t>(if supported)</w:t>
      </w:r>
    </w:p>
    <w:p w:rsidR="00B11522" w:rsidRDefault="000A6BF8">
      <w:pPr>
        <w:widowControl/>
        <w:numPr>
          <w:ilvl w:val="2"/>
          <w:numId w:val="26"/>
        </w:numPr>
        <w:spacing w:line="252" w:lineRule="auto"/>
        <w:rPr>
          <w:rFonts w:ascii="Times New Roman" w:eastAsia="Times New Roman" w:hAnsi="Times New Roman" w:cs="Times New Roman"/>
        </w:rPr>
      </w:pPr>
      <w:r>
        <w:rPr>
          <w:rFonts w:ascii="Times New Roman" w:eastAsia="Times New Roman" w:hAnsi="Times New Roman" w:cs="Times New Roman"/>
        </w:rPr>
        <w:t>separate PRACH resource</w:t>
      </w:r>
    </w:p>
    <w:p w:rsidR="00B11522" w:rsidRDefault="000A6BF8">
      <w:pPr>
        <w:widowControl/>
        <w:numPr>
          <w:ilvl w:val="2"/>
          <w:numId w:val="26"/>
        </w:numPr>
        <w:spacing w:line="252" w:lineRule="auto"/>
        <w:rPr>
          <w:rFonts w:ascii="Times New Roman" w:eastAsia="Times New Roman" w:hAnsi="Times New Roman" w:cs="Times New Roman"/>
        </w:rPr>
      </w:pPr>
      <w:r>
        <w:rPr>
          <w:rFonts w:ascii="Times New Roman" w:eastAsia="Times New Roman" w:hAnsi="Times New Roman" w:cs="Times New Roman"/>
        </w:rPr>
        <w:t>PRACH preamble partitioning</w:t>
      </w:r>
    </w:p>
    <w:p w:rsidR="00B11522" w:rsidRDefault="000A6BF8">
      <w:pPr>
        <w:pStyle w:val="aff0"/>
        <w:numPr>
          <w:ilvl w:val="0"/>
          <w:numId w:val="26"/>
        </w:numPr>
        <w:rPr>
          <w:rFonts w:ascii="Times New Roman" w:hAnsi="Times New Roman" w:cs="Times New Roman"/>
          <w:bCs/>
        </w:rPr>
      </w:pPr>
      <w:r>
        <w:rPr>
          <w:rFonts w:ascii="Times New Roman" w:hAnsi="Times New Roman" w:cs="Times New Roman"/>
          <w:bCs/>
        </w:rPr>
        <w:t>Whether/how to support early indication of RedCap UEs in Msg3 in Rel-17 is up to RAN2.</w:t>
      </w:r>
    </w:p>
    <w:p w:rsidR="00B11522" w:rsidRDefault="00B11522">
      <w:pPr>
        <w:rPr>
          <w:rFonts w:ascii="Times New Roman" w:hAnsi="Times New Roman" w:cs="Times New Roman"/>
          <w:szCs w:val="20"/>
          <w:highlight w:val="green"/>
          <w:lang w:eastAsia="ja-JP"/>
        </w:rPr>
      </w:pPr>
    </w:p>
    <w:p w:rsidR="00B11522" w:rsidRDefault="000A6BF8">
      <w:pPr>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he key point is whether to support early identification of RedCap UEs in Msg3 in Rel-17. After heated discussion over and over, the final conclusion is to leave it up to RAN2. No more redundant discussion in RAN1 is expected. </w:t>
      </w:r>
    </w:p>
    <w:p w:rsidR="00B11522" w:rsidRDefault="00B11522">
      <w:pPr>
        <w:rPr>
          <w:rFonts w:ascii="Times New Roman" w:eastAsia="宋体" w:hAnsi="Times New Roman" w:cs="Times New Roman"/>
          <w:kern w:val="0"/>
          <w:szCs w:val="21"/>
        </w:rPr>
      </w:pPr>
    </w:p>
    <w:p w:rsidR="00B11522" w:rsidRDefault="000A6BF8">
      <w:pPr>
        <w:rPr>
          <w:rFonts w:ascii="Times New Roman" w:eastAsia="等线" w:hAnsi="Times New Roman"/>
          <w:szCs w:val="20"/>
        </w:rPr>
      </w:pPr>
      <w:r>
        <w:rPr>
          <w:rFonts w:ascii="Times New Roman" w:eastAsia="宋体" w:hAnsi="Times New Roman" w:cs="Times New Roman" w:hint="eastAsia"/>
          <w:kern w:val="0"/>
          <w:szCs w:val="21"/>
        </w:rPr>
        <w:t>I</w:t>
      </w:r>
      <w:r>
        <w:rPr>
          <w:rFonts w:ascii="Times New Roman" w:eastAsia="宋体" w:hAnsi="Times New Roman" w:cs="Times New Roman"/>
          <w:kern w:val="0"/>
          <w:szCs w:val="21"/>
        </w:rPr>
        <w:t>n last RAN1#106</w:t>
      </w:r>
      <w:r>
        <w:rPr>
          <w:rFonts w:ascii="Times New Roman" w:eastAsia="宋体" w:hAnsi="Times New Roman" w:cs="Times New Roman" w:hint="eastAsia"/>
          <w:kern w:val="0"/>
          <w:szCs w:val="21"/>
        </w:rPr>
        <w:t>bis</w:t>
      </w:r>
      <w:r>
        <w:rPr>
          <w:rFonts w:ascii="Times New Roman" w:eastAsia="宋体" w:hAnsi="Times New Roman" w:cs="Times New Roman"/>
          <w:kern w:val="0"/>
          <w:szCs w:val="21"/>
        </w:rPr>
        <w:t>-e meetin</w:t>
      </w:r>
      <w:r>
        <w:rPr>
          <w:rFonts w:ascii="Times New Roman" w:eastAsia="宋体" w:hAnsi="Times New Roman" w:cs="Times New Roman"/>
          <w:kern w:val="0"/>
          <w:szCs w:val="21"/>
        </w:rPr>
        <w:t xml:space="preserve">g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_Ref86400816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[4]</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_Ref61000392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xml:space="preserve">, there was the following conclusion related to </w:t>
      </w:r>
      <w:r>
        <w:rPr>
          <w:rFonts w:ascii="Times New Roman" w:eastAsia="宋体" w:hAnsi="Times New Roman"/>
          <w:color w:val="000000"/>
          <w:szCs w:val="20"/>
        </w:rPr>
        <w:t>PRACH preamble partitio</w:t>
      </w:r>
      <w:r>
        <w:rPr>
          <w:rFonts w:ascii="Times New Roman" w:eastAsia="宋体" w:hAnsi="Times New Roman"/>
          <w:color w:val="000000"/>
          <w:szCs w:val="20"/>
        </w:rPr>
        <w:t>ning for Msg1-based early indication</w:t>
      </w:r>
      <w:r>
        <w:rPr>
          <w:rFonts w:ascii="Times New Roman" w:eastAsia="宋体" w:hAnsi="Times New Roman" w:cs="Times New Roman"/>
          <w:kern w:val="0"/>
          <w:szCs w:val="21"/>
        </w:rPr>
        <w:t>. It is up to RAN2.</w:t>
      </w:r>
    </w:p>
    <w:p w:rsidR="00B11522" w:rsidRDefault="000A6BF8">
      <w:pPr>
        <w:shd w:val="clear" w:color="auto" w:fill="FFFFFF"/>
        <w:rPr>
          <w:rFonts w:ascii="Times New Roman" w:eastAsia="宋体" w:hAnsi="Times New Roman"/>
          <w:b/>
          <w:bCs/>
          <w:color w:val="000000"/>
          <w:szCs w:val="20"/>
        </w:rPr>
      </w:pPr>
      <w:r>
        <w:rPr>
          <w:rFonts w:ascii="Times New Roman" w:eastAsia="宋体" w:hAnsi="Times New Roman"/>
          <w:b/>
          <w:bCs/>
          <w:color w:val="000000"/>
          <w:szCs w:val="20"/>
        </w:rPr>
        <w:t>Conclusion</w:t>
      </w:r>
    </w:p>
    <w:p w:rsidR="00B11522" w:rsidRDefault="000A6BF8">
      <w:pPr>
        <w:shd w:val="clear" w:color="auto" w:fill="FFFFFF"/>
        <w:rPr>
          <w:rFonts w:ascii="Times New Roman" w:eastAsia="宋体" w:hAnsi="Times New Roman"/>
          <w:color w:val="000000"/>
          <w:szCs w:val="20"/>
        </w:rPr>
      </w:pPr>
      <w:bookmarkStart w:id="3" w:name="_Hlk86410771"/>
      <w:r>
        <w:rPr>
          <w:rFonts w:ascii="Times New Roman" w:eastAsia="宋体" w:hAnsi="Times New Roman"/>
          <w:color w:val="000000"/>
          <w:szCs w:val="20"/>
        </w:rPr>
        <w:t>It is up to RAN2 for PRACH preamble partitioning for Msg1-based early indication</w:t>
      </w:r>
    </w:p>
    <w:bookmarkEnd w:id="3"/>
    <w:p w:rsidR="00B11522" w:rsidRDefault="00B11522">
      <w:pPr>
        <w:rPr>
          <w:rFonts w:ascii="Times New Roman" w:eastAsia="宋体" w:hAnsi="Times New Roman" w:cs="Times New Roman"/>
          <w:kern w:val="0"/>
          <w:szCs w:val="21"/>
        </w:rPr>
      </w:pPr>
    </w:p>
    <w:p w:rsidR="00B11522" w:rsidRDefault="000A6BF8">
      <w:pPr>
        <w:rPr>
          <w:rFonts w:ascii="Times New Roman" w:eastAsia="宋体" w:hAnsi="Times New Roman" w:cs="Times New Roman"/>
          <w:kern w:val="0"/>
          <w:szCs w:val="21"/>
        </w:rPr>
      </w:pPr>
      <w:r>
        <w:rPr>
          <w:rFonts w:ascii="Times New Roman" w:eastAsia="宋体" w:hAnsi="Times New Roman" w:cs="Times New Roman"/>
          <w:kern w:val="0"/>
          <w:szCs w:val="21"/>
        </w:rPr>
        <w:t>However, regarding the early identification for 2-step RACH, which we think is an optional feature for RedC</w:t>
      </w:r>
      <w:r>
        <w:rPr>
          <w:rFonts w:ascii="Times New Roman" w:eastAsia="宋体" w:hAnsi="Times New Roman" w:cs="Times New Roman"/>
          <w:kern w:val="0"/>
          <w:szCs w:val="21"/>
        </w:rPr>
        <w:t xml:space="preserve">ap, most companies agree to reuse the handling for 4-step RACH where applicable, such as separate 2-step RACH resources, MsgA preambles or initial UL BWP. </w:t>
      </w:r>
      <w:r>
        <w:rPr>
          <w:rFonts w:ascii="Times New Roman" w:eastAsia="宋体" w:hAnsi="Times New Roman" w:cs="Times New Roman" w:hint="eastAsia"/>
          <w:kern w:val="0"/>
          <w:szCs w:val="21"/>
        </w:rPr>
        <w:t>W</w:t>
      </w:r>
      <w:r>
        <w:rPr>
          <w:rFonts w:ascii="Times New Roman" w:eastAsia="宋体" w:hAnsi="Times New Roman" w:cs="Times New Roman"/>
          <w:kern w:val="0"/>
          <w:szCs w:val="21"/>
        </w:rPr>
        <w:t>e think i</w:t>
      </w:r>
      <w:r>
        <w:rPr>
          <w:rFonts w:ascii="Times New Roman" w:eastAsia="等线" w:hAnsi="Times New Roman" w:cs="Times New Roman"/>
          <w:szCs w:val="21"/>
        </w:rPr>
        <w:t xml:space="preserve">t is time to discuss 2-step RACH in this meeting based on the agreement achieved in 4-step RACH. </w:t>
      </w:r>
      <w:r>
        <w:rPr>
          <w:rFonts w:ascii="Times New Roman" w:eastAsia="宋体" w:hAnsi="Times New Roman" w:cs="Times New Roman"/>
          <w:kern w:val="0"/>
          <w:szCs w:val="21"/>
        </w:rPr>
        <w:t>To keep align with 4-step RACH, we prefer to have the following proposals.</w:t>
      </w:r>
    </w:p>
    <w:p w:rsidR="00B11522" w:rsidRDefault="00B11522">
      <w:pPr>
        <w:rPr>
          <w:rFonts w:ascii="Times New Roman" w:eastAsia="宋体" w:hAnsi="Times New Roman" w:cs="Times New Roman"/>
          <w:kern w:val="0"/>
          <w:szCs w:val="21"/>
        </w:rPr>
      </w:pPr>
    </w:p>
    <w:p w:rsidR="00B11522" w:rsidRDefault="000A6BF8">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Proposal 1: For 2-step RACH, support the early indication of RedCap UEs at least in</w:t>
      </w:r>
      <w:r>
        <w:rPr>
          <w:rFonts w:ascii="Times New Roman" w:eastAsia="宋体" w:hAnsi="Times New Roman" w:cs="Times New Roman"/>
          <w:b/>
          <w:i/>
          <w:kern w:val="0"/>
          <w:szCs w:val="21"/>
          <w:lang w:eastAsia="en-US"/>
        </w:rPr>
        <w:t xml:space="preserve"> MsgA preamble part.</w:t>
      </w:r>
    </w:p>
    <w:p w:rsidR="00B11522" w:rsidRDefault="000A6BF8">
      <w:pPr>
        <w:pStyle w:val="aff0"/>
        <w:numPr>
          <w:ilvl w:val="0"/>
          <w:numId w:val="29"/>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The early indication in MsgA preamble part can be configured to be enabled/disabled via SIB</w:t>
      </w:r>
    </w:p>
    <w:p w:rsidR="00B11522" w:rsidRDefault="000A6BF8">
      <w:pPr>
        <w:pStyle w:val="aff0"/>
        <w:numPr>
          <w:ilvl w:val="0"/>
          <w:numId w:val="29"/>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From RAN1 perspective, the following methods can be used for early indication both for shared initial UL BWP and separate initial UL BWP (if su</w:t>
      </w:r>
      <w:r>
        <w:rPr>
          <w:rFonts w:ascii="Times New Roman" w:eastAsia="宋体" w:hAnsi="Times New Roman" w:cs="Times New Roman"/>
          <w:b/>
          <w:i/>
          <w:kern w:val="0"/>
          <w:szCs w:val="21"/>
          <w:lang w:eastAsia="en-US"/>
        </w:rPr>
        <w:t>pported)</w:t>
      </w:r>
    </w:p>
    <w:p w:rsidR="00B11522" w:rsidRDefault="000A6BF8">
      <w:pPr>
        <w:pStyle w:val="aff0"/>
        <w:numPr>
          <w:ilvl w:val="0"/>
          <w:numId w:val="30"/>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separate PRACH resource</w:t>
      </w:r>
    </w:p>
    <w:p w:rsidR="00B11522" w:rsidRDefault="000A6BF8">
      <w:pPr>
        <w:pStyle w:val="aff0"/>
        <w:numPr>
          <w:ilvl w:val="0"/>
          <w:numId w:val="30"/>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PRACH preamble partitioning</w:t>
      </w:r>
    </w:p>
    <w:p w:rsidR="00B11522" w:rsidRDefault="000A6BF8">
      <w:pPr>
        <w:pStyle w:val="aff0"/>
        <w:numPr>
          <w:ilvl w:val="0"/>
          <w:numId w:val="29"/>
        </w:numPr>
        <w:rPr>
          <w:rFonts w:ascii="Times New Roman" w:eastAsia="宋体" w:hAnsi="Times New Roman" w:cs="Times New Roman"/>
          <w:b/>
          <w:i/>
          <w:kern w:val="0"/>
          <w:szCs w:val="21"/>
          <w:lang w:eastAsia="en-US"/>
        </w:rPr>
      </w:pPr>
      <w:r>
        <w:rPr>
          <w:rFonts w:ascii="Times New Roman" w:eastAsia="宋体" w:hAnsi="Times New Roman" w:cs="Times New Roman" w:hint="eastAsia"/>
          <w:b/>
          <w:i/>
          <w:kern w:val="0"/>
          <w:szCs w:val="21"/>
          <w:lang w:eastAsia="en-US"/>
        </w:rPr>
        <w:t>W</w:t>
      </w:r>
      <w:r>
        <w:rPr>
          <w:rFonts w:ascii="Times New Roman" w:eastAsia="宋体" w:hAnsi="Times New Roman" w:cs="Times New Roman"/>
          <w:b/>
          <w:i/>
          <w:kern w:val="0"/>
          <w:szCs w:val="21"/>
          <w:lang w:eastAsia="en-US"/>
        </w:rPr>
        <w:t>hether/how to support early indication of RedCap UEs in MsgA PUSCH part in Rel-17 is up to RAN2</w:t>
      </w:r>
    </w:p>
    <w:p w:rsidR="00B11522" w:rsidRDefault="000A6BF8">
      <w:pPr>
        <w:pStyle w:val="aff0"/>
        <w:numPr>
          <w:ilvl w:val="0"/>
          <w:numId w:val="29"/>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It is up to RAN2 for PRACH preamble partitioning for MsgA PUSCH-based early indication</w:t>
      </w:r>
    </w:p>
    <w:p w:rsidR="00B11522" w:rsidRDefault="00B11522">
      <w:pPr>
        <w:rPr>
          <w:rFonts w:ascii="Times New Roman" w:eastAsia="宋体" w:hAnsi="Times New Roman" w:cs="Times New Roman"/>
          <w:b/>
          <w:i/>
          <w:kern w:val="0"/>
          <w:szCs w:val="21"/>
          <w:lang w:eastAsia="en-US"/>
        </w:rPr>
      </w:pPr>
    </w:p>
    <w:p w:rsidR="00B11522" w:rsidRDefault="000A6BF8">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Proposal 2</w:t>
      </w:r>
      <w:r>
        <w:rPr>
          <w:rFonts w:ascii="Times New Roman" w:eastAsia="宋体" w:hAnsi="Times New Roman" w:cs="Times New Roman"/>
          <w:b/>
          <w:i/>
          <w:kern w:val="0"/>
          <w:szCs w:val="21"/>
          <w:lang w:eastAsia="en-US"/>
        </w:rPr>
        <w:t>: Early indication via 2-step RACH is optional feature for RedCap UEs.</w:t>
      </w:r>
    </w:p>
    <w:p w:rsidR="00B11522" w:rsidRDefault="00B11522">
      <w:pPr>
        <w:rPr>
          <w:rFonts w:ascii="Times New Roman" w:eastAsia="宋体" w:hAnsi="Times New Roman" w:cs="Times New Roman"/>
          <w:kern w:val="0"/>
          <w:szCs w:val="21"/>
        </w:rPr>
      </w:pPr>
    </w:p>
    <w:p w:rsidR="00B11522" w:rsidRDefault="000A6BF8">
      <w:pPr>
        <w:pStyle w:val="1"/>
        <w:rPr>
          <w:rFonts w:cs="Arial"/>
        </w:rPr>
      </w:pPr>
      <w:r>
        <w:rPr>
          <w:rFonts w:cs="Arial"/>
        </w:rPr>
        <w:t>Conclusion</w:t>
      </w:r>
    </w:p>
    <w:p w:rsidR="00B11522" w:rsidRDefault="000A6BF8">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In this contribution, </w:t>
      </w:r>
      <w:r>
        <w:rPr>
          <w:rFonts w:ascii="Times New Roman" w:eastAsia="宋体" w:hAnsi="Times New Roman" w:cs="Times New Roman"/>
          <w:kern w:val="0"/>
          <w:szCs w:val="21"/>
        </w:rPr>
        <w:t>we provided the following proposals:</w:t>
      </w:r>
    </w:p>
    <w:p w:rsidR="00B11522" w:rsidRDefault="000A6BF8">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Proposal 1: For 2-step RACH, support the early indication of RedCap UEs at least in MsgA preamble part.</w:t>
      </w:r>
    </w:p>
    <w:p w:rsidR="00B11522" w:rsidRDefault="000A6BF8">
      <w:pPr>
        <w:pStyle w:val="aff0"/>
        <w:numPr>
          <w:ilvl w:val="0"/>
          <w:numId w:val="29"/>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The early </w:t>
      </w:r>
      <w:r>
        <w:rPr>
          <w:rFonts w:ascii="Times New Roman" w:eastAsia="宋体" w:hAnsi="Times New Roman" w:cs="Times New Roman"/>
          <w:b/>
          <w:i/>
          <w:kern w:val="0"/>
          <w:szCs w:val="21"/>
          <w:lang w:eastAsia="en-US"/>
        </w:rPr>
        <w:t>indication in MsgA preamble part can be configured to be enabled/disabled via SIB</w:t>
      </w:r>
    </w:p>
    <w:p w:rsidR="00B11522" w:rsidRDefault="000A6BF8">
      <w:pPr>
        <w:pStyle w:val="aff0"/>
        <w:numPr>
          <w:ilvl w:val="0"/>
          <w:numId w:val="29"/>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From RAN1 perspective, the following methods can be used for early indication both for shared initial UL BWP and separate initial UL BWP (if supported)</w:t>
      </w:r>
    </w:p>
    <w:p w:rsidR="00B11522" w:rsidRDefault="000A6BF8">
      <w:pPr>
        <w:pStyle w:val="aff0"/>
        <w:numPr>
          <w:ilvl w:val="0"/>
          <w:numId w:val="30"/>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separate PRACH resourc</w:t>
      </w:r>
      <w:r>
        <w:rPr>
          <w:rFonts w:ascii="Times New Roman" w:eastAsia="宋体" w:hAnsi="Times New Roman" w:cs="Times New Roman"/>
          <w:b/>
          <w:i/>
          <w:kern w:val="0"/>
          <w:szCs w:val="21"/>
          <w:lang w:eastAsia="en-US"/>
        </w:rPr>
        <w:t>e</w:t>
      </w:r>
    </w:p>
    <w:p w:rsidR="00B11522" w:rsidRDefault="000A6BF8">
      <w:pPr>
        <w:pStyle w:val="aff0"/>
        <w:numPr>
          <w:ilvl w:val="0"/>
          <w:numId w:val="30"/>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PRACH preamble partitioning</w:t>
      </w:r>
    </w:p>
    <w:p w:rsidR="00B11522" w:rsidRDefault="000A6BF8">
      <w:pPr>
        <w:pStyle w:val="aff0"/>
        <w:numPr>
          <w:ilvl w:val="0"/>
          <w:numId w:val="29"/>
        </w:numPr>
        <w:rPr>
          <w:rFonts w:ascii="Times New Roman" w:eastAsia="宋体" w:hAnsi="Times New Roman" w:cs="Times New Roman"/>
          <w:b/>
          <w:i/>
          <w:kern w:val="0"/>
          <w:szCs w:val="21"/>
          <w:lang w:eastAsia="en-US"/>
        </w:rPr>
      </w:pPr>
      <w:r>
        <w:rPr>
          <w:rFonts w:ascii="Times New Roman" w:eastAsia="宋体" w:hAnsi="Times New Roman" w:cs="Times New Roman" w:hint="eastAsia"/>
          <w:b/>
          <w:i/>
          <w:kern w:val="0"/>
          <w:szCs w:val="21"/>
          <w:lang w:eastAsia="en-US"/>
        </w:rPr>
        <w:t>W</w:t>
      </w:r>
      <w:r>
        <w:rPr>
          <w:rFonts w:ascii="Times New Roman" w:eastAsia="宋体" w:hAnsi="Times New Roman" w:cs="Times New Roman"/>
          <w:b/>
          <w:i/>
          <w:kern w:val="0"/>
          <w:szCs w:val="21"/>
          <w:lang w:eastAsia="en-US"/>
        </w:rPr>
        <w:t>hether/how to support early indication of RedCap UEs in MsgA PUSCH part in Rel-17 is up to RAN2</w:t>
      </w:r>
    </w:p>
    <w:p w:rsidR="00B11522" w:rsidRDefault="000A6BF8">
      <w:pPr>
        <w:pStyle w:val="aff0"/>
        <w:numPr>
          <w:ilvl w:val="0"/>
          <w:numId w:val="29"/>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It is up to RAN2 for PRACH preamble partitioning for MsgA PUSCH-based early indication</w:t>
      </w:r>
    </w:p>
    <w:p w:rsidR="00B11522" w:rsidRDefault="00B11522">
      <w:pPr>
        <w:rPr>
          <w:rFonts w:ascii="Times New Roman" w:eastAsia="宋体" w:hAnsi="Times New Roman" w:cs="Times New Roman"/>
          <w:b/>
          <w:i/>
          <w:kern w:val="0"/>
          <w:szCs w:val="21"/>
          <w:lang w:eastAsia="en-US"/>
        </w:rPr>
      </w:pPr>
    </w:p>
    <w:p w:rsidR="00B11522" w:rsidRDefault="000A6BF8">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2: Early indication via 2-step </w:t>
      </w:r>
      <w:r>
        <w:rPr>
          <w:rFonts w:ascii="Times New Roman" w:eastAsia="宋体" w:hAnsi="Times New Roman" w:cs="Times New Roman"/>
          <w:b/>
          <w:i/>
          <w:kern w:val="0"/>
          <w:szCs w:val="21"/>
          <w:lang w:eastAsia="en-US"/>
        </w:rPr>
        <w:t>RACH is optional feature for RedCap UEs.</w:t>
      </w:r>
    </w:p>
    <w:p w:rsidR="00B11522" w:rsidRDefault="00B11522">
      <w:pPr>
        <w:rPr>
          <w:rFonts w:ascii="Times New Roman" w:eastAsia="宋体" w:hAnsi="Times New Roman" w:cs="Times New Roman"/>
          <w:b/>
          <w:i/>
          <w:kern w:val="0"/>
          <w:szCs w:val="21"/>
          <w:lang w:val="x-none" w:eastAsia="en-US"/>
        </w:rPr>
      </w:pPr>
    </w:p>
    <w:p w:rsidR="00B11522" w:rsidRDefault="000A6BF8">
      <w:pPr>
        <w:pStyle w:val="1"/>
        <w:numPr>
          <w:ilvl w:val="0"/>
          <w:numId w:val="0"/>
        </w:numPr>
        <w:ind w:left="432" w:hanging="432"/>
        <w:rPr>
          <w:rFonts w:cs="Arial"/>
          <w:lang w:val="en-US"/>
        </w:rPr>
      </w:pPr>
      <w:bookmarkStart w:id="4" w:name="_In-sequence_SDU_delivery"/>
      <w:bookmarkEnd w:id="4"/>
      <w:r>
        <w:rPr>
          <w:rFonts w:cs="Arial"/>
          <w:lang w:val="en-US"/>
        </w:rPr>
        <w:t>References</w:t>
      </w:r>
      <w:bookmarkStart w:id="5" w:name="_Ref510504022"/>
      <w:bookmarkStart w:id="6" w:name="_Ref510814820"/>
      <w:bookmarkStart w:id="7" w:name="_Ref174151459"/>
      <w:bookmarkStart w:id="8" w:name="_Ref189809556"/>
    </w:p>
    <w:p w:rsidR="00B11522" w:rsidRDefault="000A6BF8">
      <w:pPr>
        <w:pStyle w:val="Reference"/>
        <w:rPr>
          <w:rFonts w:ascii="Times New Roman" w:hAnsi="Times New Roman" w:cs="Arial"/>
          <w:szCs w:val="21"/>
        </w:rPr>
      </w:pPr>
      <w:bookmarkStart w:id="9" w:name="_Ref60822875"/>
      <w:bookmarkStart w:id="10" w:name="_Ref60822892"/>
      <w:bookmarkEnd w:id="5"/>
      <w:bookmarkEnd w:id="6"/>
      <w:bookmarkEnd w:id="7"/>
      <w:bookmarkEnd w:id="8"/>
      <w:r>
        <w:rPr>
          <w:rFonts w:ascii="Times New Roman" w:hAnsi="Times New Roman" w:cs="Arial"/>
          <w:szCs w:val="21"/>
        </w:rPr>
        <w:t>RP-202933, New WID on support of reduced capability NR devices</w:t>
      </w:r>
      <w:r>
        <w:rPr>
          <w:rFonts w:ascii="Times New Roman" w:eastAsia="Batang" w:hAnsi="Times New Roman" w:cs="Arial"/>
          <w:szCs w:val="21"/>
        </w:rPr>
        <w:t>,</w:t>
      </w:r>
      <w:r>
        <w:rPr>
          <w:rFonts w:ascii="Times New Roman" w:hAnsi="Times New Roman" w:cs="Arial"/>
          <w:szCs w:val="21"/>
        </w:rPr>
        <w:t xml:space="preserve"> Ericsson and Nokia, 3GPP TSG RAN #90e, December 2020.</w:t>
      </w:r>
      <w:bookmarkStart w:id="11" w:name="_Ref47001000"/>
      <w:bookmarkEnd w:id="9"/>
      <w:r>
        <w:rPr>
          <w:rFonts w:ascii="Times New Roman" w:hAnsi="Times New Roman" w:cs="Arial"/>
          <w:szCs w:val="21"/>
        </w:rPr>
        <w:t xml:space="preserve"> </w:t>
      </w:r>
      <w:bookmarkEnd w:id="11"/>
    </w:p>
    <w:p w:rsidR="00B11522" w:rsidRDefault="000A6BF8">
      <w:pPr>
        <w:pStyle w:val="Reference"/>
        <w:rPr>
          <w:rFonts w:ascii="Times New Roman" w:hAnsi="Times New Roman" w:cs="Arial"/>
          <w:szCs w:val="21"/>
        </w:rPr>
      </w:pPr>
      <w:bookmarkStart w:id="12" w:name="_Ref67906043"/>
      <w:r>
        <w:rPr>
          <w:rFonts w:ascii="Times New Roman" w:hAnsi="Times New Roman" w:cs="Arial"/>
          <w:szCs w:val="21"/>
        </w:rPr>
        <w:t>RP-210918, Revised WID on support of reduced capability NR devices</w:t>
      </w:r>
      <w:r>
        <w:rPr>
          <w:rFonts w:ascii="Times New Roman" w:eastAsia="Batang" w:hAnsi="Times New Roman" w:cs="Arial"/>
          <w:szCs w:val="21"/>
        </w:rPr>
        <w:t>,</w:t>
      </w:r>
      <w:r>
        <w:rPr>
          <w:rFonts w:ascii="Times New Roman" w:hAnsi="Times New Roman" w:cs="Arial"/>
          <w:szCs w:val="21"/>
        </w:rPr>
        <w:t xml:space="preserve"> Ericsson and Nokia, 3GPP TSG RAN #91e, March 2021.</w:t>
      </w:r>
      <w:bookmarkEnd w:id="12"/>
      <w:r>
        <w:rPr>
          <w:rFonts w:ascii="Times New Roman" w:hAnsi="Times New Roman" w:cs="Arial"/>
          <w:szCs w:val="21"/>
        </w:rPr>
        <w:t xml:space="preserve"> </w:t>
      </w:r>
    </w:p>
    <w:p w:rsidR="00B11522" w:rsidRDefault="000A6BF8">
      <w:pPr>
        <w:pStyle w:val="Reference"/>
        <w:rPr>
          <w:rFonts w:ascii="Times New Roman" w:hAnsi="Times New Roman" w:cs="Arial"/>
          <w:szCs w:val="21"/>
        </w:rPr>
      </w:pPr>
      <w:bookmarkStart w:id="13" w:name="_Ref70337977"/>
      <w:r>
        <w:rPr>
          <w:rFonts w:ascii="Times New Roman" w:hAnsi="Times New Roman" w:cs="Arial"/>
          <w:szCs w:val="21"/>
        </w:rPr>
        <w:t>Chairman's Notes RAN1#106-e, 3GPP TSG RAN WG1 Meeting #106 e-Meeting, August 16</w:t>
      </w:r>
      <w:r>
        <w:rPr>
          <w:rFonts w:ascii="Times New Roman" w:hAnsi="Times New Roman" w:cs="Arial"/>
          <w:szCs w:val="21"/>
          <w:vertAlign w:val="superscript"/>
        </w:rPr>
        <w:t>th</w:t>
      </w:r>
      <w:r>
        <w:rPr>
          <w:rFonts w:ascii="Times New Roman" w:hAnsi="Times New Roman" w:cs="Arial"/>
          <w:szCs w:val="21"/>
        </w:rPr>
        <w:t xml:space="preserve"> – 27</w:t>
      </w:r>
      <w:r>
        <w:rPr>
          <w:rFonts w:ascii="Times New Roman" w:hAnsi="Times New Roman" w:cs="Arial"/>
          <w:szCs w:val="21"/>
          <w:vertAlign w:val="superscript"/>
        </w:rPr>
        <w:t>th</w:t>
      </w:r>
      <w:r>
        <w:rPr>
          <w:rFonts w:ascii="Times New Roman" w:hAnsi="Times New Roman" w:cs="Arial"/>
          <w:szCs w:val="21"/>
        </w:rPr>
        <w:t>, 2021.</w:t>
      </w:r>
      <w:bookmarkEnd w:id="10"/>
      <w:bookmarkEnd w:id="13"/>
    </w:p>
    <w:p w:rsidR="00B11522" w:rsidRDefault="000A6BF8">
      <w:pPr>
        <w:pStyle w:val="Reference"/>
        <w:rPr>
          <w:rFonts w:ascii="Times New Roman" w:hAnsi="Times New Roman" w:cs="Arial"/>
          <w:szCs w:val="21"/>
        </w:rPr>
      </w:pPr>
      <w:bookmarkStart w:id="14" w:name="_Ref86400816"/>
      <w:r>
        <w:rPr>
          <w:rFonts w:ascii="Times New Roman" w:hAnsi="Times New Roman" w:cs="Arial"/>
          <w:szCs w:val="21"/>
        </w:rPr>
        <w:t>Chairman's Notes RAN1#106bis-e, 3GPP TSG RAN WG1 Meeting #106</w:t>
      </w:r>
      <w:r>
        <w:rPr>
          <w:rFonts w:ascii="Times New Roman" w:hAnsi="Times New Roman" w:cs="Arial" w:hint="eastAsia"/>
          <w:szCs w:val="21"/>
        </w:rPr>
        <w:t>bis</w:t>
      </w:r>
      <w:r>
        <w:rPr>
          <w:rFonts w:ascii="Times New Roman" w:hAnsi="Times New Roman" w:cs="Arial"/>
          <w:szCs w:val="21"/>
        </w:rPr>
        <w:t xml:space="preserve"> e-Meeting, October 11</w:t>
      </w:r>
      <w:r>
        <w:rPr>
          <w:rFonts w:ascii="Times New Roman" w:hAnsi="Times New Roman" w:cs="Arial"/>
          <w:szCs w:val="21"/>
          <w:vertAlign w:val="superscript"/>
        </w:rPr>
        <w:t>th</w:t>
      </w:r>
      <w:r>
        <w:rPr>
          <w:rFonts w:ascii="Times New Roman" w:hAnsi="Times New Roman" w:cs="Arial"/>
          <w:szCs w:val="21"/>
        </w:rPr>
        <w:t xml:space="preserve"> – 19</w:t>
      </w:r>
      <w:r>
        <w:rPr>
          <w:rFonts w:ascii="Times New Roman" w:hAnsi="Times New Roman" w:cs="Arial"/>
          <w:szCs w:val="21"/>
          <w:vertAlign w:val="superscript"/>
        </w:rPr>
        <w:t>th</w:t>
      </w:r>
      <w:r>
        <w:rPr>
          <w:rFonts w:ascii="Times New Roman" w:hAnsi="Times New Roman" w:cs="Arial"/>
          <w:szCs w:val="21"/>
        </w:rPr>
        <w:t>, 2021</w:t>
      </w:r>
      <w:bookmarkEnd w:id="14"/>
      <w:r>
        <w:rPr>
          <w:rFonts w:ascii="Times New Roman" w:eastAsia="等线" w:hAnsi="Times New Roman" w:cs="Arial" w:hint="eastAsia"/>
          <w:szCs w:val="21"/>
        </w:rPr>
        <w:t>.</w:t>
      </w:r>
    </w:p>
    <w:sectPr w:rsidR="00B11522">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6BF8" w:rsidRDefault="000A6BF8">
      <w:r>
        <w:separator/>
      </w:r>
    </w:p>
  </w:endnote>
  <w:endnote w:type="continuationSeparator" w:id="0">
    <w:p w:rsidR="000A6BF8" w:rsidRDefault="000A6BF8">
      <w:r>
        <w:continuationSeparator/>
      </w:r>
    </w:p>
  </w:endnote>
  <w:endnote w:type="continuationNotice" w:id="1">
    <w:p w:rsidR="000A6BF8" w:rsidRDefault="000A6B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522" w:rsidRDefault="000A6BF8">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8314EE">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8314EE">
      <w:rPr>
        <w:rStyle w:val="af4"/>
      </w:rPr>
      <w:t>2</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6BF8" w:rsidRDefault="000A6BF8">
      <w:r>
        <w:separator/>
      </w:r>
    </w:p>
  </w:footnote>
  <w:footnote w:type="continuationSeparator" w:id="0">
    <w:p w:rsidR="000A6BF8" w:rsidRDefault="000A6BF8">
      <w:r>
        <w:continuationSeparator/>
      </w:r>
    </w:p>
  </w:footnote>
  <w:footnote w:type="continuationNotice" w:id="1">
    <w:p w:rsidR="000A6BF8" w:rsidRDefault="000A6BF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522" w:rsidRDefault="000A6BF8">
    <w:r>
      <w:t>Page</w:t>
    </w:r>
    <w:r>
      <w:t xml:space="preserv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A600F6A"/>
    <w:multiLevelType w:val="hybridMultilevel"/>
    <w:tmpl w:val="C9C2B8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B428A6"/>
    <w:multiLevelType w:val="hybridMultilevel"/>
    <w:tmpl w:val="2AB8190E"/>
    <w:lvl w:ilvl="0" w:tplc="96F6F3D2">
      <w:start w:val="5"/>
      <w:numFmt w:val="bullet"/>
      <w:lvlText w:val=""/>
      <w:lvlJc w:val="left"/>
      <w:pPr>
        <w:ind w:left="420" w:hanging="420"/>
      </w:pPr>
      <w:rPr>
        <w:rFonts w:ascii="Symbol" w:eastAsia="宋体"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7B16B2"/>
    <w:multiLevelType w:val="multilevel"/>
    <w:tmpl w:val="257B16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6816A53"/>
    <w:multiLevelType w:val="multilevel"/>
    <w:tmpl w:val="26816A53"/>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7406EA4"/>
    <w:multiLevelType w:val="hybridMultilevel"/>
    <w:tmpl w:val="CBA0614C"/>
    <w:lvl w:ilvl="0" w:tplc="835CCF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7A0BFF"/>
    <w:multiLevelType w:val="hybridMultilevel"/>
    <w:tmpl w:val="AC4EDDD0"/>
    <w:lvl w:ilvl="0" w:tplc="041D0005">
      <w:start w:val="1"/>
      <w:numFmt w:val="bullet"/>
      <w:lvlText w:val=""/>
      <w:lvlJc w:val="left"/>
      <w:pPr>
        <w:ind w:left="927" w:hanging="360"/>
      </w:pPr>
      <w:rPr>
        <w:rFonts w:ascii="Wingdings" w:hAnsi="Wingdings" w:hint="default"/>
      </w:rPr>
    </w:lvl>
    <w:lvl w:ilvl="1" w:tplc="04090003">
      <w:start w:val="1"/>
      <w:numFmt w:val="bullet"/>
      <w:lvlText w:val=""/>
      <w:lvlJc w:val="left"/>
      <w:pPr>
        <w:ind w:left="-393" w:hanging="420"/>
      </w:pPr>
      <w:rPr>
        <w:rFonts w:ascii="Wingdings" w:hAnsi="Wingdings" w:hint="default"/>
      </w:rPr>
    </w:lvl>
    <w:lvl w:ilvl="2" w:tplc="04090005">
      <w:start w:val="1"/>
      <w:numFmt w:val="bullet"/>
      <w:lvlText w:val=""/>
      <w:lvlJc w:val="left"/>
      <w:pPr>
        <w:ind w:left="27" w:hanging="420"/>
      </w:pPr>
      <w:rPr>
        <w:rFonts w:ascii="Wingdings" w:hAnsi="Wingdings" w:hint="default"/>
      </w:rPr>
    </w:lvl>
    <w:lvl w:ilvl="3" w:tplc="04090001">
      <w:start w:val="1"/>
      <w:numFmt w:val="bullet"/>
      <w:lvlText w:val=""/>
      <w:lvlJc w:val="left"/>
      <w:pPr>
        <w:ind w:left="447" w:hanging="420"/>
      </w:pPr>
      <w:rPr>
        <w:rFonts w:ascii="Wingdings" w:hAnsi="Wingdings" w:hint="default"/>
      </w:rPr>
    </w:lvl>
    <w:lvl w:ilvl="4" w:tplc="04090003">
      <w:start w:val="1"/>
      <w:numFmt w:val="bullet"/>
      <w:lvlText w:val=""/>
      <w:lvlJc w:val="left"/>
      <w:pPr>
        <w:ind w:left="867" w:hanging="420"/>
      </w:pPr>
      <w:rPr>
        <w:rFonts w:ascii="Wingdings" w:hAnsi="Wingdings" w:hint="default"/>
      </w:rPr>
    </w:lvl>
    <w:lvl w:ilvl="5" w:tplc="04090005">
      <w:start w:val="1"/>
      <w:numFmt w:val="bullet"/>
      <w:lvlText w:val=""/>
      <w:lvlJc w:val="left"/>
      <w:pPr>
        <w:ind w:left="1287" w:hanging="420"/>
      </w:pPr>
      <w:rPr>
        <w:rFonts w:ascii="Wingdings" w:hAnsi="Wingdings" w:hint="default"/>
      </w:rPr>
    </w:lvl>
    <w:lvl w:ilvl="6" w:tplc="04090003">
      <w:start w:val="1"/>
      <w:numFmt w:val="bullet"/>
      <w:lvlText w:val="o"/>
      <w:lvlJc w:val="left"/>
      <w:pPr>
        <w:ind w:left="1707" w:hanging="420"/>
      </w:pPr>
      <w:rPr>
        <w:rFonts w:ascii="Courier New" w:hAnsi="Courier New" w:cs="Courier New" w:hint="default"/>
      </w:rPr>
    </w:lvl>
    <w:lvl w:ilvl="7" w:tplc="04090003" w:tentative="1">
      <w:start w:val="1"/>
      <w:numFmt w:val="bullet"/>
      <w:lvlText w:val=""/>
      <w:lvlJc w:val="left"/>
      <w:pPr>
        <w:ind w:left="2127" w:hanging="420"/>
      </w:pPr>
      <w:rPr>
        <w:rFonts w:ascii="Wingdings" w:hAnsi="Wingdings" w:hint="default"/>
      </w:rPr>
    </w:lvl>
    <w:lvl w:ilvl="8" w:tplc="04090005" w:tentative="1">
      <w:start w:val="1"/>
      <w:numFmt w:val="bullet"/>
      <w:lvlText w:val=""/>
      <w:lvlJc w:val="left"/>
      <w:pPr>
        <w:ind w:left="2547" w:hanging="42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F93886C8"/>
    <w:lvl w:ilvl="0" w:tplc="322AD1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3122EA"/>
    <w:multiLevelType w:val="hybridMultilevel"/>
    <w:tmpl w:val="22B6E772"/>
    <w:lvl w:ilvl="0" w:tplc="04090003">
      <w:start w:val="1"/>
      <w:numFmt w:val="bullet"/>
      <w:lvlText w:val="o"/>
      <w:lvlJc w:val="left"/>
      <w:pPr>
        <w:ind w:left="1287" w:hanging="360"/>
      </w:pPr>
      <w:rPr>
        <w:rFonts w:ascii="Courier New" w:hAnsi="Courier New" w:cs="Courier New" w:hint="default"/>
      </w:rPr>
    </w:lvl>
    <w:lvl w:ilvl="1" w:tplc="04090003">
      <w:start w:val="1"/>
      <w:numFmt w:val="bullet"/>
      <w:lvlText w:val=""/>
      <w:lvlJc w:val="left"/>
      <w:pPr>
        <w:ind w:left="-33" w:hanging="420"/>
      </w:pPr>
      <w:rPr>
        <w:rFonts w:ascii="Wingdings" w:hAnsi="Wingdings" w:hint="default"/>
      </w:rPr>
    </w:lvl>
    <w:lvl w:ilvl="2" w:tplc="04090005">
      <w:start w:val="1"/>
      <w:numFmt w:val="bullet"/>
      <w:lvlText w:val=""/>
      <w:lvlJc w:val="left"/>
      <w:pPr>
        <w:ind w:left="387" w:hanging="420"/>
      </w:pPr>
      <w:rPr>
        <w:rFonts w:ascii="Wingdings" w:hAnsi="Wingdings" w:hint="default"/>
      </w:rPr>
    </w:lvl>
    <w:lvl w:ilvl="3" w:tplc="04090001">
      <w:start w:val="1"/>
      <w:numFmt w:val="bullet"/>
      <w:lvlText w:val=""/>
      <w:lvlJc w:val="left"/>
      <w:pPr>
        <w:ind w:left="807" w:hanging="420"/>
      </w:pPr>
      <w:rPr>
        <w:rFonts w:ascii="Wingdings" w:hAnsi="Wingdings" w:hint="default"/>
      </w:rPr>
    </w:lvl>
    <w:lvl w:ilvl="4" w:tplc="04090003">
      <w:start w:val="1"/>
      <w:numFmt w:val="bullet"/>
      <w:lvlText w:val=""/>
      <w:lvlJc w:val="left"/>
      <w:pPr>
        <w:ind w:left="1227" w:hanging="420"/>
      </w:pPr>
      <w:rPr>
        <w:rFonts w:ascii="Wingdings" w:hAnsi="Wingdings" w:hint="default"/>
      </w:rPr>
    </w:lvl>
    <w:lvl w:ilvl="5" w:tplc="04090005">
      <w:start w:val="1"/>
      <w:numFmt w:val="bullet"/>
      <w:lvlText w:val=""/>
      <w:lvlJc w:val="left"/>
      <w:pPr>
        <w:ind w:left="1647" w:hanging="420"/>
      </w:pPr>
      <w:rPr>
        <w:rFonts w:ascii="Wingdings" w:hAnsi="Wingdings" w:hint="default"/>
      </w:rPr>
    </w:lvl>
    <w:lvl w:ilvl="6" w:tplc="04090003">
      <w:start w:val="1"/>
      <w:numFmt w:val="bullet"/>
      <w:lvlText w:val="o"/>
      <w:lvlJc w:val="left"/>
      <w:pPr>
        <w:ind w:left="2067" w:hanging="420"/>
      </w:pPr>
      <w:rPr>
        <w:rFonts w:ascii="Courier New" w:hAnsi="Courier New" w:cs="Courier New" w:hint="default"/>
      </w:rPr>
    </w:lvl>
    <w:lvl w:ilvl="7" w:tplc="04090003" w:tentative="1">
      <w:start w:val="1"/>
      <w:numFmt w:val="bullet"/>
      <w:lvlText w:val=""/>
      <w:lvlJc w:val="left"/>
      <w:pPr>
        <w:ind w:left="2487" w:hanging="420"/>
      </w:pPr>
      <w:rPr>
        <w:rFonts w:ascii="Wingdings" w:hAnsi="Wingdings" w:hint="default"/>
      </w:rPr>
    </w:lvl>
    <w:lvl w:ilvl="8" w:tplc="04090005" w:tentative="1">
      <w:start w:val="1"/>
      <w:numFmt w:val="bullet"/>
      <w:lvlText w:val=""/>
      <w:lvlJc w:val="left"/>
      <w:pPr>
        <w:ind w:left="2907" w:hanging="420"/>
      </w:pPr>
      <w:rPr>
        <w:rFonts w:ascii="Wingdings" w:hAnsi="Wingdings" w:hint="default"/>
      </w:rPr>
    </w:lvl>
  </w:abstractNum>
  <w:abstractNum w:abstractNumId="19"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5A324E"/>
    <w:multiLevelType w:val="hybridMultilevel"/>
    <w:tmpl w:val="236A26E0"/>
    <w:lvl w:ilvl="0" w:tplc="835CCFB2">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0986205"/>
    <w:multiLevelType w:val="hybridMultilevel"/>
    <w:tmpl w:val="F21A7718"/>
    <w:lvl w:ilvl="0" w:tplc="B3BA8E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0D8799B"/>
    <w:multiLevelType w:val="hybridMultilevel"/>
    <w:tmpl w:val="F8AC8AA2"/>
    <w:lvl w:ilvl="0" w:tplc="835CCF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19"/>
  </w:num>
  <w:num w:numId="4">
    <w:abstractNumId w:val="20"/>
  </w:num>
  <w:num w:numId="5">
    <w:abstractNumId w:val="22"/>
  </w:num>
  <w:num w:numId="6">
    <w:abstractNumId w:val="6"/>
  </w:num>
  <w:num w:numId="7">
    <w:abstractNumId w:val="11"/>
  </w:num>
  <w:num w:numId="8">
    <w:abstractNumId w:val="2"/>
  </w:num>
  <w:num w:numId="9">
    <w:abstractNumId w:val="27"/>
  </w:num>
  <w:num w:numId="10">
    <w:abstractNumId w:val="15"/>
  </w:num>
  <w:num w:numId="11">
    <w:abstractNumId w:val="26"/>
  </w:num>
  <w:num w:numId="12">
    <w:abstractNumId w:val="1"/>
  </w:num>
  <w:num w:numId="13">
    <w:abstractNumId w:val="12"/>
  </w:num>
  <w:num w:numId="14">
    <w:abstractNumId w:val="14"/>
  </w:num>
  <w:num w:numId="15">
    <w:abstractNumId w:val="16"/>
  </w:num>
  <w:num w:numId="16">
    <w:abstractNumId w:val="28"/>
  </w:num>
  <w:num w:numId="17">
    <w:abstractNumId w:val="21"/>
  </w:num>
  <w:num w:numId="18">
    <w:abstractNumId w:val="25"/>
  </w:num>
  <w:num w:numId="19">
    <w:abstractNumId w:val="8"/>
  </w:num>
  <w:num w:numId="20">
    <w:abstractNumId w:val="9"/>
  </w:num>
  <w:num w:numId="21">
    <w:abstractNumId w:val="10"/>
  </w:num>
  <w:num w:numId="22">
    <w:abstractNumId w:val="4"/>
  </w:num>
  <w:num w:numId="23">
    <w:abstractNumId w:val="7"/>
  </w:num>
  <w:num w:numId="24">
    <w:abstractNumId w:val="7"/>
  </w:num>
  <w:num w:numId="25">
    <w:abstractNumId w:val="24"/>
  </w:num>
  <w:num w:numId="26">
    <w:abstractNumId w:val="3"/>
  </w:num>
  <w:num w:numId="27">
    <w:abstractNumId w:val="5"/>
  </w:num>
  <w:num w:numId="28">
    <w:abstractNumId w:val="23"/>
  </w:num>
  <w:num w:numId="29">
    <w:abstractNumId w:val="13"/>
  </w:num>
  <w:num w:numId="3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522"/>
    <w:rsid w:val="000A6BF8"/>
    <w:rsid w:val="008314EE"/>
    <w:rsid w:val="00B1152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6A098"/>
  <w15:docId w15:val="{85BB1E4F-7A21-49DF-A22C-BA8471E4D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宋体" w:hAnsi="Arial" w:cs="Arial"/>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314EE"/>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qFormat/>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2">
    <w:name w:val="heading 2"/>
    <w:basedOn w:val="1"/>
    <w:next w:val="a1"/>
    <w:link w:val="22"/>
    <w:qFormat/>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2"/>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qFormat/>
    <w:pPr>
      <w:numPr>
        <w:ilvl w:val="3"/>
      </w:numPr>
      <w:outlineLvl w:val="3"/>
    </w:pPr>
    <w:rPr>
      <w:sz w:val="24"/>
    </w:rPr>
  </w:style>
  <w:style w:type="paragraph" w:styleId="5">
    <w:name w:val="heading 5"/>
    <w:basedOn w:val="4"/>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
    <w:next w:val="a1"/>
    <w:link w:val="80"/>
    <w:qFormat/>
    <w:pPr>
      <w:numPr>
        <w:ilvl w:val="7"/>
      </w:numPr>
      <w:outlineLvl w:val="7"/>
    </w:pPr>
  </w:style>
  <w:style w:type="paragraph" w:styleId="9">
    <w:name w:val="heading 9"/>
    <w:basedOn w:val="8"/>
    <w:next w:val="a1"/>
    <w:link w:val="90"/>
    <w:qFormat/>
    <w:pPr>
      <w:numPr>
        <w:ilvl w:val="8"/>
      </w:numPr>
      <w:outlineLvl w:val="8"/>
    </w:pPr>
  </w:style>
  <w:style w:type="character" w:default="1" w:styleId="a2">
    <w:name w:val="Default Paragraph Font"/>
    <w:uiPriority w:val="1"/>
    <w:semiHidden/>
    <w:unhideWhenUsed/>
    <w:rsid w:val="008314E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314EE"/>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a1"/>
    <w:next w:val="a5"/>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a6"/>
    <w:qFormat/>
    <w:pPr>
      <w:spacing w:before="120" w:after="120"/>
    </w:pPr>
    <w:rPr>
      <w:b/>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24">
    <w:name w:val="index 2"/>
    <w:basedOn w:val="12"/>
    <w:pPr>
      <w:ind w:left="284"/>
    </w:pPr>
  </w:style>
  <w:style w:type="paragraph" w:styleId="12">
    <w:name w:val="index 1"/>
    <w:basedOn w:val="a1"/>
    <w:pPr>
      <w:keepLines/>
    </w:pPr>
  </w:style>
  <w:style w:type="paragraph" w:styleId="a7">
    <w:name w:val="Document Map"/>
    <w:basedOn w:val="a1"/>
    <w:link w:val="a8"/>
    <w:pPr>
      <w:shd w:val="clear" w:color="auto" w:fill="000080"/>
    </w:pPr>
    <w:rPr>
      <w:rFonts w:ascii="Tahoma" w:hAnsi="Tahoma" w:cs="Tahoma"/>
    </w:rPr>
  </w:style>
  <w:style w:type="paragraph" w:styleId="21">
    <w:name w:val="List Number 2"/>
    <w:basedOn w:val="a"/>
    <w:pPr>
      <w:numPr>
        <w:numId w:val="11"/>
      </w:numPr>
    </w:pPr>
  </w:style>
  <w:style w:type="paragraph" w:styleId="a">
    <w:name w:val="List Number"/>
    <w:basedOn w:val="a9"/>
    <w:pPr>
      <w:numPr>
        <w:numId w:val="10"/>
      </w:numPr>
    </w:pPr>
    <w:rPr>
      <w:lang w:eastAsia="ja-JP"/>
    </w:rPr>
  </w:style>
  <w:style w:type="paragraph" w:styleId="a9">
    <w:name w:val="List"/>
    <w:basedOn w:val="aa"/>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pPr>
      <w:widowControl w:val="0"/>
      <w:overflowPunct w:val="0"/>
      <w:autoSpaceDE w:val="0"/>
      <w:autoSpaceDN w:val="0"/>
      <w:adjustRightInd w:val="0"/>
      <w:textAlignment w:val="baseline"/>
    </w:pPr>
    <w:rPr>
      <w:rFonts w:cs="Times New Roman"/>
      <w:b/>
      <w:noProof/>
      <w:sz w:val="18"/>
      <w:lang w:eastAsia="ja-JP"/>
    </w:rPr>
  </w:style>
  <w:style w:type="character" w:styleId="ad">
    <w:name w:val="footnote reference"/>
    <w:rPr>
      <w:b/>
      <w:position w:val="6"/>
      <w:sz w:val="16"/>
    </w:rPr>
  </w:style>
  <w:style w:type="paragraph" w:styleId="ae">
    <w:name w:val="footnote text"/>
    <w:basedOn w:val="a1"/>
    <w:link w:val="af"/>
    <w:pPr>
      <w:keepLines/>
      <w:ind w:left="454" w:hanging="454"/>
    </w:pPr>
    <w:rPr>
      <w:sz w:val="16"/>
    </w:rPr>
  </w:style>
  <w:style w:type="paragraph" w:customStyle="1" w:styleId="3GPPHeader">
    <w:name w:val="3GPP_Header"/>
    <w:basedOn w:val="aa"/>
    <w:pPr>
      <w:tabs>
        <w:tab w:val="left" w:pos="1701"/>
        <w:tab w:val="right" w:pos="9639"/>
      </w:tabs>
      <w:spacing w:after="240"/>
    </w:pPr>
    <w:rPr>
      <w:b/>
      <w:sz w:val="24"/>
    </w:rPr>
  </w:style>
  <w:style w:type="paragraph" w:styleId="91">
    <w:name w:val="toc 9"/>
    <w:basedOn w:val="81"/>
    <w:uiPriority w:val="39"/>
    <w:pPr>
      <w:ind w:left="1418" w:hanging="1418"/>
    </w:pPr>
  </w:style>
  <w:style w:type="paragraph" w:styleId="61">
    <w:name w:val="toc 6"/>
    <w:basedOn w:val="52"/>
    <w:next w:val="a1"/>
    <w:uiPriority w:val="39"/>
    <w:pPr>
      <w:ind w:left="1985" w:hanging="1985"/>
    </w:pPr>
  </w:style>
  <w:style w:type="paragraph" w:styleId="71">
    <w:name w:val="toc 7"/>
    <w:basedOn w:val="61"/>
    <w:next w:val="a1"/>
    <w:uiPriority w:val="39"/>
    <w:pPr>
      <w:ind w:left="2268" w:hanging="2268"/>
    </w:pPr>
  </w:style>
  <w:style w:type="paragraph" w:styleId="20">
    <w:name w:val="List Bullet 2"/>
    <w:basedOn w:val="a0"/>
    <w:pPr>
      <w:numPr>
        <w:numId w:val="6"/>
      </w:numPr>
    </w:pPr>
  </w:style>
  <w:style w:type="paragraph" w:styleId="a0">
    <w:name w:val="List Bullet"/>
    <w:basedOn w:val="a9"/>
    <w:pPr>
      <w:numPr>
        <w:numId w:val="5"/>
      </w:numPr>
    </w:pPr>
    <w:rPr>
      <w:lang w:eastAsia="ja-JP"/>
    </w:rPr>
  </w:style>
  <w:style w:type="paragraph" w:styleId="31">
    <w:name w:val="List Bullet 3"/>
    <w:basedOn w:val="20"/>
    <w:pPr>
      <w:numPr>
        <w:numId w:val="7"/>
      </w:numPr>
    </w:pPr>
  </w:style>
  <w:style w:type="paragraph" w:customStyle="1" w:styleId="EQ">
    <w:name w:val="EQ"/>
    <w:basedOn w:val="a1"/>
    <w:next w:val="a1"/>
    <w:pPr>
      <w:keepLines/>
      <w:tabs>
        <w:tab w:val="center" w:pos="4536"/>
        <w:tab w:val="right" w:pos="9072"/>
      </w:tabs>
    </w:pPr>
    <w:rPr>
      <w:noProof/>
    </w:rPr>
  </w:style>
  <w:style w:type="paragraph" w:styleId="25">
    <w:name w:val="List 2"/>
    <w:basedOn w:val="a9"/>
    <w:pPr>
      <w:ind w:left="851"/>
    </w:pPr>
    <w:rPr>
      <w:lang w:eastAsia="ja-JP"/>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rPr>
      <w:color w:val="FF0000"/>
      <w:lang w:val="x-none" w:eastAsia="x-none"/>
    </w:rPr>
  </w:style>
  <w:style w:type="paragraph" w:styleId="40">
    <w:name w:val="List Bullet 4"/>
    <w:basedOn w:val="31"/>
    <w:pPr>
      <w:numPr>
        <w:numId w:val="8"/>
      </w:numPr>
    </w:pPr>
  </w:style>
  <w:style w:type="paragraph" w:styleId="50">
    <w:name w:val="List Bullet 5"/>
    <w:basedOn w:val="40"/>
    <w:pPr>
      <w:numPr>
        <w:numId w:val="9"/>
      </w:numPr>
    </w:pPr>
  </w:style>
  <w:style w:type="paragraph" w:styleId="af0">
    <w:name w:val="footer"/>
    <w:basedOn w:val="ab"/>
    <w:link w:val="af1"/>
    <w:pPr>
      <w:jc w:val="center"/>
    </w:pPr>
    <w:rPr>
      <w:i/>
    </w:rPr>
  </w:style>
  <w:style w:type="paragraph" w:customStyle="1" w:styleId="Reference">
    <w:name w:val="Reference"/>
    <w:basedOn w:val="aa"/>
    <w:pPr>
      <w:numPr>
        <w:numId w:val="1"/>
      </w:numPr>
    </w:pPr>
  </w:style>
  <w:style w:type="paragraph" w:styleId="af2">
    <w:name w:val="Balloon Text"/>
    <w:basedOn w:val="a1"/>
    <w:link w:val="af3"/>
    <w:rPr>
      <w:rFonts w:ascii="Segoe UI" w:hAnsi="Segoe UI" w:cs="Segoe UI"/>
      <w:sz w:val="18"/>
      <w:szCs w:val="18"/>
    </w:rPr>
  </w:style>
  <w:style w:type="character" w:styleId="af4">
    <w:name w:val="page number"/>
    <w:basedOn w:val="a2"/>
  </w:style>
  <w:style w:type="paragraph" w:styleId="aa">
    <w:name w:val="Body Text"/>
    <w:basedOn w:val="a1"/>
    <w:link w:val="af5"/>
    <w:pPr>
      <w:spacing w:after="120"/>
    </w:pPr>
  </w:style>
  <w:style w:type="character" w:styleId="af6">
    <w:name w:val="Hyperlink"/>
    <w:uiPriority w:val="99"/>
    <w:qFormat/>
    <w:rPr>
      <w:color w:val="0000FF"/>
      <w:u w:val="single"/>
    </w:rPr>
  </w:style>
  <w:style w:type="character" w:styleId="af7">
    <w:name w:val="FollowedHyperlink"/>
    <w:unhideWhenUsed/>
    <w:rPr>
      <w:color w:val="800080"/>
      <w:u w:val="single"/>
    </w:rPr>
  </w:style>
  <w:style w:type="character" w:styleId="af8">
    <w:name w:val="annotation reference"/>
    <w:uiPriority w:val="99"/>
    <w:qFormat/>
    <w:rPr>
      <w:sz w:val="16"/>
      <w:szCs w:val="16"/>
    </w:rPr>
  </w:style>
  <w:style w:type="paragraph" w:styleId="af9">
    <w:name w:val="annotation text"/>
    <w:basedOn w:val="a1"/>
    <w:link w:val="afa"/>
    <w:uiPriority w:val="99"/>
    <w:qFormat/>
  </w:style>
  <w:style w:type="paragraph" w:styleId="afb">
    <w:name w:val="annotation subject"/>
    <w:basedOn w:val="af9"/>
    <w:next w:val="af9"/>
    <w:link w:val="afc"/>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Pr>
      <w:rFonts w:cs="Times New Roman"/>
      <w:sz w:val="36"/>
      <w:lang w:eastAsia="ja-JP"/>
    </w:rPr>
  </w:style>
  <w:style w:type="paragraph" w:customStyle="1" w:styleId="B1">
    <w:name w:val="B1"/>
    <w:basedOn w:val="a9"/>
    <w:link w:val="B1Char1"/>
    <w:qFormat/>
    <w:rPr>
      <w:rFonts w:ascii="Times New Roman" w:hAnsi="Times New Roman"/>
    </w:rPr>
  </w:style>
  <w:style w:type="paragraph" w:customStyle="1" w:styleId="B2">
    <w:name w:val="B2"/>
    <w:basedOn w:val="25"/>
    <w:link w:val="B2Char"/>
    <w:rPr>
      <w:rFonts w:ascii="Times New Roman" w:hAnsi="Times New Roman"/>
    </w:rPr>
  </w:style>
  <w:style w:type="paragraph" w:customStyle="1" w:styleId="B3">
    <w:name w:val="B3"/>
    <w:basedOn w:val="34"/>
    <w:link w:val="B3Char2"/>
    <w:rPr>
      <w:rFonts w:ascii="Times New Roman" w:hAnsi="Times New Roman"/>
    </w:rPr>
  </w:style>
  <w:style w:type="paragraph" w:customStyle="1" w:styleId="B4">
    <w:name w:val="B4"/>
    <w:basedOn w:val="43"/>
    <w:link w:val="B4Char"/>
    <w:rPr>
      <w:rFonts w:ascii="Times New Roman" w:hAnsi="Times New Roman"/>
    </w:rPr>
  </w:style>
  <w:style w:type="paragraph" w:customStyle="1" w:styleId="Proposal">
    <w:name w:val="Proposal"/>
    <w:basedOn w:val="aa"/>
    <w:link w:val="ProposalChar"/>
    <w:qFormat/>
    <w:pPr>
      <w:numPr>
        <w:numId w:val="15"/>
      </w:numPr>
      <w:tabs>
        <w:tab w:val="clear" w:pos="1304"/>
        <w:tab w:val="left" w:pos="1701"/>
      </w:tabs>
    </w:pPr>
    <w:rPr>
      <w:b/>
      <w:bCs/>
    </w:rPr>
  </w:style>
  <w:style w:type="character" w:customStyle="1" w:styleId="af5">
    <w:name w:val="正文文本 字符"/>
    <w:link w:val="aa"/>
    <w:rPr>
      <w:lang w:eastAsia="zh-CN"/>
    </w:rPr>
  </w:style>
  <w:style w:type="paragraph" w:customStyle="1" w:styleId="B5">
    <w:name w:val="B5"/>
    <w:basedOn w:val="53"/>
    <w:link w:val="B5Char"/>
    <w:rPr>
      <w:rFonts w:ascii="Times New Roman" w:hAnsi="Times New Roman"/>
    </w:rPr>
  </w:style>
  <w:style w:type="paragraph" w:customStyle="1" w:styleId="EX">
    <w:name w:val="EX"/>
    <w:basedOn w:val="a1"/>
    <w:pPr>
      <w:keepLines/>
      <w:ind w:left="1702" w:hanging="1418"/>
    </w:pPr>
  </w:style>
  <w:style w:type="paragraph" w:customStyle="1" w:styleId="EW">
    <w:name w:val="EW"/>
    <w:basedOn w:val="EX"/>
  </w:style>
  <w:style w:type="paragraph" w:customStyle="1" w:styleId="TAL">
    <w:name w:val="TAL"/>
    <w:basedOn w:val="a1"/>
    <w:link w:val="TALCar"/>
    <w:pPr>
      <w:keepNext/>
      <w:keepLines/>
    </w:pPr>
    <w:rPr>
      <w:sz w:val="18"/>
      <w:lang w:val="x-none" w:eastAsia="x-none"/>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jc w:val="center"/>
    </w:pPr>
    <w:rPr>
      <w:b/>
      <w:lang w:val="x-none" w:eastAsia="x-none"/>
    </w:rPr>
  </w:style>
  <w:style w:type="paragraph" w:customStyle="1" w:styleId="TF">
    <w:name w:val="TF"/>
    <w:basedOn w:val="TH"/>
    <w:link w:val="TFChar"/>
    <w:pPr>
      <w:keepNext w:val="0"/>
      <w:spacing w:before="0" w:after="240"/>
    </w:pPr>
  </w:style>
  <w:style w:type="paragraph" w:customStyle="1" w:styleId="TT">
    <w:name w:val="TT"/>
    <w:basedOn w:val="1"/>
    <w:next w:val="a1"/>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pPr>
      <w:framePr w:wrap="notBeside" w:y="16161"/>
    </w:pPr>
  </w:style>
  <w:style w:type="paragraph" w:customStyle="1" w:styleId="FP">
    <w:name w:val="FP"/>
    <w:basedOn w:val="a1"/>
  </w:style>
  <w:style w:type="paragraph" w:customStyle="1" w:styleId="Observation">
    <w:name w:val="Observation"/>
    <w:basedOn w:val="Proposal"/>
    <w:link w:val="ObservationChar"/>
    <w:qFormat/>
    <w:pPr>
      <w:numPr>
        <w:numId w:val="3"/>
      </w:numPr>
    </w:pPr>
    <w:rPr>
      <w:lang w:eastAsia="ja-JP"/>
    </w:rPr>
  </w:style>
  <w:style w:type="paragraph" w:styleId="afd">
    <w:name w:val="table of figures"/>
    <w:basedOn w:val="aa"/>
    <w:next w:val="a1"/>
    <w:uiPriority w:val="99"/>
    <w:pPr>
      <w:ind w:left="1701" w:hanging="1701"/>
      <w:jc w:val="left"/>
    </w:pPr>
    <w:rPr>
      <w:b/>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af3">
    <w:name w:val="批注框文本 字符"/>
    <w:link w:val="af2"/>
    <w:rPr>
      <w:rFonts w:ascii="Segoe UI" w:hAnsi="Segoe UI" w:cs="Segoe UI"/>
      <w:sz w:val="18"/>
      <w:szCs w:val="18"/>
    </w:rPr>
  </w:style>
  <w:style w:type="character" w:customStyle="1" w:styleId="afa">
    <w:name w:val="批注文字 字符"/>
    <w:link w:val="af9"/>
    <w:uiPriority w:val="99"/>
    <w:qFormat/>
  </w:style>
  <w:style w:type="character" w:customStyle="1" w:styleId="afc">
    <w:name w:val="批注主题 字符"/>
    <w:link w:val="afb"/>
    <w:rPr>
      <w:b/>
      <w:bCs/>
    </w:rPr>
  </w:style>
  <w:style w:type="paragraph" w:customStyle="1" w:styleId="CRCoverPage">
    <w:name w:val="CR Cover Page"/>
    <w:link w:val="CRCoverPageZchn"/>
    <w:pPr>
      <w:spacing w:after="120"/>
    </w:pPr>
    <w:rPr>
      <w:rFonts w:cs="Times New Roman"/>
      <w:lang w:eastAsia="ko-KR"/>
    </w:rPr>
  </w:style>
  <w:style w:type="character" w:customStyle="1" w:styleId="CRCoverPageZchn">
    <w:name w:val="CR Cover Page Zchn"/>
    <w:link w:val="CRCoverPage"/>
    <w:rPr>
      <w:rFonts w:cs="Times New Roman"/>
      <w:lang w:eastAsia="ko-KR"/>
    </w:rPr>
  </w:style>
  <w:style w:type="paragraph" w:customStyle="1" w:styleId="Doc-text2">
    <w:name w:val="Doc-text2"/>
    <w:basedOn w:val="a1"/>
    <w:link w:val="Doc-text2Char"/>
    <w:qFormat/>
    <w:pPr>
      <w:tabs>
        <w:tab w:val="left" w:pos="1622"/>
      </w:tabs>
      <w:ind w:left="1622" w:hanging="363"/>
    </w:pPr>
    <w:rPr>
      <w:rFonts w:eastAsia="MS Mincho"/>
      <w:szCs w:val="24"/>
      <w:lang w:val="x-none" w:eastAsia="x-none"/>
    </w:rPr>
  </w:style>
  <w:style w:type="character" w:customStyle="1" w:styleId="Doc-text2Char">
    <w:name w:val="Doc-text2 Char"/>
    <w:link w:val="Doc-text2"/>
    <w:locked/>
    <w:rPr>
      <w:rFonts w:eastAsia="MS Mincho"/>
      <w:szCs w:val="24"/>
      <w:lang w:val="x-none" w:eastAsia="x-none"/>
    </w:rPr>
  </w:style>
  <w:style w:type="character" w:customStyle="1" w:styleId="a8">
    <w:name w:val="文档结构图 字符"/>
    <w:link w:val="a7"/>
    <w:rPr>
      <w:rFonts w:ascii="Tahoma" w:hAnsi="Tahoma" w:cs="Tahoma"/>
      <w:shd w:val="clear" w:color="auto" w:fill="000080"/>
    </w:rPr>
  </w:style>
  <w:style w:type="paragraph" w:customStyle="1" w:styleId="NO">
    <w:name w:val="NO"/>
    <w:basedOn w:val="a1"/>
    <w:link w:val="NOChar"/>
    <w:pPr>
      <w:keepLines/>
      <w:ind w:left="1135" w:hanging="851"/>
    </w:pPr>
  </w:style>
  <w:style w:type="character" w:customStyle="1" w:styleId="NOChar">
    <w:name w:val="NO Char"/>
    <w:link w:val="NO"/>
    <w:qFormat/>
  </w:style>
  <w:style w:type="character" w:customStyle="1" w:styleId="EditorsNoteChar">
    <w:name w:val="Editor's Note Char"/>
    <w:link w:val="EditorsNote"/>
    <w:rPr>
      <w:color w:val="FF0000"/>
      <w:lang w:val="x-none" w:eastAsia="x-none"/>
    </w:rPr>
  </w:style>
  <w:style w:type="paragraph" w:customStyle="1" w:styleId="EmailDiscussion">
    <w:name w:val="EmailDiscussion"/>
    <w:basedOn w:val="a1"/>
    <w:next w:val="a1"/>
    <w:pPr>
      <w:numPr>
        <w:numId w:val="4"/>
      </w:numPr>
      <w:spacing w:before="40"/>
    </w:pPr>
    <w:rPr>
      <w:rFonts w:eastAsia="MS Mincho"/>
      <w:b/>
      <w:szCs w:val="24"/>
    </w:rPr>
  </w:style>
  <w:style w:type="character" w:styleId="afe">
    <w:name w:val="Emphasis"/>
    <w:qFormat/>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rPr>
      <w:rFonts w:cs="Times New Roman"/>
      <w:b/>
      <w:noProof/>
      <w:sz w:val="18"/>
      <w:lang w:eastAsia="ja-JP"/>
    </w:rPr>
  </w:style>
  <w:style w:type="character" w:customStyle="1" w:styleId="af1">
    <w:name w:val="页脚 字符"/>
    <w:link w:val="af0"/>
    <w:rPr>
      <w:b/>
      <w:i/>
      <w:noProof/>
      <w:sz w:val="18"/>
      <w:lang w:eastAsia="ja-JP"/>
    </w:rPr>
  </w:style>
  <w:style w:type="character" w:customStyle="1" w:styleId="af">
    <w:name w:val="脚注文本 字符"/>
    <w:link w:val="ae"/>
    <w:rPr>
      <w:sz w:val="16"/>
    </w:rPr>
  </w:style>
  <w:style w:type="paragraph" w:customStyle="1" w:styleId="Guidance">
    <w:name w:val="Guidance"/>
    <w:basedOn w:val="a1"/>
    <w:rPr>
      <w:i/>
      <w:color w:val="0000FF"/>
    </w:rPr>
  </w:style>
  <w:style w:type="character" w:customStyle="1" w:styleId="22">
    <w:name w:val="标题 2 字符"/>
    <w:link w:val="2"/>
    <w:rPr>
      <w:rFonts w:cs="Times New Roman"/>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Pr>
      <w:rFonts w:cs="Times New Roman"/>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Pr>
      <w:rFonts w:cs="Times New Roman"/>
      <w:sz w:val="24"/>
      <w:lang w:eastAsia="ja-JP"/>
    </w:rPr>
  </w:style>
  <w:style w:type="character" w:customStyle="1" w:styleId="51">
    <w:name w:val="标题 5 字符"/>
    <w:link w:val="5"/>
    <w:rPr>
      <w:rFonts w:cs="Times New Roman"/>
      <w:sz w:val="22"/>
      <w:lang w:eastAsia="ja-JP"/>
    </w:rPr>
  </w:style>
  <w:style w:type="paragraph" w:customStyle="1" w:styleId="H6">
    <w:name w:val="H6"/>
    <w:basedOn w:val="5"/>
    <w:next w:val="a1"/>
    <w:pPr>
      <w:ind w:left="1985" w:hanging="1985"/>
      <w:outlineLvl w:val="9"/>
    </w:pPr>
    <w:rPr>
      <w:sz w:val="20"/>
    </w:rPr>
  </w:style>
  <w:style w:type="character" w:customStyle="1" w:styleId="60">
    <w:name w:val="标题 6 字符"/>
    <w:link w:val="6"/>
    <w:rPr>
      <w:rFonts w:cs="Times New Roman"/>
      <w:lang w:eastAsia="ja-JP"/>
    </w:rPr>
  </w:style>
  <w:style w:type="character" w:customStyle="1" w:styleId="70">
    <w:name w:val="标题 7 字符"/>
    <w:link w:val="7"/>
    <w:rPr>
      <w:rFonts w:cs="Times New Roman"/>
      <w:lang w:eastAsia="ja-JP"/>
    </w:rPr>
  </w:style>
  <w:style w:type="character" w:customStyle="1" w:styleId="80">
    <w:name w:val="标题 8 字符"/>
    <w:link w:val="8"/>
    <w:rPr>
      <w:rFonts w:cs="Times New Roman"/>
      <w:sz w:val="36"/>
      <w:lang w:eastAsia="ja-JP"/>
    </w:rPr>
  </w:style>
  <w:style w:type="character" w:customStyle="1" w:styleId="90">
    <w:name w:val="标题 9 字符"/>
    <w:link w:val="9"/>
    <w:rPr>
      <w:rFonts w:cs="Times New Roman"/>
      <w:sz w:val="36"/>
      <w:lang w:eastAsia="ja-JP"/>
    </w:rPr>
  </w:style>
  <w:style w:type="character" w:styleId="HTML">
    <w:name w:val="HTML Code"/>
    <w:uiPriority w:val="99"/>
    <w:unhideWhenUsed/>
    <w:rPr>
      <w:rFonts w:ascii="Courier New" w:eastAsia="Times New Roman" w:hAnsi="Courier New" w:cs="Courier New"/>
      <w:sz w:val="20"/>
      <w:szCs w:val="20"/>
    </w:rPr>
  </w:style>
  <w:style w:type="paragraph" w:styleId="aff">
    <w:name w:val="index heading"/>
    <w:basedOn w:val="a1"/>
    <w:next w:val="a1"/>
    <w:pPr>
      <w:pBdr>
        <w:top w:val="single" w:sz="12" w:space="0" w:color="auto"/>
      </w:pBdr>
      <w:spacing w:before="360" w:after="240"/>
    </w:pPr>
    <w:rPr>
      <w:b/>
      <w:i/>
      <w:sz w:val="2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落11,Bullet list"/>
    <w:basedOn w:val="a1"/>
    <w:link w:val="aff1"/>
    <w:uiPriority w:val="34"/>
    <w:qFormat/>
    <w:pPr>
      <w:ind w:left="720"/>
    </w:pPr>
    <w:rPr>
      <w:rFonts w:eastAsia="Calibri"/>
      <w:lang w:val="x-none"/>
    </w:rPr>
  </w:style>
  <w:style w:type="character" w:customStyle="1" w:styleId="aff1">
    <w:name w:val="列出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0"/>
    <w:uiPriority w:val="34"/>
    <w:qFormat/>
    <w:locked/>
    <w:rPr>
      <w:rFonts w:eastAsia="Calibri" w:cstheme="minorBidi"/>
      <w:szCs w:val="22"/>
      <w:lang w:val="x-none"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Pr>
      <w:rFonts w:ascii="Courier New" w:eastAsia="Batang" w:hAnsi="Courier New"/>
      <w:noProof/>
      <w:sz w:val="16"/>
      <w:shd w:val="clear" w:color="auto" w:fill="E6E6E6"/>
      <w:lang w:eastAsia="sv-SE"/>
    </w:rPr>
  </w:style>
  <w:style w:type="paragraph" w:styleId="aff2">
    <w:name w:val="Plain Text"/>
    <w:basedOn w:val="a1"/>
    <w:link w:val="aff3"/>
    <w:rPr>
      <w:rFonts w:ascii="Courier New" w:hAnsi="Courier New"/>
      <w:lang w:val="nb-NO"/>
    </w:rPr>
  </w:style>
  <w:style w:type="character" w:customStyle="1" w:styleId="aff3">
    <w:name w:val="纯文本 字符"/>
    <w:link w:val="aff2"/>
    <w:rPr>
      <w:rFonts w:ascii="Courier New" w:hAnsi="Courier New"/>
      <w:lang w:val="nb-NO"/>
    </w:rPr>
  </w:style>
  <w:style w:type="character" w:styleId="aff4">
    <w:name w:val="Strong"/>
    <w:uiPriority w:val="22"/>
    <w:qFormat/>
    <w:rPr>
      <w:b/>
      <w:bCs/>
    </w:rPr>
  </w:style>
  <w:style w:type="table" w:styleId="aff5">
    <w:name w:val="Table Grid"/>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sz w:val="18"/>
      <w:lang w:val="x-none" w:eastAsia="x-none"/>
    </w:rPr>
  </w:style>
  <w:style w:type="character" w:customStyle="1" w:styleId="TAHCar">
    <w:name w:val="TAH Car"/>
    <w:link w:val="TAH"/>
    <w:locked/>
    <w:rPr>
      <w:b/>
      <w:sz w:val="18"/>
      <w:lang w:val="x-none" w:eastAsia="x-none"/>
    </w:rPr>
  </w:style>
  <w:style w:type="character" w:customStyle="1" w:styleId="THChar">
    <w:name w:val="TH Char"/>
    <w:link w:val="TH"/>
    <w:qFormat/>
    <w:rPr>
      <w:b/>
      <w:lang w:val="x-none" w:eastAsia="x-none"/>
    </w:rPr>
  </w:style>
  <w:style w:type="paragraph" w:customStyle="1" w:styleId="TAJ">
    <w:name w:val="TAJ"/>
    <w:basedOn w:val="TH"/>
  </w:style>
  <w:style w:type="paragraph" w:customStyle="1" w:styleId="TALCharChar">
    <w:name w:val="TAL Char Char"/>
    <w:basedOn w:val="a1"/>
    <w:link w:val="TALCharCharChar"/>
    <w:pPr>
      <w:keepNext/>
      <w:keepLines/>
    </w:pPr>
    <w:rPr>
      <w:rFonts w:eastAsia="Malgun Gothic"/>
      <w:sz w:val="18"/>
      <w:lang w:val="x-none" w:eastAsia="x-none"/>
    </w:rPr>
  </w:style>
  <w:style w:type="character" w:customStyle="1" w:styleId="TALCharCharChar">
    <w:name w:val="TAL Char Char Char"/>
    <w:link w:val="TALCharChar"/>
    <w:rPr>
      <w:rFonts w:eastAsia="Malgun Gothic"/>
      <w:sz w:val="18"/>
      <w:lang w:val="x-none" w:eastAsia="x-none"/>
    </w:rPr>
  </w:style>
  <w:style w:type="character" w:customStyle="1" w:styleId="TFChar">
    <w:name w:val="TF Char"/>
    <w:link w:val="TF"/>
    <w:rPr>
      <w:b/>
      <w:lang w:val="x-none" w:eastAsia="x-none"/>
    </w:rPr>
  </w:style>
  <w:style w:type="paragraph" w:styleId="aff6">
    <w:name w:val="List Continue"/>
    <w:basedOn w:val="a1"/>
    <w:pPr>
      <w:spacing w:after="120"/>
      <w:ind w:left="283"/>
      <w:contextualSpacing/>
    </w:pPr>
  </w:style>
  <w:style w:type="paragraph" w:styleId="26">
    <w:name w:val="List Continue 2"/>
    <w:basedOn w:val="a1"/>
    <w:pPr>
      <w:spacing w:after="120"/>
      <w:ind w:left="566"/>
      <w:contextualSpacing/>
    </w:pPr>
  </w:style>
  <w:style w:type="paragraph" w:styleId="3">
    <w:name w:val="List Number 3"/>
    <w:basedOn w:val="21"/>
    <w:pPr>
      <w:numPr>
        <w:numId w:val="2"/>
      </w:numPr>
      <w:contextualSpacing/>
    </w:pPr>
  </w:style>
  <w:style w:type="character" w:customStyle="1" w:styleId="ProposalChar">
    <w:name w:val="Proposal Char"/>
    <w:link w:val="Proposal"/>
    <w:qFormat/>
    <w:rPr>
      <w:rFonts w:asciiTheme="minorHAnsi" w:eastAsiaTheme="minorEastAsia" w:hAnsiTheme="minorHAnsi" w:cstheme="minorBidi"/>
      <w:b/>
      <w:bCs/>
      <w:kern w:val="2"/>
      <w:sz w:val="21"/>
      <w:szCs w:val="22"/>
      <w:lang w:val="en-US" w:eastAsia="zh-CN"/>
    </w:rPr>
  </w:style>
  <w:style w:type="character" w:customStyle="1" w:styleId="a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5"/>
    <w:rPr>
      <w:b/>
    </w:rPr>
  </w:style>
  <w:style w:type="paragraph" w:styleId="aff7">
    <w:name w:val="Revision"/>
    <w:hidden/>
    <w:uiPriority w:val="99"/>
    <w:semiHidden/>
    <w:rPr>
      <w:rFonts w:eastAsiaTheme="minorHAnsi" w:cstheme="minorBidi"/>
      <w:szCs w:val="22"/>
      <w:lang w:val="en-US" w:eastAsia="en-US"/>
    </w:rPr>
  </w:style>
  <w:style w:type="paragraph" w:styleId="aff8">
    <w:name w:val="Normal (Web)"/>
    <w:basedOn w:val="a1"/>
    <w:uiPriority w:val="99"/>
    <w:unhideWhenUsed/>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a2"/>
    <w:link w:val="IvDtabletext"/>
    <w:locked/>
    <w:rPr>
      <w:spacing w:val="2"/>
    </w:rPr>
  </w:style>
  <w:style w:type="paragraph" w:customStyle="1" w:styleId="IvDtabletext">
    <w:name w:val="IvD tabletext"/>
    <w:basedOn w:val="a1"/>
    <w:link w:val="IvDtabletextChar"/>
    <w:pPr>
      <w:spacing w:before="100" w:after="100"/>
    </w:pPr>
    <w:rPr>
      <w:rFonts w:eastAsia="宋体" w:cs="Arial"/>
      <w:spacing w:val="2"/>
      <w:szCs w:val="20"/>
    </w:rPr>
  </w:style>
  <w:style w:type="character" w:customStyle="1" w:styleId="13">
    <w:name w:val="未处理的提及1"/>
    <w:basedOn w:val="a2"/>
    <w:uiPriority w:val="99"/>
    <w:unhideWhenUsed/>
    <w:rPr>
      <w:color w:val="605E5C"/>
      <w:shd w:val="clear" w:color="auto" w:fill="E1DFDD"/>
    </w:rPr>
  </w:style>
  <w:style w:type="character" w:customStyle="1" w:styleId="apple-converted-space">
    <w:name w:val="apple-converted-space"/>
  </w:style>
  <w:style w:type="character" w:styleId="aff9">
    <w:name w:val="Placeholder Text"/>
    <w:basedOn w:val="a2"/>
    <w:uiPriority w:val="99"/>
    <w:semiHidden/>
    <w:rPr>
      <w:color w:val="808080"/>
    </w:rPr>
  </w:style>
  <w:style w:type="paragraph" w:customStyle="1" w:styleId="Default">
    <w:name w:val="Default"/>
    <w:pPr>
      <w:autoSpaceDE w:val="0"/>
      <w:autoSpaceDN w:val="0"/>
      <w:adjustRightInd w:val="0"/>
    </w:pPr>
    <w:rPr>
      <w:rFonts w:ascii="Calibri" w:hAnsi="Calibri" w:cs="Calibri"/>
      <w:color w:val="000000"/>
      <w:sz w:val="24"/>
      <w:szCs w:val="24"/>
      <w:lang w:val="en-US"/>
    </w:rPr>
  </w:style>
  <w:style w:type="character" w:customStyle="1" w:styleId="14">
    <w:name w:val="@他1"/>
    <w:basedOn w:val="a2"/>
    <w:uiPriority w:val="99"/>
    <w:unhideWhenUsed/>
    <w:rPr>
      <w:color w:val="2B579A"/>
      <w:shd w:val="clear" w:color="auto" w:fill="E1DFDD"/>
    </w:rPr>
  </w:style>
  <w:style w:type="paragraph" w:customStyle="1" w:styleId="ArialText">
    <w:name w:val="Arial Text"/>
    <w:basedOn w:val="a1"/>
    <w:link w:val="ArialTextChar"/>
    <w:qFormat/>
    <w:rPr>
      <w:lang w:eastAsia="ja-JP"/>
    </w:rPr>
  </w:style>
  <w:style w:type="character" w:customStyle="1" w:styleId="ArialTextChar">
    <w:name w:val="Arial Text Char"/>
    <w:basedOn w:val="a2"/>
    <w:link w:val="ArialText"/>
    <w:rPr>
      <w:rFonts w:eastAsiaTheme="minorHAnsi" w:cstheme="minorBidi"/>
      <w:szCs w:val="22"/>
      <w:lang w:eastAsia="ja-JP"/>
    </w:rPr>
  </w:style>
  <w:style w:type="paragraph" w:customStyle="1" w:styleId="bullet">
    <w:name w:val="bullet"/>
    <w:basedOn w:val="aff0"/>
    <w:qFormat/>
    <w:pPr>
      <w:numPr>
        <w:numId w:val="13"/>
      </w:numPr>
      <w:spacing w:line="256" w:lineRule="auto"/>
      <w:ind w:left="720"/>
      <w:contextualSpacing/>
    </w:pPr>
    <w:rPr>
      <w:rFonts w:eastAsia="Times New Roman"/>
      <w:szCs w:val="24"/>
      <w:lang w:val="en-GB" w:eastAsia="en-GB"/>
    </w:rPr>
  </w:style>
  <w:style w:type="paragraph" w:customStyle="1" w:styleId="Proposal2">
    <w:name w:val="Proposal2"/>
    <w:basedOn w:val="Observation"/>
    <w:link w:val="Proposal2Char"/>
  </w:style>
  <w:style w:type="character" w:customStyle="1" w:styleId="ObservationChar">
    <w:name w:val="Observation Char"/>
    <w:basedOn w:val="ProposalChar"/>
    <w:link w:val="Observation"/>
    <w:rPr>
      <w:rFonts w:asciiTheme="minorHAnsi" w:eastAsiaTheme="minorEastAsia" w:hAnsiTheme="minorHAnsi" w:cstheme="minorBidi"/>
      <w:b/>
      <w:bCs/>
      <w:kern w:val="2"/>
      <w:sz w:val="21"/>
      <w:szCs w:val="22"/>
      <w:lang w:val="en-US" w:eastAsia="ja-JP"/>
    </w:rPr>
  </w:style>
  <w:style w:type="character" w:customStyle="1" w:styleId="Proposal2Char">
    <w:name w:val="Proposal2 Char"/>
    <w:basedOn w:val="ObservationChar"/>
    <w:link w:val="Proposal2"/>
    <w:rPr>
      <w:rFonts w:asciiTheme="minorHAnsi" w:eastAsiaTheme="minorEastAsia" w:hAnsiTheme="minorHAnsi" w:cstheme="minorBidi"/>
      <w:b/>
      <w:bCs/>
      <w:kern w:val="2"/>
      <w:sz w:val="21"/>
      <w:szCs w:val="22"/>
      <w:lang w:val="en-US" w:eastAsia="ja-JP"/>
    </w:rPr>
  </w:style>
  <w:style w:type="table" w:customStyle="1" w:styleId="TableGrid7">
    <w:name w:val="Table Grid7"/>
    <w:basedOn w:val="a3"/>
    <w:next w:val="aff5"/>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1954">
      <w:bodyDiv w:val="1"/>
      <w:marLeft w:val="0"/>
      <w:marRight w:val="0"/>
      <w:marTop w:val="0"/>
      <w:marBottom w:val="0"/>
      <w:divBdr>
        <w:top w:val="none" w:sz="0" w:space="0" w:color="auto"/>
        <w:left w:val="none" w:sz="0" w:space="0" w:color="auto"/>
        <w:bottom w:val="none" w:sz="0" w:space="0" w:color="auto"/>
        <w:right w:val="none" w:sz="0" w:space="0" w:color="auto"/>
      </w:divBdr>
      <w:divsChild>
        <w:div w:id="1833065428">
          <w:marLeft w:val="576"/>
          <w:marRight w:val="0"/>
          <w:marTop w:val="160"/>
          <w:marBottom w:val="0"/>
          <w:divBdr>
            <w:top w:val="none" w:sz="0" w:space="0" w:color="auto"/>
            <w:left w:val="none" w:sz="0" w:space="0" w:color="auto"/>
            <w:bottom w:val="none" w:sz="0" w:space="0" w:color="auto"/>
            <w:right w:val="none" w:sz="0" w:space="0" w:color="auto"/>
          </w:divBdr>
        </w:div>
      </w:divsChild>
    </w:div>
    <w:div w:id="103159695">
      <w:bodyDiv w:val="1"/>
      <w:marLeft w:val="0"/>
      <w:marRight w:val="0"/>
      <w:marTop w:val="0"/>
      <w:marBottom w:val="0"/>
      <w:divBdr>
        <w:top w:val="none" w:sz="0" w:space="0" w:color="auto"/>
        <w:left w:val="none" w:sz="0" w:space="0" w:color="auto"/>
        <w:bottom w:val="none" w:sz="0" w:space="0" w:color="auto"/>
        <w:right w:val="none" w:sz="0" w:space="0" w:color="auto"/>
      </w:divBdr>
    </w:div>
    <w:div w:id="266742700">
      <w:bodyDiv w:val="1"/>
      <w:marLeft w:val="0"/>
      <w:marRight w:val="0"/>
      <w:marTop w:val="0"/>
      <w:marBottom w:val="0"/>
      <w:divBdr>
        <w:top w:val="none" w:sz="0" w:space="0" w:color="auto"/>
        <w:left w:val="none" w:sz="0" w:space="0" w:color="auto"/>
        <w:bottom w:val="none" w:sz="0" w:space="0" w:color="auto"/>
        <w:right w:val="none" w:sz="0" w:space="0" w:color="auto"/>
      </w:divBdr>
    </w:div>
    <w:div w:id="300352885">
      <w:bodyDiv w:val="1"/>
      <w:marLeft w:val="0"/>
      <w:marRight w:val="0"/>
      <w:marTop w:val="0"/>
      <w:marBottom w:val="0"/>
      <w:divBdr>
        <w:top w:val="none" w:sz="0" w:space="0" w:color="auto"/>
        <w:left w:val="none" w:sz="0" w:space="0" w:color="auto"/>
        <w:bottom w:val="none" w:sz="0" w:space="0" w:color="auto"/>
        <w:right w:val="none" w:sz="0" w:space="0" w:color="auto"/>
      </w:divBdr>
      <w:divsChild>
        <w:div w:id="15619511">
          <w:marLeft w:val="576"/>
          <w:marRight w:val="0"/>
          <w:marTop w:val="160"/>
          <w:marBottom w:val="0"/>
          <w:divBdr>
            <w:top w:val="none" w:sz="0" w:space="0" w:color="auto"/>
            <w:left w:val="none" w:sz="0" w:space="0" w:color="auto"/>
            <w:bottom w:val="none" w:sz="0" w:space="0" w:color="auto"/>
            <w:right w:val="none" w:sz="0" w:space="0" w:color="auto"/>
          </w:divBdr>
        </w:div>
        <w:div w:id="87896238">
          <w:marLeft w:val="850"/>
          <w:marRight w:val="0"/>
          <w:marTop w:val="160"/>
          <w:marBottom w:val="0"/>
          <w:divBdr>
            <w:top w:val="none" w:sz="0" w:space="0" w:color="auto"/>
            <w:left w:val="none" w:sz="0" w:space="0" w:color="auto"/>
            <w:bottom w:val="none" w:sz="0" w:space="0" w:color="auto"/>
            <w:right w:val="none" w:sz="0" w:space="0" w:color="auto"/>
          </w:divBdr>
        </w:div>
        <w:div w:id="181893735">
          <w:marLeft w:val="576"/>
          <w:marRight w:val="0"/>
          <w:marTop w:val="160"/>
          <w:marBottom w:val="0"/>
          <w:divBdr>
            <w:top w:val="none" w:sz="0" w:space="0" w:color="auto"/>
            <w:left w:val="none" w:sz="0" w:space="0" w:color="auto"/>
            <w:bottom w:val="none" w:sz="0" w:space="0" w:color="auto"/>
            <w:right w:val="none" w:sz="0" w:space="0" w:color="auto"/>
          </w:divBdr>
        </w:div>
        <w:div w:id="634339676">
          <w:marLeft w:val="288"/>
          <w:marRight w:val="0"/>
          <w:marTop w:val="160"/>
          <w:marBottom w:val="0"/>
          <w:divBdr>
            <w:top w:val="none" w:sz="0" w:space="0" w:color="auto"/>
            <w:left w:val="none" w:sz="0" w:space="0" w:color="auto"/>
            <w:bottom w:val="none" w:sz="0" w:space="0" w:color="auto"/>
            <w:right w:val="none" w:sz="0" w:space="0" w:color="auto"/>
          </w:divBdr>
        </w:div>
        <w:div w:id="738476534">
          <w:marLeft w:val="850"/>
          <w:marRight w:val="0"/>
          <w:marTop w:val="160"/>
          <w:marBottom w:val="0"/>
          <w:divBdr>
            <w:top w:val="none" w:sz="0" w:space="0" w:color="auto"/>
            <w:left w:val="none" w:sz="0" w:space="0" w:color="auto"/>
            <w:bottom w:val="none" w:sz="0" w:space="0" w:color="auto"/>
            <w:right w:val="none" w:sz="0" w:space="0" w:color="auto"/>
          </w:divBdr>
        </w:div>
        <w:div w:id="1390109157">
          <w:marLeft w:val="850"/>
          <w:marRight w:val="0"/>
          <w:marTop w:val="160"/>
          <w:marBottom w:val="0"/>
          <w:divBdr>
            <w:top w:val="none" w:sz="0" w:space="0" w:color="auto"/>
            <w:left w:val="none" w:sz="0" w:space="0" w:color="auto"/>
            <w:bottom w:val="none" w:sz="0" w:space="0" w:color="auto"/>
            <w:right w:val="none" w:sz="0" w:space="0" w:color="auto"/>
          </w:divBdr>
        </w:div>
        <w:div w:id="1808354956">
          <w:marLeft w:val="850"/>
          <w:marRight w:val="0"/>
          <w:marTop w:val="160"/>
          <w:marBottom w:val="0"/>
          <w:divBdr>
            <w:top w:val="none" w:sz="0" w:space="0" w:color="auto"/>
            <w:left w:val="none" w:sz="0" w:space="0" w:color="auto"/>
            <w:bottom w:val="none" w:sz="0" w:space="0" w:color="auto"/>
            <w:right w:val="none" w:sz="0" w:space="0" w:color="auto"/>
          </w:divBdr>
        </w:div>
      </w:divsChild>
    </w:div>
    <w:div w:id="311564948">
      <w:bodyDiv w:val="1"/>
      <w:marLeft w:val="0"/>
      <w:marRight w:val="0"/>
      <w:marTop w:val="0"/>
      <w:marBottom w:val="0"/>
      <w:divBdr>
        <w:top w:val="none" w:sz="0" w:space="0" w:color="auto"/>
        <w:left w:val="none" w:sz="0" w:space="0" w:color="auto"/>
        <w:bottom w:val="none" w:sz="0" w:space="0" w:color="auto"/>
        <w:right w:val="none" w:sz="0" w:space="0" w:color="auto"/>
      </w:divBdr>
    </w:div>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640882978">
      <w:bodyDiv w:val="1"/>
      <w:marLeft w:val="0"/>
      <w:marRight w:val="0"/>
      <w:marTop w:val="0"/>
      <w:marBottom w:val="0"/>
      <w:divBdr>
        <w:top w:val="none" w:sz="0" w:space="0" w:color="auto"/>
        <w:left w:val="none" w:sz="0" w:space="0" w:color="auto"/>
        <w:bottom w:val="none" w:sz="0" w:space="0" w:color="auto"/>
        <w:right w:val="none" w:sz="0" w:space="0" w:color="auto"/>
      </w:divBdr>
    </w:div>
    <w:div w:id="746153011">
      <w:bodyDiv w:val="1"/>
      <w:marLeft w:val="0"/>
      <w:marRight w:val="0"/>
      <w:marTop w:val="0"/>
      <w:marBottom w:val="0"/>
      <w:divBdr>
        <w:top w:val="none" w:sz="0" w:space="0" w:color="auto"/>
        <w:left w:val="none" w:sz="0" w:space="0" w:color="auto"/>
        <w:bottom w:val="none" w:sz="0" w:space="0" w:color="auto"/>
        <w:right w:val="none" w:sz="0" w:space="0" w:color="auto"/>
      </w:divBdr>
    </w:div>
    <w:div w:id="806318593">
      <w:bodyDiv w:val="1"/>
      <w:marLeft w:val="0"/>
      <w:marRight w:val="0"/>
      <w:marTop w:val="0"/>
      <w:marBottom w:val="0"/>
      <w:divBdr>
        <w:top w:val="none" w:sz="0" w:space="0" w:color="auto"/>
        <w:left w:val="none" w:sz="0" w:space="0" w:color="auto"/>
        <w:bottom w:val="none" w:sz="0" w:space="0" w:color="auto"/>
        <w:right w:val="none" w:sz="0" w:space="0" w:color="auto"/>
      </w:divBdr>
    </w:div>
    <w:div w:id="883909500">
      <w:bodyDiv w:val="1"/>
      <w:marLeft w:val="0"/>
      <w:marRight w:val="0"/>
      <w:marTop w:val="0"/>
      <w:marBottom w:val="0"/>
      <w:divBdr>
        <w:top w:val="none" w:sz="0" w:space="0" w:color="auto"/>
        <w:left w:val="none" w:sz="0" w:space="0" w:color="auto"/>
        <w:bottom w:val="none" w:sz="0" w:space="0" w:color="auto"/>
        <w:right w:val="none" w:sz="0" w:space="0" w:color="auto"/>
      </w:divBdr>
    </w:div>
    <w:div w:id="931208756">
      <w:bodyDiv w:val="1"/>
      <w:marLeft w:val="0"/>
      <w:marRight w:val="0"/>
      <w:marTop w:val="0"/>
      <w:marBottom w:val="0"/>
      <w:divBdr>
        <w:top w:val="none" w:sz="0" w:space="0" w:color="auto"/>
        <w:left w:val="none" w:sz="0" w:space="0" w:color="auto"/>
        <w:bottom w:val="none" w:sz="0" w:space="0" w:color="auto"/>
        <w:right w:val="none" w:sz="0" w:space="0" w:color="auto"/>
      </w:divBdr>
    </w:div>
    <w:div w:id="1251355057">
      <w:bodyDiv w:val="1"/>
      <w:marLeft w:val="0"/>
      <w:marRight w:val="0"/>
      <w:marTop w:val="0"/>
      <w:marBottom w:val="0"/>
      <w:divBdr>
        <w:top w:val="none" w:sz="0" w:space="0" w:color="auto"/>
        <w:left w:val="none" w:sz="0" w:space="0" w:color="auto"/>
        <w:bottom w:val="none" w:sz="0" w:space="0" w:color="auto"/>
        <w:right w:val="none" w:sz="0" w:space="0" w:color="auto"/>
      </w:divBdr>
      <w:divsChild>
        <w:div w:id="1590505981">
          <w:marLeft w:val="576"/>
          <w:marRight w:val="0"/>
          <w:marTop w:val="160"/>
          <w:marBottom w:val="0"/>
          <w:divBdr>
            <w:top w:val="none" w:sz="0" w:space="0" w:color="auto"/>
            <w:left w:val="none" w:sz="0" w:space="0" w:color="auto"/>
            <w:bottom w:val="none" w:sz="0" w:space="0" w:color="auto"/>
            <w:right w:val="none" w:sz="0" w:space="0" w:color="auto"/>
          </w:divBdr>
        </w:div>
      </w:divsChild>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 w:id="1355379808">
      <w:bodyDiv w:val="1"/>
      <w:marLeft w:val="0"/>
      <w:marRight w:val="0"/>
      <w:marTop w:val="0"/>
      <w:marBottom w:val="0"/>
      <w:divBdr>
        <w:top w:val="none" w:sz="0" w:space="0" w:color="auto"/>
        <w:left w:val="none" w:sz="0" w:space="0" w:color="auto"/>
        <w:bottom w:val="none" w:sz="0" w:space="0" w:color="auto"/>
        <w:right w:val="none" w:sz="0" w:space="0" w:color="auto"/>
      </w:divBdr>
    </w:div>
    <w:div w:id="1413046368">
      <w:bodyDiv w:val="1"/>
      <w:marLeft w:val="0"/>
      <w:marRight w:val="0"/>
      <w:marTop w:val="0"/>
      <w:marBottom w:val="0"/>
      <w:divBdr>
        <w:top w:val="none" w:sz="0" w:space="0" w:color="auto"/>
        <w:left w:val="none" w:sz="0" w:space="0" w:color="auto"/>
        <w:bottom w:val="none" w:sz="0" w:space="0" w:color="auto"/>
        <w:right w:val="none" w:sz="0" w:space="0" w:color="auto"/>
      </w:divBdr>
      <w:divsChild>
        <w:div w:id="1575386553">
          <w:marLeft w:val="0"/>
          <w:marRight w:val="0"/>
          <w:marTop w:val="0"/>
          <w:marBottom w:val="0"/>
          <w:divBdr>
            <w:top w:val="none" w:sz="0" w:space="0" w:color="auto"/>
            <w:left w:val="none" w:sz="0" w:space="0" w:color="auto"/>
            <w:bottom w:val="none" w:sz="0" w:space="0" w:color="auto"/>
            <w:right w:val="none" w:sz="0" w:space="0" w:color="auto"/>
          </w:divBdr>
        </w:div>
      </w:divsChild>
    </w:div>
    <w:div w:id="1447962487">
      <w:bodyDiv w:val="1"/>
      <w:marLeft w:val="0"/>
      <w:marRight w:val="0"/>
      <w:marTop w:val="0"/>
      <w:marBottom w:val="0"/>
      <w:divBdr>
        <w:top w:val="none" w:sz="0" w:space="0" w:color="auto"/>
        <w:left w:val="none" w:sz="0" w:space="0" w:color="auto"/>
        <w:bottom w:val="none" w:sz="0" w:space="0" w:color="auto"/>
        <w:right w:val="none" w:sz="0" w:space="0" w:color="auto"/>
      </w:divBdr>
    </w:div>
    <w:div w:id="1449465663">
      <w:bodyDiv w:val="1"/>
      <w:marLeft w:val="0"/>
      <w:marRight w:val="0"/>
      <w:marTop w:val="0"/>
      <w:marBottom w:val="0"/>
      <w:divBdr>
        <w:top w:val="none" w:sz="0" w:space="0" w:color="auto"/>
        <w:left w:val="none" w:sz="0" w:space="0" w:color="auto"/>
        <w:bottom w:val="none" w:sz="0" w:space="0" w:color="auto"/>
        <w:right w:val="none" w:sz="0" w:space="0" w:color="auto"/>
      </w:divBdr>
    </w:div>
    <w:div w:id="1458838787">
      <w:bodyDiv w:val="1"/>
      <w:marLeft w:val="0"/>
      <w:marRight w:val="0"/>
      <w:marTop w:val="0"/>
      <w:marBottom w:val="0"/>
      <w:divBdr>
        <w:top w:val="none" w:sz="0" w:space="0" w:color="auto"/>
        <w:left w:val="none" w:sz="0" w:space="0" w:color="auto"/>
        <w:bottom w:val="none" w:sz="0" w:space="0" w:color="auto"/>
        <w:right w:val="none" w:sz="0" w:space="0" w:color="auto"/>
      </w:divBdr>
    </w:div>
    <w:div w:id="1563903561">
      <w:bodyDiv w:val="1"/>
      <w:marLeft w:val="0"/>
      <w:marRight w:val="0"/>
      <w:marTop w:val="0"/>
      <w:marBottom w:val="0"/>
      <w:divBdr>
        <w:top w:val="none" w:sz="0" w:space="0" w:color="auto"/>
        <w:left w:val="none" w:sz="0" w:space="0" w:color="auto"/>
        <w:bottom w:val="none" w:sz="0" w:space="0" w:color="auto"/>
        <w:right w:val="none" w:sz="0" w:space="0" w:color="auto"/>
      </w:divBdr>
      <w:divsChild>
        <w:div w:id="669527149">
          <w:marLeft w:val="1123"/>
          <w:marRight w:val="0"/>
          <w:marTop w:val="60"/>
          <w:marBottom w:val="0"/>
          <w:divBdr>
            <w:top w:val="none" w:sz="0" w:space="0" w:color="auto"/>
            <w:left w:val="none" w:sz="0" w:space="0" w:color="auto"/>
            <w:bottom w:val="none" w:sz="0" w:space="0" w:color="auto"/>
            <w:right w:val="none" w:sz="0" w:space="0" w:color="auto"/>
          </w:divBdr>
        </w:div>
        <w:div w:id="939917390">
          <w:marLeft w:val="1123"/>
          <w:marRight w:val="0"/>
          <w:marTop w:val="60"/>
          <w:marBottom w:val="0"/>
          <w:divBdr>
            <w:top w:val="none" w:sz="0" w:space="0" w:color="auto"/>
            <w:left w:val="none" w:sz="0" w:space="0" w:color="auto"/>
            <w:bottom w:val="none" w:sz="0" w:space="0" w:color="auto"/>
            <w:right w:val="none" w:sz="0" w:space="0" w:color="auto"/>
          </w:divBdr>
        </w:div>
        <w:div w:id="2066635025">
          <w:marLeft w:val="547"/>
          <w:marRight w:val="0"/>
          <w:marTop w:val="60"/>
          <w:marBottom w:val="0"/>
          <w:divBdr>
            <w:top w:val="none" w:sz="0" w:space="0" w:color="auto"/>
            <w:left w:val="none" w:sz="0" w:space="0" w:color="auto"/>
            <w:bottom w:val="none" w:sz="0" w:space="0" w:color="auto"/>
            <w:right w:val="none" w:sz="0" w:space="0" w:color="auto"/>
          </w:divBdr>
        </w:div>
      </w:divsChild>
    </w:div>
    <w:div w:id="1611349856">
      <w:bodyDiv w:val="1"/>
      <w:marLeft w:val="0"/>
      <w:marRight w:val="0"/>
      <w:marTop w:val="0"/>
      <w:marBottom w:val="0"/>
      <w:divBdr>
        <w:top w:val="none" w:sz="0" w:space="0" w:color="auto"/>
        <w:left w:val="none" w:sz="0" w:space="0" w:color="auto"/>
        <w:bottom w:val="none" w:sz="0" w:space="0" w:color="auto"/>
        <w:right w:val="none" w:sz="0" w:space="0" w:color="auto"/>
      </w:divBdr>
      <w:divsChild>
        <w:div w:id="72089959">
          <w:marLeft w:val="288"/>
          <w:marRight w:val="0"/>
          <w:marTop w:val="160"/>
          <w:marBottom w:val="0"/>
          <w:divBdr>
            <w:top w:val="none" w:sz="0" w:space="0" w:color="auto"/>
            <w:left w:val="none" w:sz="0" w:space="0" w:color="auto"/>
            <w:bottom w:val="none" w:sz="0" w:space="0" w:color="auto"/>
            <w:right w:val="none" w:sz="0" w:space="0" w:color="auto"/>
          </w:divBdr>
        </w:div>
      </w:divsChild>
    </w:div>
    <w:div w:id="1645355827">
      <w:bodyDiv w:val="1"/>
      <w:marLeft w:val="0"/>
      <w:marRight w:val="0"/>
      <w:marTop w:val="0"/>
      <w:marBottom w:val="0"/>
      <w:divBdr>
        <w:top w:val="none" w:sz="0" w:space="0" w:color="auto"/>
        <w:left w:val="none" w:sz="0" w:space="0" w:color="auto"/>
        <w:bottom w:val="none" w:sz="0" w:space="0" w:color="auto"/>
        <w:right w:val="none" w:sz="0" w:space="0" w:color="auto"/>
      </w:divBdr>
    </w:div>
    <w:div w:id="1818644816">
      <w:bodyDiv w:val="1"/>
      <w:marLeft w:val="0"/>
      <w:marRight w:val="0"/>
      <w:marTop w:val="0"/>
      <w:marBottom w:val="0"/>
      <w:divBdr>
        <w:top w:val="none" w:sz="0" w:space="0" w:color="auto"/>
        <w:left w:val="none" w:sz="0" w:space="0" w:color="auto"/>
        <w:bottom w:val="none" w:sz="0" w:space="0" w:color="auto"/>
        <w:right w:val="none" w:sz="0" w:space="0" w:color="auto"/>
      </w:divBdr>
    </w:div>
    <w:div w:id="1922370688">
      <w:bodyDiv w:val="1"/>
      <w:marLeft w:val="0"/>
      <w:marRight w:val="0"/>
      <w:marTop w:val="0"/>
      <w:marBottom w:val="0"/>
      <w:divBdr>
        <w:top w:val="none" w:sz="0" w:space="0" w:color="auto"/>
        <w:left w:val="none" w:sz="0" w:space="0" w:color="auto"/>
        <w:bottom w:val="none" w:sz="0" w:space="0" w:color="auto"/>
        <w:right w:val="none" w:sz="0" w:space="0" w:color="auto"/>
      </w:divBdr>
    </w:div>
    <w:div w:id="2036029675">
      <w:bodyDiv w:val="1"/>
      <w:marLeft w:val="0"/>
      <w:marRight w:val="0"/>
      <w:marTop w:val="0"/>
      <w:marBottom w:val="0"/>
      <w:divBdr>
        <w:top w:val="none" w:sz="0" w:space="0" w:color="auto"/>
        <w:left w:val="none" w:sz="0" w:space="0" w:color="auto"/>
        <w:bottom w:val="none" w:sz="0" w:space="0" w:color="auto"/>
        <w:right w:val="none" w:sz="0" w:space="0" w:color="auto"/>
      </w:divBdr>
    </w:div>
    <w:div w:id="209639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F8FBC992-4115-4A6F-9288-28E08A8E4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4F98AACF-0371-43B7-A60F-3A677CC89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17291</TotalTime>
  <Pages>2</Pages>
  <Words>769</Words>
  <Characters>4386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5145</CharactersWithSpaces>
  <SharedDoc>false</SharedDoc>
  <HLinks>
    <vt:vector size="6" baseType="variant">
      <vt:variant>
        <vt:i4>7274585</vt:i4>
      </vt:variant>
      <vt:variant>
        <vt:i4>99</vt:i4>
      </vt:variant>
      <vt:variant>
        <vt:i4>0</vt:i4>
      </vt:variant>
      <vt:variant>
        <vt:i4>5</vt:i4>
      </vt:variant>
      <vt:variant>
        <vt:lpwstr>https://www.3gpp.org/ftp/TSG_RAN/TSG_RAN/TSGR_90e/Docs/RP-202703.zip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Mohammad Mozaffari</dc:creator>
  <cp:keywords>3GPP; Ericsson; TDoc</cp:keywords>
  <dc:description/>
  <cp:lastModifiedBy>China Telecom</cp:lastModifiedBy>
  <cp:revision>3733</cp:revision>
  <cp:lastPrinted>2008-01-31T16:09:00Z</cp:lastPrinted>
  <dcterms:created xsi:type="dcterms:W3CDTF">2020-01-28T10:39:00Z</dcterms:created>
  <dcterms:modified xsi:type="dcterms:W3CDTF">2021-11-04T07:38:00Z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