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68838BBA"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297F5C">
        <w:rPr>
          <w:rFonts w:eastAsia="SimSun"/>
          <w:sz w:val="22"/>
          <w:lang w:eastAsia="zh-CN"/>
        </w:rPr>
        <w:t>7</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00B05E90" w:rsidRPr="00B05E90">
        <w:rPr>
          <w:rFonts w:eastAsia="SimSun"/>
          <w:sz w:val="22"/>
          <w:lang w:eastAsia="zh-CN"/>
        </w:rPr>
        <w:t>R1-2111279</w:t>
      </w:r>
    </w:p>
    <w:p w14:paraId="5274BA97" w14:textId="69D5E5B9"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297F5C">
        <w:rPr>
          <w:rFonts w:eastAsia="SimSun"/>
          <w:sz w:val="22"/>
          <w:lang w:eastAsia="zh-CN"/>
        </w:rPr>
        <w:t xml:space="preserve">November </w:t>
      </w:r>
      <w:r w:rsidR="00E03326">
        <w:rPr>
          <w:rFonts w:eastAsia="SimSun"/>
          <w:sz w:val="22"/>
          <w:lang w:eastAsia="zh-CN"/>
        </w:rPr>
        <w:t>11</w:t>
      </w:r>
      <w:r w:rsidR="00E03326" w:rsidRPr="0048279C">
        <w:rPr>
          <w:rFonts w:eastAsia="SimSun"/>
          <w:sz w:val="22"/>
          <w:vertAlign w:val="superscript"/>
          <w:lang w:eastAsia="zh-CN"/>
        </w:rPr>
        <w:t>th</w:t>
      </w:r>
      <w:r w:rsidR="00E03326">
        <w:rPr>
          <w:rFonts w:eastAsia="SimSun"/>
          <w:sz w:val="22"/>
          <w:lang w:eastAsia="zh-CN"/>
        </w:rPr>
        <w:t xml:space="preserve"> </w:t>
      </w:r>
      <w:r w:rsidR="002328B0" w:rsidRPr="00240590">
        <w:rPr>
          <w:rFonts w:eastAsia="SimSun"/>
          <w:sz w:val="22"/>
          <w:lang w:eastAsia="zh-CN"/>
        </w:rPr>
        <w:t xml:space="preserve">– </w:t>
      </w:r>
      <w:r w:rsidR="00E03326">
        <w:rPr>
          <w:rFonts w:eastAsia="SimSun"/>
          <w:sz w:val="22"/>
          <w:lang w:eastAsia="zh-CN"/>
        </w:rPr>
        <w:t>19</w:t>
      </w:r>
      <w:r w:rsidR="00E03326"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363216E7" w:rsidR="002C4DCC" w:rsidRDefault="00EE55B6" w:rsidP="002C4DCC">
      <w:pPr>
        <w:pStyle w:val="01"/>
        <w:numPr>
          <w:ilvl w:val="0"/>
          <w:numId w:val="1"/>
        </w:numPr>
        <w:ind w:left="562" w:hanging="562"/>
      </w:pPr>
      <w:r>
        <w:t xml:space="preserve">Unified TCI </w:t>
      </w:r>
      <w:r w:rsidR="00E11CEE">
        <w:t>Framework</w:t>
      </w:r>
    </w:p>
    <w:p w14:paraId="1598792A" w14:textId="292AA53A" w:rsidR="000B6612" w:rsidRDefault="00D5241E">
      <w:pPr>
        <w:pStyle w:val="00Text"/>
      </w:pPr>
      <w:r>
        <w:t>R</w:t>
      </w:r>
      <w:r w:rsidR="000B6612">
        <w:t>egarding the definition of beam misalignment for path loss RS, we reach the following agreement:</w:t>
      </w:r>
    </w:p>
    <w:tbl>
      <w:tblPr>
        <w:tblStyle w:val="TableGrid"/>
        <w:tblW w:w="0" w:type="auto"/>
        <w:tblLook w:val="04A0" w:firstRow="1" w:lastRow="0" w:firstColumn="1" w:lastColumn="0" w:noHBand="0" w:noVBand="1"/>
      </w:tblPr>
      <w:tblGrid>
        <w:gridCol w:w="9062"/>
      </w:tblGrid>
      <w:tr w:rsidR="000B6612" w14:paraId="5C31F84C" w14:textId="77777777" w:rsidTr="000B6612">
        <w:tc>
          <w:tcPr>
            <w:tcW w:w="9062" w:type="dxa"/>
          </w:tcPr>
          <w:p w14:paraId="0F9A547F" w14:textId="77777777" w:rsidR="000B6612" w:rsidRPr="005B792D" w:rsidRDefault="000B6612" w:rsidP="000B6612">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2EA83CD7" w14:textId="77777777" w:rsidR="000B6612" w:rsidRPr="005B792D" w:rsidRDefault="000B6612" w:rsidP="000B6612">
            <w:pPr>
              <w:pStyle w:val="xxxmsonormal"/>
              <w:snapToGrid w:val="0"/>
              <w:jc w:val="both"/>
              <w:rPr>
                <w:rFonts w:ascii="Times" w:hAnsi="Times" w:cs="Times"/>
                <w:sz w:val="20"/>
                <w:szCs w:val="20"/>
              </w:rPr>
            </w:pPr>
            <w:r w:rsidRPr="005B792D">
              <w:rPr>
                <w:rFonts w:ascii="Times" w:hAnsi="Times" w:cs="Times"/>
                <w:sz w:val="20"/>
                <w:szCs w:val="20"/>
              </w:rPr>
              <w:t xml:space="preserve">On path-loss measurement for Rel.17 unified TCI framework, </w:t>
            </w:r>
            <w:r w:rsidRPr="005B792D">
              <w:rPr>
                <w:rFonts w:ascii="Times" w:hAnsi="Times" w:cs="Times"/>
                <w:sz w:val="20"/>
                <w:szCs w:val="20"/>
                <w:lang w:val="en-GB"/>
              </w:rPr>
              <w:t>a</w:t>
            </w:r>
            <w:r w:rsidRPr="005B792D">
              <w:rPr>
                <w:rFonts w:ascii="Times" w:hAnsi="Times" w:cs="Times"/>
                <w:sz w:val="20"/>
                <w:szCs w:val="20"/>
              </w:rPr>
              <w:t>t least for discussion purposes:</w:t>
            </w:r>
          </w:p>
          <w:p w14:paraId="0732E07F" w14:textId="77777777" w:rsidR="000B6612" w:rsidRPr="005B792D" w:rsidRDefault="000B6612" w:rsidP="000B6612">
            <w:pPr>
              <w:numPr>
                <w:ilvl w:val="0"/>
                <w:numId w:val="46"/>
              </w:numPr>
              <w:snapToGrid w:val="0"/>
              <w:jc w:val="both"/>
              <w:rPr>
                <w:rFonts w:cs="Times"/>
                <w:szCs w:val="20"/>
              </w:rPr>
            </w:pPr>
            <w:r w:rsidRPr="005B792D">
              <w:rPr>
                <w:rFonts w:cs="Times"/>
                <w:szCs w:val="20"/>
              </w:rPr>
              <w:t>“Beam alignment” is defined as follows:</w:t>
            </w:r>
            <w:r w:rsidRPr="005B792D">
              <w:rPr>
                <w:rFonts w:eastAsia="DengXian" w:cs="Times"/>
                <w:szCs w:val="20"/>
              </w:rPr>
              <w:t xml:space="preserve"> </w:t>
            </w:r>
          </w:p>
          <w:p w14:paraId="45DB1A30" w14:textId="77777777" w:rsidR="000B6612" w:rsidRPr="005B792D" w:rsidRDefault="000B6612" w:rsidP="000B6612">
            <w:pPr>
              <w:numPr>
                <w:ilvl w:val="1"/>
                <w:numId w:val="47"/>
              </w:numPr>
              <w:snapToGrid w:val="0"/>
              <w:jc w:val="both"/>
              <w:rPr>
                <w:rFonts w:cs="Times"/>
                <w:szCs w:val="20"/>
              </w:rPr>
            </w:pPr>
            <w:r w:rsidRPr="005B792D">
              <w:rPr>
                <w:rFonts w:cs="Times"/>
                <w:szCs w:val="20"/>
              </w:rPr>
              <w:t xml:space="preserve">The event that the PL-RS is identical to the spatial relation RS in the UL or (if applicable) joint TCI state. </w:t>
            </w:r>
          </w:p>
          <w:p w14:paraId="01888A2B" w14:textId="77777777" w:rsidR="000B6612" w:rsidRPr="005B792D" w:rsidRDefault="000B6612" w:rsidP="000B6612">
            <w:pPr>
              <w:numPr>
                <w:ilvl w:val="1"/>
                <w:numId w:val="47"/>
              </w:numPr>
              <w:snapToGrid w:val="0"/>
              <w:jc w:val="both"/>
              <w:rPr>
                <w:rFonts w:cs="Times"/>
                <w:szCs w:val="20"/>
              </w:rPr>
            </w:pPr>
            <w:r w:rsidRPr="005B792D">
              <w:rPr>
                <w:rFonts w:cs="Times"/>
                <w:szCs w:val="20"/>
              </w:rPr>
              <w:t>FFS: how to define “beam alignment” if the PL-RS and the spatial relation RS in the UL or (if applicable) joint TCI state are not identical</w:t>
            </w:r>
          </w:p>
          <w:p w14:paraId="22C43500" w14:textId="35586616" w:rsidR="000B6612" w:rsidRDefault="000B6612" w:rsidP="00001BCA">
            <w:pPr>
              <w:numPr>
                <w:ilvl w:val="0"/>
                <w:numId w:val="48"/>
              </w:numPr>
              <w:snapToGrid w:val="0"/>
              <w:jc w:val="both"/>
            </w:pPr>
            <w:r w:rsidRPr="005B792D">
              <w:rPr>
                <w:rFonts w:cs="Times"/>
                <w:szCs w:val="20"/>
              </w:rPr>
              <w:t>Any other case, it is defined as beam misalignment</w:t>
            </w:r>
          </w:p>
        </w:tc>
      </w:tr>
    </w:tbl>
    <w:p w14:paraId="07666830" w14:textId="08604B53" w:rsidR="000B6612" w:rsidRDefault="00AA3B73">
      <w:pPr>
        <w:pStyle w:val="00Text"/>
      </w:pPr>
      <w:r>
        <w:t>One FFS point is how to define the beam alignment when PL-RS and the spatial relation RS are not same.  In our view, beam alignment is defined when the Rx beam applied on receiving PL-RS and Tx beam according to spatial relation RS are same:</w:t>
      </w:r>
    </w:p>
    <w:p w14:paraId="713672F6" w14:textId="26628BF4" w:rsidR="00AA3B73" w:rsidRDefault="00AA3B73" w:rsidP="00805710">
      <w:pPr>
        <w:pStyle w:val="00Text"/>
        <w:numPr>
          <w:ilvl w:val="0"/>
          <w:numId w:val="36"/>
        </w:numPr>
      </w:pPr>
      <w:r>
        <w:t>The Rx beam for receiving PL-RS is determined by the QCL-TypeD configured to that PL-RS.</w:t>
      </w:r>
    </w:p>
    <w:p w14:paraId="2D9FD1BB" w14:textId="6C61BA43" w:rsidR="00AA3B73" w:rsidRDefault="00AA3B73" w:rsidP="00001BCA">
      <w:pPr>
        <w:pStyle w:val="00Text"/>
        <w:numPr>
          <w:ilvl w:val="0"/>
          <w:numId w:val="36"/>
        </w:numPr>
      </w:pPr>
      <w:r>
        <w:t xml:space="preserve">The Tx beam corresponding to the spatial relation RS is determined by Rx beam determined for the reception of the CSI-RS or SSB configured as the spatial relation RS. Thus, the Tx beam corresponding to the CSI-RS or SSB </w:t>
      </w:r>
      <w:r w:rsidR="00805710">
        <w:t>configured as spatial relation RS is also determined by the QCL-TypeD.</w:t>
      </w:r>
      <w:r>
        <w:t xml:space="preserve"> </w:t>
      </w:r>
    </w:p>
    <w:p w14:paraId="0EEC2F30" w14:textId="4993C9B7" w:rsidR="000B6612" w:rsidRDefault="00805710">
      <w:pPr>
        <w:pStyle w:val="00Text"/>
      </w:pPr>
      <w:r>
        <w:t>Therefore, if the PL-RS and spatial relation RS are QCLed with respect to QCL-TypeD, we can determine that the Rx beam applied on receiving the PL-RS and Tx beam corresponding to the spatial relation RS are same and thus we can define beam alignment.</w:t>
      </w:r>
    </w:p>
    <w:p w14:paraId="49EFDC7C" w14:textId="77777777" w:rsidR="00127EF8" w:rsidRDefault="00C81DC7">
      <w:pPr>
        <w:pStyle w:val="00Text"/>
      </w:pPr>
      <w:r>
        <w:t xml:space="preserve">As agreed, </w:t>
      </w:r>
      <w:r w:rsidR="007211E0">
        <w:t>one joint TCI state or UL TCI state can be configured or associated with a PL-RS that is assumed to be periodic. If a joint TCI state or UL TCI state is not configured or associated with a PL-RS, the UE shall be requested to use the RS for UL Tx spatial filter to measure PL. In this case, the RS for UL Tx spatial filter shall be a DL periodic RS.</w:t>
      </w:r>
    </w:p>
    <w:p w14:paraId="696248F8" w14:textId="7421DFD3" w:rsidR="00127EF8" w:rsidRDefault="00127EF8" w:rsidP="00001BCA">
      <w:pPr>
        <w:pStyle w:val="000proposal"/>
      </w:pPr>
      <w:r w:rsidRPr="001D1CF8">
        <w:t xml:space="preserve">Proposal </w:t>
      </w:r>
      <w:r w:rsidR="00D5241E">
        <w:t>1</w:t>
      </w:r>
      <w:r w:rsidRPr="001D1CF8">
        <w:t xml:space="preserve">: </w:t>
      </w:r>
      <w:r w:rsidR="00805710">
        <w:t>If PL-RS and spatial relation RS are not identical, t</w:t>
      </w:r>
      <w:r>
        <w:t xml:space="preserve">he “beam alignment” is defined </w:t>
      </w:r>
      <w:r w:rsidR="00805710">
        <w:t xml:space="preserve">when </w:t>
      </w:r>
      <w:r>
        <w:t xml:space="preserve">the PL-RS and the </w:t>
      </w:r>
      <w:r w:rsidR="00805710">
        <w:t>spatial relation RS</w:t>
      </w:r>
      <w:r>
        <w:t xml:space="preserve"> are QCLed </w:t>
      </w:r>
      <w:r w:rsidR="00805710">
        <w:t>with respect to QCL-TypeD</w:t>
      </w:r>
      <w:r>
        <w:t>.</w:t>
      </w:r>
    </w:p>
    <w:p w14:paraId="24CCC386" w14:textId="283AE11A" w:rsidR="00127EF8" w:rsidRDefault="00805710" w:rsidP="00001BCA">
      <w:pPr>
        <w:pStyle w:val="000proposal"/>
      </w:pPr>
      <w:r>
        <w:t xml:space="preserve">Proposal </w:t>
      </w:r>
      <w:r w:rsidR="008C3C7D">
        <w:t>2</w:t>
      </w:r>
      <w:r>
        <w:t xml:space="preserve">: </w:t>
      </w:r>
      <w:r w:rsidR="00127EF8">
        <w:t xml:space="preserve">The UE shall expect that the PL-RS and RS for UL Tx spatial filter </w:t>
      </w:r>
      <w:r w:rsidR="00493CDA">
        <w:t>have “beam alignment”, which shall be achieved by gNB implementation.</w:t>
      </w:r>
    </w:p>
    <w:p w14:paraId="2CE3B238" w14:textId="15E11008" w:rsidR="00493CDA" w:rsidRPr="001D1CF8" w:rsidRDefault="00805710" w:rsidP="00001BCA">
      <w:pPr>
        <w:pStyle w:val="000proposal"/>
      </w:pPr>
      <w:r>
        <w:lastRenderedPageBreak/>
        <w:t xml:space="preserve">Proposal </w:t>
      </w:r>
      <w:r w:rsidR="008C3C7D">
        <w:t>3</w:t>
      </w:r>
      <w:r>
        <w:t xml:space="preserve">: </w:t>
      </w:r>
      <w:r w:rsidR="00493CDA">
        <w:t>If a joint TCI state or UL TCI state is not associated with PL-RS, the UE shall use the RS for UL Tx spatial filter to measure PL and that RS shall be a DL periodic RS.</w:t>
      </w:r>
    </w:p>
    <w:p w14:paraId="33C43301" w14:textId="5F5C0394" w:rsidR="00FC296F" w:rsidRDefault="00FC296F" w:rsidP="00EF63D5">
      <w:pPr>
        <w:pStyle w:val="00Text"/>
      </w:pPr>
      <w:r>
        <w:t>The following agreement decided the method of associating PC parameters with TCI state</w:t>
      </w:r>
      <w:r>
        <w:rPr>
          <w:rFonts w:hint="eastAsia"/>
        </w:rPr>
        <w:t>:</w:t>
      </w:r>
    </w:p>
    <w:tbl>
      <w:tblPr>
        <w:tblStyle w:val="TableGrid"/>
        <w:tblW w:w="0" w:type="auto"/>
        <w:tblLook w:val="04A0" w:firstRow="1" w:lastRow="0" w:firstColumn="1" w:lastColumn="0" w:noHBand="0" w:noVBand="1"/>
      </w:tblPr>
      <w:tblGrid>
        <w:gridCol w:w="9062"/>
      </w:tblGrid>
      <w:tr w:rsidR="00FC296F" w14:paraId="2AD51BE4" w14:textId="77777777" w:rsidTr="00FC296F">
        <w:tc>
          <w:tcPr>
            <w:tcW w:w="9062" w:type="dxa"/>
          </w:tcPr>
          <w:p w14:paraId="4C9BD40B" w14:textId="77777777" w:rsidR="00FC296F" w:rsidRPr="009D462B" w:rsidRDefault="00FC296F" w:rsidP="00FC296F">
            <w:pPr>
              <w:snapToGrid w:val="0"/>
              <w:rPr>
                <w:szCs w:val="20"/>
                <w:highlight w:val="green"/>
              </w:rPr>
            </w:pPr>
            <w:r w:rsidRPr="009D462B">
              <w:rPr>
                <w:b/>
                <w:szCs w:val="20"/>
                <w:highlight w:val="green"/>
              </w:rPr>
              <w:t>Agreement</w:t>
            </w:r>
          </w:p>
          <w:p w14:paraId="11227826" w14:textId="77777777" w:rsidR="00FC296F" w:rsidRPr="009D462B" w:rsidRDefault="00FC296F" w:rsidP="00FC296F">
            <w:pPr>
              <w:rPr>
                <w:szCs w:val="20"/>
              </w:rPr>
            </w:pPr>
            <w:r w:rsidRPr="009D462B">
              <w:rPr>
                <w:szCs w:val="20"/>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72680E96" w14:textId="77777777" w:rsidR="00FC296F" w:rsidRPr="009D462B" w:rsidRDefault="00FC296F" w:rsidP="00FC296F">
            <w:pPr>
              <w:pStyle w:val="ListParagraph"/>
              <w:numPr>
                <w:ilvl w:val="0"/>
                <w:numId w:val="66"/>
              </w:numPr>
              <w:ind w:leftChars="0"/>
              <w:rPr>
                <w:rFonts w:ascii="Times New Roman" w:hAnsi="Times New Roman" w:cs="Times New Roman"/>
                <w:bCs/>
                <w:sz w:val="20"/>
                <w:szCs w:val="20"/>
              </w:rPr>
            </w:pPr>
            <w:r w:rsidRPr="009D462B">
              <w:rPr>
                <w:rFonts w:ascii="Times New Roman" w:hAnsi="Times New Roman" w:cs="Times New Roman"/>
                <w:bCs/>
                <w:sz w:val="20"/>
                <w:szCs w:val="20"/>
              </w:rPr>
              <w:t>FFS : MAC-CE based update for the closed loop index associated with UL or (if applicable) joint TCI  state</w:t>
            </w:r>
          </w:p>
          <w:p w14:paraId="1D0486F5" w14:textId="77777777" w:rsidR="00FC296F" w:rsidRPr="009D462B" w:rsidRDefault="00FC296F" w:rsidP="00FC296F">
            <w:pPr>
              <w:pStyle w:val="ListParagraph"/>
              <w:numPr>
                <w:ilvl w:val="0"/>
                <w:numId w:val="66"/>
              </w:numPr>
              <w:ind w:leftChars="0"/>
              <w:rPr>
                <w:rFonts w:ascii="Times New Roman" w:hAnsi="Times New Roman" w:cs="Times New Roman"/>
                <w:bCs/>
                <w:sz w:val="20"/>
                <w:szCs w:val="20"/>
              </w:rPr>
            </w:pPr>
            <w:r w:rsidRPr="009D462B">
              <w:rPr>
                <w:rFonts w:ascii="Times New Roman" w:hAnsi="Times New Roman" w:cs="Times New Roman"/>
                <w:bCs/>
                <w:sz w:val="20"/>
                <w:szCs w:val="20"/>
              </w:rPr>
              <w:t>Above is applicable for eMBB</w:t>
            </w:r>
          </w:p>
          <w:p w14:paraId="68C6B9DC" w14:textId="02731413" w:rsidR="00FC296F" w:rsidRDefault="00FC296F" w:rsidP="009D462B">
            <w:pPr>
              <w:pStyle w:val="ListParagraph"/>
              <w:numPr>
                <w:ilvl w:val="1"/>
                <w:numId w:val="66"/>
              </w:numPr>
              <w:ind w:leftChars="0"/>
            </w:pPr>
            <w:r w:rsidRPr="009D462B">
              <w:rPr>
                <w:rFonts w:ascii="Times New Roman" w:hAnsi="Times New Roman" w:cs="Times New Roman"/>
                <w:bCs/>
                <w:sz w:val="20"/>
                <w:szCs w:val="20"/>
              </w:rPr>
              <w:t>FFS : Details on power control setting for URLLC</w:t>
            </w:r>
          </w:p>
        </w:tc>
      </w:tr>
    </w:tbl>
    <w:p w14:paraId="680220C7" w14:textId="7AC907C0" w:rsidR="00FC296F" w:rsidRDefault="00FC296F" w:rsidP="00EF63D5">
      <w:pPr>
        <w:pStyle w:val="00Text"/>
      </w:pPr>
      <w:r>
        <w:t xml:space="preserve">One FFS is whether the closed loop index associated with UL or joint TCI state shall be updated through MAC CE command. In our view, the power control parameters are associated with each UL Tx beam in current design. </w:t>
      </w:r>
      <w:r w:rsidR="005C2C2D">
        <w:t>That already provides the full flexibility. For each UL or joint TCI state, without changing the UL Tx beam, there is no motivation to update the PC parameter including closed loop index through MAC CE. Therefore, we do not support to use MAC CE to update the closed loop index.</w:t>
      </w:r>
    </w:p>
    <w:p w14:paraId="527CE66A" w14:textId="3B4EA2EF" w:rsidR="00FC296F" w:rsidRPr="009D462B" w:rsidRDefault="00FC296F" w:rsidP="00EF63D5">
      <w:pPr>
        <w:pStyle w:val="00Text"/>
        <w:rPr>
          <w:b/>
          <w:bCs/>
          <w:i/>
          <w:iCs/>
        </w:rPr>
      </w:pPr>
      <w:r w:rsidRPr="009D462B">
        <w:rPr>
          <w:b/>
          <w:bCs/>
          <w:i/>
          <w:iCs/>
        </w:rPr>
        <w:t>Proposal 4: do not support MAC CE based updating closed loop index for UL or joint TCI state.</w:t>
      </w:r>
    </w:p>
    <w:p w14:paraId="3863C964" w14:textId="7531199B" w:rsidR="005C2C2D" w:rsidRPr="009D462B" w:rsidRDefault="005C2C2D" w:rsidP="009D462B">
      <w:pPr>
        <w:pStyle w:val="00Text"/>
      </w:pPr>
      <w:r>
        <w:t>In Rel-16, each SRI codepoint is associated with the power control settings of (</w:t>
      </w:r>
      <w:r>
        <w:rPr>
          <w:rFonts w:hint="eastAsia"/>
        </w:rPr>
        <w:t>P</w:t>
      </w:r>
      <w:r>
        <w:t xml:space="preserve">0, alpha, closed loop index) and PL-RS. For each PUSCH scheduled by a DCI, the UE shall apply the uplink power control parameters that are associated with the indicated SRI codepoint. </w:t>
      </w:r>
      <w:r w:rsidR="00BC6C56">
        <w:t xml:space="preserve">For URLLC transmission, a separate P0 is configured and the open-loop power control indication field in DCI format indicates which P0 shall be applied on PUSCH transmission. </w:t>
      </w:r>
      <w:r w:rsidR="00BC6C56">
        <w:rPr>
          <w:rFonts w:hint="eastAsia"/>
        </w:rPr>
        <w:t>I</w:t>
      </w:r>
      <w:r w:rsidR="00BC6C56">
        <w:t>n rel-17, each UL or joint TCI state is associated with a setting of (P0, alpha, closed loop index). To support the same function for URLLC as in Rel-16, we can configure a P0 for URLLC and the DCI format can indicate the UE to apply the P0 configured for URLLC or the P0 associated with the Rel-17 indicated UL TCI on PUSCH transmission.</w:t>
      </w:r>
    </w:p>
    <w:p w14:paraId="52CD7860" w14:textId="4D7DE7BB" w:rsidR="00FC296F" w:rsidRPr="009D462B" w:rsidRDefault="00FC296F" w:rsidP="00EF63D5">
      <w:pPr>
        <w:pStyle w:val="00Text"/>
        <w:rPr>
          <w:b/>
          <w:bCs/>
          <w:i/>
          <w:iCs/>
        </w:rPr>
      </w:pPr>
      <w:r w:rsidRPr="009D462B">
        <w:rPr>
          <w:b/>
          <w:bCs/>
          <w:i/>
          <w:iCs/>
        </w:rPr>
        <w:t>Proposal 5: As specified in Rel-16</w:t>
      </w:r>
      <w:r w:rsidRPr="009D462B">
        <w:rPr>
          <w:rFonts w:hint="eastAsia"/>
          <w:b/>
          <w:bCs/>
          <w:i/>
          <w:iCs/>
        </w:rPr>
        <w:t>,</w:t>
      </w:r>
      <w:r w:rsidRPr="009D462B">
        <w:rPr>
          <w:b/>
          <w:bCs/>
          <w:i/>
          <w:iCs/>
        </w:rPr>
        <w:t xml:space="preserve"> a</w:t>
      </w:r>
      <w:r w:rsidR="005C2C2D">
        <w:rPr>
          <w:b/>
          <w:bCs/>
          <w:i/>
          <w:iCs/>
        </w:rPr>
        <w:t>n</w:t>
      </w:r>
      <w:r w:rsidRPr="009D462B">
        <w:rPr>
          <w:b/>
          <w:bCs/>
          <w:i/>
          <w:iCs/>
        </w:rPr>
        <w:t xml:space="preserve"> open loop power control parameter P0 is configured for URLLC and the DCI format 0_1 or 0_2 can indicate the UE to apply the P0 configured for URLLC or the P0 associated with the indicated Rel-17 TCI state.</w:t>
      </w:r>
    </w:p>
    <w:p w14:paraId="5B0F0588" w14:textId="7D2AFE6D" w:rsidR="00BF7E43" w:rsidRDefault="004724EA" w:rsidP="00915777">
      <w:pPr>
        <w:pStyle w:val="00Text"/>
      </w:pPr>
      <w:r>
        <w:t xml:space="preserve">For unified TCI framework in CA case, </w:t>
      </w:r>
      <w:r w:rsidR="00915777">
        <w:t xml:space="preserve">one </w:t>
      </w:r>
      <w:r w:rsidR="00BF7E43">
        <w:t>FFS point is how to determine the reference BWP/CC. For a set of configured CCs in the same band, the CC with lowest CC index can be used as the reference CC. Furthermore, a fixed BWP in that CC, for instance the BWP with lowest BWP ID can be used as the reference BWP.</w:t>
      </w:r>
    </w:p>
    <w:p w14:paraId="44F6EE48" w14:textId="47AD927D" w:rsidR="00E13624" w:rsidRDefault="00E13624" w:rsidP="00B24F68">
      <w:pPr>
        <w:pStyle w:val="00Text"/>
      </w:pPr>
      <w:r>
        <w:t xml:space="preserve">For determining the QCL source RS, the agreement only specify the case when the </w:t>
      </w:r>
      <w:r w:rsidR="00B24F68">
        <w:t>same TRS s configured as source for both Type A and Type D. Another case is a TRS is configured for QCL-TypeA and a CSI-RS for BM is configured for QCL-TypeD.  In this case, the UE shall determine the QCL source RSs for a BWP/CC without TCI state pool as follows:</w:t>
      </w:r>
    </w:p>
    <w:p w14:paraId="68D9A2D8" w14:textId="2B39303A" w:rsidR="00B24F68" w:rsidRDefault="00B24F68" w:rsidP="00B24F68">
      <w:pPr>
        <w:pStyle w:val="00Text"/>
        <w:numPr>
          <w:ilvl w:val="0"/>
          <w:numId w:val="51"/>
        </w:numPr>
      </w:pPr>
      <w:r>
        <w:t>For QCL-TypeA source RS: the UE assumes the RS is in the BWP/CC where the TCI state is applied.</w:t>
      </w:r>
    </w:p>
    <w:p w14:paraId="4BFBF7FD" w14:textId="2582F5BC" w:rsidR="00B24F68" w:rsidRDefault="00B24F68" w:rsidP="00001BCA">
      <w:pPr>
        <w:pStyle w:val="00Text"/>
        <w:numPr>
          <w:ilvl w:val="0"/>
          <w:numId w:val="51"/>
        </w:numPr>
      </w:pPr>
      <w:r>
        <w:t xml:space="preserve">For QCL-TypeD source RS: if the BWP/CC ID is absent </w:t>
      </w:r>
      <w:r>
        <w:rPr>
          <w:rFonts w:hint="eastAsia"/>
        </w:rPr>
        <w:t>in</w:t>
      </w:r>
      <w:r>
        <w:t xml:space="preserve"> TCI state configuration, the UE assumes the RS for QCL-TypeD is in the BWP/CC where the TCI state in configured.  If the BWP/CC ID is present in TCI state configuration, the UE assumes the RS for QCL-TypeD follows the provided BWP/CC ID. </w:t>
      </w:r>
    </w:p>
    <w:p w14:paraId="7BFE2D7D" w14:textId="756FA46A" w:rsidR="00B24F68" w:rsidRPr="00001BCA" w:rsidRDefault="00B24F68" w:rsidP="00925672">
      <w:pPr>
        <w:pStyle w:val="00Text"/>
        <w:rPr>
          <w:b/>
          <w:bCs/>
          <w:i/>
          <w:iCs/>
        </w:rPr>
      </w:pPr>
      <w:bookmarkStart w:id="0" w:name="_Hlk83583216"/>
      <w:r w:rsidRPr="00001BCA">
        <w:rPr>
          <w:b/>
          <w:bCs/>
          <w:i/>
          <w:iCs/>
        </w:rPr>
        <w:t>Proposal</w:t>
      </w:r>
      <w:r w:rsidR="00D5241E">
        <w:rPr>
          <w:b/>
          <w:bCs/>
          <w:i/>
          <w:iCs/>
        </w:rPr>
        <w:t xml:space="preserve"> </w:t>
      </w:r>
      <w:r w:rsidR="009379B4">
        <w:rPr>
          <w:b/>
          <w:bCs/>
          <w:i/>
          <w:iCs/>
        </w:rPr>
        <w:t>6</w:t>
      </w:r>
      <w:r w:rsidRPr="00001BCA">
        <w:rPr>
          <w:b/>
          <w:bCs/>
          <w:i/>
          <w:iCs/>
        </w:rPr>
        <w:t>: To determine QCL source RS in BWP/CC where TCI state pool is not configured, when two different CSI-RS resources are configured for QCL-TypeA and QCL-TypeD in the TCI state:</w:t>
      </w:r>
    </w:p>
    <w:p w14:paraId="3551C621" w14:textId="56DA1566" w:rsidR="00B24F68" w:rsidRPr="00001BCA" w:rsidRDefault="00B24F68" w:rsidP="00001BCA">
      <w:pPr>
        <w:pStyle w:val="00Text"/>
        <w:numPr>
          <w:ilvl w:val="0"/>
          <w:numId w:val="52"/>
        </w:numPr>
        <w:rPr>
          <w:b/>
          <w:bCs/>
          <w:i/>
          <w:iCs/>
        </w:rPr>
      </w:pPr>
      <w:r w:rsidRPr="00001BCA">
        <w:rPr>
          <w:b/>
          <w:bCs/>
          <w:i/>
          <w:iCs/>
        </w:rPr>
        <w:t>The UE assumes the QCL-TypeA RS is in the BWP/CC where the TCI state is applied.</w:t>
      </w:r>
    </w:p>
    <w:p w14:paraId="0773D9B4" w14:textId="550A75CD" w:rsidR="00B24F68" w:rsidRPr="00001BCA" w:rsidRDefault="00B24F68" w:rsidP="00001BCA">
      <w:pPr>
        <w:pStyle w:val="00Text"/>
        <w:numPr>
          <w:ilvl w:val="0"/>
          <w:numId w:val="52"/>
        </w:numPr>
        <w:rPr>
          <w:b/>
          <w:bCs/>
          <w:i/>
          <w:iCs/>
        </w:rPr>
      </w:pPr>
      <w:r w:rsidRPr="00001BCA">
        <w:rPr>
          <w:b/>
          <w:bCs/>
          <w:i/>
          <w:iCs/>
        </w:rPr>
        <w:lastRenderedPageBreak/>
        <w:t>The UE assumes the QCL-TypeD RS is in the BWP/CC where the TCI state is configured if BWP/CC ID is not provided in TCI state configuration. Otherwise, the UE follows the provided BWP/CC ID.</w:t>
      </w:r>
    </w:p>
    <w:bookmarkEnd w:id="0"/>
    <w:p w14:paraId="79B34EEA" w14:textId="132144FF" w:rsidR="00414A27" w:rsidRDefault="00414A27" w:rsidP="00925672">
      <w:pPr>
        <w:pStyle w:val="00Text"/>
      </w:pPr>
      <w:r>
        <w:t xml:space="preserve">Furthermore, the spatial relation RS is configured in joint TCI state or uplink TCI state. </w:t>
      </w:r>
      <w:r w:rsidR="00EB739A">
        <w:t xml:space="preserve">The PL-RS and PC parameters are associated with TCI states. For a BWP/CC not configured with TCI state pool, we shall also discuss and specify the method on how to determine those RSs and PC parameters. </w:t>
      </w:r>
    </w:p>
    <w:p w14:paraId="6B3DE21B" w14:textId="244D5C56" w:rsidR="002C4DCC" w:rsidRDefault="004F373D" w:rsidP="002C4DCC">
      <w:pPr>
        <w:pStyle w:val="01"/>
        <w:numPr>
          <w:ilvl w:val="0"/>
          <w:numId w:val="1"/>
        </w:numPr>
        <w:ind w:left="562" w:hanging="562"/>
      </w:pPr>
      <w:r>
        <w:t xml:space="preserve">Rel-17 </w:t>
      </w:r>
      <w:r w:rsidR="00CA1FB4">
        <w:t xml:space="preserve">TCI </w:t>
      </w:r>
      <w:r w:rsidR="00636CD2">
        <w:t>S</w:t>
      </w:r>
      <w:r w:rsidR="00CA1FB4">
        <w:t xml:space="preserve">tate </w:t>
      </w:r>
      <w:r w:rsidR="00354578">
        <w:t>Indication</w:t>
      </w:r>
      <w:r w:rsidR="00CA1FB4">
        <w:t xml:space="preserve"> </w:t>
      </w:r>
      <w:r>
        <w:t xml:space="preserve">Signaling </w:t>
      </w:r>
    </w:p>
    <w:p w14:paraId="4DEDCE0D" w14:textId="36D4F5B0" w:rsidR="00614D0C" w:rsidRDefault="006A16ED" w:rsidP="00D04806">
      <w:pPr>
        <w:pStyle w:val="000proposal"/>
        <w:rPr>
          <w:b w:val="0"/>
          <w:bCs w:val="0"/>
          <w:i w:val="0"/>
          <w:iCs w:val="0"/>
        </w:rPr>
      </w:pPr>
      <w:r>
        <w:rPr>
          <w:b w:val="0"/>
          <w:bCs w:val="0"/>
          <w:i w:val="0"/>
          <w:iCs w:val="0"/>
        </w:rPr>
        <w:t>The value of Y symbols is configured by the gNB based on the UE capability, as in the agreement:</w:t>
      </w:r>
    </w:p>
    <w:tbl>
      <w:tblPr>
        <w:tblStyle w:val="TableGrid"/>
        <w:tblW w:w="0" w:type="auto"/>
        <w:tblLook w:val="04A0" w:firstRow="1" w:lastRow="0" w:firstColumn="1" w:lastColumn="0" w:noHBand="0" w:noVBand="1"/>
      </w:tblPr>
      <w:tblGrid>
        <w:gridCol w:w="9062"/>
      </w:tblGrid>
      <w:tr w:rsidR="00614D0C" w14:paraId="4CD1C01E" w14:textId="77777777" w:rsidTr="00614D0C">
        <w:tc>
          <w:tcPr>
            <w:tcW w:w="9062" w:type="dxa"/>
          </w:tcPr>
          <w:p w14:paraId="25C42C39" w14:textId="77777777" w:rsidR="00614D0C" w:rsidRPr="00614D0C" w:rsidRDefault="00614D0C" w:rsidP="00614D0C">
            <w:pPr>
              <w:snapToGrid w:val="0"/>
              <w:rPr>
                <w:rFonts w:ascii="Times" w:eastAsia="Gulim" w:hAnsi="Times" w:cs="Times"/>
                <w:lang w:eastAsia="ko-KR"/>
              </w:rPr>
            </w:pPr>
            <w:r w:rsidRPr="00614D0C">
              <w:rPr>
                <w:rFonts w:ascii="Times" w:eastAsia="Batang" w:hAnsi="Times" w:cs="Times"/>
                <w:b/>
                <w:bCs/>
                <w:highlight w:val="green"/>
                <w:lang w:val="en-GB"/>
              </w:rPr>
              <w:t>Agreement</w:t>
            </w:r>
          </w:p>
          <w:p w14:paraId="71E13AB4" w14:textId="77777777" w:rsidR="00614D0C" w:rsidRPr="00614D0C" w:rsidRDefault="00614D0C" w:rsidP="00614D0C">
            <w:pPr>
              <w:snapToGrid w:val="0"/>
              <w:rPr>
                <w:rFonts w:ascii="Times" w:eastAsia="Batang" w:hAnsi="Times" w:cs="Times"/>
                <w:lang w:val="en-GB"/>
              </w:rPr>
            </w:pPr>
            <w:r w:rsidRPr="00614D0C">
              <w:rPr>
                <w:rFonts w:ascii="Times" w:eastAsia="Batang" w:hAnsi="Times" w:cs="Times"/>
                <w:lang w:val="en-GB"/>
              </w:rPr>
              <w:t>On Rel-17 DCI-based beam indication, regarding application time of the beam indication, the first slot to apply the indicated TCI is at least Y symbols after the last symbol of the acknowledgment of the joint or separate DL/UL beam indication.</w:t>
            </w:r>
          </w:p>
          <w:p w14:paraId="68960DD7" w14:textId="77777777" w:rsidR="00614D0C" w:rsidRPr="00614D0C" w:rsidRDefault="00614D0C" w:rsidP="00614D0C">
            <w:pPr>
              <w:numPr>
                <w:ilvl w:val="0"/>
                <w:numId w:val="54"/>
              </w:numPr>
              <w:snapToGrid w:val="0"/>
              <w:rPr>
                <w:rFonts w:ascii="Times" w:hAnsi="Times" w:cs="Times"/>
                <w:szCs w:val="20"/>
                <w:lang w:val="en-GB"/>
              </w:rPr>
            </w:pPr>
            <w:r w:rsidRPr="00614D0C">
              <w:rPr>
                <w:rFonts w:ascii="Times" w:hAnsi="Times" w:cs="Times"/>
                <w:lang w:val="en-GB"/>
              </w:rPr>
              <w:t>Note: The Y symbols are configured by the gNB based on UE capability, which is also reported in units of symbols.</w:t>
            </w:r>
          </w:p>
          <w:p w14:paraId="5F9DD416" w14:textId="77777777" w:rsidR="00614D0C" w:rsidRPr="00614D0C" w:rsidRDefault="00614D0C" w:rsidP="00614D0C">
            <w:pPr>
              <w:numPr>
                <w:ilvl w:val="0"/>
                <w:numId w:val="54"/>
              </w:numPr>
              <w:snapToGrid w:val="0"/>
              <w:rPr>
                <w:rFonts w:ascii="Times" w:hAnsi="Times" w:cs="Times"/>
                <w:strike/>
                <w:szCs w:val="20"/>
                <w:lang w:val="en-GB"/>
              </w:rPr>
            </w:pPr>
            <w:r w:rsidRPr="00614D0C">
              <w:rPr>
                <w:rFonts w:ascii="Times" w:hAnsi="Times" w:cs="Times"/>
                <w:lang w:val="en-GB"/>
              </w:rPr>
              <w:t>FFS whether Y is configured per BWP , per CC or per band or per SCS , or independent of BWP/CC/SCS</w:t>
            </w:r>
          </w:p>
          <w:p w14:paraId="6EC3138B" w14:textId="5CB4FF49" w:rsidR="00614D0C" w:rsidRPr="00001BCA" w:rsidRDefault="00614D0C" w:rsidP="00001BCA">
            <w:pPr>
              <w:numPr>
                <w:ilvl w:val="1"/>
                <w:numId w:val="54"/>
              </w:numPr>
              <w:snapToGrid w:val="0"/>
              <w:rPr>
                <w:b/>
                <w:bCs/>
                <w:i/>
                <w:iCs/>
                <w:lang w:val="en-GB"/>
              </w:rPr>
            </w:pPr>
            <w:r w:rsidRPr="00614D0C">
              <w:rPr>
                <w:rFonts w:ascii="Times" w:hAnsi="Times" w:cs="Times"/>
                <w:lang w:val="en-GB"/>
              </w:rPr>
              <w:t>Note: Previous agreement in RAN1#104b-e that remaining unused DCI fields and codepoints are reserved in R17 are not to be reverted</w:t>
            </w:r>
          </w:p>
        </w:tc>
      </w:tr>
    </w:tbl>
    <w:p w14:paraId="32C35692" w14:textId="1D4B291C" w:rsidR="00614D0C" w:rsidRDefault="006A16ED" w:rsidP="00D04806">
      <w:pPr>
        <w:pStyle w:val="000proposal"/>
        <w:rPr>
          <w:b w:val="0"/>
          <w:bCs w:val="0"/>
          <w:i w:val="0"/>
          <w:iCs w:val="0"/>
        </w:rPr>
      </w:pPr>
      <w:r>
        <w:rPr>
          <w:b w:val="0"/>
          <w:bCs w:val="0"/>
          <w:i w:val="0"/>
          <w:iCs w:val="0"/>
        </w:rPr>
        <w:t xml:space="preserve">The value of Y shall at least depend on the value of SCS. For different SCSs, different value of Y shall be applied. However, the gNB does not need to explicitly configure </w:t>
      </w:r>
      <w:r w:rsidR="00B434F2">
        <w:rPr>
          <w:b w:val="0"/>
          <w:bCs w:val="0"/>
          <w:i w:val="0"/>
          <w:iCs w:val="0"/>
        </w:rPr>
        <w:t xml:space="preserve">one Y value for each individual SCS. The gNB can indicate one Y value for the smallest SCS and then the Y value for other SCS can be obtained by scaling according. For example, the gNB can indicate value </w:t>
      </w:r>
      <m:oMath>
        <m:sSub>
          <m:sSubPr>
            <m:ctrlPr>
              <w:rPr>
                <w:rFonts w:ascii="Cambria Math" w:hAnsi="Cambria Math"/>
                <w:b w:val="0"/>
                <w:i w:val="0"/>
                <w:iCs w:val="0"/>
              </w:rPr>
            </m:ctrlPr>
          </m:sSubPr>
          <m:e>
            <m:r>
              <m:rPr>
                <m:sty m:val="bi"/>
              </m:rPr>
              <w:rPr>
                <w:rFonts w:ascii="Cambria Math" w:hAnsi="Cambria Math"/>
              </w:rPr>
              <m:t>Y</m:t>
            </m:r>
          </m:e>
          <m:sub>
            <m:r>
              <m:rPr>
                <m:sty m:val="bi"/>
              </m:rPr>
              <w:rPr>
                <w:rFonts w:ascii="Cambria Math" w:hAnsi="Cambria Math"/>
              </w:rPr>
              <m:t>0</m:t>
            </m:r>
          </m:sub>
        </m:sSub>
      </m:oMath>
      <w:r w:rsidR="00B434F2">
        <w:rPr>
          <w:b w:val="0"/>
          <w:bCs w:val="0"/>
          <w:i w:val="0"/>
          <w:iCs w:val="0"/>
        </w:rPr>
        <w:t xml:space="preserve"> for SCS</w:t>
      </w:r>
      <w:r w:rsidR="00E73F44">
        <w:rPr>
          <w:b w:val="0"/>
          <w:bCs w:val="0"/>
          <w:i w:val="0"/>
          <w:iCs w:val="0"/>
        </w:rPr>
        <w:t xml:space="preserve"> </w:t>
      </w:r>
      <m:oMath>
        <m:r>
          <m:rPr>
            <m:sty m:val="bi"/>
          </m:rPr>
          <w:rPr>
            <w:rFonts w:ascii="Cambria Math" w:hAnsi="Cambria Math"/>
          </w:rPr>
          <m:t>μ=0</m:t>
        </m:r>
      </m:oMath>
      <w:r w:rsidR="00B434F2">
        <w:rPr>
          <w:b w:val="0"/>
          <w:bCs w:val="0"/>
          <w:i w:val="0"/>
          <w:iCs w:val="0"/>
        </w:rPr>
        <w:t xml:space="preserve">. And then the Y value for every other SCS is </w:t>
      </w:r>
      <m:oMath>
        <m:sSup>
          <m:sSupPr>
            <m:ctrlPr>
              <w:rPr>
                <w:rFonts w:ascii="Cambria Math" w:hAnsi="Cambria Math"/>
                <w:bCs w:val="0"/>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b w:val="0"/>
                <w:i w:val="0"/>
                <w:iCs w:val="0"/>
              </w:rPr>
            </m:ctrlPr>
          </m:sSubPr>
          <m:e>
            <m:r>
              <m:rPr>
                <m:sty m:val="bi"/>
              </m:rPr>
              <w:rPr>
                <w:rFonts w:ascii="Cambria Math" w:hAnsi="Cambria Math"/>
              </w:rPr>
              <m:t>Y</m:t>
            </m:r>
          </m:e>
          <m:sub>
            <m:r>
              <m:rPr>
                <m:sty m:val="bi"/>
              </m:rPr>
              <w:rPr>
                <w:rFonts w:ascii="Cambria Math" w:hAnsi="Cambria Math"/>
              </w:rPr>
              <m:t>0</m:t>
            </m:r>
          </m:sub>
        </m:sSub>
      </m:oMath>
      <w:r w:rsidR="00B434F2">
        <w:rPr>
          <w:b w:val="0"/>
          <w:i w:val="0"/>
          <w:iCs w:val="0"/>
        </w:rPr>
        <w:t>.</w:t>
      </w:r>
    </w:p>
    <w:p w14:paraId="1EFB226F" w14:textId="01432D67" w:rsidR="00E73F44" w:rsidRPr="00E73F44" w:rsidRDefault="004F373D" w:rsidP="00D04806">
      <w:pPr>
        <w:pStyle w:val="000proposal"/>
      </w:pPr>
      <w:bookmarkStart w:id="1" w:name="_Hlk83583238"/>
      <w:r w:rsidRPr="00E73F44">
        <w:t xml:space="preserve">Proposal </w:t>
      </w:r>
      <w:r w:rsidR="009379B4">
        <w:t>7</w:t>
      </w:r>
      <w:r w:rsidRPr="00E73F44">
        <w:t xml:space="preserve">: </w:t>
      </w:r>
      <w:r w:rsidR="00E73F44" w:rsidRPr="00E73F44">
        <w:t xml:space="preserve">The gNB indicates one Y value = </w:t>
      </w:r>
      <m:oMath>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oMath>
      <w:r w:rsidR="00E73F44" w:rsidRPr="00E73F44">
        <w:t xml:space="preserve">  for SCS = 15KHz and the UE can determine the Y value for each SCS as: </w:t>
      </w:r>
      <m:oMath>
        <m:sSup>
          <m:sSupPr>
            <m:ctrlPr>
              <w:rPr>
                <w:rFonts w:ascii="Cambria Math" w:hAnsi="Cambria Math"/>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oMath>
      <w:r w:rsidR="00E73F44" w:rsidRPr="00001BCA">
        <w:rPr>
          <w:iCs w:val="0"/>
        </w:rPr>
        <w:t xml:space="preserve"> with </w:t>
      </w:r>
      <m:oMath>
        <m:r>
          <m:rPr>
            <m:sty m:val="bi"/>
          </m:rPr>
          <w:rPr>
            <w:rFonts w:ascii="Cambria Math" w:hAnsi="Cambria Math"/>
          </w:rPr>
          <m:t>μ=0,1,2,3</m:t>
        </m:r>
      </m:oMath>
    </w:p>
    <w:bookmarkEnd w:id="1"/>
    <w:p w14:paraId="2C8EDC91" w14:textId="4F105352" w:rsidR="00096D59" w:rsidRDefault="00096D59" w:rsidP="00001BCA">
      <w:pPr>
        <w:pStyle w:val="00Text"/>
      </w:pPr>
      <w:r>
        <w:t xml:space="preserve">As agreed previously, the gap between the last symbol of DCI carrying TCI indication and the first slot </w:t>
      </w:r>
      <w:r w:rsidR="008A6E04">
        <w:t xml:space="preserve">of TCI state application shall meet the UE capability. And the location of the first slot is determined according to the position of the ACK to beam indication DCI. In real system operation, it is possible that the gap between the last symbol of beam indication and the determined first slot does not meet the UE capability. When that happens, the UE is not able to apply the indicated TCI state starting from the determine first slot. </w:t>
      </w:r>
    </w:p>
    <w:p w14:paraId="5A1DEBD2" w14:textId="46BC6333" w:rsidR="004F373D" w:rsidRDefault="004F373D" w:rsidP="00001BCA">
      <w:pPr>
        <w:pStyle w:val="000proposal"/>
      </w:pPr>
      <w:bookmarkStart w:id="2" w:name="_Hlk83583247"/>
      <w:r>
        <w:t xml:space="preserve">Proposal </w:t>
      </w:r>
      <w:r w:rsidR="009379B4">
        <w:t>8</w:t>
      </w:r>
      <w:r>
        <w:t xml:space="preserve">: </w:t>
      </w:r>
      <w:r w:rsidR="008A6E04">
        <w:t>When the gap between the last symbol of beam indication DCI and the determined first slot does not meet the UE capability, the UE starts to apply the indicated TCI state in the first slot that can satisfy the UE capability</w:t>
      </w:r>
      <w:r>
        <w:t>.</w:t>
      </w:r>
    </w:p>
    <w:bookmarkEnd w:id="2"/>
    <w:p w14:paraId="7F443B79" w14:textId="3D9A698B" w:rsidR="00CA6C69" w:rsidRDefault="00CA6C69" w:rsidP="00CA6C69">
      <w:pPr>
        <w:pStyle w:val="00Text"/>
      </w:pPr>
      <w:r>
        <w:t>We have agreed to reuse the TCI field in DCI 1_1/1_2 with PDSCH assignment to indicate unified TCI state(s). And it was decided that the ACK/NACK of corresponding PDSCH is the acknowledge to the TCI indication. In our view, this decision on TCI indication acknowledge has some issue. The NACK of PDSCH cannot be used as the acknowledgement to the DCI carrying beam indication due to following reasons:</w:t>
      </w:r>
    </w:p>
    <w:p w14:paraId="77AA9F9E" w14:textId="77777777" w:rsidR="00CA6C69" w:rsidRDefault="00CA6C69" w:rsidP="007868EF">
      <w:pPr>
        <w:pStyle w:val="00Text"/>
        <w:numPr>
          <w:ilvl w:val="0"/>
          <w:numId w:val="8"/>
        </w:numPr>
      </w:pPr>
      <w:r>
        <w:t xml:space="preserve">In Type-1 codebook, the UE generates the HARQ codebook according to the the </w:t>
      </w:r>
      <w:r>
        <w:rPr>
          <w:rFonts w:cs="Arial"/>
          <w:noProof/>
          <w:position w:val="-12"/>
        </w:rPr>
        <w:drawing>
          <wp:inline distT="0" distB="0" distL="0" distR="0" wp14:anchorId="47534800" wp14:editId="60FE0F2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 </w:t>
      </w:r>
      <w:r w:rsidRPr="00A92CCB">
        <w:rPr>
          <w:i/>
          <w:iCs/>
        </w:rPr>
        <w:t>PDSCH-TimeDomainResourceAllocation</w:t>
      </w:r>
      <w:r>
        <w:t xml:space="preserve"> and </w:t>
      </w:r>
      <w:r w:rsidRPr="00A92CCB">
        <w:rPr>
          <w:i/>
          <w:iCs/>
        </w:rPr>
        <w:t>dl-DataToUL-ACK</w:t>
      </w:r>
      <w:r>
        <w:t xml:space="preserve"> configured in RRC. </w:t>
      </w:r>
      <w:r w:rsidRPr="00A92CCB">
        <w:t>The UE reports NACK value(s) for HARQ-ACK information bit(s) in a HARQ-ACK codebook that the UE transmits in a slot not indicated by a value of a PDSCH-to-HARQ_feedback timing indicator field in a corresponding DCI format.</w:t>
      </w:r>
      <w:r>
        <w:t xml:space="preserve"> So, even when the DCI carrying beam indication at slot </w:t>
      </w:r>
      <w:r w:rsidRPr="00A92CCB">
        <w:rPr>
          <w:i/>
          <w:iCs/>
        </w:rPr>
        <w:t>n</w:t>
      </w:r>
      <w:r>
        <w:t xml:space="preserve"> </w:t>
      </w:r>
      <w:r>
        <w:lastRenderedPageBreak/>
        <w:t xml:space="preserve">is not received by the UE correctly, the UE still reports NACK in the corresponding HARQ-ACK information bit. </w:t>
      </w:r>
    </w:p>
    <w:p w14:paraId="67BA6A9B" w14:textId="77777777" w:rsidR="00CA6C69" w:rsidRDefault="00CA6C69" w:rsidP="007868EF">
      <w:pPr>
        <w:pStyle w:val="00Text"/>
        <w:numPr>
          <w:ilvl w:val="0"/>
          <w:numId w:val="8"/>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7225186D" w14:textId="41F2A687" w:rsidR="00CA6C69" w:rsidRDefault="00CA6C69" w:rsidP="00CA6C69">
      <w:pPr>
        <w:pStyle w:val="00Text"/>
      </w:pPr>
      <w:r>
        <w:t xml:space="preserve">We can observe that the UE still reports NACK bit even when the DCI is not correctly received by the UE. We propose to correct this </w:t>
      </w:r>
      <w:r w:rsidR="00FC72D0">
        <w:t>issue and</w:t>
      </w:r>
      <w:r>
        <w:t xml:space="preserve"> only use the ACK of the PDSCH as the ACK to the beam indication.</w:t>
      </w:r>
    </w:p>
    <w:p w14:paraId="51E462B5" w14:textId="7BEF195E" w:rsidR="00354578" w:rsidRDefault="00CA6C69" w:rsidP="00001BCA">
      <w:pPr>
        <w:pStyle w:val="000proposal"/>
      </w:pPr>
      <w:bookmarkStart w:id="3" w:name="_Hlk61800297"/>
      <w:bookmarkStart w:id="4" w:name="_Hlk83583257"/>
      <w:r>
        <w:t xml:space="preserve">Proposal </w:t>
      </w:r>
      <w:r w:rsidR="009379B4">
        <w:t>9</w:t>
      </w:r>
      <w:r>
        <w:t>: For DCI format 1_1 and 1_2 with PDSCH assignment indicating TCI state, the acknowledgement to the TCI state update is the ACK of the PDSCH.</w:t>
      </w:r>
      <w:bookmarkEnd w:id="3"/>
    </w:p>
    <w:p w14:paraId="67269D39" w14:textId="402C95E8" w:rsidR="00F4351B" w:rsidRDefault="00F4351B" w:rsidP="009D462B">
      <w:pPr>
        <w:pStyle w:val="01"/>
        <w:numPr>
          <w:ilvl w:val="0"/>
          <w:numId w:val="1"/>
        </w:numPr>
        <w:ind w:left="562" w:hanging="562"/>
      </w:pPr>
      <w:r>
        <w:t>Inter-cell beam management</w:t>
      </w:r>
    </w:p>
    <w:bookmarkEnd w:id="4"/>
    <w:p w14:paraId="361D75F1" w14:textId="618B8E01" w:rsidR="00C56F43" w:rsidRDefault="00C56F43" w:rsidP="00795ADD">
      <w:pPr>
        <w:pStyle w:val="00Text"/>
      </w:pPr>
      <w:r>
        <w:t>On the beam indication of inter-cell beam management, we reach the following agreement regarding the channels and signal where the rel-17 TCI state can be applied:</w:t>
      </w:r>
    </w:p>
    <w:tbl>
      <w:tblPr>
        <w:tblStyle w:val="TableGrid"/>
        <w:tblW w:w="0" w:type="auto"/>
        <w:tblLook w:val="04A0" w:firstRow="1" w:lastRow="0" w:firstColumn="1" w:lastColumn="0" w:noHBand="0" w:noVBand="1"/>
      </w:tblPr>
      <w:tblGrid>
        <w:gridCol w:w="9062"/>
      </w:tblGrid>
      <w:tr w:rsidR="00C56F43" w14:paraId="79797FF2" w14:textId="77777777" w:rsidTr="00C56F43">
        <w:tc>
          <w:tcPr>
            <w:tcW w:w="9062" w:type="dxa"/>
          </w:tcPr>
          <w:p w14:paraId="452E585B" w14:textId="77777777" w:rsidR="00C56F43" w:rsidRPr="00001BCA" w:rsidRDefault="00C56F43" w:rsidP="00C56F43">
            <w:pPr>
              <w:snapToGrid w:val="0"/>
              <w:rPr>
                <w:rFonts w:eastAsia="Malgun Gothic"/>
                <w:sz w:val="18"/>
                <w:szCs w:val="18"/>
                <w:highlight w:val="green"/>
              </w:rPr>
            </w:pPr>
            <w:r w:rsidRPr="00001BCA">
              <w:rPr>
                <w:rFonts w:eastAsia="Malgun Gothic"/>
                <w:b/>
                <w:sz w:val="18"/>
                <w:szCs w:val="18"/>
                <w:highlight w:val="green"/>
              </w:rPr>
              <w:t>Agreement</w:t>
            </w:r>
          </w:p>
          <w:p w14:paraId="1E007533" w14:textId="77777777" w:rsidR="00C56F43" w:rsidRPr="00001BCA" w:rsidRDefault="00C56F43" w:rsidP="00C56F43">
            <w:pPr>
              <w:snapToGrid w:val="0"/>
              <w:rPr>
                <w:sz w:val="18"/>
                <w:szCs w:val="18"/>
              </w:rPr>
            </w:pPr>
            <w:r w:rsidRPr="00001BCA">
              <w:rPr>
                <w:sz w:val="18"/>
                <w:szCs w:val="18"/>
              </w:rPr>
              <w:t xml:space="preserve">On Rel.17 unified TCI framework, for intra-cell beam indication, the following DL RSs can share the same indicated Rel-17 TCI state as UE-dedicated reception on PDSCH and for UE-dedicated reception on all or subset of CORESETs in a CC: </w:t>
            </w:r>
          </w:p>
          <w:p w14:paraId="129CECB6" w14:textId="77777777" w:rsidR="00C56F43" w:rsidRPr="00001BCA" w:rsidRDefault="00C56F43" w:rsidP="00C56F43">
            <w:pPr>
              <w:pStyle w:val="ListParagraph"/>
              <w:numPr>
                <w:ilvl w:val="0"/>
                <w:numId w:val="10"/>
              </w:numPr>
              <w:snapToGrid w:val="0"/>
              <w:ind w:leftChars="0"/>
              <w:rPr>
                <w:rFonts w:ascii="Times New Roman" w:eastAsia="Malgun Gothic" w:hAnsi="Times New Roman" w:cs="Times New Roman"/>
                <w:sz w:val="18"/>
                <w:szCs w:val="18"/>
              </w:rPr>
            </w:pPr>
            <w:r w:rsidRPr="00001BCA">
              <w:rPr>
                <w:rFonts w:ascii="Times New Roman" w:hAnsi="Times New Roman" w:cs="Times New Roman"/>
                <w:sz w:val="18"/>
                <w:szCs w:val="18"/>
              </w:rPr>
              <w:t xml:space="preserve">DMRS(s) associated with non-UE-dedicated reception on CORESET(s) and </w:t>
            </w:r>
            <w:r w:rsidRPr="00001BCA">
              <w:rPr>
                <w:rFonts w:ascii="Times New Roman" w:eastAsia="DengXian" w:hAnsi="Times New Roman" w:cs="Times New Roman"/>
                <w:sz w:val="18"/>
                <w:szCs w:val="18"/>
                <w:lang w:eastAsia="zh-CN"/>
              </w:rPr>
              <w:t>the associated PDSCH</w:t>
            </w:r>
            <w:r w:rsidRPr="00001BCA">
              <w:rPr>
                <w:rFonts w:ascii="Times New Roman" w:hAnsi="Times New Roman" w:cs="Times New Roman"/>
                <w:sz w:val="18"/>
                <w:szCs w:val="18"/>
              </w:rPr>
              <w:t xml:space="preserve"> </w:t>
            </w:r>
          </w:p>
          <w:p w14:paraId="2931CB06" w14:textId="77777777" w:rsidR="00C56F43" w:rsidRPr="00001BCA" w:rsidRDefault="00C56F43" w:rsidP="00C56F43">
            <w:pPr>
              <w:pStyle w:val="ListParagraph"/>
              <w:numPr>
                <w:ilvl w:val="0"/>
                <w:numId w:val="10"/>
              </w:numPr>
              <w:snapToGrid w:val="0"/>
              <w:ind w:leftChars="0"/>
              <w:rPr>
                <w:rFonts w:ascii="Times New Roman" w:eastAsia="Malgun Gothic" w:hAnsi="Times New Roman" w:cs="Times New Roman"/>
                <w:sz w:val="18"/>
                <w:szCs w:val="18"/>
              </w:rPr>
            </w:pPr>
            <w:r w:rsidRPr="00001BCA">
              <w:rPr>
                <w:rFonts w:ascii="Times New Roman" w:eastAsia="Malgun Gothic" w:hAnsi="Times New Roman" w:cs="Times New Roman"/>
                <w:sz w:val="18"/>
                <w:szCs w:val="18"/>
              </w:rPr>
              <w:t xml:space="preserve">FFS (to be concluded in RAN1#106bis-e): </w:t>
            </w:r>
            <w:r w:rsidRPr="00001BCA">
              <w:rPr>
                <w:rFonts w:ascii="Times New Roman" w:hAnsi="Times New Roman" w:cs="Times New Roman"/>
                <w:sz w:val="18"/>
                <w:szCs w:val="18"/>
              </w:rPr>
              <w:t>Non-UE-dedicated PUCCH and non-UE-dedicated PUSCH</w:t>
            </w:r>
          </w:p>
          <w:p w14:paraId="764674E7" w14:textId="77777777" w:rsidR="00C56F43" w:rsidRPr="00001BCA" w:rsidRDefault="00C56F43" w:rsidP="00C56F43">
            <w:pPr>
              <w:snapToGrid w:val="0"/>
              <w:rPr>
                <w:rFonts w:eastAsia="Malgun Gothic"/>
                <w:sz w:val="18"/>
                <w:szCs w:val="18"/>
              </w:rPr>
            </w:pPr>
            <w:r w:rsidRPr="00001BCA">
              <w:rPr>
                <w:rFonts w:eastAsia="Malgun Gothic"/>
                <w:sz w:val="18"/>
                <w:szCs w:val="18"/>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7FFA5F3" w14:textId="77777777" w:rsidR="00C56F43" w:rsidRPr="00001BCA" w:rsidRDefault="00C56F43" w:rsidP="00C56F43">
            <w:pPr>
              <w:numPr>
                <w:ilvl w:val="0"/>
                <w:numId w:val="59"/>
              </w:numPr>
              <w:snapToGrid w:val="0"/>
              <w:rPr>
                <w:rFonts w:eastAsia="Malgun Gothic"/>
                <w:sz w:val="18"/>
                <w:szCs w:val="18"/>
              </w:rPr>
            </w:pPr>
            <w:r w:rsidRPr="00001BCA">
              <w:rPr>
                <w:rFonts w:eastAsia="Malgun Gothic"/>
                <w:sz w:val="18"/>
                <w:szCs w:val="18"/>
              </w:rPr>
              <w:t xml:space="preserve">The channels and signals as for intra-cell beam management except for non-UE dedicated channels/signals </w:t>
            </w:r>
          </w:p>
          <w:p w14:paraId="758E21A2" w14:textId="77777777" w:rsidR="00C56F43" w:rsidRPr="00001BCA" w:rsidRDefault="00C56F43" w:rsidP="00C56F43">
            <w:pPr>
              <w:numPr>
                <w:ilvl w:val="0"/>
                <w:numId w:val="59"/>
              </w:numPr>
              <w:snapToGrid w:val="0"/>
              <w:rPr>
                <w:rFonts w:eastAsia="Malgun Gothic"/>
                <w:sz w:val="18"/>
                <w:szCs w:val="18"/>
              </w:rPr>
            </w:pPr>
            <w:r w:rsidRPr="00001BCA">
              <w:rPr>
                <w:rFonts w:eastAsia="Malgun Gothic"/>
                <w:sz w:val="18"/>
                <w:szCs w:val="18"/>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68AD3331" w14:textId="77777777" w:rsidR="00C56F43" w:rsidRPr="00001BCA" w:rsidRDefault="00C56F43" w:rsidP="00C56F43">
            <w:pPr>
              <w:numPr>
                <w:ilvl w:val="1"/>
                <w:numId w:val="59"/>
              </w:numPr>
              <w:snapToGrid w:val="0"/>
              <w:rPr>
                <w:rFonts w:eastAsia="Malgun Gothic"/>
                <w:sz w:val="18"/>
                <w:szCs w:val="18"/>
              </w:rPr>
            </w:pPr>
            <w:r w:rsidRPr="00001BCA">
              <w:rPr>
                <w:rFonts w:eastAsia="Malgun Gothic"/>
                <w:sz w:val="18"/>
                <w:szCs w:val="18"/>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791DC01" w14:textId="77777777" w:rsidR="00C56F43" w:rsidRPr="00001BCA" w:rsidRDefault="00C56F43" w:rsidP="00C56F43">
            <w:pPr>
              <w:numPr>
                <w:ilvl w:val="0"/>
                <w:numId w:val="59"/>
              </w:numPr>
              <w:snapToGrid w:val="0"/>
              <w:rPr>
                <w:rFonts w:eastAsia="Malgun Gothic"/>
                <w:sz w:val="18"/>
                <w:szCs w:val="18"/>
              </w:rPr>
            </w:pPr>
            <w:r w:rsidRPr="00001BCA">
              <w:rPr>
                <w:rFonts w:eastAsia="Malgun Gothic"/>
                <w:sz w:val="18"/>
                <w:szCs w:val="18"/>
              </w:rPr>
              <w:t>For inter-cell beam management, the support of more than one Rel-17 active DL TCI state / QCL per band is a UE capability</w:t>
            </w:r>
          </w:p>
          <w:p w14:paraId="11B20036" w14:textId="77777777" w:rsidR="00C56F43" w:rsidRPr="00001BCA" w:rsidRDefault="00C56F43" w:rsidP="00C56F43">
            <w:pPr>
              <w:pStyle w:val="ListParagraph"/>
              <w:numPr>
                <w:ilvl w:val="1"/>
                <w:numId w:val="59"/>
              </w:numPr>
              <w:snapToGrid w:val="0"/>
              <w:ind w:leftChars="0"/>
              <w:rPr>
                <w:rFonts w:ascii="Times New Roman" w:eastAsia="Malgun Gothic" w:hAnsi="Times New Roman" w:cs="Times New Roman"/>
                <w:sz w:val="18"/>
                <w:szCs w:val="18"/>
              </w:rPr>
            </w:pPr>
            <w:r w:rsidRPr="00001BCA">
              <w:rPr>
                <w:rFonts w:ascii="Times New Roman" w:eastAsia="Malgun Gothic" w:hAnsi="Times New Roman" w:cs="Times New Roman"/>
                <w:sz w:val="18"/>
                <w:szCs w:val="18"/>
              </w:rPr>
              <w:t>If UE does not support such capability, MAC-CE based beam indication (activation of one TCI state) can be used to switch between two different DL receptions along two different beams</w:t>
            </w:r>
          </w:p>
          <w:p w14:paraId="74BED608" w14:textId="77777777" w:rsidR="00C56F43" w:rsidRPr="00001BCA" w:rsidRDefault="00C56F43" w:rsidP="00C56F43">
            <w:pPr>
              <w:numPr>
                <w:ilvl w:val="2"/>
                <w:numId w:val="59"/>
              </w:numPr>
              <w:snapToGrid w:val="0"/>
              <w:rPr>
                <w:rFonts w:eastAsia="Malgun Gothic"/>
                <w:sz w:val="18"/>
                <w:szCs w:val="18"/>
              </w:rPr>
            </w:pPr>
            <w:r w:rsidRPr="00001BCA">
              <w:rPr>
                <w:rFonts w:eastAsia="Malgun Gothic"/>
                <w:sz w:val="18"/>
                <w:szCs w:val="18"/>
              </w:rPr>
              <w:t>Note: The serving cell does not change when beam selection is done</w:t>
            </w:r>
          </w:p>
          <w:p w14:paraId="5825D682" w14:textId="77777777" w:rsidR="00C56F43" w:rsidRPr="00001BCA" w:rsidRDefault="00C56F43" w:rsidP="00C56F43">
            <w:pPr>
              <w:pStyle w:val="ListParagraph"/>
              <w:numPr>
                <w:ilvl w:val="1"/>
                <w:numId w:val="59"/>
              </w:numPr>
              <w:snapToGrid w:val="0"/>
              <w:ind w:leftChars="0"/>
              <w:rPr>
                <w:rFonts w:ascii="Times New Roman" w:eastAsia="Malgun Gothic" w:hAnsi="Times New Roman" w:cs="Times New Roman"/>
                <w:sz w:val="18"/>
                <w:szCs w:val="18"/>
              </w:rPr>
            </w:pPr>
            <w:r w:rsidRPr="00001BCA">
              <w:rPr>
                <w:rFonts w:ascii="Times New Roman" w:eastAsia="Malgun Gothic" w:hAnsi="Times New Roman" w:cs="Times New Roman"/>
                <w:sz w:val="18"/>
                <w:szCs w:val="18"/>
              </w:rPr>
              <w:t xml:space="preserve">Note: This does not preclude the possibility for TA update on non-serving cell </w:t>
            </w:r>
          </w:p>
          <w:p w14:paraId="259252A6" w14:textId="7BC5C28F" w:rsidR="00C56F43" w:rsidRDefault="00C56F43" w:rsidP="00001BCA">
            <w:pPr>
              <w:pStyle w:val="ListParagraph"/>
              <w:numPr>
                <w:ilvl w:val="1"/>
                <w:numId w:val="59"/>
              </w:numPr>
              <w:snapToGrid w:val="0"/>
              <w:ind w:leftChars="0"/>
            </w:pPr>
            <w:r w:rsidRPr="00001BCA">
              <w:rPr>
                <w:rFonts w:ascii="Times New Roman" w:eastAsia="Malgun Gothic" w:hAnsi="Times New Roman" w:cs="Times New Roman"/>
                <w:sz w:val="18"/>
                <w:szCs w:val="18"/>
              </w:rPr>
              <w:t>FFS: For a UE supporting Rel.17 beam indication feature for inter-cell beam management, up to 5 CORESETs can be configured per BWP</w:t>
            </w:r>
          </w:p>
        </w:tc>
      </w:tr>
    </w:tbl>
    <w:p w14:paraId="41D395AE" w14:textId="13C6D1BA" w:rsidR="00C56F43" w:rsidRDefault="003E68B0" w:rsidP="00795ADD">
      <w:pPr>
        <w:pStyle w:val="00Text"/>
      </w:pPr>
      <w:r>
        <w:t xml:space="preserve">One key FFS point is what are the ‘non-UE dedicated channels/signals’ where the Rel-17 indicated TCI state shall not be applied. </w:t>
      </w:r>
      <w:r w:rsidR="006D4655">
        <w:t xml:space="preserve"> For that, we can consider each PDCCH separately:</w:t>
      </w:r>
    </w:p>
    <w:p w14:paraId="4D687AA7" w14:textId="361D05A7" w:rsidR="006D4655" w:rsidRDefault="0077632B" w:rsidP="009161E5">
      <w:pPr>
        <w:pStyle w:val="00Text"/>
        <w:numPr>
          <w:ilvl w:val="0"/>
          <w:numId w:val="60"/>
        </w:numPr>
      </w:pPr>
      <w:r>
        <w:t>CORESET#0: The Type0/0A/2-PDCCH CSS set can be associated with CORESET#0. For the search space #0, the UE determines the PDCCH monitoring occasions associated with the serving cell SSB that is associated with the CSI-RS resource configured as QCL source in the TCI state indicated to the CORESET#0. Therefore, a TCI state associated with non-serving cell SSB can not be applied to CORESET#0.</w:t>
      </w:r>
    </w:p>
    <w:p w14:paraId="126EADFD" w14:textId="566CDF38" w:rsidR="0077632B" w:rsidRDefault="0077632B" w:rsidP="009161E5">
      <w:pPr>
        <w:pStyle w:val="00Text"/>
        <w:numPr>
          <w:ilvl w:val="0"/>
          <w:numId w:val="60"/>
        </w:numPr>
      </w:pPr>
      <w:r>
        <w:t>Type3-PDCCH CSS set: In the PDCCH in Type3-PDCCH CSS set, the UE can be configured to monitor C-RNTI and MCS-C-RNTI in primary cell.  Therefore, the rel-17 indicated TCI state shall be applied to PDCCH of Type3-PDCCH CSS set and associated PDSCHs in primary cell. But in SCell, the indicated TCI state shall not be applied to PDCCH of Type3-PDCCH CSS set.</w:t>
      </w:r>
    </w:p>
    <w:p w14:paraId="29BC4C46" w14:textId="79816B55" w:rsidR="0077632B" w:rsidRPr="00001BCA" w:rsidRDefault="0077632B" w:rsidP="009161E5">
      <w:pPr>
        <w:pStyle w:val="00Text"/>
        <w:rPr>
          <w:b/>
          <w:bCs/>
          <w:i/>
          <w:iCs/>
        </w:rPr>
      </w:pPr>
      <w:bookmarkStart w:id="5" w:name="_Hlk83583317"/>
      <w:r w:rsidRPr="00001BCA">
        <w:rPr>
          <w:b/>
          <w:bCs/>
          <w:i/>
          <w:iCs/>
        </w:rPr>
        <w:lastRenderedPageBreak/>
        <w:t xml:space="preserve">Proposal </w:t>
      </w:r>
      <w:r w:rsidR="008C3C7D">
        <w:rPr>
          <w:b/>
          <w:bCs/>
          <w:i/>
          <w:iCs/>
        </w:rPr>
        <w:t>1</w:t>
      </w:r>
      <w:r w:rsidR="009379B4">
        <w:rPr>
          <w:b/>
          <w:bCs/>
          <w:i/>
          <w:iCs/>
        </w:rPr>
        <w:t>0</w:t>
      </w:r>
      <w:r w:rsidRPr="00001BCA">
        <w:rPr>
          <w:b/>
          <w:bCs/>
          <w:i/>
          <w:iCs/>
        </w:rPr>
        <w:t xml:space="preserve">: In inter-cell beam management, the indicated TCI state associated with non-serving cell SSB shall </w:t>
      </w:r>
      <w:r w:rsidR="00120DE9">
        <w:rPr>
          <w:b/>
          <w:bCs/>
          <w:i/>
          <w:iCs/>
        </w:rPr>
        <w:t>NOT</w:t>
      </w:r>
      <w:r w:rsidR="00120DE9" w:rsidRPr="00001BCA">
        <w:rPr>
          <w:b/>
          <w:bCs/>
          <w:i/>
          <w:iCs/>
        </w:rPr>
        <w:t xml:space="preserve"> </w:t>
      </w:r>
      <w:r w:rsidRPr="00001BCA">
        <w:rPr>
          <w:b/>
          <w:bCs/>
          <w:i/>
          <w:iCs/>
        </w:rPr>
        <w:t>be applied to:</w:t>
      </w:r>
    </w:p>
    <w:p w14:paraId="32B90ADB" w14:textId="1E4168AD" w:rsidR="0077632B" w:rsidRPr="00001BCA" w:rsidRDefault="0077632B" w:rsidP="009161E5">
      <w:pPr>
        <w:pStyle w:val="00Text"/>
        <w:numPr>
          <w:ilvl w:val="0"/>
          <w:numId w:val="61"/>
        </w:numPr>
        <w:rPr>
          <w:b/>
          <w:bCs/>
          <w:i/>
          <w:iCs/>
        </w:rPr>
      </w:pPr>
      <w:r w:rsidRPr="00001BCA">
        <w:rPr>
          <w:b/>
          <w:bCs/>
          <w:i/>
          <w:iCs/>
        </w:rPr>
        <w:t>The PDCCH associated CORESET#0 and corresponding PDSCH.</w:t>
      </w:r>
    </w:p>
    <w:p w14:paraId="4E5965ED" w14:textId="16A73129" w:rsidR="0077632B" w:rsidRPr="00001BCA" w:rsidRDefault="0077632B" w:rsidP="00001BCA">
      <w:pPr>
        <w:pStyle w:val="00Text"/>
        <w:numPr>
          <w:ilvl w:val="0"/>
          <w:numId w:val="61"/>
        </w:numPr>
        <w:rPr>
          <w:b/>
          <w:bCs/>
          <w:i/>
          <w:iCs/>
        </w:rPr>
      </w:pPr>
      <w:r w:rsidRPr="00001BCA">
        <w:rPr>
          <w:b/>
          <w:bCs/>
          <w:i/>
          <w:iCs/>
        </w:rPr>
        <w:t xml:space="preserve">The PDCCH in Type3-PDCCH CSS set </w:t>
      </w:r>
      <w:r w:rsidR="003F5AB9">
        <w:rPr>
          <w:b/>
          <w:bCs/>
          <w:i/>
          <w:iCs/>
        </w:rPr>
        <w:t xml:space="preserve">in SCell </w:t>
      </w:r>
      <w:r w:rsidRPr="00001BCA">
        <w:rPr>
          <w:b/>
          <w:bCs/>
          <w:i/>
          <w:iCs/>
        </w:rPr>
        <w:t>and corresponding PDSCH.</w:t>
      </w:r>
    </w:p>
    <w:bookmarkEnd w:id="5"/>
    <w:p w14:paraId="4ACE09EC" w14:textId="39DEBDF2" w:rsidR="0040060A" w:rsidRDefault="0040060A" w:rsidP="00795ADD">
      <w:pPr>
        <w:pStyle w:val="00Text"/>
      </w:pPr>
      <w:r>
        <w:t xml:space="preserve">The issue of number of PCIs different from the serving cell configured in RRC for beam measurement and reporting was discussed and the following agreement was reached: </w:t>
      </w:r>
    </w:p>
    <w:tbl>
      <w:tblPr>
        <w:tblStyle w:val="TableGrid"/>
        <w:tblW w:w="0" w:type="auto"/>
        <w:tblLook w:val="04A0" w:firstRow="1" w:lastRow="0" w:firstColumn="1" w:lastColumn="0" w:noHBand="0" w:noVBand="1"/>
      </w:tblPr>
      <w:tblGrid>
        <w:gridCol w:w="9062"/>
      </w:tblGrid>
      <w:tr w:rsidR="0040060A" w14:paraId="6D16355B" w14:textId="77777777" w:rsidTr="0040060A">
        <w:tc>
          <w:tcPr>
            <w:tcW w:w="9062" w:type="dxa"/>
          </w:tcPr>
          <w:p w14:paraId="3FA1F3EC" w14:textId="231317A8" w:rsidR="009417FC" w:rsidRPr="00B837FF" w:rsidRDefault="009417FC" w:rsidP="009417FC">
            <w:pPr>
              <w:snapToGrid w:val="0"/>
              <w:jc w:val="both"/>
              <w:rPr>
                <w:b/>
                <w:highlight w:val="green"/>
              </w:rPr>
            </w:pPr>
            <w:r w:rsidRPr="00B837FF">
              <w:rPr>
                <w:b/>
                <w:highlight w:val="green"/>
              </w:rPr>
              <w:t xml:space="preserve"> Agreement</w:t>
            </w:r>
          </w:p>
          <w:p w14:paraId="43176F37" w14:textId="77777777" w:rsidR="009417FC" w:rsidRDefault="009417FC" w:rsidP="009417FC">
            <w:pPr>
              <w:snapToGrid w:val="0"/>
              <w:jc w:val="both"/>
              <w:rPr>
                <w:color w:val="000000"/>
                <w:szCs w:val="18"/>
              </w:rPr>
            </w:pPr>
            <w:r w:rsidRPr="00A70D88">
              <w:t>On Rel-17 enhancements for inter-cell beam management and inter-cell mTRP,</w:t>
            </w:r>
            <w:r w:rsidRPr="00A70D88">
              <w:rPr>
                <w:rFonts w:eastAsia="SimSun"/>
                <w:sz w:val="22"/>
                <w:szCs w:val="20"/>
              </w:rPr>
              <w:t xml:space="preserve"> </w:t>
            </w:r>
            <w:r w:rsidRPr="00A70D88">
              <w:rPr>
                <w:color w:val="000000"/>
                <w:szCs w:val="18"/>
              </w:rPr>
              <w:t>N</w:t>
            </w:r>
            <w:r w:rsidRPr="00A70D88">
              <w:rPr>
                <w:color w:val="000000"/>
                <w:szCs w:val="18"/>
                <w:vertAlign w:val="subscript"/>
              </w:rPr>
              <w:t>MAX</w:t>
            </w:r>
            <w:r w:rsidRPr="00A70D88">
              <w:rPr>
                <w:color w:val="000000"/>
                <w:szCs w:val="20"/>
                <w:vertAlign w:val="subscript"/>
              </w:rPr>
              <w:t xml:space="preserve"> </w:t>
            </w:r>
            <w:r w:rsidRPr="00A70D88">
              <w:rPr>
                <w:color w:val="000000"/>
                <w:szCs w:val="20"/>
              </w:rPr>
              <w:t>(</w:t>
            </w:r>
            <w:r w:rsidRPr="00A70D88">
              <w:rPr>
                <w:color w:val="000000"/>
                <w:szCs w:val="18"/>
              </w:rPr>
              <w:t>the maximum number of RRC-configured PCIs different from the serving cell for measurement/reporting</w:t>
            </w:r>
            <w:r w:rsidRPr="00A70D88">
              <w:rPr>
                <w:color w:val="000000"/>
                <w:szCs w:val="20"/>
              </w:rPr>
              <w:t>) is up to UE capability with candidate values of at least 1 and X.</w:t>
            </w:r>
          </w:p>
          <w:p w14:paraId="75125995" w14:textId="77777777" w:rsidR="009417FC" w:rsidRDefault="009417FC" w:rsidP="009417FC">
            <w:pPr>
              <w:numPr>
                <w:ilvl w:val="0"/>
                <w:numId w:val="68"/>
              </w:numPr>
              <w:snapToGrid w:val="0"/>
              <w:jc w:val="both"/>
              <w:rPr>
                <w:color w:val="000000"/>
                <w:szCs w:val="20"/>
              </w:rPr>
            </w:pPr>
            <w:r>
              <w:rPr>
                <w:color w:val="000000"/>
                <w:szCs w:val="20"/>
              </w:rPr>
              <w:t>Note: The upper bound for X as agreed in AI 8.1.2.2</w:t>
            </w:r>
          </w:p>
          <w:p w14:paraId="5C03A9B4" w14:textId="77777777" w:rsidR="009417FC" w:rsidRPr="00B37397" w:rsidRDefault="009417FC" w:rsidP="009417FC">
            <w:pPr>
              <w:numPr>
                <w:ilvl w:val="0"/>
                <w:numId w:val="68"/>
              </w:numPr>
              <w:snapToGrid w:val="0"/>
              <w:jc w:val="both"/>
              <w:rPr>
                <w:szCs w:val="20"/>
              </w:rPr>
            </w:pPr>
            <w:r>
              <w:rPr>
                <w:color w:val="000000"/>
                <w:szCs w:val="20"/>
              </w:rPr>
              <w:t>When N</w:t>
            </w:r>
            <w:r>
              <w:rPr>
                <w:color w:val="000000"/>
                <w:szCs w:val="20"/>
                <w:vertAlign w:val="subscript"/>
              </w:rPr>
              <w:t>MAX </w:t>
            </w:r>
            <w:r>
              <w:rPr>
                <w:color w:val="000000"/>
                <w:szCs w:val="20"/>
              </w:rPr>
              <w:t xml:space="preserve">is configured to be X, the UE is RRC-configured for L1-RSRP measurement with up to X PCIs different from </w:t>
            </w:r>
            <w:r w:rsidRPr="00B37397">
              <w:rPr>
                <w:szCs w:val="20"/>
              </w:rPr>
              <w:t>the serving cell PCI </w:t>
            </w:r>
          </w:p>
          <w:p w14:paraId="139252E8" w14:textId="77777777" w:rsidR="009417FC" w:rsidRDefault="009417FC" w:rsidP="009417FC">
            <w:pPr>
              <w:numPr>
                <w:ilvl w:val="0"/>
                <w:numId w:val="68"/>
              </w:numPr>
              <w:snapToGrid w:val="0"/>
              <w:jc w:val="both"/>
              <w:rPr>
                <w:color w:val="000000"/>
                <w:szCs w:val="20"/>
              </w:rPr>
            </w:pPr>
            <w:r>
              <w:rPr>
                <w:color w:val="000000"/>
                <w:szCs w:val="20"/>
              </w:rPr>
              <w:t>Additional restriction may be added by RAN4</w:t>
            </w:r>
          </w:p>
          <w:p w14:paraId="477BA282" w14:textId="32A3CDA3" w:rsidR="0040060A" w:rsidRDefault="009417FC" w:rsidP="009D462B">
            <w:pPr>
              <w:numPr>
                <w:ilvl w:val="0"/>
                <w:numId w:val="68"/>
              </w:numPr>
              <w:snapToGrid w:val="0"/>
              <w:jc w:val="both"/>
            </w:pPr>
            <w:r w:rsidRPr="00CF03B5">
              <w:rPr>
                <w:szCs w:val="18"/>
              </w:rPr>
              <w:t xml:space="preserve">FFS: UE measurement behaviour when SSBs associated with different PCIs overlap, including whether this is up to UE capability </w:t>
            </w:r>
          </w:p>
        </w:tc>
      </w:tr>
    </w:tbl>
    <w:p w14:paraId="15A0ECB4" w14:textId="0B1792BD" w:rsidR="00575608" w:rsidRDefault="005E5F94" w:rsidP="009D462B">
      <w:pPr>
        <w:pStyle w:val="00Text"/>
      </w:pPr>
      <w:r>
        <w:t xml:space="preserve">One FFS point is how to deal with the overlapping SSBs of different PCIs.  </w:t>
      </w:r>
      <w:r w:rsidR="0040060A">
        <w:t xml:space="preserve"> </w:t>
      </w:r>
      <w:r>
        <w:t>From th</w:t>
      </w:r>
      <w:r>
        <w:rPr>
          <w:rFonts w:hint="eastAsia"/>
        </w:rPr>
        <w:t>e</w:t>
      </w:r>
      <w:r>
        <w:t xml:space="preserve"> perspective of one UE, it is not desired to be requested to measure overlapping SSBs of different </w:t>
      </w:r>
      <w:r>
        <w:rPr>
          <w:rFonts w:hint="eastAsia"/>
        </w:rPr>
        <w:t>cells</w:t>
      </w:r>
      <w:r>
        <w:t xml:space="preserve"> </w:t>
      </w:r>
      <w:r>
        <w:rPr>
          <w:rFonts w:hint="eastAsia"/>
        </w:rPr>
        <w:t>at</w:t>
      </w:r>
      <w:r>
        <w:t xml:space="preserve"> the same time. That could significantly increase the UE complexity. Furthermore, requesting UE to measure SSBs of multiple cells does not have clear technical motivation in practical deployment. The non-serving cell involved in inter-cell beam management and inter-cell mTRP operation shall be determined based on L3 measurement since such a decision shall be based on long-term measurement, not L1 measurement.</w:t>
      </w:r>
      <w:r w:rsidR="00C616D3">
        <w:t xml:space="preserve"> On the other hand, L1-RSRP measurement is mainly used to determine the ‘best’ TCI for beam switch. Therefore, from the perspective of both UE and system operation, it is not expected to measure SSBs of different PCIs at the same time.</w:t>
      </w:r>
      <w:r>
        <w:t xml:space="preserve"> </w:t>
      </w:r>
    </w:p>
    <w:p w14:paraId="4E23781E" w14:textId="0F6DE548" w:rsidR="00575608" w:rsidRPr="00001BCA" w:rsidRDefault="00575608" w:rsidP="00575608">
      <w:pPr>
        <w:pStyle w:val="00Text"/>
        <w:rPr>
          <w:b/>
          <w:bCs/>
          <w:i/>
          <w:iCs/>
        </w:rPr>
      </w:pPr>
      <w:bookmarkStart w:id="6" w:name="_Hlk83583327"/>
      <w:r w:rsidRPr="00001BCA">
        <w:rPr>
          <w:b/>
          <w:bCs/>
          <w:i/>
          <w:iCs/>
        </w:rPr>
        <w:t xml:space="preserve">Proposal </w:t>
      </w:r>
      <w:r w:rsidR="008C3C7D">
        <w:rPr>
          <w:b/>
          <w:bCs/>
          <w:i/>
          <w:iCs/>
        </w:rPr>
        <w:t>1</w:t>
      </w:r>
      <w:r w:rsidR="009379B4">
        <w:rPr>
          <w:b/>
          <w:bCs/>
          <w:i/>
          <w:iCs/>
        </w:rPr>
        <w:t>1</w:t>
      </w:r>
      <w:r w:rsidRPr="00001BCA">
        <w:rPr>
          <w:b/>
          <w:bCs/>
          <w:i/>
          <w:iCs/>
        </w:rPr>
        <w:t xml:space="preserve">: </w:t>
      </w:r>
      <w:r w:rsidR="003A7038">
        <w:rPr>
          <w:rFonts w:cs="Times"/>
          <w:b/>
          <w:bCs/>
          <w:i/>
          <w:iCs/>
          <w:szCs w:val="22"/>
        </w:rPr>
        <w:t xml:space="preserve">The UE does not expect to </w:t>
      </w:r>
      <w:r w:rsidR="005E5F94">
        <w:rPr>
          <w:rFonts w:cs="Times"/>
          <w:b/>
          <w:bCs/>
          <w:i/>
          <w:iCs/>
          <w:szCs w:val="22"/>
        </w:rPr>
        <w:t xml:space="preserve">be configured to </w:t>
      </w:r>
      <w:r w:rsidR="003A7038">
        <w:rPr>
          <w:rFonts w:cs="Times"/>
          <w:b/>
          <w:bCs/>
          <w:i/>
          <w:iCs/>
          <w:szCs w:val="22"/>
        </w:rPr>
        <w:t xml:space="preserve">measure </w:t>
      </w:r>
      <w:r w:rsidR="005E5F94">
        <w:rPr>
          <w:rFonts w:cs="Times"/>
          <w:b/>
          <w:bCs/>
          <w:i/>
          <w:iCs/>
          <w:szCs w:val="22"/>
        </w:rPr>
        <w:t xml:space="preserve">two </w:t>
      </w:r>
      <w:r w:rsidR="003A7038">
        <w:rPr>
          <w:rFonts w:cs="Times"/>
          <w:b/>
          <w:bCs/>
          <w:i/>
          <w:iCs/>
          <w:szCs w:val="22"/>
        </w:rPr>
        <w:t>overlapping SSBs associated with different PCIs.</w:t>
      </w:r>
    </w:p>
    <w:p w14:paraId="27050966" w14:textId="082DFEB1" w:rsidR="009161E5" w:rsidRDefault="00B93CE0" w:rsidP="009161E5">
      <w:pPr>
        <w:pStyle w:val="00Text"/>
      </w:pPr>
      <w:bookmarkStart w:id="7" w:name="_Hlk53586017"/>
      <w:bookmarkStart w:id="8" w:name="_Hlk78827408"/>
      <w:bookmarkEnd w:id="6"/>
      <w:r>
        <w:t>Regarding the reporting contents for inter-cell beam measurement and reporting, we had the following agreement with two Alts:</w:t>
      </w:r>
    </w:p>
    <w:tbl>
      <w:tblPr>
        <w:tblStyle w:val="TableGrid"/>
        <w:tblW w:w="0" w:type="auto"/>
        <w:tblLook w:val="04A0" w:firstRow="1" w:lastRow="0" w:firstColumn="1" w:lastColumn="0" w:noHBand="0" w:noVBand="1"/>
      </w:tblPr>
      <w:tblGrid>
        <w:gridCol w:w="9062"/>
      </w:tblGrid>
      <w:tr w:rsidR="009161E5" w14:paraId="32075B6A" w14:textId="77777777" w:rsidTr="009161E5">
        <w:tc>
          <w:tcPr>
            <w:tcW w:w="9062" w:type="dxa"/>
          </w:tcPr>
          <w:p w14:paraId="508EE81A" w14:textId="0F681395" w:rsidR="00B93CE0" w:rsidRPr="009D462B" w:rsidRDefault="00B93CE0" w:rsidP="00B93CE0">
            <w:pPr>
              <w:snapToGrid w:val="0"/>
              <w:rPr>
                <w:szCs w:val="20"/>
                <w:highlight w:val="green"/>
              </w:rPr>
            </w:pPr>
            <w:r w:rsidRPr="00080283">
              <w:rPr>
                <w:b/>
                <w:szCs w:val="20"/>
                <w:highlight w:val="green"/>
              </w:rPr>
              <w:t xml:space="preserve"> </w:t>
            </w:r>
            <w:r w:rsidRPr="008027E1">
              <w:rPr>
                <w:b/>
                <w:szCs w:val="20"/>
                <w:highlight w:val="green"/>
              </w:rPr>
              <w:t>Agreement</w:t>
            </w:r>
          </w:p>
          <w:p w14:paraId="156B1D2B" w14:textId="77777777" w:rsidR="00B93CE0" w:rsidRPr="009D462B" w:rsidRDefault="00B93CE0" w:rsidP="00B93CE0">
            <w:pPr>
              <w:rPr>
                <w:rFonts w:eastAsia="Malgun Gothic"/>
                <w:szCs w:val="20"/>
                <w:lang w:eastAsia="ko-KR"/>
              </w:rPr>
            </w:pPr>
            <w:r w:rsidRPr="009D462B">
              <w:rPr>
                <w:szCs w:val="20"/>
              </w:rPr>
              <w:t>On Rel-17 enhancements for inter-cell beam management and inter-cell mTRP, in RAN1#107-e, select one of the following alternatives:</w:t>
            </w:r>
          </w:p>
          <w:p w14:paraId="494AA76E" w14:textId="77777777" w:rsidR="00B93CE0" w:rsidRPr="009D462B" w:rsidRDefault="00B93CE0" w:rsidP="00B93CE0">
            <w:pPr>
              <w:pStyle w:val="ListParagraph"/>
              <w:numPr>
                <w:ilvl w:val="0"/>
                <w:numId w:val="66"/>
              </w:numPr>
              <w:ind w:leftChars="0"/>
              <w:rPr>
                <w:rFonts w:ascii="Times New Roman" w:hAnsi="Times New Roman" w:cs="Times New Roman"/>
                <w:sz w:val="20"/>
                <w:szCs w:val="20"/>
              </w:rPr>
            </w:pPr>
            <w:r w:rsidRPr="009D462B">
              <w:rPr>
                <w:rFonts w:ascii="Times New Roman" w:hAnsi="Times New Roman" w:cs="Times New Roman"/>
                <w:bCs/>
                <w:sz w:val="20"/>
                <w:szCs w:val="20"/>
              </w:rPr>
              <w:t>Alt1.</w:t>
            </w:r>
            <w:r w:rsidRPr="009D462B">
              <w:rPr>
                <w:rFonts w:ascii="Times New Roman" w:hAnsi="Times New Roman" w:cs="Times New Roman"/>
                <w:sz w:val="20"/>
                <w:szCs w:val="20"/>
              </w:rPr>
              <w:t xml:space="preserve"> Rel-15 L1-RSRP reporting format is reused for all L1-RSRP(s) in one L1-RSRP reporting instance, i.e. for K&gt;1, (K-1) 4-bit differential L1-RSRP(s) calculated relative to the reference (absolute) 7-bit L1-RSRP</w:t>
            </w:r>
          </w:p>
          <w:p w14:paraId="358E600B" w14:textId="0AE1E4D4" w:rsidR="009161E5" w:rsidRDefault="00B93CE0" w:rsidP="009D462B">
            <w:pPr>
              <w:pStyle w:val="ListParagraph"/>
              <w:numPr>
                <w:ilvl w:val="0"/>
                <w:numId w:val="66"/>
              </w:numPr>
              <w:ind w:leftChars="0"/>
            </w:pPr>
            <w:r w:rsidRPr="009D462B">
              <w:rPr>
                <w:rFonts w:ascii="Times New Roman" w:hAnsi="Times New Roman" w:cs="Times New Roman"/>
                <w:bCs/>
                <w:sz w:val="20"/>
                <w:szCs w:val="20"/>
              </w:rPr>
              <w:t>Alt2</w:t>
            </w:r>
            <w:r w:rsidRPr="009D462B">
              <w:rPr>
                <w:rFonts w:ascii="Times New Roman" w:hAnsi="Times New Roman" w:cs="Times New Roman"/>
                <w:sz w:val="20"/>
                <w:szCs w:val="20"/>
              </w:rPr>
              <w:t>. Differential L1-RSRP per PCI is used:</w:t>
            </w:r>
            <w:r w:rsidRPr="009D462B">
              <w:rPr>
                <w:rFonts w:ascii="Times New Roman" w:hAnsi="Times New Roman" w:cs="Times New Roman"/>
                <w:bCs/>
                <w:sz w:val="20"/>
                <w:szCs w:val="20"/>
              </w:rPr>
              <w:t xml:space="preserve"> </w:t>
            </w:r>
            <w:r w:rsidRPr="009D462B">
              <w:rPr>
                <w:rFonts w:ascii="Times New Roman" w:hAnsi="Times New Roman" w:cs="Times New Roman"/>
                <w:sz w:val="20"/>
                <w:szCs w:val="20"/>
              </w:rPr>
              <w:t>When more than one L1-RSRP(s) associated with a same PCI are reported, Rel-15 L1-RSRP reporting format is used for L1-RSRP(s) associated with the same PCI , i.e. 4-bit differential L1-RSRP (s) calculated relative to the PCI -specific reference (absolute) 7-bit L1-RSRP</w:t>
            </w:r>
            <w:r w:rsidRPr="0072343E">
              <w:t xml:space="preserve"> </w:t>
            </w:r>
          </w:p>
        </w:tc>
      </w:tr>
    </w:tbl>
    <w:p w14:paraId="203D06DC" w14:textId="78DDE678" w:rsidR="00B93CE0" w:rsidRDefault="00B93CE0" w:rsidP="009161E5">
      <w:pPr>
        <w:pStyle w:val="00Text"/>
      </w:pPr>
      <w:r>
        <w:t>Alt1 is preferred. The issues of Alt2 are:</w:t>
      </w:r>
    </w:p>
    <w:p w14:paraId="73DF74E3" w14:textId="09E6F8C2" w:rsidR="00B93CE0" w:rsidRDefault="00B93CE0" w:rsidP="00B93CE0">
      <w:pPr>
        <w:pStyle w:val="00Text"/>
        <w:numPr>
          <w:ilvl w:val="0"/>
          <w:numId w:val="67"/>
        </w:numPr>
      </w:pPr>
      <w:r>
        <w:t>Alt2 seems to assume that the SSBRIs reported in one same reporting instance would have RSRP difference more than 30dB</w:t>
      </w:r>
      <w:r>
        <w:rPr>
          <w:rFonts w:hint="eastAsia"/>
        </w:rPr>
        <w:t>.</w:t>
      </w:r>
      <w:r>
        <w:t xml:space="preserve"> That would not happen. If </w:t>
      </w:r>
      <w:r>
        <w:rPr>
          <w:rFonts w:hint="eastAsia"/>
        </w:rPr>
        <w:t>t</w:t>
      </w:r>
      <w:r>
        <w:t>he RSRP of one SSB is &gt; 30dB less than that of one SSB selected for beam reporting, that SSB would not be a valid RS to be selected in beam reporting.</w:t>
      </w:r>
    </w:p>
    <w:p w14:paraId="7CE1F0D5" w14:textId="2261606F" w:rsidR="00B93CE0" w:rsidRDefault="00B93CE0" w:rsidP="00B93CE0">
      <w:pPr>
        <w:pStyle w:val="00Text"/>
        <w:numPr>
          <w:ilvl w:val="0"/>
          <w:numId w:val="67"/>
        </w:numPr>
      </w:pPr>
      <w:r>
        <w:t>Using differential L1-RSRP per PCI would only increase the UCI overhead but with no system beneficial.</w:t>
      </w:r>
    </w:p>
    <w:p w14:paraId="0466AFD9" w14:textId="756AA589" w:rsidR="00B93CE0" w:rsidRDefault="00B93CE0" w:rsidP="009D462B">
      <w:pPr>
        <w:pStyle w:val="00Text"/>
        <w:numPr>
          <w:ilvl w:val="0"/>
          <w:numId w:val="67"/>
        </w:numPr>
      </w:pPr>
      <w:r>
        <w:t xml:space="preserve">The problem that Alt2 intends to address actually can not be resolved by the Alt2. The problem Alt2 seems to address is related with the UL beam selection. And the solution proposed in Alt2 </w:t>
      </w:r>
      <w:r>
        <w:lastRenderedPageBreak/>
        <w:t>only change the reporting format, which does not resolve anything related with UL beam selection.</w:t>
      </w:r>
    </w:p>
    <w:p w14:paraId="7EFFD0FF" w14:textId="26C3F281" w:rsidR="009161E5" w:rsidRDefault="00B93CE0" w:rsidP="009161E5">
      <w:pPr>
        <w:pStyle w:val="00Text"/>
      </w:pPr>
      <w:r>
        <w:t>Therefore, Alt1 is preferred.</w:t>
      </w:r>
    </w:p>
    <w:p w14:paraId="7B241313" w14:textId="4C584964" w:rsidR="009161E5" w:rsidRPr="009161E5" w:rsidRDefault="009161E5" w:rsidP="00001BCA">
      <w:pPr>
        <w:pStyle w:val="00Text"/>
      </w:pPr>
      <w:bookmarkStart w:id="9" w:name="_Hlk83583343"/>
      <w:r w:rsidRPr="009161E5">
        <w:rPr>
          <w:b/>
          <w:bCs/>
          <w:i/>
          <w:iCs/>
        </w:rPr>
        <w:t>Proposal</w:t>
      </w:r>
      <w:r w:rsidR="00575608">
        <w:rPr>
          <w:b/>
          <w:bCs/>
          <w:i/>
          <w:iCs/>
        </w:rPr>
        <w:t xml:space="preserve"> </w:t>
      </w:r>
      <w:r w:rsidR="008C3C7D">
        <w:rPr>
          <w:b/>
          <w:bCs/>
          <w:i/>
          <w:iCs/>
        </w:rPr>
        <w:t>1</w:t>
      </w:r>
      <w:r w:rsidR="009379B4">
        <w:rPr>
          <w:b/>
          <w:bCs/>
          <w:i/>
          <w:iCs/>
        </w:rPr>
        <w:t>2:</w:t>
      </w:r>
      <w:r w:rsidRPr="009161E5">
        <w:rPr>
          <w:b/>
          <w:bCs/>
          <w:i/>
          <w:iCs/>
        </w:rPr>
        <w:t xml:space="preserve"> </w:t>
      </w:r>
      <w:r w:rsidR="00B93CE0">
        <w:rPr>
          <w:b/>
          <w:bCs/>
          <w:i/>
          <w:iCs/>
        </w:rPr>
        <w:t>Select Alt1 for L1-RSRP reporting format of inter-cell beam measurement and reporting.</w:t>
      </w:r>
    </w:p>
    <w:bookmarkEnd w:id="7"/>
    <w:bookmarkEnd w:id="8"/>
    <w:bookmarkEnd w:id="9"/>
    <w:p w14:paraId="7A44B7C4" w14:textId="0515E54D" w:rsidR="002C4DCC" w:rsidRDefault="00427938" w:rsidP="002C4DCC">
      <w:pPr>
        <w:pStyle w:val="01"/>
        <w:numPr>
          <w:ilvl w:val="0"/>
          <w:numId w:val="1"/>
        </w:numPr>
        <w:ind w:left="562" w:hanging="562"/>
      </w:pPr>
      <w:r>
        <w:t>Multi-</w:t>
      </w:r>
      <w:r w:rsidR="00054D5F">
        <w:t xml:space="preserve">Panel </w:t>
      </w:r>
      <w:r>
        <w:t>UE</w:t>
      </w:r>
    </w:p>
    <w:p w14:paraId="75AA9607" w14:textId="3F1601BD" w:rsidR="00294538" w:rsidRDefault="00E44FBA" w:rsidP="00962DD7">
      <w:pPr>
        <w:pStyle w:val="00Text"/>
      </w:pPr>
      <w:r>
        <w:t>For panel-selection of multi-panel UE, we made the following agreement</w:t>
      </w:r>
      <w:r w:rsidR="003D709F">
        <w:t xml:space="preserve"> </w:t>
      </w:r>
      <w:r w:rsidR="003D709F">
        <w:rPr>
          <w:rFonts w:hint="eastAsia"/>
        </w:rPr>
        <w:t>with</w:t>
      </w:r>
      <w:r w:rsidR="003D709F">
        <w:t xml:space="preserve"> </w:t>
      </w:r>
      <w:r w:rsidR="003D709F">
        <w:rPr>
          <w:rFonts w:hint="eastAsia"/>
        </w:rPr>
        <w:t>two</w:t>
      </w:r>
      <w:r w:rsidR="003D709F">
        <w:t xml:space="preserve"> </w:t>
      </w:r>
      <w:r w:rsidR="003D709F">
        <w:rPr>
          <w:rFonts w:hint="eastAsia"/>
        </w:rPr>
        <w:t>possible</w:t>
      </w:r>
      <w:r w:rsidR="003D709F">
        <w:t xml:space="preserve"> options</w:t>
      </w:r>
      <w:r>
        <w:t xml:space="preserve"> in previous meeting:</w:t>
      </w:r>
    </w:p>
    <w:tbl>
      <w:tblPr>
        <w:tblStyle w:val="TableGrid"/>
        <w:tblW w:w="0" w:type="auto"/>
        <w:tblLook w:val="04A0" w:firstRow="1" w:lastRow="0" w:firstColumn="1" w:lastColumn="0" w:noHBand="0" w:noVBand="1"/>
      </w:tblPr>
      <w:tblGrid>
        <w:gridCol w:w="9062"/>
      </w:tblGrid>
      <w:tr w:rsidR="00294538" w:rsidRPr="00795ADD" w14:paraId="1B0FBBC7" w14:textId="77777777" w:rsidTr="00294538">
        <w:tc>
          <w:tcPr>
            <w:tcW w:w="9062" w:type="dxa"/>
          </w:tcPr>
          <w:p w14:paraId="3352FFE9" w14:textId="77777777" w:rsidR="00E44FBA" w:rsidRPr="00E44FBA" w:rsidRDefault="00E44FBA" w:rsidP="00E44FBA">
            <w:pPr>
              <w:jc w:val="both"/>
              <w:rPr>
                <w:rFonts w:ascii="Times" w:eastAsia="Malgun Gothic" w:hAnsi="Times" w:cs="Times"/>
                <w:szCs w:val="22"/>
                <w:lang w:eastAsia="ko-KR"/>
              </w:rPr>
            </w:pPr>
            <w:r w:rsidRPr="00E44FBA">
              <w:rPr>
                <w:rFonts w:ascii="Times" w:eastAsia="Batang" w:hAnsi="Times" w:cs="Times"/>
                <w:b/>
                <w:bCs/>
                <w:szCs w:val="22"/>
                <w:highlight w:val="green"/>
                <w:lang w:val="en-GB"/>
              </w:rPr>
              <w:t>Agreement</w:t>
            </w:r>
          </w:p>
          <w:p w14:paraId="12306FA7" w14:textId="77777777" w:rsidR="00E44FBA" w:rsidRPr="00E44FBA" w:rsidRDefault="00E44FBA" w:rsidP="00E44FBA">
            <w:pPr>
              <w:rPr>
                <w:rFonts w:ascii="Times" w:eastAsia="SimSun" w:hAnsi="Times" w:cs="Times"/>
                <w:szCs w:val="22"/>
                <w:lang w:eastAsia="zh-CN"/>
              </w:rPr>
            </w:pPr>
            <w:r w:rsidRPr="00E44FBA">
              <w:rPr>
                <w:rFonts w:ascii="Times" w:eastAsia="Batang" w:hAnsi="Times" w:cs="Times"/>
                <w:szCs w:val="22"/>
                <w:lang w:val="en-GB" w:eastAsia="zh-CN"/>
              </w:rPr>
              <w:t>On Rel.17 enhancements to facilitate UE -initiated panel activation and selection, down select </w:t>
            </w:r>
            <w:r w:rsidRPr="00E44FBA">
              <w:rPr>
                <w:rFonts w:ascii="Times" w:eastAsia="Batang" w:hAnsi="Times" w:cs="Times"/>
                <w:bCs/>
                <w:szCs w:val="22"/>
                <w:lang w:val="en-GB" w:eastAsia="zh-CN"/>
              </w:rPr>
              <w:t>or modify</w:t>
            </w:r>
            <w:r w:rsidRPr="00E44FBA">
              <w:rPr>
                <w:rFonts w:ascii="Times" w:eastAsia="Batang" w:hAnsi="Times" w:cs="Times"/>
                <w:b/>
                <w:bCs/>
                <w:szCs w:val="22"/>
                <w:lang w:val="en-GB" w:eastAsia="zh-CN"/>
              </w:rPr>
              <w:t> </w:t>
            </w:r>
            <w:r w:rsidRPr="00E44FBA">
              <w:rPr>
                <w:rFonts w:ascii="Times" w:eastAsia="Batang" w:hAnsi="Times" w:cs="Times"/>
                <w:szCs w:val="22"/>
                <w:lang w:val="en-GB" w:eastAsia="zh-CN"/>
              </w:rPr>
              <w:t>from the following two schemes in RAN1#106bis-e:</w:t>
            </w:r>
          </w:p>
          <w:p w14:paraId="6738239F" w14:textId="77777777" w:rsidR="00E44FBA" w:rsidRPr="00E44FBA" w:rsidRDefault="00E44FBA" w:rsidP="00E44FBA">
            <w:pPr>
              <w:numPr>
                <w:ilvl w:val="0"/>
                <w:numId w:val="37"/>
              </w:numPr>
              <w:rPr>
                <w:rFonts w:ascii="Times" w:hAnsi="Times" w:cs="Times"/>
                <w:szCs w:val="22"/>
                <w:lang w:val="en-GB"/>
              </w:rPr>
            </w:pPr>
            <w:r w:rsidRPr="00E44FBA">
              <w:rPr>
                <w:rFonts w:ascii="Times" w:hAnsi="Times" w:cs="Times"/>
                <w:szCs w:val="22"/>
                <w:lang w:val="en-GB"/>
              </w:rPr>
              <w:t>Scheme 1: </w:t>
            </w:r>
          </w:p>
          <w:p w14:paraId="6FBB6F50"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A panel entity corresponds to a reported CSI-RS and/or SSB resource index in a beam reporting instance (i.e. Opt1-1 per RAN1#104-bis-e agreement) </w:t>
            </w:r>
          </w:p>
          <w:p w14:paraId="04AA4721"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The correspondence between a panel entity and a reported CSI-RS and/or SSB resource index is informed to NW</w:t>
            </w:r>
          </w:p>
          <w:p w14:paraId="1377623B" w14:textId="77777777" w:rsidR="00E44FBA" w:rsidRPr="00E44FBA" w:rsidRDefault="00E44FBA" w:rsidP="00E44FBA">
            <w:pPr>
              <w:numPr>
                <w:ilvl w:val="3"/>
                <w:numId w:val="38"/>
              </w:numPr>
              <w:rPr>
                <w:rFonts w:ascii="Times" w:hAnsi="Times" w:cs="Times"/>
                <w:szCs w:val="22"/>
                <w:lang w:val="en-GB"/>
              </w:rPr>
            </w:pPr>
            <w:r w:rsidRPr="00E44FBA">
              <w:rPr>
                <w:rFonts w:ascii="Times" w:hAnsi="Times" w:cs="Times"/>
                <w:szCs w:val="22"/>
                <w:lang w:val="en-GB"/>
              </w:rPr>
              <w:t>FFS : Detailed design of how to inform the correspondence to NW </w:t>
            </w:r>
          </w:p>
          <w:p w14:paraId="66002F79"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Note: the correspondence between a CSI-RS and/or SSB resource index and a panel entity is determined by the UE (analogous to Rel-15/16)</w:t>
            </w:r>
          </w:p>
          <w:p w14:paraId="302A1E15"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UE reporting of maximum number of SRS ports </w:t>
            </w:r>
            <w:r w:rsidRPr="00E44FBA">
              <w:rPr>
                <w:rFonts w:ascii="Times" w:hAnsi="Times"/>
                <w:bCs/>
                <w:lang w:val="en-GB"/>
              </w:rPr>
              <w:t>and coherence type </w:t>
            </w:r>
            <w:r w:rsidRPr="00E44FBA">
              <w:rPr>
                <w:rFonts w:ascii="Times" w:hAnsi="Times" w:cs="Times"/>
                <w:szCs w:val="22"/>
                <w:lang w:val="en-GB"/>
              </w:rPr>
              <w:t>for each panel entity as a UE capability</w:t>
            </w:r>
          </w:p>
          <w:p w14:paraId="5AD0DF66"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multiple c odebook -based SRS resource sets with different maximum number of SRS ports</w:t>
            </w:r>
          </w:p>
          <w:p w14:paraId="1A1728BE"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The indicated SRI is based on the SRS resources corresponding to one SRS resource set, where the SRS resource set should be aligned with the UE capability for the panel entity </w:t>
            </w:r>
          </w:p>
          <w:p w14:paraId="0582CEF4" w14:textId="77777777" w:rsidR="00E44FBA" w:rsidRPr="00E44FBA" w:rsidRDefault="00E44FBA" w:rsidP="00E44FBA">
            <w:pPr>
              <w:numPr>
                <w:ilvl w:val="0"/>
                <w:numId w:val="37"/>
              </w:numPr>
              <w:rPr>
                <w:rFonts w:ascii="Times" w:hAnsi="Times" w:cs="Times"/>
                <w:szCs w:val="22"/>
                <w:lang w:val="en-GB"/>
              </w:rPr>
            </w:pPr>
            <w:r w:rsidRPr="00E44FBA">
              <w:rPr>
                <w:rFonts w:ascii="Times" w:hAnsi="Times" w:cs="Times"/>
                <w:szCs w:val="22"/>
                <w:lang w:val="en-GB"/>
              </w:rPr>
              <w:t>Scheme 2: </w:t>
            </w:r>
          </w:p>
          <w:p w14:paraId="064A1686"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UE reporting one of the following (to be down selected in RAN1#106bis-e): </w:t>
            </w:r>
          </w:p>
          <w:p w14:paraId="634EC8C7"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Opt1. A list of supported UL ranks (number of UL transmission layers) </w:t>
            </w:r>
          </w:p>
          <w:p w14:paraId="607959AD"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Opt2. A list of supported number of SRS antenna ports</w:t>
            </w:r>
          </w:p>
          <w:p w14:paraId="2A722474"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Opt3. A list of coherence types (as in Rel-15) indicating a subset of ports</w:t>
            </w:r>
          </w:p>
          <w:p w14:paraId="77ED517A"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The NW configures an association between </w:t>
            </w:r>
            <w:r w:rsidRPr="00E44FBA">
              <w:rPr>
                <w:rFonts w:ascii="Times" w:hAnsi="Times"/>
                <w:bCs/>
                <w:lang w:val="en-GB"/>
              </w:rPr>
              <w:t>an </w:t>
            </w:r>
            <w:r w:rsidRPr="00E44FBA">
              <w:rPr>
                <w:rFonts w:ascii="Times" w:hAnsi="Times"/>
                <w:bCs/>
                <w:strike/>
                <w:color w:val="FF0000"/>
                <w:lang w:val="en-GB"/>
              </w:rPr>
              <w:t>rank</w:t>
            </w:r>
            <w:r w:rsidRPr="00E44FBA">
              <w:rPr>
                <w:rFonts w:ascii="Times" w:hAnsi="Times" w:cs="Times"/>
                <w:szCs w:val="22"/>
                <w:lang w:val="en-GB"/>
              </w:rPr>
              <w:t> index and rank/number of SRS antenna ports/</w:t>
            </w:r>
            <w:r w:rsidRPr="00E44FBA">
              <w:rPr>
                <w:rFonts w:ascii="Times" w:hAnsi="Times"/>
                <w:bCs/>
                <w:lang w:val="en-GB"/>
              </w:rPr>
              <w:t>coherence type</w:t>
            </w:r>
          </w:p>
          <w:p w14:paraId="665B9F44"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Include </w:t>
            </w:r>
            <w:r w:rsidRPr="00E44FBA">
              <w:rPr>
                <w:rFonts w:ascii="Times" w:hAnsi="Times"/>
                <w:bCs/>
                <w:lang w:val="en-GB"/>
              </w:rPr>
              <w:t>at least one of</w:t>
            </w:r>
            <w:r w:rsidRPr="00E44FBA">
              <w:rPr>
                <w:rFonts w:ascii="Times" w:hAnsi="Times" w:cs="Times"/>
                <w:szCs w:val="22"/>
                <w:lang w:val="en-GB"/>
              </w:rPr>
              <w:t> the index, the maximum UL rank </w:t>
            </w:r>
            <w:r w:rsidRPr="00E44FBA">
              <w:rPr>
                <w:rFonts w:ascii="Times" w:hAnsi="Times"/>
                <w:bCs/>
                <w:lang w:val="en-GB"/>
              </w:rPr>
              <w:t>or SRS antenna ports or coherence type</w:t>
            </w:r>
            <w:r w:rsidRPr="00E44FBA">
              <w:rPr>
                <w:rFonts w:ascii="Times" w:hAnsi="Times" w:cs="Times"/>
                <w:szCs w:val="22"/>
                <w:lang w:val="en-GB"/>
              </w:rPr>
              <w:t> corresponding to a reported SSBRI/CRI in a beam reporting instance </w:t>
            </w:r>
          </w:p>
          <w:p w14:paraId="63F9EDE9"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FFS : timeline to apply above result in the beam report instance</w:t>
            </w:r>
          </w:p>
          <w:p w14:paraId="0628E74E" w14:textId="77777777" w:rsidR="00E44FBA" w:rsidRPr="00E44FBA" w:rsidRDefault="00E44FBA" w:rsidP="00E44FBA">
            <w:pPr>
              <w:numPr>
                <w:ilvl w:val="1"/>
                <w:numId w:val="37"/>
              </w:numPr>
              <w:rPr>
                <w:rFonts w:ascii="Times" w:hAnsi="Times" w:cs="Times"/>
                <w:szCs w:val="22"/>
                <w:lang w:val="en-GB"/>
              </w:rPr>
            </w:pPr>
            <w:r w:rsidRPr="00E44FBA">
              <w:rPr>
                <w:rFonts w:ascii="Times" w:hAnsi="Times" w:cs="Times"/>
                <w:szCs w:val="22"/>
                <w:lang w:val="en-GB"/>
              </w:rPr>
              <w:t>Support multiple codebook-based SRS resource sets with different number of SRS antenna ports</w:t>
            </w:r>
          </w:p>
          <w:p w14:paraId="6A3E3EC6" w14:textId="77777777" w:rsidR="00E44FBA" w:rsidRPr="00E44FBA" w:rsidRDefault="00E44FBA" w:rsidP="00E44FBA">
            <w:pPr>
              <w:numPr>
                <w:ilvl w:val="2"/>
                <w:numId w:val="39"/>
              </w:numPr>
              <w:rPr>
                <w:rFonts w:ascii="Times" w:hAnsi="Times" w:cs="Times"/>
                <w:szCs w:val="22"/>
                <w:lang w:val="en-GB"/>
              </w:rPr>
            </w:pPr>
            <w:r w:rsidRPr="00E44FBA">
              <w:rPr>
                <w:rFonts w:ascii="Times" w:hAnsi="Times" w:cs="Times"/>
                <w:szCs w:val="22"/>
                <w:lang w:val="en-GB"/>
              </w:rPr>
              <w:t>The indicated SRI is based on the SRS resources corresponding to one SRS resource set, where the SRS resource set should be aligned with the UE reported info corresponding to the index</w:t>
            </w:r>
          </w:p>
          <w:p w14:paraId="4913E39C" w14:textId="212109C0" w:rsidR="00F61801" w:rsidRPr="00005D51" w:rsidRDefault="00F61801" w:rsidP="00A217D0">
            <w:pPr>
              <w:snapToGrid w:val="0"/>
              <w:rPr>
                <w:sz w:val="18"/>
                <w:szCs w:val="18"/>
              </w:rPr>
            </w:pPr>
          </w:p>
        </w:tc>
      </w:tr>
    </w:tbl>
    <w:p w14:paraId="06DD1EF3" w14:textId="62A35DFA" w:rsidR="003D709F" w:rsidRDefault="00AD3067" w:rsidP="006A6E75">
      <w:pPr>
        <w:pStyle w:val="00Text"/>
      </w:pPr>
      <w:r>
        <w:t xml:space="preserve">We can see the use case and merit of supporting 2 SRS resource sets with different uplink transmission configuration for codebook-based PUSCH transmission. By implementation, the UE can map different SRS resource sets on different sets or subsets of transmit antennas. That could have use case for both FR1 and FR2 systems. </w:t>
      </w:r>
      <w:r w:rsidR="00C64AB1">
        <w:t>For instance, the UE can be configured with two different SRS resource sets for CB-based PUSCH transmission. The SRS resource sets can be associated with different number of antenna ports, different subset of codebook, and even different maximal transmit power. According to the device status and transmission requirement, the UE can choose the proper SRS resource set accordingly.</w:t>
      </w:r>
    </w:p>
    <w:p w14:paraId="11E3B0FF" w14:textId="3FF57004" w:rsidR="003D709F" w:rsidRDefault="004A26D4" w:rsidP="00001BCA">
      <w:pPr>
        <w:pStyle w:val="00Text"/>
      </w:pPr>
      <w:r>
        <w:lastRenderedPageBreak/>
        <w:t xml:space="preserve">Regarding those two listed schemes in the agreement above, </w:t>
      </w:r>
      <w:r w:rsidR="003D709F">
        <w:t xml:space="preserve">scheme 2 is preferred since it is not necessary and also not preferred to introduce panel entity in NR specification. The panel entity is more related with particular UE hardware implementation. </w:t>
      </w:r>
      <w:r>
        <w:t xml:space="preserve"> On the basis of scheme 2, the UE can be configured with two SRS resource sets with associated number of antennas and the codebook subset. The UE can report the </w:t>
      </w:r>
      <w:r w:rsidR="006074FF">
        <w:t xml:space="preserve">supported number of antenna ports and codebook subset. </w:t>
      </w:r>
      <w:r w:rsidR="008F00CA">
        <w:t xml:space="preserve"> The selection of SRS resource set for current PUSCH transmission shall be controlled by the UE. </w:t>
      </w:r>
    </w:p>
    <w:p w14:paraId="5A558C42" w14:textId="2C564B8D" w:rsidR="00E44FBA" w:rsidRDefault="00E44FBA" w:rsidP="00E44FBA">
      <w:pPr>
        <w:pStyle w:val="000proposal"/>
      </w:pPr>
      <w:bookmarkStart w:id="10" w:name="_Hlk83583353"/>
      <w:r>
        <w:t xml:space="preserve">Proposal </w:t>
      </w:r>
      <w:r w:rsidR="008C3C7D">
        <w:t>1</w:t>
      </w:r>
      <w:r w:rsidR="009379B4">
        <w:t>3</w:t>
      </w:r>
      <w:r>
        <w:t xml:space="preserve">: </w:t>
      </w:r>
      <w:r w:rsidR="006074FF">
        <w:t>Support a scheme based on</w:t>
      </w:r>
      <w:r>
        <w:t xml:space="preserve"> Scheme 2:</w:t>
      </w:r>
      <w:r>
        <w:tab/>
      </w:r>
    </w:p>
    <w:p w14:paraId="0038369A" w14:textId="73ACBCCD" w:rsidR="006074FF" w:rsidRDefault="006074FF" w:rsidP="00E44FBA">
      <w:pPr>
        <w:pStyle w:val="000proposal"/>
        <w:numPr>
          <w:ilvl w:val="0"/>
          <w:numId w:val="41"/>
        </w:numPr>
      </w:pPr>
      <w:r>
        <w:t>The UE can report a list of supported uplink transmission configurations {maximal number of SRS ports, codebook subset</w:t>
      </w:r>
      <w:r w:rsidR="008471FA">
        <w:t xml:space="preserve">, type of PUSCH </w:t>
      </w:r>
      <w:r w:rsidR="00E43FE6">
        <w:t>transmission</w:t>
      </w:r>
      <w:r>
        <w:t>}</w:t>
      </w:r>
    </w:p>
    <w:p w14:paraId="44D4044D" w14:textId="4DDA8849" w:rsidR="003F5AB9" w:rsidRDefault="003F5AB9" w:rsidP="00E44FBA">
      <w:pPr>
        <w:pStyle w:val="000proposal"/>
        <w:numPr>
          <w:ilvl w:val="0"/>
          <w:numId w:val="41"/>
        </w:numPr>
      </w:pPr>
      <w:r>
        <w:t>Do not support reporting index for each reported CRI/SSBRI</w:t>
      </w:r>
    </w:p>
    <w:p w14:paraId="2A89A777" w14:textId="059D375E" w:rsidR="00E44FBA" w:rsidRDefault="00E44FBA" w:rsidP="00001BCA">
      <w:pPr>
        <w:pStyle w:val="000proposal"/>
        <w:numPr>
          <w:ilvl w:val="0"/>
          <w:numId w:val="41"/>
        </w:numPr>
      </w:pPr>
      <w:r>
        <w:t xml:space="preserve">The UE is configured with two SRS resource sets for PUSCH </w:t>
      </w:r>
      <w:r w:rsidR="004872E8">
        <w:t xml:space="preserve">transmission </w:t>
      </w:r>
      <w:r>
        <w:t xml:space="preserve">and each set is associated with a set of parameters of {number of antenna ports, coherence type of codebook subset}. </w:t>
      </w:r>
      <w:r w:rsidR="006A6E75">
        <w:rPr>
          <w:rFonts w:hint="eastAsia"/>
        </w:rPr>
        <w:t>The</w:t>
      </w:r>
      <w:r w:rsidR="006A6E75">
        <w:t xml:space="preserve"> </w:t>
      </w:r>
      <w:r>
        <w:t xml:space="preserve">UE </w:t>
      </w:r>
      <w:r w:rsidR="006A6E75">
        <w:rPr>
          <w:rFonts w:hint="eastAsia"/>
        </w:rPr>
        <w:t>selects</w:t>
      </w:r>
      <w:r w:rsidR="006A6E75">
        <w:t xml:space="preserve"> </w:t>
      </w:r>
      <w:r w:rsidR="006A6E75">
        <w:rPr>
          <w:rFonts w:hint="eastAsia"/>
        </w:rPr>
        <w:t>one</w:t>
      </w:r>
      <w:r w:rsidR="006A6E75">
        <w:t xml:space="preserve"> SRS resource set and </w:t>
      </w:r>
      <w:r>
        <w:t>reports that to the gNB.</w:t>
      </w:r>
    </w:p>
    <w:bookmarkEnd w:id="10"/>
    <w:p w14:paraId="2DA1CDC2" w14:textId="1FB97F8E" w:rsidR="00374F23" w:rsidRDefault="00094E4E" w:rsidP="00374F23">
      <w:pPr>
        <w:pStyle w:val="01"/>
        <w:numPr>
          <w:ilvl w:val="0"/>
          <w:numId w:val="1"/>
        </w:numPr>
        <w:ind w:left="562" w:hanging="562"/>
      </w:pPr>
      <w:r>
        <w:t>The Issue of MPE</w:t>
      </w:r>
    </w:p>
    <w:p w14:paraId="1FD4692F" w14:textId="77777777" w:rsidR="00EE1CC3" w:rsidRDefault="00EE1CC3" w:rsidP="00EE1CC3">
      <w:pPr>
        <w:snapToGrid w:val="0"/>
      </w:pPr>
      <w:r>
        <w:t>For the MPE issue, we agreed the scheme of reporting multiple P-MPR for different CRIs or SSBRIs:</w:t>
      </w:r>
    </w:p>
    <w:tbl>
      <w:tblPr>
        <w:tblStyle w:val="TableGrid"/>
        <w:tblW w:w="0" w:type="auto"/>
        <w:tblLook w:val="04A0" w:firstRow="1" w:lastRow="0" w:firstColumn="1" w:lastColumn="0" w:noHBand="0" w:noVBand="1"/>
      </w:tblPr>
      <w:tblGrid>
        <w:gridCol w:w="9062"/>
      </w:tblGrid>
      <w:tr w:rsidR="007430A2" w14:paraId="6071FFBD" w14:textId="77777777" w:rsidTr="007430A2">
        <w:tc>
          <w:tcPr>
            <w:tcW w:w="9062" w:type="dxa"/>
          </w:tcPr>
          <w:p w14:paraId="34C42E77" w14:textId="20337D5A" w:rsidR="007430A2" w:rsidRPr="00080283" w:rsidRDefault="007430A2" w:rsidP="007430A2">
            <w:pPr>
              <w:snapToGrid w:val="0"/>
              <w:rPr>
                <w:szCs w:val="20"/>
                <w:highlight w:val="green"/>
              </w:rPr>
            </w:pPr>
            <w:r w:rsidRPr="00080283">
              <w:rPr>
                <w:b/>
                <w:szCs w:val="20"/>
                <w:highlight w:val="green"/>
              </w:rPr>
              <w:t>Agreement</w:t>
            </w:r>
          </w:p>
          <w:p w14:paraId="6537666B" w14:textId="77777777" w:rsidR="007430A2" w:rsidRPr="00835D08" w:rsidRDefault="007430A2" w:rsidP="007430A2">
            <w:pPr>
              <w:snapToGrid w:val="0"/>
              <w:rPr>
                <w:rFonts w:ascii="Calibri" w:hAnsi="Calibri" w:cs="Calibri"/>
                <w:color w:val="1F497D"/>
                <w:szCs w:val="20"/>
              </w:rPr>
            </w:pPr>
            <w:r w:rsidRPr="00835D08">
              <w:rPr>
                <w:szCs w:val="20"/>
                <w:lang w:eastAsia="zh-CN"/>
              </w:rPr>
              <w:t xml:space="preserve">On Rel.17 enhancements to facilitate MPE mitigation, confirm the following working assumption (in the midst of the previous agreement) as an agreement with the following refinement (highlighted in </w:t>
            </w:r>
            <w:r w:rsidRPr="00835D08">
              <w:rPr>
                <w:color w:val="FF0000"/>
                <w:szCs w:val="20"/>
                <w:lang w:eastAsia="zh-CN"/>
              </w:rPr>
              <w:t>red</w:t>
            </w:r>
            <w:r w:rsidRPr="00835D08">
              <w:rPr>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6"/>
            </w:tblGrid>
            <w:tr w:rsidR="007430A2" w:rsidRPr="00DF6470" w14:paraId="31889664" w14:textId="77777777" w:rsidTr="0078528F">
              <w:tc>
                <w:tcPr>
                  <w:tcW w:w="9857" w:type="dxa"/>
                  <w:shd w:val="clear" w:color="auto" w:fill="auto"/>
                </w:tcPr>
                <w:p w14:paraId="1960F2E3" w14:textId="77777777" w:rsidR="007430A2" w:rsidRPr="00DF6470" w:rsidRDefault="007430A2" w:rsidP="007430A2">
                  <w:pPr>
                    <w:snapToGrid w:val="0"/>
                    <w:rPr>
                      <w:szCs w:val="20"/>
                    </w:rPr>
                  </w:pPr>
                  <w:r w:rsidRPr="00DF6470">
                    <w:rPr>
                      <w:szCs w:val="20"/>
                    </w:rPr>
                    <w:t>On Rel.17 enhancements to facilitate MPE mitigation, support the following enhancement on the Rel-16 event-triggered P-MPR-based reporting (included in the PHR report when a threshold is reached, reported via MAC-CE):</w:t>
                  </w:r>
                </w:p>
                <w:p w14:paraId="3752A40A" w14:textId="77777777" w:rsidR="007430A2" w:rsidRPr="00DF6470" w:rsidRDefault="007430A2" w:rsidP="007430A2">
                  <w:pPr>
                    <w:numPr>
                      <w:ilvl w:val="0"/>
                      <w:numId w:val="30"/>
                    </w:numPr>
                    <w:snapToGrid w:val="0"/>
                    <w:rPr>
                      <w:szCs w:val="20"/>
                    </w:rPr>
                  </w:pPr>
                  <w:r w:rsidRPr="00DF6470">
                    <w:rPr>
                      <w:szCs w:val="20"/>
                    </w:rPr>
                    <w:t xml:space="preserve">In addition to the existing field in the PHR MAC-CE, N≥1 P-MPR values can be reported </w:t>
                  </w:r>
                </w:p>
                <w:p w14:paraId="786BE899" w14:textId="77777777" w:rsidR="007430A2" w:rsidRPr="00DF6470" w:rsidRDefault="007430A2" w:rsidP="007430A2">
                  <w:pPr>
                    <w:numPr>
                      <w:ilvl w:val="1"/>
                      <w:numId w:val="30"/>
                    </w:numPr>
                    <w:snapToGrid w:val="0"/>
                    <w:rPr>
                      <w:szCs w:val="20"/>
                    </w:rPr>
                  </w:pPr>
                  <w:r w:rsidRPr="00DF6470">
                    <w:rPr>
                      <w:szCs w:val="20"/>
                    </w:rPr>
                    <w:t xml:space="preserve">The N P-MPR values are reported together with the following: </w:t>
                  </w:r>
                </w:p>
                <w:p w14:paraId="5EC73509" w14:textId="77777777" w:rsidR="007430A2" w:rsidRPr="00DF6470" w:rsidRDefault="007430A2" w:rsidP="007430A2">
                  <w:pPr>
                    <w:numPr>
                      <w:ilvl w:val="2"/>
                      <w:numId w:val="30"/>
                    </w:numPr>
                    <w:snapToGrid w:val="0"/>
                    <w:rPr>
                      <w:szCs w:val="20"/>
                    </w:rPr>
                  </w:pPr>
                  <w:r w:rsidRPr="00DF6470">
                    <w:rPr>
                      <w:strike/>
                      <w:color w:val="FF0000"/>
                      <w:szCs w:val="20"/>
                    </w:rPr>
                    <w:t>(Working Assumption)</w:t>
                  </w:r>
                  <w:r w:rsidRPr="00DF6470">
                    <w:rPr>
                      <w:szCs w:val="20"/>
                    </w:rPr>
                    <w:t xml:space="preserve"> For each P-MPR value, up to M SSBRI(s)/CRI(s), where the SSBRI(s)/CRI(s) is selected by the UE from a candidate SSB/CSI-RS resource pool (FFS: how to perform the selection) </w:t>
                  </w:r>
                </w:p>
                <w:p w14:paraId="1B4A7310" w14:textId="77777777" w:rsidR="007430A2" w:rsidRPr="00DF6470" w:rsidRDefault="007430A2" w:rsidP="007430A2">
                  <w:pPr>
                    <w:numPr>
                      <w:ilvl w:val="3"/>
                      <w:numId w:val="30"/>
                    </w:numPr>
                    <w:snapToGrid w:val="0"/>
                    <w:rPr>
                      <w:color w:val="FF0000"/>
                      <w:szCs w:val="20"/>
                    </w:rPr>
                  </w:pPr>
                  <w:r w:rsidRPr="00DF6470">
                    <w:rPr>
                      <w:color w:val="FF0000"/>
                      <w:szCs w:val="20"/>
                    </w:rPr>
                    <w:t>Support M=1</w:t>
                  </w:r>
                </w:p>
                <w:p w14:paraId="122CE9A8" w14:textId="77777777" w:rsidR="007430A2" w:rsidRPr="00DF6470" w:rsidRDefault="007430A2" w:rsidP="007430A2">
                  <w:pPr>
                    <w:numPr>
                      <w:ilvl w:val="3"/>
                      <w:numId w:val="30"/>
                    </w:numPr>
                    <w:snapToGrid w:val="0"/>
                    <w:rPr>
                      <w:strike/>
                      <w:color w:val="FF0000"/>
                      <w:szCs w:val="20"/>
                    </w:rPr>
                  </w:pPr>
                  <w:r w:rsidRPr="00DF6470">
                    <w:rPr>
                      <w:strike/>
                      <w:color w:val="FF0000"/>
                      <w:szCs w:val="20"/>
                    </w:rPr>
                    <w:t>FFS: The supported value(s) of M</w:t>
                  </w:r>
                  <w:r w:rsidRPr="00DF6470">
                    <w:rPr>
                      <w:iCs/>
                      <w:strike/>
                      <w:color w:val="FF0000"/>
                      <w:szCs w:val="20"/>
                    </w:rPr>
                    <w:t xml:space="preserve"> </w:t>
                  </w:r>
                </w:p>
                <w:p w14:paraId="600C9863" w14:textId="77777777" w:rsidR="007430A2" w:rsidRPr="00DF6470" w:rsidRDefault="007430A2" w:rsidP="007430A2">
                  <w:pPr>
                    <w:numPr>
                      <w:ilvl w:val="0"/>
                      <w:numId w:val="30"/>
                    </w:numPr>
                    <w:snapToGrid w:val="0"/>
                    <w:rPr>
                      <w:strike/>
                      <w:color w:val="FF0000"/>
                      <w:szCs w:val="20"/>
                    </w:rPr>
                  </w:pPr>
                  <w:r w:rsidRPr="00DF6470">
                    <w:rPr>
                      <w:strike/>
                      <w:color w:val="FF0000"/>
                      <w:szCs w:val="20"/>
                    </w:rPr>
                    <w:t>FFS: Additional reporting quantities, e.g. SSBRI/CRI, MPR+DL RSRP, or modified virtual PHR</w:t>
                  </w:r>
                </w:p>
                <w:p w14:paraId="5E3EFD4F" w14:textId="77777777" w:rsidR="007430A2" w:rsidRPr="00DF6470" w:rsidRDefault="007430A2" w:rsidP="007430A2">
                  <w:pPr>
                    <w:numPr>
                      <w:ilvl w:val="0"/>
                      <w:numId w:val="30"/>
                    </w:numPr>
                    <w:snapToGrid w:val="0"/>
                    <w:rPr>
                      <w:strike/>
                      <w:color w:val="FF0000"/>
                      <w:szCs w:val="20"/>
                    </w:rPr>
                  </w:pPr>
                  <w:r w:rsidRPr="00DF6470">
                    <w:rPr>
                      <w:strike/>
                      <w:color w:val="FF0000"/>
                      <w:szCs w:val="20"/>
                    </w:rPr>
                    <w:t>FFS: additional signaling (e.g. CSI triggering) from the NW</w:t>
                  </w:r>
                </w:p>
              </w:tc>
            </w:tr>
          </w:tbl>
          <w:p w14:paraId="0E9877B2" w14:textId="77777777" w:rsidR="007430A2" w:rsidRPr="00080283" w:rsidRDefault="007430A2" w:rsidP="007430A2">
            <w:pPr>
              <w:snapToGrid w:val="0"/>
              <w:rPr>
                <w:szCs w:val="20"/>
                <w:highlight w:val="green"/>
              </w:rPr>
            </w:pPr>
            <w:r w:rsidRPr="00080283">
              <w:rPr>
                <w:b/>
                <w:szCs w:val="20"/>
                <w:highlight w:val="green"/>
              </w:rPr>
              <w:t>Agreement</w:t>
            </w:r>
          </w:p>
          <w:p w14:paraId="4ED51ACD" w14:textId="737FA69A" w:rsidR="007430A2" w:rsidRDefault="007430A2" w:rsidP="009D462B">
            <w:pPr>
              <w:snapToGrid w:val="0"/>
              <w:jc w:val="both"/>
            </w:pPr>
            <w:r>
              <w:rPr>
                <w:lang w:eastAsia="zh-CN"/>
              </w:rPr>
              <w:t xml:space="preserve">On Rel.17 enhancements to facilitate MPE mitigation, the candidate resource pool corresponds to a CSI-RS/SSB resource set configured via RRC (details up to RAN2) </w:t>
            </w:r>
          </w:p>
        </w:tc>
      </w:tr>
    </w:tbl>
    <w:p w14:paraId="7A71B146" w14:textId="055C7666" w:rsidR="00BA4DFB" w:rsidRPr="00F121B1" w:rsidRDefault="00BA4DFB" w:rsidP="00962DD7">
      <w:pPr>
        <w:pStyle w:val="00Text"/>
      </w:pPr>
      <w:r w:rsidRPr="00F121B1">
        <w:t xml:space="preserve">With </w:t>
      </w:r>
      <w:r>
        <w:t xml:space="preserve">only the P-MPR value, the gNB still cannot determine which CSI-RS resource or SSB is not good candidate for UL transmission. The reason is the MPE issue only happens when the Pcmax is achieved but the P-MPR value only </w:t>
      </w:r>
      <w:r w:rsidR="00AA21BD">
        <w:rPr>
          <w:rFonts w:hint="eastAsia"/>
        </w:rPr>
        <w:t>tells</w:t>
      </w:r>
      <w:r w:rsidR="00AA21BD">
        <w:t xml:space="preserve"> </w:t>
      </w:r>
      <w:r>
        <w:t xml:space="preserve">the maximal power back off. Whether Pcmax is achieved for one particular beam direction cannot be determined based on that.  </w:t>
      </w:r>
      <w:r w:rsidR="00AA21BD">
        <w:t xml:space="preserve">To assist the decision at the gNB side, L1-RSRP measurement of CRI or SSBRI shall also be reported. </w:t>
      </w:r>
    </w:p>
    <w:p w14:paraId="0A886E34" w14:textId="76CE96E8" w:rsidR="000208E3" w:rsidRDefault="000208E3" w:rsidP="00694194">
      <w:pPr>
        <w:pStyle w:val="000proposals"/>
        <w:rPr>
          <w:i/>
          <w:iCs w:val="0"/>
        </w:rPr>
      </w:pPr>
      <w:bookmarkStart w:id="11" w:name="_Hlk71484967"/>
      <w:bookmarkStart w:id="12" w:name="_Hlk78827476"/>
      <w:bookmarkStart w:id="13" w:name="_Hlk86954372"/>
      <w:r>
        <w:rPr>
          <w:i/>
          <w:iCs w:val="0"/>
        </w:rPr>
        <w:t xml:space="preserve">Proposal </w:t>
      </w:r>
      <w:r w:rsidR="008C3C7D">
        <w:rPr>
          <w:i/>
          <w:iCs w:val="0"/>
        </w:rPr>
        <w:t>1</w:t>
      </w:r>
      <w:r w:rsidR="009379B4">
        <w:rPr>
          <w:i/>
          <w:iCs w:val="0"/>
        </w:rPr>
        <w:t>4</w:t>
      </w:r>
      <w:r>
        <w:rPr>
          <w:i/>
          <w:iCs w:val="0"/>
        </w:rPr>
        <w:t xml:space="preserve">: </w:t>
      </w:r>
      <w:r w:rsidR="00FE29A0">
        <w:rPr>
          <w:i/>
          <w:iCs w:val="0"/>
        </w:rPr>
        <w:t xml:space="preserve">In addition to P-MPR value, the UE also reports the L1-RSRP measurement of </w:t>
      </w:r>
      <w:r w:rsidR="00AA21BD">
        <w:rPr>
          <w:i/>
          <w:iCs w:val="0"/>
        </w:rPr>
        <w:t xml:space="preserve">each </w:t>
      </w:r>
      <w:r w:rsidR="00FE29A0">
        <w:rPr>
          <w:i/>
          <w:iCs w:val="0"/>
        </w:rPr>
        <w:t>reported CRI/SSBRI</w:t>
      </w:r>
      <w:r>
        <w:rPr>
          <w:i/>
          <w:iCs w:val="0"/>
        </w:rPr>
        <w:t xml:space="preserve">. </w:t>
      </w:r>
    </w:p>
    <w:bookmarkEnd w:id="13"/>
    <w:p w14:paraId="003076B2" w14:textId="68665A4B" w:rsidR="00AA21BD" w:rsidRDefault="00AA21BD" w:rsidP="00F121B1">
      <w:pPr>
        <w:pStyle w:val="00Text"/>
      </w:pPr>
      <w:r>
        <w:t>Another remaining issue is the condition that the UE reports the P-MPR values. As specified in Rel-16, the UE reports the P-MPR value when it is larger than P_MPR_00. Similarly, the same method shall be used for the per-resource P-MPR reporting. The UE is configured with a set of CSI-RS resources or SSBs, when one or more of those CSI-RS resources or SSBs has P-PMR &gt; P_MPR_00, the UE can trigger the P-MPR reporting MAC CE.</w:t>
      </w:r>
    </w:p>
    <w:p w14:paraId="0F731F03" w14:textId="31AD3DA5" w:rsidR="000208E3" w:rsidRDefault="000208E3" w:rsidP="00694194">
      <w:pPr>
        <w:pStyle w:val="000proposals"/>
        <w:rPr>
          <w:i/>
          <w:iCs w:val="0"/>
        </w:rPr>
      </w:pPr>
      <w:bookmarkStart w:id="14" w:name="_Hlk86954380"/>
      <w:r>
        <w:rPr>
          <w:i/>
          <w:iCs w:val="0"/>
        </w:rPr>
        <w:t xml:space="preserve">Proposal </w:t>
      </w:r>
      <w:r w:rsidR="009379B4">
        <w:rPr>
          <w:i/>
          <w:iCs w:val="0"/>
        </w:rPr>
        <w:t>15</w:t>
      </w:r>
      <w:r>
        <w:rPr>
          <w:i/>
          <w:iCs w:val="0"/>
        </w:rPr>
        <w:t xml:space="preserve">: </w:t>
      </w:r>
      <w:r w:rsidR="00FE29A0">
        <w:rPr>
          <w:i/>
          <w:iCs w:val="0"/>
        </w:rPr>
        <w:t>The UE reports the P-MPR for CRI/SSBRI when one or more of the configured resources has P-MPR &gt; P_MPR_00</w:t>
      </w:r>
    </w:p>
    <w:bookmarkEnd w:id="11"/>
    <w:bookmarkEnd w:id="12"/>
    <w:bookmarkEnd w:id="14"/>
    <w:p w14:paraId="69A8645B" w14:textId="7731E88F" w:rsidR="00F65FEA" w:rsidRDefault="00F65FEA" w:rsidP="00F65FEA">
      <w:pPr>
        <w:pStyle w:val="01"/>
        <w:numPr>
          <w:ilvl w:val="0"/>
          <w:numId w:val="1"/>
        </w:numPr>
        <w:ind w:left="562" w:hanging="562"/>
      </w:pPr>
      <w:r>
        <w:lastRenderedPageBreak/>
        <w:t>Conclusion</w:t>
      </w:r>
    </w:p>
    <w:p w14:paraId="70DE1571" w14:textId="543E1053" w:rsidR="00B2111F" w:rsidRDefault="002328B0" w:rsidP="002328B0">
      <w:pPr>
        <w:pStyle w:val="00Text"/>
      </w:pPr>
      <w:r w:rsidRPr="001B2F18">
        <w:t xml:space="preserve">In this contribution, we presented our views on </w:t>
      </w:r>
      <w:r w:rsidR="00294100">
        <w:t>enhancement</w:t>
      </w:r>
      <w:r w:rsidR="004A040F">
        <w:t>s</w:t>
      </w:r>
      <w:r w:rsidR="00294100">
        <w:t xml:space="preserve">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1347CA1A" w14:textId="77777777" w:rsidR="003F5AB9" w:rsidRDefault="003F5AB9" w:rsidP="003F5AB9">
      <w:pPr>
        <w:pStyle w:val="000proposal"/>
      </w:pPr>
      <w:r w:rsidRPr="001D1CF8">
        <w:t xml:space="preserve">Proposal </w:t>
      </w:r>
      <w:r>
        <w:t>1</w:t>
      </w:r>
      <w:r w:rsidRPr="001D1CF8">
        <w:t xml:space="preserve">: </w:t>
      </w:r>
      <w:r>
        <w:t>If PL-RS and spatial relation RS are not identical, the “beam alignment” is defined when the PL-RS and the spatial relation RS are QCLed with respect to QCL-TypeD.</w:t>
      </w:r>
    </w:p>
    <w:p w14:paraId="44211239" w14:textId="77777777" w:rsidR="003F5AB9" w:rsidRDefault="003F5AB9" w:rsidP="003F5AB9">
      <w:pPr>
        <w:pStyle w:val="000proposal"/>
      </w:pPr>
      <w:r>
        <w:t>Proposal 2: The UE shall expect that the PL-RS and RS for UL Tx spatial filter have “beam alignment”, which shall be achieved by gNB implementation.</w:t>
      </w:r>
    </w:p>
    <w:p w14:paraId="43C4F930" w14:textId="77777777" w:rsidR="003F5AB9" w:rsidRPr="001D1CF8" w:rsidRDefault="003F5AB9" w:rsidP="003F5AB9">
      <w:pPr>
        <w:pStyle w:val="000proposal"/>
      </w:pPr>
      <w:r>
        <w:t>Proposal 3: If a joint TCI state or UL TCI state is not associated with PL-RS, the UE shall use the RS for UL Tx spatial filter to measure PL and that RS shall be a DL periodic RS.</w:t>
      </w:r>
    </w:p>
    <w:p w14:paraId="7698702A" w14:textId="77777777" w:rsidR="003F5AB9" w:rsidRPr="009D462B" w:rsidRDefault="003F5AB9" w:rsidP="003F5AB9">
      <w:pPr>
        <w:pStyle w:val="00Text"/>
        <w:rPr>
          <w:b/>
          <w:bCs/>
          <w:i/>
          <w:iCs/>
        </w:rPr>
      </w:pPr>
      <w:r w:rsidRPr="009D462B">
        <w:rPr>
          <w:b/>
          <w:bCs/>
          <w:i/>
          <w:iCs/>
        </w:rPr>
        <w:t>Proposal 4: do not support MAC CE based updating closed loop index for UL or joint TCI state.</w:t>
      </w:r>
    </w:p>
    <w:p w14:paraId="5113F145" w14:textId="77777777" w:rsidR="003F5AB9" w:rsidRPr="009D462B" w:rsidRDefault="003F5AB9" w:rsidP="003F5AB9">
      <w:pPr>
        <w:pStyle w:val="00Text"/>
        <w:rPr>
          <w:b/>
          <w:bCs/>
          <w:i/>
          <w:iCs/>
        </w:rPr>
      </w:pPr>
      <w:r w:rsidRPr="009D462B">
        <w:rPr>
          <w:b/>
          <w:bCs/>
          <w:i/>
          <w:iCs/>
        </w:rPr>
        <w:t>Proposal 5: As specified in Rel-16</w:t>
      </w:r>
      <w:r w:rsidRPr="009D462B">
        <w:rPr>
          <w:rFonts w:hint="eastAsia"/>
          <w:b/>
          <w:bCs/>
          <w:i/>
          <w:iCs/>
        </w:rPr>
        <w:t>,</w:t>
      </w:r>
      <w:r w:rsidRPr="009D462B">
        <w:rPr>
          <w:b/>
          <w:bCs/>
          <w:i/>
          <w:iCs/>
        </w:rPr>
        <w:t xml:space="preserve"> a</w:t>
      </w:r>
      <w:r>
        <w:rPr>
          <w:b/>
          <w:bCs/>
          <w:i/>
          <w:iCs/>
        </w:rPr>
        <w:t>n</w:t>
      </w:r>
      <w:r w:rsidRPr="009D462B">
        <w:rPr>
          <w:b/>
          <w:bCs/>
          <w:i/>
          <w:iCs/>
        </w:rPr>
        <w:t xml:space="preserve"> open loop power control parameter P0 is configured for URLLC and the DCI format 0_1 or 0_2 can indicate the UE to apply the P0 configured for URLLC or the P0 associated with the indicated Rel-17 TCI state.</w:t>
      </w:r>
    </w:p>
    <w:p w14:paraId="051BC135" w14:textId="77777777" w:rsidR="003F5AB9" w:rsidRPr="00001BCA" w:rsidRDefault="003F5AB9" w:rsidP="003F5AB9">
      <w:pPr>
        <w:pStyle w:val="00Text"/>
        <w:rPr>
          <w:b/>
          <w:bCs/>
          <w:i/>
          <w:iCs/>
        </w:rPr>
      </w:pPr>
      <w:r w:rsidRPr="00001BCA">
        <w:rPr>
          <w:b/>
          <w:bCs/>
          <w:i/>
          <w:iCs/>
        </w:rPr>
        <w:t>Proposal</w:t>
      </w:r>
      <w:r>
        <w:rPr>
          <w:b/>
          <w:bCs/>
          <w:i/>
          <w:iCs/>
        </w:rPr>
        <w:t xml:space="preserve"> 6</w:t>
      </w:r>
      <w:r w:rsidRPr="00001BCA">
        <w:rPr>
          <w:b/>
          <w:bCs/>
          <w:i/>
          <w:iCs/>
        </w:rPr>
        <w:t>: To determine QCL source RS in BWP/CC where TCI state pool is not configured, when two different CSI-RS resources are configured for QCL-TypeA and QCL-TypeD in the TCI state:</w:t>
      </w:r>
    </w:p>
    <w:p w14:paraId="14CFB944" w14:textId="77777777" w:rsidR="003F5AB9" w:rsidRPr="00001BCA" w:rsidRDefault="003F5AB9" w:rsidP="003F5AB9">
      <w:pPr>
        <w:pStyle w:val="00Text"/>
        <w:numPr>
          <w:ilvl w:val="0"/>
          <w:numId w:val="52"/>
        </w:numPr>
        <w:rPr>
          <w:b/>
          <w:bCs/>
          <w:i/>
          <w:iCs/>
        </w:rPr>
      </w:pPr>
      <w:r w:rsidRPr="00001BCA">
        <w:rPr>
          <w:b/>
          <w:bCs/>
          <w:i/>
          <w:iCs/>
        </w:rPr>
        <w:t>The UE assumes the QCL-TypeA RS is in the BWP/CC where the TCI state is applied.</w:t>
      </w:r>
    </w:p>
    <w:p w14:paraId="00032339" w14:textId="77777777" w:rsidR="003F5AB9" w:rsidRPr="00001BCA" w:rsidRDefault="003F5AB9" w:rsidP="003F5AB9">
      <w:pPr>
        <w:pStyle w:val="00Text"/>
        <w:numPr>
          <w:ilvl w:val="0"/>
          <w:numId w:val="52"/>
        </w:numPr>
        <w:rPr>
          <w:b/>
          <w:bCs/>
          <w:i/>
          <w:iCs/>
        </w:rPr>
      </w:pPr>
      <w:r w:rsidRPr="00001BCA">
        <w:rPr>
          <w:b/>
          <w:bCs/>
          <w:i/>
          <w:iCs/>
        </w:rPr>
        <w:t>The UE assumes the QCL-TypeD RS is in the BWP/CC where the TCI state is configured if BWP/CC ID is not provided in TCI state configuration. Otherwise, the UE follows the provided BWP/CC ID.</w:t>
      </w:r>
    </w:p>
    <w:p w14:paraId="136AFA0E" w14:textId="77777777" w:rsidR="003F5AB9" w:rsidRPr="00E73F44" w:rsidRDefault="003F5AB9" w:rsidP="003F5AB9">
      <w:pPr>
        <w:pStyle w:val="000proposal"/>
      </w:pPr>
      <w:r w:rsidRPr="00E73F44">
        <w:t xml:space="preserve">Proposal </w:t>
      </w:r>
      <w:r>
        <w:t>7</w:t>
      </w:r>
      <w:r w:rsidRPr="00E73F44">
        <w:t xml:space="preserve">: The gNB indicates one Y value = </w:t>
      </w:r>
      <m:oMath>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oMath>
      <w:r w:rsidRPr="00E73F44">
        <w:t xml:space="preserve">  for SCS = 15KHz and the UE can determine the Y value for each SCS as: </w:t>
      </w:r>
      <m:oMath>
        <m:sSup>
          <m:sSupPr>
            <m:ctrlPr>
              <w:rPr>
                <w:rFonts w:ascii="Cambria Math" w:hAnsi="Cambria Math"/>
              </w:rPr>
            </m:ctrlPr>
          </m:sSupPr>
          <m:e>
            <m:r>
              <m:rPr>
                <m:sty m:val="bi"/>
              </m:rPr>
              <w:rPr>
                <w:rFonts w:ascii="Cambria Math" w:hAnsi="Cambria Math"/>
              </w:rPr>
              <m:t>2</m:t>
            </m:r>
          </m:e>
          <m:sup>
            <m:r>
              <m:rPr>
                <m:sty m:val="bi"/>
              </m:rPr>
              <w:rPr>
                <w:rFonts w:ascii="Cambria Math" w:hAnsi="Cambria Math"/>
              </w:rPr>
              <m:t>μ</m:t>
            </m:r>
          </m:sup>
        </m:sSup>
        <m:sSub>
          <m:sSubPr>
            <m:ctrlPr>
              <w:rPr>
                <w:rFonts w:ascii="Cambria Math" w:hAnsi="Cambria Math"/>
                <w:i w:val="0"/>
                <w:iCs w:val="0"/>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oMath>
      <w:r w:rsidRPr="00001BCA">
        <w:rPr>
          <w:iCs w:val="0"/>
        </w:rPr>
        <w:t xml:space="preserve"> with </w:t>
      </w:r>
      <m:oMath>
        <m:r>
          <m:rPr>
            <m:sty m:val="bi"/>
          </m:rPr>
          <w:rPr>
            <w:rFonts w:ascii="Cambria Math" w:hAnsi="Cambria Math"/>
          </w:rPr>
          <m:t>μ=0,1,2,3</m:t>
        </m:r>
      </m:oMath>
    </w:p>
    <w:p w14:paraId="0A07B558" w14:textId="77777777" w:rsidR="003F5AB9" w:rsidRDefault="003F5AB9" w:rsidP="003F5AB9">
      <w:pPr>
        <w:pStyle w:val="000proposal"/>
      </w:pPr>
      <w:r>
        <w:t>Proposal 8: When the gap between the last symbol of beam indication DCI and the determined first slot does not meet the UE capability, the UE starts to apply the indicated TCI state in the first slot that can satisfy the UE capability.</w:t>
      </w:r>
    </w:p>
    <w:p w14:paraId="64C4B27E" w14:textId="77777777" w:rsidR="003F5AB9" w:rsidRDefault="003F5AB9" w:rsidP="003F5AB9">
      <w:pPr>
        <w:pStyle w:val="000proposal"/>
      </w:pPr>
      <w:r>
        <w:t>Proposal 9: For DCI format 1_1 and 1_2 with PDSCH assignment indicating TCI state, the acknowledgement to the TCI state update is the ACK of the PDSCH.</w:t>
      </w:r>
    </w:p>
    <w:p w14:paraId="690072D6" w14:textId="77777777" w:rsidR="003F5AB9" w:rsidRPr="00001BCA" w:rsidRDefault="003F5AB9" w:rsidP="003F5AB9">
      <w:pPr>
        <w:pStyle w:val="00Text"/>
        <w:rPr>
          <w:b/>
          <w:bCs/>
          <w:i/>
          <w:iCs/>
        </w:rPr>
      </w:pPr>
      <w:r w:rsidRPr="00001BCA">
        <w:rPr>
          <w:b/>
          <w:bCs/>
          <w:i/>
          <w:iCs/>
        </w:rPr>
        <w:t xml:space="preserve">Proposal </w:t>
      </w:r>
      <w:r>
        <w:rPr>
          <w:b/>
          <w:bCs/>
          <w:i/>
          <w:iCs/>
        </w:rPr>
        <w:t>10</w:t>
      </w:r>
      <w:r w:rsidRPr="00001BCA">
        <w:rPr>
          <w:b/>
          <w:bCs/>
          <w:i/>
          <w:iCs/>
        </w:rPr>
        <w:t xml:space="preserve">: In inter-cell beam management, the indicated TCI state associated with non-serving cell SSB shall </w:t>
      </w:r>
      <w:r>
        <w:rPr>
          <w:b/>
          <w:bCs/>
          <w:i/>
          <w:iCs/>
        </w:rPr>
        <w:t>NOT</w:t>
      </w:r>
      <w:r w:rsidRPr="00001BCA">
        <w:rPr>
          <w:b/>
          <w:bCs/>
          <w:i/>
          <w:iCs/>
        </w:rPr>
        <w:t xml:space="preserve"> be applied to:</w:t>
      </w:r>
    </w:p>
    <w:p w14:paraId="514262D8" w14:textId="77777777" w:rsidR="003F5AB9" w:rsidRPr="00001BCA" w:rsidRDefault="003F5AB9" w:rsidP="003F5AB9">
      <w:pPr>
        <w:pStyle w:val="00Text"/>
        <w:numPr>
          <w:ilvl w:val="0"/>
          <w:numId w:val="61"/>
        </w:numPr>
        <w:rPr>
          <w:b/>
          <w:bCs/>
          <w:i/>
          <w:iCs/>
        </w:rPr>
      </w:pPr>
      <w:r w:rsidRPr="00001BCA">
        <w:rPr>
          <w:b/>
          <w:bCs/>
          <w:i/>
          <w:iCs/>
        </w:rPr>
        <w:t>The PDCCH associated CORESET#0 and corresponding PDSCH.</w:t>
      </w:r>
    </w:p>
    <w:p w14:paraId="7AD6CFE8" w14:textId="77777777" w:rsidR="003F5AB9" w:rsidRPr="00001BCA" w:rsidRDefault="003F5AB9" w:rsidP="003F5AB9">
      <w:pPr>
        <w:pStyle w:val="00Text"/>
        <w:numPr>
          <w:ilvl w:val="0"/>
          <w:numId w:val="61"/>
        </w:numPr>
        <w:rPr>
          <w:b/>
          <w:bCs/>
          <w:i/>
          <w:iCs/>
        </w:rPr>
      </w:pPr>
      <w:r w:rsidRPr="00001BCA">
        <w:rPr>
          <w:b/>
          <w:bCs/>
          <w:i/>
          <w:iCs/>
        </w:rPr>
        <w:t xml:space="preserve">The PDCCH in Type3-PDCCH CSS set </w:t>
      </w:r>
      <w:r>
        <w:rPr>
          <w:b/>
          <w:bCs/>
          <w:i/>
          <w:iCs/>
        </w:rPr>
        <w:t xml:space="preserve">in SCell </w:t>
      </w:r>
      <w:r w:rsidRPr="00001BCA">
        <w:rPr>
          <w:b/>
          <w:bCs/>
          <w:i/>
          <w:iCs/>
        </w:rPr>
        <w:t>and corresponding PDSCH.</w:t>
      </w:r>
    </w:p>
    <w:p w14:paraId="1DF2F683" w14:textId="77777777" w:rsidR="003F5AB9" w:rsidRPr="00001BCA" w:rsidRDefault="003F5AB9" w:rsidP="003F5AB9">
      <w:pPr>
        <w:pStyle w:val="00Text"/>
        <w:rPr>
          <w:b/>
          <w:bCs/>
          <w:i/>
          <w:iCs/>
        </w:rPr>
      </w:pPr>
      <w:r w:rsidRPr="00001BCA">
        <w:rPr>
          <w:b/>
          <w:bCs/>
          <w:i/>
          <w:iCs/>
        </w:rPr>
        <w:t xml:space="preserve">Proposal </w:t>
      </w:r>
      <w:r>
        <w:rPr>
          <w:b/>
          <w:bCs/>
          <w:i/>
          <w:iCs/>
        </w:rPr>
        <w:t>11</w:t>
      </w:r>
      <w:r w:rsidRPr="00001BCA">
        <w:rPr>
          <w:b/>
          <w:bCs/>
          <w:i/>
          <w:iCs/>
        </w:rPr>
        <w:t xml:space="preserve">: </w:t>
      </w:r>
      <w:r>
        <w:rPr>
          <w:rFonts w:cs="Times"/>
          <w:b/>
          <w:bCs/>
          <w:i/>
          <w:iCs/>
          <w:szCs w:val="22"/>
        </w:rPr>
        <w:t>The UE does not expect to be configured to measure two overlapping SSBs associated with different PCIs.</w:t>
      </w:r>
    </w:p>
    <w:p w14:paraId="0CE7C38E" w14:textId="77777777" w:rsidR="003F5AB9" w:rsidRPr="009161E5" w:rsidRDefault="003F5AB9" w:rsidP="003F5AB9">
      <w:pPr>
        <w:pStyle w:val="00Text"/>
      </w:pPr>
      <w:r w:rsidRPr="009161E5">
        <w:rPr>
          <w:b/>
          <w:bCs/>
          <w:i/>
          <w:iCs/>
        </w:rPr>
        <w:t>Proposal</w:t>
      </w:r>
      <w:r>
        <w:rPr>
          <w:b/>
          <w:bCs/>
          <w:i/>
          <w:iCs/>
        </w:rPr>
        <w:t xml:space="preserve"> 12:</w:t>
      </w:r>
      <w:r w:rsidRPr="009161E5">
        <w:rPr>
          <w:b/>
          <w:bCs/>
          <w:i/>
          <w:iCs/>
        </w:rPr>
        <w:t xml:space="preserve"> </w:t>
      </w:r>
      <w:r>
        <w:rPr>
          <w:b/>
          <w:bCs/>
          <w:i/>
          <w:iCs/>
        </w:rPr>
        <w:t>Select Alt1 for L1-RSRP reporting format of inter-cell beam measurement and reporting.</w:t>
      </w:r>
    </w:p>
    <w:p w14:paraId="3245C866" w14:textId="77777777" w:rsidR="003F5AB9" w:rsidRDefault="003F5AB9" w:rsidP="003F5AB9">
      <w:pPr>
        <w:pStyle w:val="000proposal"/>
      </w:pPr>
      <w:r>
        <w:t>Proposal 13: Support a scheme based on Scheme 2:</w:t>
      </w:r>
      <w:r>
        <w:tab/>
      </w:r>
    </w:p>
    <w:p w14:paraId="3A25B22B" w14:textId="77777777" w:rsidR="003F5AB9" w:rsidRDefault="003F5AB9" w:rsidP="003F5AB9">
      <w:pPr>
        <w:pStyle w:val="000proposal"/>
        <w:numPr>
          <w:ilvl w:val="0"/>
          <w:numId w:val="41"/>
        </w:numPr>
      </w:pPr>
      <w:r>
        <w:t>The UE can report a list of supported uplink transmission configurations {maximal number of SRS ports, codebook subset, type of PUSCH transmission}</w:t>
      </w:r>
    </w:p>
    <w:p w14:paraId="5330EF8A" w14:textId="77777777" w:rsidR="003F5AB9" w:rsidRDefault="003F5AB9" w:rsidP="003F5AB9">
      <w:pPr>
        <w:pStyle w:val="000proposal"/>
        <w:numPr>
          <w:ilvl w:val="0"/>
          <w:numId w:val="41"/>
        </w:numPr>
      </w:pPr>
      <w:r>
        <w:t>Do not support reporting index for each reported CRI/SSBRI</w:t>
      </w:r>
    </w:p>
    <w:p w14:paraId="17626BC2" w14:textId="77777777" w:rsidR="003F5AB9" w:rsidRDefault="003F5AB9" w:rsidP="003F5AB9">
      <w:pPr>
        <w:pStyle w:val="000proposal"/>
        <w:numPr>
          <w:ilvl w:val="0"/>
          <w:numId w:val="41"/>
        </w:numPr>
      </w:pPr>
      <w:r>
        <w:t xml:space="preserve">The UE is configured with two SRS resource sets for PUSCH transmission and each set is associated with a set of parameters of {number of antenna ports, coherence type of codebook subset}. </w:t>
      </w:r>
      <w:r>
        <w:rPr>
          <w:rFonts w:hint="eastAsia"/>
        </w:rPr>
        <w:t>The</w:t>
      </w:r>
      <w:r>
        <w:t xml:space="preserve"> UE </w:t>
      </w:r>
      <w:r>
        <w:rPr>
          <w:rFonts w:hint="eastAsia"/>
        </w:rPr>
        <w:t>selects</w:t>
      </w:r>
      <w:r>
        <w:t xml:space="preserve"> </w:t>
      </w:r>
      <w:r>
        <w:rPr>
          <w:rFonts w:hint="eastAsia"/>
        </w:rPr>
        <w:t>one</w:t>
      </w:r>
      <w:r>
        <w:t xml:space="preserve"> SRS resource set and reports that to the gNB.</w:t>
      </w:r>
    </w:p>
    <w:p w14:paraId="35CCB729" w14:textId="77777777" w:rsidR="003F5AB9" w:rsidRDefault="003F5AB9" w:rsidP="003F5AB9">
      <w:pPr>
        <w:pStyle w:val="000proposals"/>
        <w:rPr>
          <w:i/>
          <w:iCs w:val="0"/>
        </w:rPr>
      </w:pPr>
      <w:r>
        <w:rPr>
          <w:i/>
          <w:iCs w:val="0"/>
        </w:rPr>
        <w:lastRenderedPageBreak/>
        <w:t xml:space="preserve">Proposal 14: In addition to P-MPR value, the UE also reports the L1-RSRP measurement of each reported CRI/SSBRI. </w:t>
      </w:r>
    </w:p>
    <w:p w14:paraId="099B76E4" w14:textId="77777777" w:rsidR="003F5AB9" w:rsidRDefault="003F5AB9" w:rsidP="003F5AB9">
      <w:pPr>
        <w:pStyle w:val="000proposals"/>
        <w:rPr>
          <w:i/>
          <w:iCs w:val="0"/>
        </w:rPr>
      </w:pPr>
      <w:r>
        <w:rPr>
          <w:i/>
          <w:iCs w:val="0"/>
        </w:rPr>
        <w:t>Proposal 15: The UE reports the P-MPR for CRI/SSBRI when one or more of the configured resources has P-MPR &gt; P_MPR_00</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3BB7E1D6" w:rsidR="00C8505E" w:rsidRDefault="00C8505E" w:rsidP="002328B0">
      <w:pPr>
        <w:pStyle w:val="05reference"/>
        <w:rPr>
          <w:szCs w:val="20"/>
          <w:lang w:val="it-IT"/>
        </w:rPr>
      </w:pPr>
      <w:r>
        <w:rPr>
          <w:szCs w:val="20"/>
          <w:lang w:val="it-IT"/>
        </w:rPr>
        <w:t>RP-</w:t>
      </w:r>
      <w:r w:rsidR="00D84359">
        <w:rPr>
          <w:szCs w:val="20"/>
          <w:lang w:val="it-IT"/>
        </w:rPr>
        <w:t xml:space="preserve">211586 Revised </w:t>
      </w:r>
      <w:r>
        <w:rPr>
          <w:szCs w:val="20"/>
          <w:lang w:val="it-IT"/>
        </w:rPr>
        <w:t>WID: Further ehancements on MIMO for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406BB" w14:textId="77777777" w:rsidR="009F743D" w:rsidRDefault="009F743D">
      <w:r>
        <w:separator/>
      </w:r>
    </w:p>
  </w:endnote>
  <w:endnote w:type="continuationSeparator" w:id="0">
    <w:p w14:paraId="06661DB8" w14:textId="77777777" w:rsidR="009F743D" w:rsidRDefault="009F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87843" w14:textId="77777777" w:rsidR="009F743D" w:rsidRDefault="009F743D">
      <w:r>
        <w:separator/>
      </w:r>
    </w:p>
  </w:footnote>
  <w:footnote w:type="continuationSeparator" w:id="0">
    <w:p w14:paraId="6C0DCDC3" w14:textId="77777777" w:rsidR="009F743D" w:rsidRDefault="009F7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2DA03BD"/>
    <w:multiLevelType w:val="hybridMultilevel"/>
    <w:tmpl w:val="284C3528"/>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755EBC"/>
    <w:multiLevelType w:val="hybridMultilevel"/>
    <w:tmpl w:val="45345B88"/>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95FBB"/>
    <w:multiLevelType w:val="hybridMultilevel"/>
    <w:tmpl w:val="9BBE6E7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F372F2C"/>
    <w:multiLevelType w:val="hybridMultilevel"/>
    <w:tmpl w:val="CF5CB6A0"/>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A91C17"/>
    <w:multiLevelType w:val="hybridMultilevel"/>
    <w:tmpl w:val="B3D441D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9FD1BCC"/>
    <w:multiLevelType w:val="hybridMultilevel"/>
    <w:tmpl w:val="26CA7526"/>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CE629B0"/>
    <w:multiLevelType w:val="hybridMultilevel"/>
    <w:tmpl w:val="DF542984"/>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99150F"/>
    <w:multiLevelType w:val="hybridMultilevel"/>
    <w:tmpl w:val="39C8310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9D0226"/>
    <w:multiLevelType w:val="hybridMultilevel"/>
    <w:tmpl w:val="306E3A2C"/>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7AC0E35"/>
    <w:multiLevelType w:val="hybridMultilevel"/>
    <w:tmpl w:val="5C98866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9181720"/>
    <w:multiLevelType w:val="hybridMultilevel"/>
    <w:tmpl w:val="B4CCA80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4290FC4"/>
    <w:multiLevelType w:val="hybridMultilevel"/>
    <w:tmpl w:val="5D4C872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7570C5B"/>
    <w:multiLevelType w:val="hybridMultilevel"/>
    <w:tmpl w:val="855EF57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9D66DA"/>
    <w:multiLevelType w:val="hybridMultilevel"/>
    <w:tmpl w:val="2848CC0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8C5759"/>
    <w:multiLevelType w:val="hybridMultilevel"/>
    <w:tmpl w:val="8F682AD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062C28"/>
    <w:multiLevelType w:val="hybridMultilevel"/>
    <w:tmpl w:val="623E6356"/>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8A1C14"/>
    <w:multiLevelType w:val="hybridMultilevel"/>
    <w:tmpl w:val="35B484B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F36D0F"/>
    <w:multiLevelType w:val="hybridMultilevel"/>
    <w:tmpl w:val="2E2E16B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82C3C5F"/>
    <w:multiLevelType w:val="hybridMultilevel"/>
    <w:tmpl w:val="A30A3D1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6" w15:restartNumberingAfterBreak="0">
    <w:nsid w:val="7D811955"/>
    <w:multiLevelType w:val="hybridMultilevel"/>
    <w:tmpl w:val="100E2932"/>
    <w:lvl w:ilvl="0" w:tplc="ADEA92A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5"/>
  </w:num>
  <w:num w:numId="2">
    <w:abstractNumId w:val="20"/>
  </w:num>
  <w:num w:numId="3">
    <w:abstractNumId w:val="53"/>
  </w:num>
  <w:num w:numId="4">
    <w:abstractNumId w:val="35"/>
  </w:num>
  <w:num w:numId="5">
    <w:abstractNumId w:val="44"/>
  </w:num>
  <w:num w:numId="6">
    <w:abstractNumId w:val="30"/>
  </w:num>
  <w:num w:numId="7">
    <w:abstractNumId w:val="10"/>
  </w:num>
  <w:num w:numId="8">
    <w:abstractNumId w:val="5"/>
  </w:num>
  <w:num w:numId="9">
    <w:abstractNumId w:val="22"/>
  </w:num>
  <w:num w:numId="10">
    <w:abstractNumId w:val="63"/>
  </w:num>
  <w:num w:numId="11">
    <w:abstractNumId w:val="42"/>
  </w:num>
  <w:num w:numId="12">
    <w:abstractNumId w:val="22"/>
  </w:num>
  <w:num w:numId="13">
    <w:abstractNumId w:val="54"/>
  </w:num>
  <w:num w:numId="14">
    <w:abstractNumId w:val="56"/>
  </w:num>
  <w:num w:numId="15">
    <w:abstractNumId w:val="27"/>
  </w:num>
  <w:num w:numId="16">
    <w:abstractNumId w:val="33"/>
  </w:num>
  <w:num w:numId="17">
    <w:abstractNumId w:val="55"/>
  </w:num>
  <w:num w:numId="18">
    <w:abstractNumId w:val="49"/>
  </w:num>
  <w:num w:numId="19">
    <w:abstractNumId w:val="13"/>
  </w:num>
  <w:num w:numId="20">
    <w:abstractNumId w:val="8"/>
  </w:num>
  <w:num w:numId="21">
    <w:abstractNumId w:val="15"/>
  </w:num>
  <w:num w:numId="22">
    <w:abstractNumId w:val="66"/>
  </w:num>
  <w:num w:numId="23">
    <w:abstractNumId w:val="60"/>
  </w:num>
  <w:num w:numId="24">
    <w:abstractNumId w:val="25"/>
  </w:num>
  <w:num w:numId="25">
    <w:abstractNumId w:val="32"/>
  </w:num>
  <w:num w:numId="26">
    <w:abstractNumId w:val="21"/>
  </w:num>
  <w:num w:numId="27">
    <w:abstractNumId w:val="34"/>
  </w:num>
  <w:num w:numId="28">
    <w:abstractNumId w:val="46"/>
  </w:num>
  <w:num w:numId="29">
    <w:abstractNumId w:val="50"/>
  </w:num>
  <w:num w:numId="30">
    <w:abstractNumId w:val="47"/>
  </w:num>
  <w:num w:numId="31">
    <w:abstractNumId w:val="36"/>
  </w:num>
  <w:num w:numId="32">
    <w:abstractNumId w:val="11"/>
  </w:num>
  <w:num w:numId="33">
    <w:abstractNumId w:val="31"/>
  </w:num>
  <w:num w:numId="34">
    <w:abstractNumId w:val="39"/>
  </w:num>
  <w:num w:numId="35">
    <w:abstractNumId w:val="24"/>
  </w:num>
  <w:num w:numId="36">
    <w:abstractNumId w:val="37"/>
  </w:num>
  <w:num w:numId="37">
    <w:abstractNumId w:val="64"/>
  </w:num>
  <w:num w:numId="38">
    <w:abstractNumId w:val="7"/>
  </w:num>
  <w:num w:numId="39">
    <w:abstractNumId w:val="2"/>
  </w:num>
  <w:num w:numId="40">
    <w:abstractNumId w:val="40"/>
  </w:num>
  <w:num w:numId="41">
    <w:abstractNumId w:val="4"/>
  </w:num>
  <w:num w:numId="42">
    <w:abstractNumId w:val="29"/>
  </w:num>
  <w:num w:numId="43">
    <w:abstractNumId w:val="6"/>
  </w:num>
  <w:num w:numId="44">
    <w:abstractNumId w:val="51"/>
  </w:num>
  <w:num w:numId="45">
    <w:abstractNumId w:val="57"/>
  </w:num>
  <w:num w:numId="46">
    <w:abstractNumId w:val="62"/>
  </w:num>
  <w:num w:numId="47">
    <w:abstractNumId w:val="43"/>
  </w:num>
  <w:num w:numId="48">
    <w:abstractNumId w:val="52"/>
  </w:num>
  <w:num w:numId="49">
    <w:abstractNumId w:val="38"/>
  </w:num>
  <w:num w:numId="50">
    <w:abstractNumId w:val="12"/>
  </w:num>
  <w:num w:numId="51">
    <w:abstractNumId w:val="1"/>
  </w:num>
  <w:num w:numId="52">
    <w:abstractNumId w:val="17"/>
  </w:num>
  <w:num w:numId="53">
    <w:abstractNumId w:val="3"/>
  </w:num>
  <w:num w:numId="54">
    <w:abstractNumId w:val="16"/>
  </w:num>
  <w:num w:numId="55">
    <w:abstractNumId w:val="61"/>
  </w:num>
  <w:num w:numId="56">
    <w:abstractNumId w:val="9"/>
  </w:num>
  <w:num w:numId="57">
    <w:abstractNumId w:val="26"/>
  </w:num>
  <w:num w:numId="58">
    <w:abstractNumId w:val="23"/>
  </w:num>
  <w:num w:numId="59">
    <w:abstractNumId w:val="28"/>
  </w:num>
  <w:num w:numId="60">
    <w:abstractNumId w:val="41"/>
  </w:num>
  <w:num w:numId="61">
    <w:abstractNumId w:val="45"/>
  </w:num>
  <w:num w:numId="62">
    <w:abstractNumId w:val="18"/>
  </w:num>
  <w:num w:numId="63">
    <w:abstractNumId w:val="14"/>
  </w:num>
  <w:num w:numId="64">
    <w:abstractNumId w:val="19"/>
  </w:num>
  <w:num w:numId="65">
    <w:abstractNumId w:val="48"/>
  </w:num>
  <w:num w:numId="66">
    <w:abstractNumId w:val="59"/>
  </w:num>
  <w:num w:numId="67">
    <w:abstractNumId w:val="58"/>
  </w:num>
  <w:num w:numId="68">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CA"/>
    <w:rsid w:val="000024B3"/>
    <w:rsid w:val="00002775"/>
    <w:rsid w:val="00005D12"/>
    <w:rsid w:val="00005D51"/>
    <w:rsid w:val="00007A3D"/>
    <w:rsid w:val="0001145F"/>
    <w:rsid w:val="00014144"/>
    <w:rsid w:val="000146F7"/>
    <w:rsid w:val="000208E3"/>
    <w:rsid w:val="00020ECF"/>
    <w:rsid w:val="000223D1"/>
    <w:rsid w:val="00023537"/>
    <w:rsid w:val="00025836"/>
    <w:rsid w:val="0002753A"/>
    <w:rsid w:val="000305B5"/>
    <w:rsid w:val="00031B46"/>
    <w:rsid w:val="00032955"/>
    <w:rsid w:val="00036C04"/>
    <w:rsid w:val="000401F4"/>
    <w:rsid w:val="00040D68"/>
    <w:rsid w:val="00040D82"/>
    <w:rsid w:val="0004170C"/>
    <w:rsid w:val="000432BE"/>
    <w:rsid w:val="00044738"/>
    <w:rsid w:val="0004689C"/>
    <w:rsid w:val="0004722F"/>
    <w:rsid w:val="0005036D"/>
    <w:rsid w:val="00050EF6"/>
    <w:rsid w:val="000529AF"/>
    <w:rsid w:val="00052A3E"/>
    <w:rsid w:val="00054D5F"/>
    <w:rsid w:val="00055DAC"/>
    <w:rsid w:val="00057449"/>
    <w:rsid w:val="00064276"/>
    <w:rsid w:val="00065932"/>
    <w:rsid w:val="00066217"/>
    <w:rsid w:val="00067335"/>
    <w:rsid w:val="00072170"/>
    <w:rsid w:val="0007593E"/>
    <w:rsid w:val="00075E10"/>
    <w:rsid w:val="00075E63"/>
    <w:rsid w:val="0008231D"/>
    <w:rsid w:val="000823CD"/>
    <w:rsid w:val="00085AAA"/>
    <w:rsid w:val="000939D7"/>
    <w:rsid w:val="00094E4E"/>
    <w:rsid w:val="000958D5"/>
    <w:rsid w:val="00096D59"/>
    <w:rsid w:val="000971A4"/>
    <w:rsid w:val="000A0B71"/>
    <w:rsid w:val="000A4372"/>
    <w:rsid w:val="000A7AE5"/>
    <w:rsid w:val="000B07E4"/>
    <w:rsid w:val="000B5510"/>
    <w:rsid w:val="000B5E34"/>
    <w:rsid w:val="000B6612"/>
    <w:rsid w:val="000C0A7B"/>
    <w:rsid w:val="000C1ECC"/>
    <w:rsid w:val="000C215F"/>
    <w:rsid w:val="000C49CF"/>
    <w:rsid w:val="000C4C34"/>
    <w:rsid w:val="000D3AF4"/>
    <w:rsid w:val="000D4D1E"/>
    <w:rsid w:val="000D546A"/>
    <w:rsid w:val="000D569A"/>
    <w:rsid w:val="000D5CFD"/>
    <w:rsid w:val="000D66CD"/>
    <w:rsid w:val="000D6C00"/>
    <w:rsid w:val="000D6CCE"/>
    <w:rsid w:val="000E1011"/>
    <w:rsid w:val="000E33AA"/>
    <w:rsid w:val="000E514A"/>
    <w:rsid w:val="000E608E"/>
    <w:rsid w:val="000E6672"/>
    <w:rsid w:val="000E6BFC"/>
    <w:rsid w:val="000E6F81"/>
    <w:rsid w:val="000F0690"/>
    <w:rsid w:val="000F10E7"/>
    <w:rsid w:val="000F4980"/>
    <w:rsid w:val="000F4BE3"/>
    <w:rsid w:val="000F5BBA"/>
    <w:rsid w:val="000F6109"/>
    <w:rsid w:val="000F66F6"/>
    <w:rsid w:val="000F7011"/>
    <w:rsid w:val="000F7493"/>
    <w:rsid w:val="00100902"/>
    <w:rsid w:val="001125A3"/>
    <w:rsid w:val="0011387A"/>
    <w:rsid w:val="00115C6C"/>
    <w:rsid w:val="00115D50"/>
    <w:rsid w:val="001205A8"/>
    <w:rsid w:val="00120DE9"/>
    <w:rsid w:val="001243EA"/>
    <w:rsid w:val="00127EF8"/>
    <w:rsid w:val="001346E0"/>
    <w:rsid w:val="001348BD"/>
    <w:rsid w:val="00134E8E"/>
    <w:rsid w:val="0013638F"/>
    <w:rsid w:val="00136B37"/>
    <w:rsid w:val="0014084D"/>
    <w:rsid w:val="00140F62"/>
    <w:rsid w:val="001422E9"/>
    <w:rsid w:val="00142A73"/>
    <w:rsid w:val="00144DC6"/>
    <w:rsid w:val="00145778"/>
    <w:rsid w:val="001466E5"/>
    <w:rsid w:val="00146785"/>
    <w:rsid w:val="00147227"/>
    <w:rsid w:val="0015020D"/>
    <w:rsid w:val="001502CA"/>
    <w:rsid w:val="0015168E"/>
    <w:rsid w:val="001521B9"/>
    <w:rsid w:val="001522BE"/>
    <w:rsid w:val="00153FD2"/>
    <w:rsid w:val="00155D90"/>
    <w:rsid w:val="00162411"/>
    <w:rsid w:val="00170238"/>
    <w:rsid w:val="00171FCE"/>
    <w:rsid w:val="00172393"/>
    <w:rsid w:val="00173DC8"/>
    <w:rsid w:val="00174DEF"/>
    <w:rsid w:val="00174EF0"/>
    <w:rsid w:val="00175BB6"/>
    <w:rsid w:val="0017679D"/>
    <w:rsid w:val="001809A9"/>
    <w:rsid w:val="001821C0"/>
    <w:rsid w:val="0018284E"/>
    <w:rsid w:val="0018469D"/>
    <w:rsid w:val="001864AC"/>
    <w:rsid w:val="00187000"/>
    <w:rsid w:val="00191F67"/>
    <w:rsid w:val="00192259"/>
    <w:rsid w:val="00193464"/>
    <w:rsid w:val="00194DDE"/>
    <w:rsid w:val="00195373"/>
    <w:rsid w:val="00197A6A"/>
    <w:rsid w:val="00197FFE"/>
    <w:rsid w:val="001A1C90"/>
    <w:rsid w:val="001A3F99"/>
    <w:rsid w:val="001A45FC"/>
    <w:rsid w:val="001A4BAA"/>
    <w:rsid w:val="001A5584"/>
    <w:rsid w:val="001A6B37"/>
    <w:rsid w:val="001B07EA"/>
    <w:rsid w:val="001B0AAA"/>
    <w:rsid w:val="001B0B07"/>
    <w:rsid w:val="001B524F"/>
    <w:rsid w:val="001B796B"/>
    <w:rsid w:val="001C0EA0"/>
    <w:rsid w:val="001C2CCA"/>
    <w:rsid w:val="001C2E25"/>
    <w:rsid w:val="001C4F3E"/>
    <w:rsid w:val="001C5B0A"/>
    <w:rsid w:val="001C5D17"/>
    <w:rsid w:val="001D016C"/>
    <w:rsid w:val="001D0B4D"/>
    <w:rsid w:val="001D229C"/>
    <w:rsid w:val="001D2925"/>
    <w:rsid w:val="001D659F"/>
    <w:rsid w:val="001D7F51"/>
    <w:rsid w:val="001E349D"/>
    <w:rsid w:val="001E34E2"/>
    <w:rsid w:val="001E59C5"/>
    <w:rsid w:val="001E70FE"/>
    <w:rsid w:val="001F3DF9"/>
    <w:rsid w:val="001F45D7"/>
    <w:rsid w:val="001F4B67"/>
    <w:rsid w:val="001F64D3"/>
    <w:rsid w:val="001F75D8"/>
    <w:rsid w:val="002021F5"/>
    <w:rsid w:val="002025C8"/>
    <w:rsid w:val="0020488B"/>
    <w:rsid w:val="00210CEA"/>
    <w:rsid w:val="00213C98"/>
    <w:rsid w:val="00216824"/>
    <w:rsid w:val="00216CDC"/>
    <w:rsid w:val="00217532"/>
    <w:rsid w:val="00224471"/>
    <w:rsid w:val="00224ADF"/>
    <w:rsid w:val="002328B0"/>
    <w:rsid w:val="002336C1"/>
    <w:rsid w:val="00235B6C"/>
    <w:rsid w:val="00235FC9"/>
    <w:rsid w:val="00243FA1"/>
    <w:rsid w:val="00244DAD"/>
    <w:rsid w:val="00244E30"/>
    <w:rsid w:val="00246D26"/>
    <w:rsid w:val="00253D4B"/>
    <w:rsid w:val="00256423"/>
    <w:rsid w:val="00256F78"/>
    <w:rsid w:val="00257516"/>
    <w:rsid w:val="00261B95"/>
    <w:rsid w:val="00264572"/>
    <w:rsid w:val="00264704"/>
    <w:rsid w:val="002651AF"/>
    <w:rsid w:val="00265E0A"/>
    <w:rsid w:val="00266751"/>
    <w:rsid w:val="0027047C"/>
    <w:rsid w:val="00271EBE"/>
    <w:rsid w:val="00274CE7"/>
    <w:rsid w:val="00276093"/>
    <w:rsid w:val="0028085F"/>
    <w:rsid w:val="00282455"/>
    <w:rsid w:val="002825A9"/>
    <w:rsid w:val="00282AE3"/>
    <w:rsid w:val="00282C00"/>
    <w:rsid w:val="002854A6"/>
    <w:rsid w:val="002877FA"/>
    <w:rsid w:val="002914F6"/>
    <w:rsid w:val="00292CF4"/>
    <w:rsid w:val="00293D77"/>
    <w:rsid w:val="00294100"/>
    <w:rsid w:val="00294538"/>
    <w:rsid w:val="00297F5C"/>
    <w:rsid w:val="002A0D61"/>
    <w:rsid w:val="002A517E"/>
    <w:rsid w:val="002A6566"/>
    <w:rsid w:val="002B63E7"/>
    <w:rsid w:val="002B717D"/>
    <w:rsid w:val="002B71A4"/>
    <w:rsid w:val="002C2E5E"/>
    <w:rsid w:val="002C4DCC"/>
    <w:rsid w:val="002C670F"/>
    <w:rsid w:val="002C75F3"/>
    <w:rsid w:val="002D1F8A"/>
    <w:rsid w:val="002D2AC8"/>
    <w:rsid w:val="002E0083"/>
    <w:rsid w:val="002E0E2D"/>
    <w:rsid w:val="002E1185"/>
    <w:rsid w:val="002E35D2"/>
    <w:rsid w:val="002F2899"/>
    <w:rsid w:val="002F5E03"/>
    <w:rsid w:val="002F7548"/>
    <w:rsid w:val="00300C9F"/>
    <w:rsid w:val="003070DC"/>
    <w:rsid w:val="00312C9F"/>
    <w:rsid w:val="00315E54"/>
    <w:rsid w:val="00316BC6"/>
    <w:rsid w:val="00321731"/>
    <w:rsid w:val="003218CE"/>
    <w:rsid w:val="0032198F"/>
    <w:rsid w:val="003229F0"/>
    <w:rsid w:val="00327ABE"/>
    <w:rsid w:val="003333BA"/>
    <w:rsid w:val="00336329"/>
    <w:rsid w:val="00336739"/>
    <w:rsid w:val="00336752"/>
    <w:rsid w:val="003370C7"/>
    <w:rsid w:val="003417EF"/>
    <w:rsid w:val="00344E0F"/>
    <w:rsid w:val="00345366"/>
    <w:rsid w:val="0034546C"/>
    <w:rsid w:val="00346A10"/>
    <w:rsid w:val="00353831"/>
    <w:rsid w:val="00354578"/>
    <w:rsid w:val="003560AF"/>
    <w:rsid w:val="003560C0"/>
    <w:rsid w:val="003606FD"/>
    <w:rsid w:val="003627C5"/>
    <w:rsid w:val="00362B55"/>
    <w:rsid w:val="0036440A"/>
    <w:rsid w:val="00366F4B"/>
    <w:rsid w:val="003676B8"/>
    <w:rsid w:val="0037083B"/>
    <w:rsid w:val="00373E4B"/>
    <w:rsid w:val="00374F23"/>
    <w:rsid w:val="003845A5"/>
    <w:rsid w:val="00384EEB"/>
    <w:rsid w:val="00394634"/>
    <w:rsid w:val="00395AFD"/>
    <w:rsid w:val="003A33FE"/>
    <w:rsid w:val="003A60CA"/>
    <w:rsid w:val="003A7038"/>
    <w:rsid w:val="003B1605"/>
    <w:rsid w:val="003B1856"/>
    <w:rsid w:val="003B33EB"/>
    <w:rsid w:val="003B522C"/>
    <w:rsid w:val="003C22BE"/>
    <w:rsid w:val="003C290B"/>
    <w:rsid w:val="003C2E5C"/>
    <w:rsid w:val="003C5D56"/>
    <w:rsid w:val="003C6F44"/>
    <w:rsid w:val="003D709F"/>
    <w:rsid w:val="003D78A0"/>
    <w:rsid w:val="003E11C2"/>
    <w:rsid w:val="003E2598"/>
    <w:rsid w:val="003E59EF"/>
    <w:rsid w:val="003E6533"/>
    <w:rsid w:val="003E68B0"/>
    <w:rsid w:val="003E7CC5"/>
    <w:rsid w:val="003F36B1"/>
    <w:rsid w:val="003F3AD7"/>
    <w:rsid w:val="003F5AB9"/>
    <w:rsid w:val="003F79FC"/>
    <w:rsid w:val="0040060A"/>
    <w:rsid w:val="0040078E"/>
    <w:rsid w:val="00400D8D"/>
    <w:rsid w:val="00400DBE"/>
    <w:rsid w:val="00411817"/>
    <w:rsid w:val="00414A27"/>
    <w:rsid w:val="004157F0"/>
    <w:rsid w:val="004167B4"/>
    <w:rsid w:val="00416940"/>
    <w:rsid w:val="0041757D"/>
    <w:rsid w:val="00424A04"/>
    <w:rsid w:val="004277EF"/>
    <w:rsid w:val="00427938"/>
    <w:rsid w:val="00430970"/>
    <w:rsid w:val="00432350"/>
    <w:rsid w:val="00432EA4"/>
    <w:rsid w:val="00433504"/>
    <w:rsid w:val="00435084"/>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54FD5"/>
    <w:rsid w:val="004613B9"/>
    <w:rsid w:val="00461818"/>
    <w:rsid w:val="00462787"/>
    <w:rsid w:val="00463426"/>
    <w:rsid w:val="004656B7"/>
    <w:rsid w:val="004724EA"/>
    <w:rsid w:val="00481805"/>
    <w:rsid w:val="00482190"/>
    <w:rsid w:val="004872E8"/>
    <w:rsid w:val="00490E23"/>
    <w:rsid w:val="00492234"/>
    <w:rsid w:val="00493CDA"/>
    <w:rsid w:val="00495569"/>
    <w:rsid w:val="0049601E"/>
    <w:rsid w:val="00497AFF"/>
    <w:rsid w:val="004A040F"/>
    <w:rsid w:val="004A2207"/>
    <w:rsid w:val="004A26D4"/>
    <w:rsid w:val="004A71E8"/>
    <w:rsid w:val="004B1E6B"/>
    <w:rsid w:val="004B4018"/>
    <w:rsid w:val="004B78F8"/>
    <w:rsid w:val="004C02D2"/>
    <w:rsid w:val="004C5A8F"/>
    <w:rsid w:val="004C6D4A"/>
    <w:rsid w:val="004D0D0E"/>
    <w:rsid w:val="004D6FD7"/>
    <w:rsid w:val="004E2051"/>
    <w:rsid w:val="004E5035"/>
    <w:rsid w:val="004E71B6"/>
    <w:rsid w:val="004F08BA"/>
    <w:rsid w:val="004F1C5C"/>
    <w:rsid w:val="004F373D"/>
    <w:rsid w:val="004F48F0"/>
    <w:rsid w:val="004F5BE6"/>
    <w:rsid w:val="004F7DA9"/>
    <w:rsid w:val="005100E9"/>
    <w:rsid w:val="005105AE"/>
    <w:rsid w:val="0051236D"/>
    <w:rsid w:val="005158C2"/>
    <w:rsid w:val="00522799"/>
    <w:rsid w:val="00524C09"/>
    <w:rsid w:val="005261A8"/>
    <w:rsid w:val="00527D26"/>
    <w:rsid w:val="00532173"/>
    <w:rsid w:val="005328A4"/>
    <w:rsid w:val="0053328A"/>
    <w:rsid w:val="005350B8"/>
    <w:rsid w:val="005372EB"/>
    <w:rsid w:val="0054041F"/>
    <w:rsid w:val="00540D9B"/>
    <w:rsid w:val="005429A1"/>
    <w:rsid w:val="00542DBB"/>
    <w:rsid w:val="0054622D"/>
    <w:rsid w:val="00547137"/>
    <w:rsid w:val="00547A6B"/>
    <w:rsid w:val="00553285"/>
    <w:rsid w:val="00556079"/>
    <w:rsid w:val="0055641F"/>
    <w:rsid w:val="00556940"/>
    <w:rsid w:val="00556BB9"/>
    <w:rsid w:val="00557AAC"/>
    <w:rsid w:val="00567357"/>
    <w:rsid w:val="005675DA"/>
    <w:rsid w:val="005713E4"/>
    <w:rsid w:val="00575398"/>
    <w:rsid w:val="00575608"/>
    <w:rsid w:val="00575C84"/>
    <w:rsid w:val="00576532"/>
    <w:rsid w:val="0058641F"/>
    <w:rsid w:val="00587D9F"/>
    <w:rsid w:val="0059274C"/>
    <w:rsid w:val="005A09CE"/>
    <w:rsid w:val="005A16E1"/>
    <w:rsid w:val="005A2867"/>
    <w:rsid w:val="005A2A02"/>
    <w:rsid w:val="005A2B2B"/>
    <w:rsid w:val="005A4F2A"/>
    <w:rsid w:val="005B2826"/>
    <w:rsid w:val="005B5682"/>
    <w:rsid w:val="005B6F08"/>
    <w:rsid w:val="005B73EA"/>
    <w:rsid w:val="005C2C2D"/>
    <w:rsid w:val="005C3C00"/>
    <w:rsid w:val="005C4934"/>
    <w:rsid w:val="005C5534"/>
    <w:rsid w:val="005D0FFD"/>
    <w:rsid w:val="005D1101"/>
    <w:rsid w:val="005D2437"/>
    <w:rsid w:val="005D3B1F"/>
    <w:rsid w:val="005D3DB5"/>
    <w:rsid w:val="005D5DDE"/>
    <w:rsid w:val="005E190D"/>
    <w:rsid w:val="005E5F94"/>
    <w:rsid w:val="005F1D23"/>
    <w:rsid w:val="005F3783"/>
    <w:rsid w:val="005F3EE3"/>
    <w:rsid w:val="005F4A5A"/>
    <w:rsid w:val="005F649D"/>
    <w:rsid w:val="00600399"/>
    <w:rsid w:val="00600475"/>
    <w:rsid w:val="00606BE1"/>
    <w:rsid w:val="006074FF"/>
    <w:rsid w:val="00612B75"/>
    <w:rsid w:val="00612DF0"/>
    <w:rsid w:val="0061366B"/>
    <w:rsid w:val="006139B3"/>
    <w:rsid w:val="00614D0C"/>
    <w:rsid w:val="006157FC"/>
    <w:rsid w:val="0061590C"/>
    <w:rsid w:val="0062128F"/>
    <w:rsid w:val="00625750"/>
    <w:rsid w:val="00626112"/>
    <w:rsid w:val="0062655C"/>
    <w:rsid w:val="006277F6"/>
    <w:rsid w:val="0062789D"/>
    <w:rsid w:val="00630B3E"/>
    <w:rsid w:val="00630FE7"/>
    <w:rsid w:val="00635687"/>
    <w:rsid w:val="00635805"/>
    <w:rsid w:val="00636AEE"/>
    <w:rsid w:val="00636CD2"/>
    <w:rsid w:val="00640DF0"/>
    <w:rsid w:val="00640F13"/>
    <w:rsid w:val="00642BDF"/>
    <w:rsid w:val="006448B4"/>
    <w:rsid w:val="00646B40"/>
    <w:rsid w:val="00654F2B"/>
    <w:rsid w:val="00656F8E"/>
    <w:rsid w:val="00660578"/>
    <w:rsid w:val="00661180"/>
    <w:rsid w:val="006614CF"/>
    <w:rsid w:val="00662B6F"/>
    <w:rsid w:val="00663F2F"/>
    <w:rsid w:val="00664D5D"/>
    <w:rsid w:val="00664D78"/>
    <w:rsid w:val="00674191"/>
    <w:rsid w:val="0067427A"/>
    <w:rsid w:val="00674937"/>
    <w:rsid w:val="006778B5"/>
    <w:rsid w:val="0068568A"/>
    <w:rsid w:val="00686109"/>
    <w:rsid w:val="00691442"/>
    <w:rsid w:val="00691773"/>
    <w:rsid w:val="00694194"/>
    <w:rsid w:val="0069493E"/>
    <w:rsid w:val="0069644B"/>
    <w:rsid w:val="006A16ED"/>
    <w:rsid w:val="006A297F"/>
    <w:rsid w:val="006A3087"/>
    <w:rsid w:val="006A468E"/>
    <w:rsid w:val="006A5C1B"/>
    <w:rsid w:val="006A6E75"/>
    <w:rsid w:val="006B0921"/>
    <w:rsid w:val="006B0E04"/>
    <w:rsid w:val="006B3ED2"/>
    <w:rsid w:val="006B55C7"/>
    <w:rsid w:val="006B6981"/>
    <w:rsid w:val="006B72A2"/>
    <w:rsid w:val="006B77E7"/>
    <w:rsid w:val="006C0DCF"/>
    <w:rsid w:val="006C120F"/>
    <w:rsid w:val="006C15F8"/>
    <w:rsid w:val="006C1DEE"/>
    <w:rsid w:val="006C3AEC"/>
    <w:rsid w:val="006C7828"/>
    <w:rsid w:val="006D0968"/>
    <w:rsid w:val="006D44F3"/>
    <w:rsid w:val="006D4655"/>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11E0"/>
    <w:rsid w:val="007232C8"/>
    <w:rsid w:val="00723DE9"/>
    <w:rsid w:val="0072462A"/>
    <w:rsid w:val="007265DC"/>
    <w:rsid w:val="007279D5"/>
    <w:rsid w:val="00732DF0"/>
    <w:rsid w:val="007342C9"/>
    <w:rsid w:val="00742C3A"/>
    <w:rsid w:val="007430A2"/>
    <w:rsid w:val="007435DB"/>
    <w:rsid w:val="00744683"/>
    <w:rsid w:val="0074521E"/>
    <w:rsid w:val="00746CF3"/>
    <w:rsid w:val="00747D5C"/>
    <w:rsid w:val="00751DEB"/>
    <w:rsid w:val="00752231"/>
    <w:rsid w:val="00754921"/>
    <w:rsid w:val="00756550"/>
    <w:rsid w:val="00764137"/>
    <w:rsid w:val="007704A9"/>
    <w:rsid w:val="007704E0"/>
    <w:rsid w:val="00771F68"/>
    <w:rsid w:val="00774122"/>
    <w:rsid w:val="00774356"/>
    <w:rsid w:val="0077632B"/>
    <w:rsid w:val="0078189D"/>
    <w:rsid w:val="0078463D"/>
    <w:rsid w:val="007848D6"/>
    <w:rsid w:val="007868EF"/>
    <w:rsid w:val="00787E52"/>
    <w:rsid w:val="00795ADD"/>
    <w:rsid w:val="007979C9"/>
    <w:rsid w:val="007A2AD5"/>
    <w:rsid w:val="007A4CB7"/>
    <w:rsid w:val="007A7659"/>
    <w:rsid w:val="007B017F"/>
    <w:rsid w:val="007B0735"/>
    <w:rsid w:val="007B07D4"/>
    <w:rsid w:val="007B1A8A"/>
    <w:rsid w:val="007B5C54"/>
    <w:rsid w:val="007B5F8B"/>
    <w:rsid w:val="007B63DC"/>
    <w:rsid w:val="007B70A7"/>
    <w:rsid w:val="007B7F6B"/>
    <w:rsid w:val="007C1686"/>
    <w:rsid w:val="007C4536"/>
    <w:rsid w:val="007C7102"/>
    <w:rsid w:val="007D0A9F"/>
    <w:rsid w:val="007D52C2"/>
    <w:rsid w:val="007D62AC"/>
    <w:rsid w:val="007D7CF3"/>
    <w:rsid w:val="007E0349"/>
    <w:rsid w:val="007E3F24"/>
    <w:rsid w:val="007E47EE"/>
    <w:rsid w:val="007E4943"/>
    <w:rsid w:val="007E5D1D"/>
    <w:rsid w:val="007E72FA"/>
    <w:rsid w:val="007E7A18"/>
    <w:rsid w:val="007F024B"/>
    <w:rsid w:val="007F0B12"/>
    <w:rsid w:val="007F3AD5"/>
    <w:rsid w:val="00800DE5"/>
    <w:rsid w:val="00801370"/>
    <w:rsid w:val="008027E1"/>
    <w:rsid w:val="00805710"/>
    <w:rsid w:val="00807FDB"/>
    <w:rsid w:val="008119EF"/>
    <w:rsid w:val="00812585"/>
    <w:rsid w:val="00812A1F"/>
    <w:rsid w:val="00820AEF"/>
    <w:rsid w:val="008220EC"/>
    <w:rsid w:val="00822546"/>
    <w:rsid w:val="00824D23"/>
    <w:rsid w:val="0082790F"/>
    <w:rsid w:val="00827960"/>
    <w:rsid w:val="00833136"/>
    <w:rsid w:val="00833D9E"/>
    <w:rsid w:val="008345FC"/>
    <w:rsid w:val="008346A6"/>
    <w:rsid w:val="00840AE6"/>
    <w:rsid w:val="0084333A"/>
    <w:rsid w:val="00843CF2"/>
    <w:rsid w:val="00845C94"/>
    <w:rsid w:val="00846421"/>
    <w:rsid w:val="008471FA"/>
    <w:rsid w:val="00847C55"/>
    <w:rsid w:val="00847F47"/>
    <w:rsid w:val="00854BFA"/>
    <w:rsid w:val="008561CC"/>
    <w:rsid w:val="00857D45"/>
    <w:rsid w:val="00861600"/>
    <w:rsid w:val="00861BBD"/>
    <w:rsid w:val="00865E0F"/>
    <w:rsid w:val="00874D33"/>
    <w:rsid w:val="00875115"/>
    <w:rsid w:val="0087786D"/>
    <w:rsid w:val="0087797C"/>
    <w:rsid w:val="00880880"/>
    <w:rsid w:val="00882742"/>
    <w:rsid w:val="008831B4"/>
    <w:rsid w:val="00894320"/>
    <w:rsid w:val="008A24AB"/>
    <w:rsid w:val="008A2EB2"/>
    <w:rsid w:val="008A60EC"/>
    <w:rsid w:val="008A6E04"/>
    <w:rsid w:val="008A79F9"/>
    <w:rsid w:val="008A7C56"/>
    <w:rsid w:val="008B5AF2"/>
    <w:rsid w:val="008B661C"/>
    <w:rsid w:val="008B67F0"/>
    <w:rsid w:val="008C144B"/>
    <w:rsid w:val="008C15D7"/>
    <w:rsid w:val="008C3C7D"/>
    <w:rsid w:val="008C5CAD"/>
    <w:rsid w:val="008D09BF"/>
    <w:rsid w:val="008D2EDA"/>
    <w:rsid w:val="008D5B9C"/>
    <w:rsid w:val="008E0F18"/>
    <w:rsid w:val="008E1419"/>
    <w:rsid w:val="008E1FD4"/>
    <w:rsid w:val="008E5BE8"/>
    <w:rsid w:val="008F00CA"/>
    <w:rsid w:val="008F13D3"/>
    <w:rsid w:val="008F1D76"/>
    <w:rsid w:val="008F2C86"/>
    <w:rsid w:val="008F41BA"/>
    <w:rsid w:val="009006F8"/>
    <w:rsid w:val="00900C94"/>
    <w:rsid w:val="0090122F"/>
    <w:rsid w:val="00901383"/>
    <w:rsid w:val="00901622"/>
    <w:rsid w:val="00903F4E"/>
    <w:rsid w:val="009040F1"/>
    <w:rsid w:val="00904933"/>
    <w:rsid w:val="00904C54"/>
    <w:rsid w:val="00905270"/>
    <w:rsid w:val="00907D6F"/>
    <w:rsid w:val="00913122"/>
    <w:rsid w:val="009132E1"/>
    <w:rsid w:val="00913B68"/>
    <w:rsid w:val="00915777"/>
    <w:rsid w:val="009161E5"/>
    <w:rsid w:val="0092127B"/>
    <w:rsid w:val="0092378B"/>
    <w:rsid w:val="0092519C"/>
    <w:rsid w:val="00925672"/>
    <w:rsid w:val="00926EF1"/>
    <w:rsid w:val="009323F7"/>
    <w:rsid w:val="009355ED"/>
    <w:rsid w:val="009379B4"/>
    <w:rsid w:val="009417FC"/>
    <w:rsid w:val="0094294A"/>
    <w:rsid w:val="00943C69"/>
    <w:rsid w:val="00943F65"/>
    <w:rsid w:val="00944452"/>
    <w:rsid w:val="00944791"/>
    <w:rsid w:val="00944BA6"/>
    <w:rsid w:val="0094516A"/>
    <w:rsid w:val="00945A06"/>
    <w:rsid w:val="00950287"/>
    <w:rsid w:val="00953386"/>
    <w:rsid w:val="00953767"/>
    <w:rsid w:val="009539EF"/>
    <w:rsid w:val="00954BE2"/>
    <w:rsid w:val="00957EFC"/>
    <w:rsid w:val="00960E6F"/>
    <w:rsid w:val="00960EF3"/>
    <w:rsid w:val="00961F39"/>
    <w:rsid w:val="00962DD7"/>
    <w:rsid w:val="00963678"/>
    <w:rsid w:val="009678A0"/>
    <w:rsid w:val="00967F0A"/>
    <w:rsid w:val="00970FAD"/>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1DCE"/>
    <w:rsid w:val="009C5100"/>
    <w:rsid w:val="009D462B"/>
    <w:rsid w:val="009E240D"/>
    <w:rsid w:val="009E5BDD"/>
    <w:rsid w:val="009E7068"/>
    <w:rsid w:val="009E7757"/>
    <w:rsid w:val="009F0DBD"/>
    <w:rsid w:val="009F1DB9"/>
    <w:rsid w:val="009F3E9B"/>
    <w:rsid w:val="009F68A1"/>
    <w:rsid w:val="009F6CD5"/>
    <w:rsid w:val="009F743D"/>
    <w:rsid w:val="00A00090"/>
    <w:rsid w:val="00A01389"/>
    <w:rsid w:val="00A017B8"/>
    <w:rsid w:val="00A11E17"/>
    <w:rsid w:val="00A11EA2"/>
    <w:rsid w:val="00A11FC0"/>
    <w:rsid w:val="00A148BB"/>
    <w:rsid w:val="00A15C77"/>
    <w:rsid w:val="00A16CBA"/>
    <w:rsid w:val="00A16EB4"/>
    <w:rsid w:val="00A217D0"/>
    <w:rsid w:val="00A21818"/>
    <w:rsid w:val="00A243E6"/>
    <w:rsid w:val="00A249BF"/>
    <w:rsid w:val="00A324E7"/>
    <w:rsid w:val="00A36722"/>
    <w:rsid w:val="00A36E41"/>
    <w:rsid w:val="00A36F49"/>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30C"/>
    <w:rsid w:val="00A81411"/>
    <w:rsid w:val="00A816F5"/>
    <w:rsid w:val="00A822B5"/>
    <w:rsid w:val="00A82349"/>
    <w:rsid w:val="00A91EA7"/>
    <w:rsid w:val="00A92CCB"/>
    <w:rsid w:val="00A92E59"/>
    <w:rsid w:val="00A955B0"/>
    <w:rsid w:val="00A95651"/>
    <w:rsid w:val="00A96017"/>
    <w:rsid w:val="00A964CD"/>
    <w:rsid w:val="00A979F1"/>
    <w:rsid w:val="00AA21BD"/>
    <w:rsid w:val="00AA2497"/>
    <w:rsid w:val="00AA3B73"/>
    <w:rsid w:val="00AA53EF"/>
    <w:rsid w:val="00AA6CB5"/>
    <w:rsid w:val="00AA724C"/>
    <w:rsid w:val="00AA7B68"/>
    <w:rsid w:val="00AB0969"/>
    <w:rsid w:val="00AB13FB"/>
    <w:rsid w:val="00AB163E"/>
    <w:rsid w:val="00AB3ACF"/>
    <w:rsid w:val="00AB4D68"/>
    <w:rsid w:val="00AB6FDF"/>
    <w:rsid w:val="00AC1A70"/>
    <w:rsid w:val="00AC2CFE"/>
    <w:rsid w:val="00AC5286"/>
    <w:rsid w:val="00AC5A0C"/>
    <w:rsid w:val="00AC6794"/>
    <w:rsid w:val="00AC6F4A"/>
    <w:rsid w:val="00AC7794"/>
    <w:rsid w:val="00AD07E0"/>
    <w:rsid w:val="00AD0C84"/>
    <w:rsid w:val="00AD3067"/>
    <w:rsid w:val="00AD516E"/>
    <w:rsid w:val="00AD57A5"/>
    <w:rsid w:val="00AD61A1"/>
    <w:rsid w:val="00AD693F"/>
    <w:rsid w:val="00AD7A83"/>
    <w:rsid w:val="00AE07A0"/>
    <w:rsid w:val="00AE0E19"/>
    <w:rsid w:val="00AE103A"/>
    <w:rsid w:val="00AE23A6"/>
    <w:rsid w:val="00AE2DA0"/>
    <w:rsid w:val="00AE300B"/>
    <w:rsid w:val="00AE32BC"/>
    <w:rsid w:val="00AE62BC"/>
    <w:rsid w:val="00AF36D4"/>
    <w:rsid w:val="00AF37D1"/>
    <w:rsid w:val="00AF545D"/>
    <w:rsid w:val="00AF61BE"/>
    <w:rsid w:val="00B00B5B"/>
    <w:rsid w:val="00B02981"/>
    <w:rsid w:val="00B02D29"/>
    <w:rsid w:val="00B05E90"/>
    <w:rsid w:val="00B06AB6"/>
    <w:rsid w:val="00B1003A"/>
    <w:rsid w:val="00B1447C"/>
    <w:rsid w:val="00B164F7"/>
    <w:rsid w:val="00B2111F"/>
    <w:rsid w:val="00B2117B"/>
    <w:rsid w:val="00B215B0"/>
    <w:rsid w:val="00B21CE2"/>
    <w:rsid w:val="00B2371A"/>
    <w:rsid w:val="00B242AB"/>
    <w:rsid w:val="00B24F68"/>
    <w:rsid w:val="00B2685F"/>
    <w:rsid w:val="00B33BF4"/>
    <w:rsid w:val="00B3617B"/>
    <w:rsid w:val="00B369F1"/>
    <w:rsid w:val="00B37B2F"/>
    <w:rsid w:val="00B37EEC"/>
    <w:rsid w:val="00B434F2"/>
    <w:rsid w:val="00B44A82"/>
    <w:rsid w:val="00B47418"/>
    <w:rsid w:val="00B47F9C"/>
    <w:rsid w:val="00B50BD8"/>
    <w:rsid w:val="00B52602"/>
    <w:rsid w:val="00B56213"/>
    <w:rsid w:val="00B57810"/>
    <w:rsid w:val="00B60400"/>
    <w:rsid w:val="00B60F85"/>
    <w:rsid w:val="00B6217B"/>
    <w:rsid w:val="00B645FD"/>
    <w:rsid w:val="00B70D0D"/>
    <w:rsid w:val="00B71542"/>
    <w:rsid w:val="00B74B9C"/>
    <w:rsid w:val="00B774DC"/>
    <w:rsid w:val="00B77761"/>
    <w:rsid w:val="00B81822"/>
    <w:rsid w:val="00B820EF"/>
    <w:rsid w:val="00B8210D"/>
    <w:rsid w:val="00B8297C"/>
    <w:rsid w:val="00B84A75"/>
    <w:rsid w:val="00B9067F"/>
    <w:rsid w:val="00B9181D"/>
    <w:rsid w:val="00B93CE0"/>
    <w:rsid w:val="00B948C3"/>
    <w:rsid w:val="00BA4DFB"/>
    <w:rsid w:val="00BB1AFB"/>
    <w:rsid w:val="00BB376B"/>
    <w:rsid w:val="00BB3C60"/>
    <w:rsid w:val="00BC3FED"/>
    <w:rsid w:val="00BC61B5"/>
    <w:rsid w:val="00BC6C56"/>
    <w:rsid w:val="00BD0689"/>
    <w:rsid w:val="00BD20F2"/>
    <w:rsid w:val="00BD5216"/>
    <w:rsid w:val="00BE3467"/>
    <w:rsid w:val="00BE5F1A"/>
    <w:rsid w:val="00BE7A93"/>
    <w:rsid w:val="00BF3168"/>
    <w:rsid w:val="00BF7E43"/>
    <w:rsid w:val="00C013B0"/>
    <w:rsid w:val="00C01943"/>
    <w:rsid w:val="00C02368"/>
    <w:rsid w:val="00C02C30"/>
    <w:rsid w:val="00C02E04"/>
    <w:rsid w:val="00C0490C"/>
    <w:rsid w:val="00C04D8B"/>
    <w:rsid w:val="00C067FC"/>
    <w:rsid w:val="00C137AD"/>
    <w:rsid w:val="00C14EE0"/>
    <w:rsid w:val="00C171D5"/>
    <w:rsid w:val="00C17CE4"/>
    <w:rsid w:val="00C20964"/>
    <w:rsid w:val="00C20FCE"/>
    <w:rsid w:val="00C214DE"/>
    <w:rsid w:val="00C40635"/>
    <w:rsid w:val="00C47BC8"/>
    <w:rsid w:val="00C47E0E"/>
    <w:rsid w:val="00C50951"/>
    <w:rsid w:val="00C5235A"/>
    <w:rsid w:val="00C53CFE"/>
    <w:rsid w:val="00C558CD"/>
    <w:rsid w:val="00C55B7E"/>
    <w:rsid w:val="00C56F43"/>
    <w:rsid w:val="00C5701A"/>
    <w:rsid w:val="00C616D3"/>
    <w:rsid w:val="00C63F21"/>
    <w:rsid w:val="00C644F8"/>
    <w:rsid w:val="00C64AB1"/>
    <w:rsid w:val="00C7064C"/>
    <w:rsid w:val="00C73573"/>
    <w:rsid w:val="00C744C8"/>
    <w:rsid w:val="00C74736"/>
    <w:rsid w:val="00C75F20"/>
    <w:rsid w:val="00C76C6D"/>
    <w:rsid w:val="00C76D90"/>
    <w:rsid w:val="00C77171"/>
    <w:rsid w:val="00C77B31"/>
    <w:rsid w:val="00C80417"/>
    <w:rsid w:val="00C815EA"/>
    <w:rsid w:val="00C81DC7"/>
    <w:rsid w:val="00C82759"/>
    <w:rsid w:val="00C8505E"/>
    <w:rsid w:val="00C858B7"/>
    <w:rsid w:val="00C86E61"/>
    <w:rsid w:val="00C878A6"/>
    <w:rsid w:val="00C90CBF"/>
    <w:rsid w:val="00C93E54"/>
    <w:rsid w:val="00C93ED6"/>
    <w:rsid w:val="00C9409C"/>
    <w:rsid w:val="00C97A8E"/>
    <w:rsid w:val="00CA18E7"/>
    <w:rsid w:val="00CA1FB4"/>
    <w:rsid w:val="00CA4000"/>
    <w:rsid w:val="00CA56FB"/>
    <w:rsid w:val="00CA5A43"/>
    <w:rsid w:val="00CA6C69"/>
    <w:rsid w:val="00CB04C6"/>
    <w:rsid w:val="00CB7679"/>
    <w:rsid w:val="00CC4FB7"/>
    <w:rsid w:val="00CC6044"/>
    <w:rsid w:val="00CD171E"/>
    <w:rsid w:val="00CD3381"/>
    <w:rsid w:val="00CE01DB"/>
    <w:rsid w:val="00CE12AB"/>
    <w:rsid w:val="00CE1761"/>
    <w:rsid w:val="00CE1CBA"/>
    <w:rsid w:val="00CF0607"/>
    <w:rsid w:val="00CF0BEC"/>
    <w:rsid w:val="00CF1473"/>
    <w:rsid w:val="00CF3C99"/>
    <w:rsid w:val="00CF4457"/>
    <w:rsid w:val="00CF4DC1"/>
    <w:rsid w:val="00CF688E"/>
    <w:rsid w:val="00CF6AC8"/>
    <w:rsid w:val="00D0069B"/>
    <w:rsid w:val="00D02709"/>
    <w:rsid w:val="00D03EB9"/>
    <w:rsid w:val="00D04806"/>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D8C"/>
    <w:rsid w:val="00D519A8"/>
    <w:rsid w:val="00D51D31"/>
    <w:rsid w:val="00D5241E"/>
    <w:rsid w:val="00D526E8"/>
    <w:rsid w:val="00D547FB"/>
    <w:rsid w:val="00D56FC7"/>
    <w:rsid w:val="00D603BE"/>
    <w:rsid w:val="00D613C4"/>
    <w:rsid w:val="00D618D8"/>
    <w:rsid w:val="00D61B20"/>
    <w:rsid w:val="00D61D3A"/>
    <w:rsid w:val="00D627F9"/>
    <w:rsid w:val="00D62E8B"/>
    <w:rsid w:val="00D6518E"/>
    <w:rsid w:val="00D66441"/>
    <w:rsid w:val="00D67637"/>
    <w:rsid w:val="00D676A2"/>
    <w:rsid w:val="00D72C80"/>
    <w:rsid w:val="00D740A6"/>
    <w:rsid w:val="00D758FB"/>
    <w:rsid w:val="00D8067A"/>
    <w:rsid w:val="00D821CF"/>
    <w:rsid w:val="00D84359"/>
    <w:rsid w:val="00D84CE3"/>
    <w:rsid w:val="00D85D12"/>
    <w:rsid w:val="00D8674A"/>
    <w:rsid w:val="00D867D7"/>
    <w:rsid w:val="00D90EE8"/>
    <w:rsid w:val="00D91E7C"/>
    <w:rsid w:val="00D95C9D"/>
    <w:rsid w:val="00D9632B"/>
    <w:rsid w:val="00DA47AB"/>
    <w:rsid w:val="00DB2CCF"/>
    <w:rsid w:val="00DB3826"/>
    <w:rsid w:val="00DB67C3"/>
    <w:rsid w:val="00DB7A6C"/>
    <w:rsid w:val="00DC46F3"/>
    <w:rsid w:val="00DC47D0"/>
    <w:rsid w:val="00DC5485"/>
    <w:rsid w:val="00DC5BF4"/>
    <w:rsid w:val="00DD0624"/>
    <w:rsid w:val="00DD267E"/>
    <w:rsid w:val="00DD28EF"/>
    <w:rsid w:val="00DD3E2E"/>
    <w:rsid w:val="00DD5F89"/>
    <w:rsid w:val="00DD79AA"/>
    <w:rsid w:val="00DE09A4"/>
    <w:rsid w:val="00DE107B"/>
    <w:rsid w:val="00DE609D"/>
    <w:rsid w:val="00DE623E"/>
    <w:rsid w:val="00DE62F8"/>
    <w:rsid w:val="00DE7BE6"/>
    <w:rsid w:val="00DF1CCA"/>
    <w:rsid w:val="00DF4DA3"/>
    <w:rsid w:val="00DF4F8F"/>
    <w:rsid w:val="00DF72BA"/>
    <w:rsid w:val="00E01A4F"/>
    <w:rsid w:val="00E02AB0"/>
    <w:rsid w:val="00E02BFE"/>
    <w:rsid w:val="00E0329B"/>
    <w:rsid w:val="00E03326"/>
    <w:rsid w:val="00E03449"/>
    <w:rsid w:val="00E0571D"/>
    <w:rsid w:val="00E06648"/>
    <w:rsid w:val="00E11CEE"/>
    <w:rsid w:val="00E131D1"/>
    <w:rsid w:val="00E13624"/>
    <w:rsid w:val="00E1683D"/>
    <w:rsid w:val="00E17EB8"/>
    <w:rsid w:val="00E200FA"/>
    <w:rsid w:val="00E2321F"/>
    <w:rsid w:val="00E2326E"/>
    <w:rsid w:val="00E237B2"/>
    <w:rsid w:val="00E238AE"/>
    <w:rsid w:val="00E250FE"/>
    <w:rsid w:val="00E26758"/>
    <w:rsid w:val="00E26E66"/>
    <w:rsid w:val="00E318C6"/>
    <w:rsid w:val="00E374CE"/>
    <w:rsid w:val="00E42FE8"/>
    <w:rsid w:val="00E43DB0"/>
    <w:rsid w:val="00E43FE6"/>
    <w:rsid w:val="00E441BE"/>
    <w:rsid w:val="00E4484B"/>
    <w:rsid w:val="00E44FBA"/>
    <w:rsid w:val="00E451B9"/>
    <w:rsid w:val="00E457EE"/>
    <w:rsid w:val="00E46293"/>
    <w:rsid w:val="00E46658"/>
    <w:rsid w:val="00E52385"/>
    <w:rsid w:val="00E52423"/>
    <w:rsid w:val="00E52DA2"/>
    <w:rsid w:val="00E5469D"/>
    <w:rsid w:val="00E61BDD"/>
    <w:rsid w:val="00E62029"/>
    <w:rsid w:val="00E629A4"/>
    <w:rsid w:val="00E6344A"/>
    <w:rsid w:val="00E66BC4"/>
    <w:rsid w:val="00E712D1"/>
    <w:rsid w:val="00E7244B"/>
    <w:rsid w:val="00E73F44"/>
    <w:rsid w:val="00E81D14"/>
    <w:rsid w:val="00E828DE"/>
    <w:rsid w:val="00E9008E"/>
    <w:rsid w:val="00E91511"/>
    <w:rsid w:val="00E92A0D"/>
    <w:rsid w:val="00E9321E"/>
    <w:rsid w:val="00E94059"/>
    <w:rsid w:val="00E952D2"/>
    <w:rsid w:val="00EA0179"/>
    <w:rsid w:val="00EA50D3"/>
    <w:rsid w:val="00EB378D"/>
    <w:rsid w:val="00EB3FD4"/>
    <w:rsid w:val="00EB5DD1"/>
    <w:rsid w:val="00EB739A"/>
    <w:rsid w:val="00EB7EAB"/>
    <w:rsid w:val="00EC09F5"/>
    <w:rsid w:val="00EC15BA"/>
    <w:rsid w:val="00EC3EA4"/>
    <w:rsid w:val="00EC57EC"/>
    <w:rsid w:val="00EC700E"/>
    <w:rsid w:val="00EC7574"/>
    <w:rsid w:val="00ED1100"/>
    <w:rsid w:val="00ED24C7"/>
    <w:rsid w:val="00ED2D09"/>
    <w:rsid w:val="00ED542F"/>
    <w:rsid w:val="00ED553D"/>
    <w:rsid w:val="00ED67A1"/>
    <w:rsid w:val="00EE1CC3"/>
    <w:rsid w:val="00EE55B6"/>
    <w:rsid w:val="00EE6A34"/>
    <w:rsid w:val="00EE7F34"/>
    <w:rsid w:val="00EF3BEF"/>
    <w:rsid w:val="00EF4E6F"/>
    <w:rsid w:val="00EF5DAB"/>
    <w:rsid w:val="00EF63D5"/>
    <w:rsid w:val="00F00586"/>
    <w:rsid w:val="00F01C02"/>
    <w:rsid w:val="00F107E2"/>
    <w:rsid w:val="00F10E43"/>
    <w:rsid w:val="00F121B1"/>
    <w:rsid w:val="00F12921"/>
    <w:rsid w:val="00F12AA3"/>
    <w:rsid w:val="00F1508F"/>
    <w:rsid w:val="00F15926"/>
    <w:rsid w:val="00F15C2D"/>
    <w:rsid w:val="00F172D7"/>
    <w:rsid w:val="00F21B33"/>
    <w:rsid w:val="00F25651"/>
    <w:rsid w:val="00F25A73"/>
    <w:rsid w:val="00F27140"/>
    <w:rsid w:val="00F27461"/>
    <w:rsid w:val="00F275F4"/>
    <w:rsid w:val="00F30D21"/>
    <w:rsid w:val="00F316D9"/>
    <w:rsid w:val="00F31B7A"/>
    <w:rsid w:val="00F32214"/>
    <w:rsid w:val="00F346A0"/>
    <w:rsid w:val="00F42E04"/>
    <w:rsid w:val="00F4351B"/>
    <w:rsid w:val="00F437EA"/>
    <w:rsid w:val="00F535D6"/>
    <w:rsid w:val="00F538F8"/>
    <w:rsid w:val="00F55AA2"/>
    <w:rsid w:val="00F57F1B"/>
    <w:rsid w:val="00F61801"/>
    <w:rsid w:val="00F61F07"/>
    <w:rsid w:val="00F61F8D"/>
    <w:rsid w:val="00F62827"/>
    <w:rsid w:val="00F63E54"/>
    <w:rsid w:val="00F65FEA"/>
    <w:rsid w:val="00F70BD0"/>
    <w:rsid w:val="00F72100"/>
    <w:rsid w:val="00F74E28"/>
    <w:rsid w:val="00F75389"/>
    <w:rsid w:val="00F755A4"/>
    <w:rsid w:val="00F818B3"/>
    <w:rsid w:val="00F83C57"/>
    <w:rsid w:val="00F8466C"/>
    <w:rsid w:val="00F86E1D"/>
    <w:rsid w:val="00F903F2"/>
    <w:rsid w:val="00F907EA"/>
    <w:rsid w:val="00F915EA"/>
    <w:rsid w:val="00F93309"/>
    <w:rsid w:val="00F9498B"/>
    <w:rsid w:val="00F97FC2"/>
    <w:rsid w:val="00FA3B9B"/>
    <w:rsid w:val="00FA7F1C"/>
    <w:rsid w:val="00FB1E82"/>
    <w:rsid w:val="00FB22DC"/>
    <w:rsid w:val="00FB550F"/>
    <w:rsid w:val="00FB57D6"/>
    <w:rsid w:val="00FB64D2"/>
    <w:rsid w:val="00FB6EF1"/>
    <w:rsid w:val="00FC2153"/>
    <w:rsid w:val="00FC296F"/>
    <w:rsid w:val="00FC52A3"/>
    <w:rsid w:val="00FC72D0"/>
    <w:rsid w:val="00FD5020"/>
    <w:rsid w:val="00FD5FD5"/>
    <w:rsid w:val="00FE195E"/>
    <w:rsid w:val="00FE29A0"/>
    <w:rsid w:val="00FE5E75"/>
    <w:rsid w:val="00FE5ED2"/>
    <w:rsid w:val="00FE750A"/>
    <w:rsid w:val="00FF0FD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semiHidden/>
    <w:unhideWhenUsed/>
    <w:rsid w:val="00B774DC"/>
    <w:rPr>
      <w:sz w:val="16"/>
      <w:szCs w:val="16"/>
    </w:rPr>
  </w:style>
  <w:style w:type="paragraph" w:styleId="CommentText">
    <w:name w:val="annotation text"/>
    <w:basedOn w:val="Normal"/>
    <w:link w:val="CommentTextChar"/>
    <w:semiHidden/>
    <w:unhideWhenUsed/>
    <w:rsid w:val="00B774DC"/>
    <w:rPr>
      <w:szCs w:val="20"/>
    </w:rPr>
  </w:style>
  <w:style w:type="character" w:customStyle="1" w:styleId="CommentTextChar">
    <w:name w:val="Comment Text Char"/>
    <w:basedOn w:val="DefaultParagraphFont"/>
    <w:link w:val="CommentTex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styleId="NormalWeb">
    <w:name w:val="Normal (Web)"/>
    <w:basedOn w:val="Normal"/>
    <w:uiPriority w:val="99"/>
    <w:unhideWhenUsed/>
    <w:qFormat/>
    <w:rsid w:val="00CB04C6"/>
    <w:pPr>
      <w:spacing w:before="100" w:beforeAutospacing="1" w:after="100" w:afterAutospacing="1"/>
    </w:pPr>
    <w:rPr>
      <w:rFonts w:eastAsia="Calibri"/>
      <w:sz w:val="24"/>
    </w:rPr>
  </w:style>
  <w:style w:type="character" w:customStyle="1" w:styleId="msoins0">
    <w:name w:val="msoins"/>
    <w:basedOn w:val="DefaultParagraphFont"/>
    <w:rsid w:val="00191F67"/>
  </w:style>
  <w:style w:type="paragraph" w:customStyle="1" w:styleId="xxxmsonormal">
    <w:name w:val="x_xxmsonormal"/>
    <w:basedOn w:val="Normal"/>
    <w:uiPriority w:val="99"/>
    <w:rsid w:val="001F64D3"/>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4054</Words>
  <Characters>23110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2021-11-05T02:39:00Z</dcterms:modified>
</cp:coreProperties>
</file>