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1E0" w:rsidRPr="00EC298F" w:rsidRDefault="008131E0" w:rsidP="008131E0">
      <w:pPr>
        <w:tabs>
          <w:tab w:val="center" w:pos="3969"/>
          <w:tab w:val="right" w:pos="8280"/>
          <w:tab w:val="right" w:pos="9781"/>
        </w:tabs>
        <w:snapToGrid w:val="0"/>
        <w:ind w:left="-2" w:right="-2"/>
        <w:jc w:val="center"/>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7-e                                           </w:t>
      </w:r>
      <w:bookmarkStart w:id="0" w:name="_GoBack"/>
      <w:r>
        <w:rPr>
          <w:rFonts w:ascii="Arial" w:eastAsia="宋体" w:hAnsi="Arial" w:cs="Arial" w:hint="eastAsia"/>
          <w:b/>
          <w:bCs/>
          <w:kern w:val="0"/>
          <w:sz w:val="22"/>
          <w:lang w:val="en-GB"/>
        </w:rPr>
        <w:t xml:space="preserve"> </w:t>
      </w:r>
      <w:r w:rsidR="0085134E" w:rsidRPr="0085134E">
        <w:rPr>
          <w:rFonts w:ascii="Arial" w:eastAsia="MS Mincho" w:hAnsi="Arial" w:cs="Times New Roman"/>
          <w:b/>
          <w:kern w:val="0"/>
          <w:sz w:val="22"/>
          <w:lang w:val="x-none" w:eastAsia="en-US"/>
        </w:rPr>
        <w:t>R1-211126</w:t>
      </w:r>
      <w:r w:rsidR="0085134E">
        <w:rPr>
          <w:rFonts w:ascii="Arial" w:hAnsi="Arial" w:cs="Times New Roman" w:hint="eastAsia"/>
          <w:b/>
          <w:kern w:val="0"/>
          <w:sz w:val="22"/>
          <w:lang w:val="x-none"/>
        </w:rPr>
        <w:t>5</w:t>
      </w:r>
      <w:bookmarkEnd w:id="0"/>
    </w:p>
    <w:p w:rsidR="008131E0" w:rsidRPr="00A578C0" w:rsidRDefault="008131E0" w:rsidP="008131E0">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November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8131E0"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B0090E" w:rsidRPr="00B0090E">
        <w:rPr>
          <w:rFonts w:ascii="Arial" w:eastAsia="宋体" w:hAnsi="Arial" w:cs="Times New Roman"/>
          <w:b/>
          <w:kern w:val="0"/>
          <w:sz w:val="22"/>
          <w:lang w:val="x-none"/>
        </w:rPr>
        <w:t>Views on remaining issues of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D4ADC">
        <w:rPr>
          <w:rFonts w:ascii="Arial" w:eastAsia="宋体" w:hAnsi="Arial" w:cs="Times New Roman" w:hint="eastAsia"/>
          <w:b/>
          <w:kern w:val="0"/>
          <w:sz w:val="22"/>
          <w:lang w:val="x-none"/>
        </w:rPr>
        <w:t>3</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4" w:name="_Ref521334010"/>
      <w:r w:rsidRPr="00CC300E">
        <w:t>Introduction</w:t>
      </w:r>
      <w:bookmarkEnd w:id="4"/>
    </w:p>
    <w:p w:rsidR="0022245C" w:rsidRDefault="00904E7E" w:rsidP="0022245C">
      <w:pPr>
        <w:spacing w:beforeLines="50" w:before="120"/>
        <w:rPr>
          <w:rFonts w:cs="Times New Roman"/>
          <w:sz w:val="20"/>
          <w:szCs w:val="20"/>
        </w:rPr>
      </w:pPr>
      <w:r>
        <w:rPr>
          <w:rFonts w:cs="Times New Roman" w:hint="eastAsia"/>
          <w:sz w:val="20"/>
          <w:szCs w:val="20"/>
        </w:rPr>
        <w:t>In RAN#90</w:t>
      </w:r>
      <w:r w:rsidR="00EA5A15">
        <w:rPr>
          <w:rFonts w:cs="Times New Roman" w:hint="eastAsia"/>
          <w:sz w:val="20"/>
          <w:szCs w:val="20"/>
        </w:rPr>
        <w:t>-</w:t>
      </w:r>
      <w:r>
        <w:rPr>
          <w:rFonts w:cs="Times New Roman" w:hint="eastAsia"/>
          <w:sz w:val="20"/>
          <w:szCs w:val="20"/>
        </w:rPr>
        <w:t xml:space="preserve">e, a new Rel-17 WI on support of reduced capability NR devices, i.e. RedCap, was approved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sidR="00CC4B21">
        <w:rPr>
          <w:rFonts w:cs="Times New Roman"/>
          <w:sz w:val="20"/>
          <w:szCs w:val="20"/>
        </w:rPr>
        <w:t>[1]</w:t>
      </w:r>
      <w:r>
        <w:rPr>
          <w:rFonts w:cs="Times New Roman"/>
          <w:sz w:val="20"/>
          <w:szCs w:val="20"/>
        </w:rPr>
        <w:fldChar w:fldCharType="end"/>
      </w:r>
      <w:r>
        <w:rPr>
          <w:rFonts w:cs="Times New Roman" w:hint="eastAsia"/>
          <w:sz w:val="20"/>
          <w:szCs w:val="20"/>
        </w:rPr>
        <w:t xml:space="preserve">. </w:t>
      </w:r>
      <w:r>
        <w:rPr>
          <w:rFonts w:cs="Times New Roman" w:hint="eastAsia"/>
          <w:szCs w:val="21"/>
        </w:rPr>
        <w:t>The WID was further updated in RAN#</w:t>
      </w:r>
      <w:r>
        <w:rPr>
          <w:rFonts w:cs="Times New Roman"/>
          <w:szCs w:val="21"/>
        </w:rPr>
        <w:t>9</w:t>
      </w:r>
      <w:r w:rsidR="0088440A">
        <w:rPr>
          <w:rFonts w:cs="Times New Roman" w:hint="eastAsia"/>
          <w:szCs w:val="21"/>
        </w:rPr>
        <w:t>2</w:t>
      </w:r>
      <w:r w:rsidR="00EA5A15">
        <w:rPr>
          <w:rFonts w:cs="Times New Roman" w:hint="eastAsia"/>
          <w:szCs w:val="21"/>
        </w:rPr>
        <w:t>-</w:t>
      </w:r>
      <w:r>
        <w:rPr>
          <w:rFonts w:cs="Times New Roman"/>
          <w:szCs w:val="21"/>
        </w:rPr>
        <w:t xml:space="preserve">e </w:t>
      </w:r>
      <w:r>
        <w:rPr>
          <w:rFonts w:cs="Times New Roman"/>
          <w:szCs w:val="21"/>
        </w:rPr>
        <w:fldChar w:fldCharType="begin"/>
      </w:r>
      <w:r>
        <w:rPr>
          <w:rFonts w:cs="Times New Roman"/>
          <w:szCs w:val="21"/>
        </w:rPr>
        <w:instrText xml:space="preserve"> </w:instrText>
      </w:r>
      <w:r>
        <w:rPr>
          <w:rFonts w:cs="Times New Roman" w:hint="eastAsia"/>
          <w:szCs w:val="21"/>
        </w:rPr>
        <w:instrText>REF _Ref64637089 \n \h</w:instrText>
      </w:r>
      <w:r>
        <w:rPr>
          <w:rFonts w:cs="Times New Roman"/>
          <w:szCs w:val="21"/>
        </w:rPr>
        <w:instrText xml:space="preserve"> </w:instrText>
      </w:r>
      <w:r>
        <w:rPr>
          <w:rFonts w:cs="Times New Roman"/>
          <w:szCs w:val="21"/>
        </w:rPr>
      </w:r>
      <w:r>
        <w:rPr>
          <w:rFonts w:cs="Times New Roman"/>
          <w:szCs w:val="21"/>
        </w:rPr>
        <w:fldChar w:fldCharType="separate"/>
      </w:r>
      <w:r w:rsidR="00CC4B21">
        <w:rPr>
          <w:rFonts w:cs="Times New Roman"/>
          <w:szCs w:val="21"/>
        </w:rPr>
        <w:t>[2]</w:t>
      </w:r>
      <w:r>
        <w:rPr>
          <w:rFonts w:cs="Times New Roman"/>
          <w:szCs w:val="21"/>
        </w:rPr>
        <w:fldChar w:fldCharType="end"/>
      </w:r>
      <w:r>
        <w:rPr>
          <w:rFonts w:cs="Times New Roman" w:hint="eastAsia"/>
          <w:szCs w:val="21"/>
        </w:rPr>
        <w:t xml:space="preserve">. </w:t>
      </w:r>
      <w:r w:rsidR="0022245C">
        <w:rPr>
          <w:rFonts w:cs="Times New Roman" w:hint="eastAsia"/>
          <w:sz w:val="20"/>
          <w:szCs w:val="20"/>
        </w:rPr>
        <w:t xml:space="preserve">The RAN1 leading features to be </w:t>
      </w:r>
      <w:r w:rsidR="0022245C">
        <w:rPr>
          <w:rFonts w:cs="Times New Roman"/>
          <w:sz w:val="20"/>
          <w:szCs w:val="20"/>
        </w:rPr>
        <w:t>specified</w:t>
      </w:r>
      <w:r w:rsidR="0022245C">
        <w:rPr>
          <w:rFonts w:cs="Times New Roman" w:hint="eastAsia"/>
          <w:sz w:val="20"/>
          <w:szCs w:val="20"/>
        </w:rPr>
        <w:t xml:space="preserve"> are listed as follows. </w:t>
      </w:r>
    </w:p>
    <w:tbl>
      <w:tblPr>
        <w:tblStyle w:val="ad"/>
        <w:tblW w:w="0" w:type="auto"/>
        <w:tblLook w:val="04A0" w:firstRow="1" w:lastRow="0" w:firstColumn="1" w:lastColumn="0" w:noHBand="0" w:noVBand="1"/>
      </w:tblPr>
      <w:tblGrid>
        <w:gridCol w:w="9286"/>
      </w:tblGrid>
      <w:tr w:rsidR="0022245C" w:rsidTr="006E44C3">
        <w:tc>
          <w:tcPr>
            <w:tcW w:w="9286" w:type="dxa"/>
          </w:tcPr>
          <w:p w:rsidR="00904E7E" w:rsidRPr="00942D09" w:rsidRDefault="00904E7E" w:rsidP="00904E7E">
            <w:pPr>
              <w:pStyle w:val="B1"/>
              <w:numPr>
                <w:ilvl w:val="0"/>
                <w:numId w:val="45"/>
              </w:numPr>
              <w:jc w:val="both"/>
              <w:rPr>
                <w:rFonts w:eastAsia="宋体"/>
                <w:lang w:val="en-US" w:eastAsia="ja-JP"/>
              </w:rPr>
            </w:pPr>
            <w:r>
              <w:rPr>
                <w:rFonts w:eastAsia="宋体"/>
                <w:lang w:val="en-US" w:eastAsia="ja-JP"/>
              </w:rPr>
              <w:t>Specify support for the following</w:t>
            </w:r>
            <w:r w:rsidRPr="00942D09">
              <w:rPr>
                <w:rFonts w:eastAsia="宋体"/>
                <w:lang w:val="en-US" w:eastAsia="ja-JP"/>
              </w:rPr>
              <w:t xml:space="preserve"> UE complexity reduction features</w:t>
            </w:r>
            <w:r>
              <w:rPr>
                <w:rFonts w:eastAsia="宋体"/>
                <w:lang w:val="en-US" w:eastAsia="ja-JP"/>
              </w:rPr>
              <w:t xml:space="preserve"> </w:t>
            </w:r>
            <w:r w:rsidRPr="00942D09">
              <w:rPr>
                <w:rFonts w:eastAsia="宋体"/>
                <w:lang w:val="en-US" w:eastAsia="ja-JP"/>
              </w:rPr>
              <w:t xml:space="preserve">[RAN1, </w:t>
            </w:r>
            <w:r>
              <w:rPr>
                <w:rFonts w:eastAsia="宋体"/>
                <w:lang w:val="en-US" w:eastAsia="ja-JP"/>
              </w:rPr>
              <w:t>RAN2, RAN4</w:t>
            </w:r>
            <w:r w:rsidRPr="00942D09">
              <w:rPr>
                <w:rFonts w:eastAsia="宋体"/>
                <w:lang w:val="en-US" w:eastAsia="ja-JP"/>
              </w:rPr>
              <w:t>]:</w:t>
            </w:r>
          </w:p>
          <w:p w:rsidR="00904E7E" w:rsidRPr="00904E7E" w:rsidRDefault="00904E7E" w:rsidP="00904E7E">
            <w:pPr>
              <w:pStyle w:val="ae"/>
              <w:widowControl/>
              <w:numPr>
                <w:ilvl w:val="1"/>
                <w:numId w:val="45"/>
              </w:numPr>
              <w:overflowPunct w:val="0"/>
              <w:jc w:val="both"/>
              <w:rPr>
                <w:rFonts w:ascii="Times" w:hAnsi="Times" w:cs="Times"/>
                <w:b/>
                <w:bCs/>
                <w:iCs/>
                <w:szCs w:val="22"/>
              </w:rPr>
            </w:pPr>
            <w:r w:rsidRPr="00904E7E">
              <w:rPr>
                <w:rFonts w:ascii="Times" w:hAnsi="Times" w:cs="Times"/>
                <w:bCs/>
                <w:iCs/>
                <w:szCs w:val="22"/>
              </w:rPr>
              <w:t>Reduced maximum UE bandwidth:</w:t>
            </w:r>
          </w:p>
          <w:p w:rsidR="00904E7E" w:rsidRPr="00904E7E" w:rsidRDefault="00904E7E" w:rsidP="00904E7E">
            <w:pPr>
              <w:pStyle w:val="ae"/>
              <w:widowControl/>
              <w:numPr>
                <w:ilvl w:val="2"/>
                <w:numId w:val="45"/>
              </w:numPr>
              <w:overflowPunct w:val="0"/>
              <w:jc w:val="both"/>
              <w:rPr>
                <w:rFonts w:ascii="Times" w:hAnsi="Times" w:cs="Times"/>
                <w:b/>
                <w:bCs/>
                <w:iCs/>
                <w:szCs w:val="22"/>
              </w:rPr>
            </w:pPr>
            <w:r w:rsidRPr="00904E7E">
              <w:rPr>
                <w:rFonts w:ascii="Times" w:hAnsi="Times" w:cs="Times"/>
                <w:bCs/>
                <w:iCs/>
                <w:szCs w:val="22"/>
              </w:rPr>
              <w:t xml:space="preserve">Maximum bandwidth of an FR1 RedCap UE during and after initial access is 20 </w:t>
            </w:r>
            <w:proofErr w:type="spellStart"/>
            <w:r w:rsidRPr="00904E7E">
              <w:rPr>
                <w:rFonts w:ascii="Times" w:hAnsi="Times" w:cs="Times"/>
                <w:bCs/>
                <w:iCs/>
                <w:szCs w:val="22"/>
              </w:rPr>
              <w:t>MHz.</w:t>
            </w:r>
            <w:proofErr w:type="spellEnd"/>
            <w:r w:rsidRPr="00904E7E">
              <w:rPr>
                <w:rFonts w:ascii="Times" w:hAnsi="Times" w:cs="Times"/>
                <w:bCs/>
                <w:iCs/>
                <w:szCs w:val="22"/>
              </w:rPr>
              <w:t xml:space="preserve"> </w:t>
            </w:r>
          </w:p>
          <w:p w:rsidR="00904E7E" w:rsidRPr="00904E7E" w:rsidRDefault="00904E7E" w:rsidP="00904E7E">
            <w:pPr>
              <w:pStyle w:val="ae"/>
              <w:widowControl/>
              <w:numPr>
                <w:ilvl w:val="2"/>
                <w:numId w:val="45"/>
              </w:numPr>
              <w:overflowPunct w:val="0"/>
              <w:jc w:val="both"/>
              <w:rPr>
                <w:rFonts w:ascii="Times" w:hAnsi="Times" w:cs="Times"/>
                <w:b/>
                <w:bCs/>
                <w:iCs/>
                <w:szCs w:val="22"/>
              </w:rPr>
            </w:pPr>
            <w:r w:rsidRPr="00904E7E">
              <w:rPr>
                <w:rFonts w:ascii="Times" w:hAnsi="Times" w:cs="Times"/>
                <w:bCs/>
                <w:iCs/>
                <w:szCs w:val="22"/>
              </w:rPr>
              <w:t xml:space="preserve">Maximum bandwidth of an FR2 RedCap UE during and after initial access is 100 </w:t>
            </w:r>
            <w:proofErr w:type="spellStart"/>
            <w:r w:rsidRPr="00904E7E">
              <w:rPr>
                <w:rFonts w:ascii="Times" w:hAnsi="Times" w:cs="Times"/>
                <w:bCs/>
                <w:iCs/>
                <w:szCs w:val="22"/>
              </w:rPr>
              <w:t>MHz.</w:t>
            </w:r>
            <w:proofErr w:type="spellEnd"/>
          </w:p>
          <w:p w:rsidR="00904E7E" w:rsidRPr="00904E7E" w:rsidRDefault="00904E7E" w:rsidP="00904E7E">
            <w:pPr>
              <w:pStyle w:val="ae"/>
              <w:widowControl/>
              <w:numPr>
                <w:ilvl w:val="1"/>
                <w:numId w:val="45"/>
              </w:numPr>
              <w:overflowPunct w:val="0"/>
              <w:jc w:val="both"/>
              <w:rPr>
                <w:b/>
                <w:iCs/>
              </w:rPr>
            </w:pPr>
            <w:r w:rsidRPr="00904E7E">
              <w:rPr>
                <w:iCs/>
              </w:rPr>
              <w:t>Reduced minimum number of Rx branches:</w:t>
            </w:r>
          </w:p>
          <w:p w:rsidR="00904E7E" w:rsidRPr="00904E7E" w:rsidRDefault="00904E7E" w:rsidP="00904E7E">
            <w:pPr>
              <w:pStyle w:val="ae"/>
              <w:widowControl/>
              <w:numPr>
                <w:ilvl w:val="2"/>
                <w:numId w:val="45"/>
              </w:numPr>
              <w:overflowPunct w:val="0"/>
              <w:jc w:val="both"/>
              <w:rPr>
                <w:b/>
                <w:iCs/>
              </w:rPr>
            </w:pPr>
            <w:r w:rsidRPr="00904E7E">
              <w:rPr>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904E7E" w:rsidRPr="00904E7E" w:rsidRDefault="00904E7E" w:rsidP="00904E7E">
            <w:pPr>
              <w:pStyle w:val="ae"/>
              <w:widowControl/>
              <w:numPr>
                <w:ilvl w:val="2"/>
                <w:numId w:val="45"/>
              </w:numPr>
              <w:overflowPunct w:val="0"/>
              <w:jc w:val="both"/>
              <w:rPr>
                <w:iCs/>
              </w:rPr>
            </w:pPr>
            <w:bookmarkStart w:id="5" w:name="_Hlk58502022"/>
            <w:r w:rsidRPr="00904E7E">
              <w:rPr>
                <w:iCs/>
              </w:rPr>
              <w:t xml:space="preserve">For frequency bands where a legacy NR UE (other than 2-Rx vehicular UE) is required to be equipped with a minimum of 4 Rx </w:t>
            </w:r>
            <w:bookmarkEnd w:id="5"/>
            <w:r w:rsidRPr="00904E7E">
              <w:rPr>
                <w:iCs/>
              </w:rPr>
              <w:t xml:space="preserve">antenna ports, the minimum number of Rx </w:t>
            </w:r>
            <w:bookmarkStart w:id="6" w:name="_Hlk58574559"/>
            <w:r w:rsidRPr="00904E7E">
              <w:rPr>
                <w:iCs/>
              </w:rPr>
              <w:t xml:space="preserve">branches </w:t>
            </w:r>
            <w:bookmarkEnd w:id="6"/>
            <w:r w:rsidRPr="00904E7E">
              <w:rPr>
                <w:iCs/>
              </w:rPr>
              <w:t>supported by specification for a RedCap UE is 1. The specification also supports 2 Rx branches for a RedCap UE in these bands.</w:t>
            </w:r>
          </w:p>
          <w:p w:rsidR="00904E7E" w:rsidRPr="00904E7E" w:rsidRDefault="00904E7E" w:rsidP="00904E7E">
            <w:pPr>
              <w:pStyle w:val="ae"/>
              <w:widowControl/>
              <w:numPr>
                <w:ilvl w:val="2"/>
                <w:numId w:val="45"/>
              </w:numPr>
              <w:overflowPunct w:val="0"/>
              <w:jc w:val="both"/>
              <w:rPr>
                <w:b/>
                <w:iCs/>
              </w:rPr>
            </w:pPr>
            <w:r w:rsidRPr="00904E7E">
              <w:rPr>
                <w:iCs/>
              </w:rPr>
              <w:t>A means shall be specified by which the gNB can know the number of Rx branches of the UE.</w:t>
            </w:r>
          </w:p>
          <w:p w:rsidR="00904E7E" w:rsidRPr="00904E7E" w:rsidRDefault="00904E7E" w:rsidP="00904E7E">
            <w:pPr>
              <w:pStyle w:val="ae"/>
              <w:widowControl/>
              <w:numPr>
                <w:ilvl w:val="1"/>
                <w:numId w:val="45"/>
              </w:numPr>
              <w:overflowPunct w:val="0"/>
              <w:jc w:val="both"/>
              <w:rPr>
                <w:b/>
                <w:bCs/>
                <w:iCs/>
              </w:rPr>
            </w:pPr>
            <w:r w:rsidRPr="00904E7E">
              <w:rPr>
                <w:bCs/>
                <w:iCs/>
              </w:rPr>
              <w:t>Maximum number of DL MIMO layers:</w:t>
            </w:r>
          </w:p>
          <w:p w:rsidR="00904E7E" w:rsidRPr="00904E7E" w:rsidRDefault="00904E7E" w:rsidP="00904E7E">
            <w:pPr>
              <w:pStyle w:val="ae"/>
              <w:widowControl/>
              <w:numPr>
                <w:ilvl w:val="2"/>
                <w:numId w:val="45"/>
              </w:numPr>
              <w:overflowPunct w:val="0"/>
              <w:jc w:val="both"/>
              <w:rPr>
                <w:b/>
                <w:bCs/>
                <w:iCs/>
              </w:rPr>
            </w:pPr>
            <w:r w:rsidRPr="00904E7E">
              <w:rPr>
                <w:bCs/>
                <w:iCs/>
              </w:rPr>
              <w:t xml:space="preserve">For a RedCap UE with 1 Rx </w:t>
            </w:r>
            <w:r w:rsidRPr="00904E7E">
              <w:rPr>
                <w:iCs/>
              </w:rPr>
              <w:t>branch</w:t>
            </w:r>
            <w:r w:rsidRPr="00904E7E">
              <w:rPr>
                <w:bCs/>
                <w:iCs/>
              </w:rPr>
              <w:t>, 1 DL MIMO layer is supported.</w:t>
            </w:r>
          </w:p>
          <w:p w:rsidR="00904E7E" w:rsidRPr="00904E7E" w:rsidRDefault="00904E7E" w:rsidP="00904E7E">
            <w:pPr>
              <w:pStyle w:val="ae"/>
              <w:widowControl/>
              <w:numPr>
                <w:ilvl w:val="2"/>
                <w:numId w:val="45"/>
              </w:numPr>
              <w:overflowPunct w:val="0"/>
              <w:jc w:val="both"/>
              <w:rPr>
                <w:b/>
                <w:bCs/>
                <w:iCs/>
              </w:rPr>
            </w:pPr>
            <w:r w:rsidRPr="00904E7E">
              <w:rPr>
                <w:bCs/>
                <w:iCs/>
              </w:rPr>
              <w:t xml:space="preserve">For a RedCap UE with 2 Rx </w:t>
            </w:r>
            <w:r w:rsidRPr="00904E7E">
              <w:rPr>
                <w:iCs/>
              </w:rPr>
              <w:t>branches</w:t>
            </w:r>
            <w:r w:rsidRPr="00904E7E">
              <w:rPr>
                <w:bCs/>
                <w:iCs/>
              </w:rPr>
              <w:t>, 2 DL MIMO layers are supported.</w:t>
            </w:r>
          </w:p>
          <w:p w:rsidR="00904E7E" w:rsidRPr="00904E7E" w:rsidRDefault="00904E7E" w:rsidP="00904E7E">
            <w:pPr>
              <w:pStyle w:val="ae"/>
              <w:widowControl/>
              <w:numPr>
                <w:ilvl w:val="1"/>
                <w:numId w:val="45"/>
              </w:numPr>
              <w:overflowPunct w:val="0"/>
              <w:jc w:val="both"/>
              <w:rPr>
                <w:b/>
                <w:bCs/>
                <w:iCs/>
              </w:rPr>
            </w:pPr>
            <w:r w:rsidRPr="00904E7E">
              <w:rPr>
                <w:bCs/>
                <w:iCs/>
              </w:rPr>
              <w:t>Relaxed maximum modulation order:</w:t>
            </w:r>
          </w:p>
          <w:p w:rsidR="00904E7E" w:rsidRPr="00904E7E" w:rsidRDefault="00904E7E" w:rsidP="00904E7E">
            <w:pPr>
              <w:pStyle w:val="ae"/>
              <w:widowControl/>
              <w:numPr>
                <w:ilvl w:val="2"/>
                <w:numId w:val="45"/>
              </w:numPr>
              <w:overflowPunct w:val="0"/>
              <w:jc w:val="both"/>
              <w:rPr>
                <w:b/>
                <w:bCs/>
                <w:iCs/>
              </w:rPr>
            </w:pPr>
            <w:r w:rsidRPr="00904E7E">
              <w:rPr>
                <w:bCs/>
                <w:iCs/>
              </w:rPr>
              <w:t>Support of 256QAM in DL is optional (instead of mandatory) for an FR1 RedCap UE.</w:t>
            </w:r>
          </w:p>
          <w:p w:rsidR="00904E7E" w:rsidRPr="00904E7E" w:rsidRDefault="00904E7E" w:rsidP="00904E7E">
            <w:pPr>
              <w:pStyle w:val="ae"/>
              <w:widowControl/>
              <w:numPr>
                <w:ilvl w:val="2"/>
                <w:numId w:val="45"/>
              </w:numPr>
              <w:overflowPunct w:val="0"/>
              <w:jc w:val="both"/>
              <w:rPr>
                <w:bCs/>
                <w:iCs/>
              </w:rPr>
            </w:pPr>
            <w:r w:rsidRPr="00904E7E">
              <w:rPr>
                <w:bCs/>
                <w:iCs/>
              </w:rPr>
              <w:t>No other relaxations of maximum modulation order are specified for a RedCap UE.</w:t>
            </w:r>
          </w:p>
          <w:p w:rsidR="00904E7E" w:rsidRPr="00904E7E" w:rsidRDefault="00904E7E" w:rsidP="00904E7E">
            <w:pPr>
              <w:pStyle w:val="ae"/>
              <w:widowControl/>
              <w:numPr>
                <w:ilvl w:val="1"/>
                <w:numId w:val="45"/>
              </w:numPr>
              <w:overflowPunct w:val="0"/>
              <w:jc w:val="both"/>
              <w:rPr>
                <w:bCs/>
                <w:iCs/>
              </w:rPr>
            </w:pPr>
            <w:r w:rsidRPr="00904E7E">
              <w:rPr>
                <w:bCs/>
                <w:iCs/>
              </w:rPr>
              <w:t>Duplex operation:</w:t>
            </w:r>
          </w:p>
          <w:p w:rsidR="0022245C" w:rsidRPr="00904E7E" w:rsidRDefault="00904E7E" w:rsidP="00904E7E">
            <w:pPr>
              <w:pStyle w:val="ae"/>
              <w:widowControl/>
              <w:numPr>
                <w:ilvl w:val="2"/>
                <w:numId w:val="45"/>
              </w:numPr>
              <w:overflowPunct w:val="0"/>
              <w:jc w:val="both"/>
              <w:rPr>
                <w:bCs/>
                <w:i/>
                <w:iCs/>
              </w:rPr>
            </w:pPr>
            <w:r w:rsidRPr="00904E7E">
              <w:rPr>
                <w:bCs/>
                <w:iCs/>
              </w:rPr>
              <w:t>HD-FDD type A with the minimum specification impact (Note that FD-FDD and TDD are also supported.)</w:t>
            </w:r>
          </w:p>
        </w:tc>
      </w:tr>
    </w:tbl>
    <w:p w:rsidR="00750473" w:rsidRDefault="004050E9" w:rsidP="001C7B45">
      <w:pPr>
        <w:spacing w:beforeLines="50" w:before="120"/>
        <w:rPr>
          <w:rFonts w:cs="Times New Roman"/>
          <w:sz w:val="20"/>
          <w:szCs w:val="20"/>
        </w:rPr>
      </w:pPr>
      <w:r>
        <w:rPr>
          <w:rFonts w:cs="Times New Roman" w:hint="eastAsia"/>
          <w:sz w:val="20"/>
          <w:szCs w:val="20"/>
        </w:rPr>
        <w:t>RAN2 leading features are</w:t>
      </w:r>
      <w:r w:rsidR="00904E7E">
        <w:rPr>
          <w:rFonts w:cs="Times New Roman" w:hint="eastAsia"/>
          <w:sz w:val="20"/>
          <w:szCs w:val="20"/>
        </w:rPr>
        <w:t xml:space="preserve"> also included in the WID, </w:t>
      </w:r>
      <w:proofErr w:type="spellStart"/>
      <w:r w:rsidR="00904E7E">
        <w:rPr>
          <w:rFonts w:cs="Times New Roman" w:hint="eastAsia"/>
          <w:sz w:val="20"/>
          <w:szCs w:val="20"/>
        </w:rPr>
        <w:t>e.g</w:t>
      </w:r>
      <w:proofErr w:type="spellEnd"/>
      <w:r>
        <w:rPr>
          <w:rFonts w:cs="Times New Roman" w:hint="eastAsia"/>
          <w:sz w:val="20"/>
          <w:szCs w:val="20"/>
        </w:rPr>
        <w:t>,</w:t>
      </w:r>
      <w:r w:rsidR="00904E7E">
        <w:rPr>
          <w:rFonts w:cs="Times New Roman" w:hint="eastAsia"/>
          <w:sz w:val="20"/>
          <w:szCs w:val="20"/>
        </w:rPr>
        <w:t xml:space="preserve"> eDRX enhancement and RRM relaxation</w:t>
      </w:r>
      <w:r w:rsidR="001C7B45">
        <w:rPr>
          <w:rFonts w:cs="Times New Roman" w:hint="eastAsia"/>
          <w:sz w:val="20"/>
          <w:szCs w:val="20"/>
        </w:rPr>
        <w:t>.</w:t>
      </w:r>
      <w:r w:rsidR="00904E7E">
        <w:rPr>
          <w:rFonts w:cs="Times New Roman" w:hint="eastAsia"/>
          <w:sz w:val="20"/>
          <w:szCs w:val="20"/>
        </w:rPr>
        <w:t xml:space="preserve"> </w:t>
      </w:r>
      <w:r>
        <w:rPr>
          <w:rFonts w:cs="Times New Roman" w:hint="eastAsia"/>
          <w:sz w:val="20"/>
          <w:szCs w:val="20"/>
        </w:rPr>
        <w:t>Still, the coverage, power and cost may be further enhanced</w:t>
      </w:r>
      <w:r w:rsidR="00690669">
        <w:rPr>
          <w:rFonts w:cs="Times New Roman" w:hint="eastAsia"/>
          <w:sz w:val="20"/>
          <w:szCs w:val="20"/>
        </w:rPr>
        <w:t xml:space="preserve"> or reduced</w:t>
      </w:r>
      <w:r>
        <w:rPr>
          <w:rFonts w:cs="Times New Roman" w:hint="eastAsia"/>
          <w:sz w:val="20"/>
          <w:szCs w:val="20"/>
        </w:rPr>
        <w:t xml:space="preserve"> with practical implementation or minor change on current specification, which will be discussed in this paper.</w:t>
      </w:r>
    </w:p>
    <w:p w:rsidR="00904E7E" w:rsidRPr="00750473" w:rsidRDefault="00904E7E" w:rsidP="001C7B45">
      <w:pPr>
        <w:spacing w:beforeLines="50" w:before="120"/>
        <w:rPr>
          <w:rFonts w:cs="Times New Roman"/>
          <w:sz w:val="20"/>
          <w:szCs w:val="20"/>
        </w:rPr>
      </w:pPr>
    </w:p>
    <w:p w:rsidR="00753833" w:rsidRPr="005732E8" w:rsidRDefault="00DD4940" w:rsidP="005732E8">
      <w:pPr>
        <w:pStyle w:val="1"/>
        <w:ind w:left="562" w:hanging="562"/>
      </w:pPr>
      <w:r>
        <w:lastRenderedPageBreak/>
        <w:t>Discus</w:t>
      </w:r>
      <w:r>
        <w:rPr>
          <w:rFonts w:hint="eastAsia"/>
        </w:rPr>
        <w:t>sion</w:t>
      </w:r>
    </w:p>
    <w:p w:rsidR="00BC336F" w:rsidRPr="00FE2657" w:rsidRDefault="00FB6079" w:rsidP="009F5B06">
      <w:pPr>
        <w:pStyle w:val="2"/>
        <w:ind w:left="723" w:hanging="723"/>
        <w:rPr>
          <w:rFonts w:eastAsia="宋体" w:cs="Times New Roman"/>
          <w:lang w:val="en-GB"/>
        </w:rPr>
      </w:pPr>
      <w:r>
        <w:rPr>
          <w:rFonts w:hint="eastAsia"/>
        </w:rPr>
        <w:t xml:space="preserve">Combination between RedCap and </w:t>
      </w:r>
      <w:r w:rsidR="00D53634">
        <w:rPr>
          <w:rFonts w:hint="eastAsia"/>
        </w:rPr>
        <w:t>Other features</w:t>
      </w:r>
    </w:p>
    <w:p w:rsidR="00F4264D" w:rsidRDefault="00F4264D" w:rsidP="005732E8">
      <w:pPr>
        <w:rPr>
          <w:sz w:val="20"/>
          <w:szCs w:val="20"/>
        </w:rPr>
      </w:pPr>
      <w:r>
        <w:rPr>
          <w:rFonts w:hint="eastAsia"/>
          <w:sz w:val="20"/>
          <w:szCs w:val="20"/>
        </w:rPr>
        <w:t xml:space="preserve">In the WID, it is recorded that the </w:t>
      </w:r>
      <w:r w:rsidR="00D11ADF">
        <w:rPr>
          <w:rFonts w:hint="eastAsia"/>
          <w:sz w:val="20"/>
          <w:szCs w:val="20"/>
        </w:rPr>
        <w:t>R</w:t>
      </w:r>
      <w:r w:rsidR="00CE4EA8">
        <w:rPr>
          <w:rFonts w:hint="eastAsia"/>
          <w:sz w:val="20"/>
          <w:szCs w:val="20"/>
        </w:rPr>
        <w:t>el-</w:t>
      </w:r>
      <w:r w:rsidR="00D11ADF">
        <w:rPr>
          <w:rFonts w:hint="eastAsia"/>
          <w:sz w:val="20"/>
          <w:szCs w:val="20"/>
        </w:rPr>
        <w:t xml:space="preserve">17 </w:t>
      </w:r>
      <w:r>
        <w:rPr>
          <w:rFonts w:hint="eastAsia"/>
          <w:sz w:val="20"/>
          <w:szCs w:val="20"/>
        </w:rPr>
        <w:t xml:space="preserve">uplink coverage enhancement </w:t>
      </w:r>
      <w:r w:rsidR="00E12A44">
        <w:rPr>
          <w:rFonts w:hint="eastAsia"/>
          <w:sz w:val="20"/>
          <w:szCs w:val="20"/>
        </w:rPr>
        <w:t xml:space="preserve">(CE) </w:t>
      </w:r>
      <w:r>
        <w:rPr>
          <w:rFonts w:hint="eastAsia"/>
          <w:sz w:val="20"/>
          <w:szCs w:val="20"/>
        </w:rPr>
        <w:t>solutions specified in NR_cov_enh WI can also be used by RedCap UE</w:t>
      </w:r>
      <w:r w:rsidR="00CE4EA8">
        <w:rPr>
          <w:rFonts w:hint="eastAsia"/>
          <w:sz w:val="20"/>
          <w:szCs w:val="20"/>
        </w:rPr>
        <w:t>, aiming at the coverage improvement of PUSCH, PUCCH and Msg3.</w:t>
      </w:r>
    </w:p>
    <w:tbl>
      <w:tblPr>
        <w:tblStyle w:val="ad"/>
        <w:tblW w:w="0" w:type="auto"/>
        <w:tblLook w:val="04A0" w:firstRow="1" w:lastRow="0" w:firstColumn="1" w:lastColumn="0" w:noHBand="0" w:noVBand="1"/>
      </w:tblPr>
      <w:tblGrid>
        <w:gridCol w:w="9286"/>
      </w:tblGrid>
      <w:tr w:rsidR="004050E9" w:rsidTr="00F4264D">
        <w:trPr>
          <w:trHeight w:val="642"/>
        </w:trPr>
        <w:tc>
          <w:tcPr>
            <w:tcW w:w="9286" w:type="dxa"/>
          </w:tcPr>
          <w:p w:rsidR="004050E9" w:rsidRPr="004050E9" w:rsidRDefault="004050E9" w:rsidP="00427CF2">
            <w:pPr>
              <w:pStyle w:val="B1"/>
              <w:numPr>
                <w:ilvl w:val="0"/>
                <w:numId w:val="45"/>
              </w:numPr>
              <w:jc w:val="both"/>
              <w:rPr>
                <w:rFonts w:eastAsia="宋体"/>
                <w:lang w:val="en-US" w:eastAsia="ja-JP"/>
              </w:rPr>
            </w:pPr>
            <w:r>
              <w:rPr>
                <w:rFonts w:eastAsia="宋体"/>
                <w:lang w:val="en-US"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p>
        </w:tc>
      </w:tr>
    </w:tbl>
    <w:p w:rsidR="005C0EDA" w:rsidRDefault="00E12A44" w:rsidP="00FB6079">
      <w:pPr>
        <w:spacing w:before="120"/>
        <w:rPr>
          <w:sz w:val="20"/>
          <w:szCs w:val="20"/>
        </w:rPr>
      </w:pPr>
      <w:r>
        <w:rPr>
          <w:rFonts w:hint="eastAsia"/>
          <w:sz w:val="20"/>
          <w:szCs w:val="20"/>
        </w:rPr>
        <w:t xml:space="preserve">It is not </w:t>
      </w:r>
      <w:r>
        <w:rPr>
          <w:sz w:val="20"/>
          <w:szCs w:val="20"/>
        </w:rPr>
        <w:t>surprising</w:t>
      </w:r>
      <w:r>
        <w:rPr>
          <w:rFonts w:hint="eastAsia"/>
          <w:sz w:val="20"/>
          <w:szCs w:val="20"/>
        </w:rPr>
        <w:t xml:space="preserve"> for a RedCap UE to support Rel-17 CE functions, due to the reduced number of Rx branches and the small form factor. Typically, both the downlink and uplink coverage of RedCap UE are worse than the normal NR UE. However, early indication of RedCap UE during Msg1 and early indication of CE (for requesting Msg3 repetition) during Msg1 are required by the corresponding feature respectively. In fact, other than RedCap and CE, </w:t>
      </w:r>
      <w:r w:rsidR="002A11F8">
        <w:rPr>
          <w:rFonts w:hint="eastAsia"/>
          <w:sz w:val="20"/>
          <w:szCs w:val="20"/>
        </w:rPr>
        <w:t>some other features are also involved, e.g. small data transmission (SDT) and RAN slicing</w:t>
      </w:r>
      <w:r w:rsidR="004C132F">
        <w:rPr>
          <w:rFonts w:hint="eastAsia"/>
          <w:sz w:val="20"/>
          <w:szCs w:val="20"/>
        </w:rPr>
        <w:t>, which are leaded by RAN2</w:t>
      </w:r>
      <w:r w:rsidR="002A11F8">
        <w:rPr>
          <w:rFonts w:hint="eastAsia"/>
          <w:sz w:val="20"/>
          <w:szCs w:val="20"/>
        </w:rPr>
        <w:t>.</w:t>
      </w:r>
      <w:r w:rsidR="002A11F8" w:rsidRPr="002A11F8">
        <w:rPr>
          <w:rFonts w:hint="eastAsia"/>
          <w:sz w:val="20"/>
          <w:szCs w:val="20"/>
        </w:rPr>
        <w:t xml:space="preserve"> </w:t>
      </w:r>
      <w:r w:rsidR="002A11F8">
        <w:rPr>
          <w:rFonts w:hint="eastAsia"/>
          <w:sz w:val="20"/>
          <w:szCs w:val="20"/>
        </w:rPr>
        <w:t>This makes RACH partitioning in Rel-17 more complicated than ever.</w:t>
      </w:r>
    </w:p>
    <w:p w:rsidR="002A11F8" w:rsidRDefault="002A11F8" w:rsidP="00FB6079">
      <w:pPr>
        <w:spacing w:before="120"/>
        <w:rPr>
          <w:sz w:val="20"/>
          <w:szCs w:val="20"/>
        </w:rPr>
      </w:pPr>
      <w:r>
        <w:rPr>
          <w:rFonts w:hint="eastAsia"/>
          <w:sz w:val="20"/>
          <w:szCs w:val="20"/>
        </w:rPr>
        <w:t xml:space="preserve">In RAN2#115-e, </w:t>
      </w:r>
      <w:r w:rsidR="004C132F">
        <w:rPr>
          <w:rFonts w:hint="eastAsia"/>
          <w:sz w:val="20"/>
          <w:szCs w:val="20"/>
        </w:rPr>
        <w:t>RAN2 jointly discussed</w:t>
      </w:r>
      <w:r w:rsidR="00670BC6">
        <w:rPr>
          <w:rFonts w:hint="eastAsia"/>
          <w:sz w:val="20"/>
          <w:szCs w:val="20"/>
        </w:rPr>
        <w:t xml:space="preserve"> </w:t>
      </w:r>
      <w:r w:rsidRPr="002A11F8">
        <w:rPr>
          <w:sz w:val="20"/>
          <w:szCs w:val="20"/>
        </w:rPr>
        <w:t>RACH indication and partitioning</w:t>
      </w:r>
      <w:r>
        <w:rPr>
          <w:rFonts w:hint="eastAsia"/>
          <w:sz w:val="20"/>
          <w:szCs w:val="20"/>
        </w:rPr>
        <w:t xml:space="preserve"> for all topics. The following agreement</w:t>
      </w:r>
      <w:r w:rsidR="004C132F">
        <w:rPr>
          <w:rFonts w:hint="eastAsia"/>
          <w:sz w:val="20"/>
          <w:szCs w:val="20"/>
        </w:rPr>
        <w:t>s</w:t>
      </w:r>
      <w:r>
        <w:rPr>
          <w:rFonts w:hint="eastAsia"/>
          <w:sz w:val="20"/>
          <w:szCs w:val="20"/>
        </w:rPr>
        <w:t xml:space="preserve"> </w:t>
      </w:r>
      <w:r w:rsidR="004C132F">
        <w:rPr>
          <w:rFonts w:hint="eastAsia"/>
          <w:sz w:val="20"/>
          <w:szCs w:val="20"/>
        </w:rPr>
        <w:t xml:space="preserve">were </w:t>
      </w:r>
      <w:r>
        <w:rPr>
          <w:rFonts w:hint="eastAsia"/>
          <w:sz w:val="20"/>
          <w:szCs w:val="20"/>
        </w:rPr>
        <w:t xml:space="preserve">reached </w:t>
      </w:r>
      <w:r>
        <w:rPr>
          <w:sz w:val="20"/>
          <w:szCs w:val="20"/>
        </w:rPr>
        <w:fldChar w:fldCharType="begin"/>
      </w:r>
      <w:r>
        <w:rPr>
          <w:sz w:val="20"/>
          <w:szCs w:val="20"/>
        </w:rPr>
        <w:instrText xml:space="preserve"> </w:instrText>
      </w:r>
      <w:r>
        <w:rPr>
          <w:rFonts w:hint="eastAsia"/>
          <w:sz w:val="20"/>
          <w:szCs w:val="20"/>
        </w:rPr>
        <w:instrText>REF _Ref77944019 \n \h</w:instrText>
      </w:r>
      <w:r>
        <w:rPr>
          <w:sz w:val="20"/>
          <w:szCs w:val="20"/>
        </w:rPr>
        <w:instrText xml:space="preserve"> </w:instrText>
      </w:r>
      <w:r>
        <w:rPr>
          <w:sz w:val="20"/>
          <w:szCs w:val="20"/>
        </w:rPr>
      </w:r>
      <w:r>
        <w:rPr>
          <w:sz w:val="20"/>
          <w:szCs w:val="20"/>
        </w:rPr>
        <w:fldChar w:fldCharType="separate"/>
      </w:r>
      <w:r>
        <w:rPr>
          <w:sz w:val="20"/>
          <w:szCs w:val="20"/>
        </w:rPr>
        <w:t>[3]</w:t>
      </w:r>
      <w:r>
        <w:rPr>
          <w:sz w:val="20"/>
          <w:szCs w:val="20"/>
        </w:rPr>
        <w:fldChar w:fldCharType="end"/>
      </w:r>
      <w:r>
        <w:rPr>
          <w:rFonts w:hint="eastAsia"/>
          <w:sz w:val="20"/>
          <w:szCs w:val="20"/>
        </w:rPr>
        <w:t>.</w:t>
      </w:r>
    </w:p>
    <w:tbl>
      <w:tblPr>
        <w:tblStyle w:val="ad"/>
        <w:tblW w:w="0" w:type="auto"/>
        <w:tblLook w:val="04A0" w:firstRow="1" w:lastRow="0" w:firstColumn="1" w:lastColumn="0" w:noHBand="0" w:noVBand="1"/>
      </w:tblPr>
      <w:tblGrid>
        <w:gridCol w:w="9286"/>
      </w:tblGrid>
      <w:tr w:rsidR="00D53634" w:rsidTr="00D53634">
        <w:tc>
          <w:tcPr>
            <w:tcW w:w="9286" w:type="dxa"/>
          </w:tcPr>
          <w:p w:rsidR="00D53634" w:rsidRPr="002071F4" w:rsidRDefault="00D53634" w:rsidP="00D53634">
            <w:pPr>
              <w:pStyle w:val="Doc-text2"/>
              <w:ind w:left="363"/>
              <w:rPr>
                <w:rFonts w:ascii="Times New Roman" w:hAnsi="Times New Roman" w:cs="Times New Roman"/>
                <w:b/>
                <w:bCs/>
              </w:rPr>
            </w:pPr>
            <w:r w:rsidRPr="002071F4">
              <w:rPr>
                <w:rFonts w:ascii="Times New Roman" w:hAnsi="Times New Roman" w:cs="Times New Roman"/>
                <w:b/>
                <w:bCs/>
              </w:rPr>
              <w:t>Agreements:</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1.</w:t>
            </w:r>
            <w:r w:rsidRPr="002071F4">
              <w:rPr>
                <w:rFonts w:ascii="Times New Roman" w:hAnsi="Times New Roman" w:cs="Times New Roman"/>
              </w:rPr>
              <w:tab/>
              <w:t>Preamble partitioning is defined on a feature and/or feature combination basis.</w:t>
            </w:r>
            <w:r>
              <w:rPr>
                <w:rFonts w:ascii="Times New Roman" w:eastAsiaTheme="minorEastAsia" w:hAnsi="Times New Roman" w:cs="Times New Roman" w:hint="eastAsia"/>
                <w:lang w:eastAsia="zh-CN"/>
              </w:rPr>
              <w:t xml:space="preserve"> </w:t>
            </w:r>
            <w:r w:rsidRPr="002071F4">
              <w:rPr>
                <w:rFonts w:ascii="Times New Roman" w:hAnsi="Times New Roman" w:cs="Times New Roman"/>
              </w:rPr>
              <w:t xml:space="preserve">FFS on </w:t>
            </w:r>
            <w:proofErr w:type="spellStart"/>
            <w:r w:rsidRPr="002071F4">
              <w:rPr>
                <w:rFonts w:ascii="Times New Roman" w:hAnsi="Times New Roman" w:cs="Times New Roman"/>
              </w:rPr>
              <w:t>signalling</w:t>
            </w:r>
            <w:proofErr w:type="spellEnd"/>
            <w:r w:rsidRPr="002071F4">
              <w:rPr>
                <w:rFonts w:ascii="Times New Roman" w:hAnsi="Times New Roman" w:cs="Times New Roman"/>
              </w:rPr>
              <w:t>. 2step RA and CE is excluded, if RAN1 decided to exclude</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2.</w:t>
            </w:r>
            <w:r w:rsidRPr="002071F4">
              <w:rPr>
                <w:rFonts w:ascii="Times New Roman" w:hAnsi="Times New Roman" w:cs="Times New Roman"/>
              </w:rPr>
              <w:tab/>
              <w:t xml:space="preserve">Preambles associated with a Rel-17 feature should never be chosen by legacy UEs in the case of RO sharing.  </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3.</w:t>
            </w:r>
            <w:r w:rsidRPr="002071F4">
              <w:rPr>
                <w:rFonts w:ascii="Times New Roman" w:hAnsi="Times New Roman" w:cs="Times New Roman"/>
              </w:rPr>
              <w:tab/>
              <w:t xml:space="preserve">New feature and/ feature combination specific preambles can be defined in a) Separate time-frequency resources, not defined through legacy RRC </w:t>
            </w:r>
            <w:proofErr w:type="spellStart"/>
            <w:r w:rsidRPr="002071F4">
              <w:rPr>
                <w:rFonts w:ascii="Times New Roman" w:hAnsi="Times New Roman" w:cs="Times New Roman"/>
              </w:rPr>
              <w:t>signalling</w:t>
            </w:r>
            <w:proofErr w:type="spellEnd"/>
            <w:r w:rsidRPr="002071F4">
              <w:rPr>
                <w:rFonts w:ascii="Times New Roman" w:hAnsi="Times New Roman" w:cs="Times New Roman"/>
              </w:rPr>
              <w:t xml:space="preserve">, b) Within the Contention free preamble resources (i.e. within the preambles not used for contention based) defined through legacy RRC </w:t>
            </w:r>
            <w:proofErr w:type="spellStart"/>
            <w:r w:rsidRPr="002071F4">
              <w:rPr>
                <w:rFonts w:ascii="Times New Roman" w:hAnsi="Times New Roman" w:cs="Times New Roman"/>
              </w:rPr>
              <w:t>signalling</w:t>
            </w:r>
            <w:proofErr w:type="spellEnd"/>
            <w:r w:rsidRPr="002071F4">
              <w:rPr>
                <w:rFonts w:ascii="Times New Roman" w:hAnsi="Times New Roman" w:cs="Times New Roman"/>
              </w:rPr>
              <w:t xml:space="preserve">.  FFS on c) Within the “not available” preambles defined at the end of a RO through the legacy  </w:t>
            </w:r>
            <w:proofErr w:type="spellStart"/>
            <w:r w:rsidRPr="002071F4">
              <w:rPr>
                <w:rFonts w:ascii="Times New Roman" w:hAnsi="Times New Roman" w:cs="Times New Roman"/>
              </w:rPr>
              <w:t>totalNumberOfRA</w:t>
            </w:r>
            <w:proofErr w:type="spellEnd"/>
            <w:r w:rsidRPr="002071F4">
              <w:rPr>
                <w:rFonts w:ascii="Times New Roman" w:hAnsi="Times New Roman" w:cs="Times New Roman"/>
              </w:rPr>
              <w:t>-Preambles</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4.</w:t>
            </w:r>
            <w:r w:rsidRPr="002071F4">
              <w:rPr>
                <w:rFonts w:ascii="Times New Roman" w:hAnsi="Times New Roman" w:cs="Times New Roman"/>
              </w:rPr>
              <w:tab/>
              <w:t xml:space="preserve">A common RRC CR capturing the </w:t>
            </w:r>
            <w:proofErr w:type="spellStart"/>
            <w:r w:rsidRPr="002071F4">
              <w:rPr>
                <w:rFonts w:ascii="Times New Roman" w:hAnsi="Times New Roman" w:cs="Times New Roman"/>
              </w:rPr>
              <w:t>signalling</w:t>
            </w:r>
            <w:proofErr w:type="spellEnd"/>
            <w:r w:rsidRPr="002071F4">
              <w:rPr>
                <w:rFonts w:ascii="Times New Roman" w:hAnsi="Times New Roman" w:cs="Times New Roman"/>
              </w:rPr>
              <w:t xml:space="preserve"> framework for RACH resource configuration across all the WIs should be used and this CR should be maintained as part of the common RACH agenda item.</w:t>
            </w:r>
            <w:r w:rsidR="00F27DE7">
              <w:rPr>
                <w:rFonts w:ascii="Times New Roman" w:eastAsiaTheme="minorEastAsia" w:hAnsi="Times New Roman" w:cs="Times New Roman" w:hint="eastAsia"/>
                <w:lang w:eastAsia="zh-CN"/>
              </w:rPr>
              <w:t xml:space="preserve"> </w:t>
            </w:r>
            <w:r w:rsidRPr="002071F4">
              <w:rPr>
                <w:rFonts w:ascii="Times New Roman" w:hAnsi="Times New Roman" w:cs="Times New Roman"/>
              </w:rPr>
              <w:t xml:space="preserve">Each WI is expected to provide the necessary parameters to include in the </w:t>
            </w:r>
            <w:proofErr w:type="spellStart"/>
            <w:r w:rsidRPr="002071F4">
              <w:rPr>
                <w:rFonts w:ascii="Times New Roman" w:hAnsi="Times New Roman" w:cs="Times New Roman"/>
              </w:rPr>
              <w:t>signalling</w:t>
            </w:r>
            <w:proofErr w:type="spellEnd"/>
            <w:r w:rsidRPr="002071F4">
              <w:rPr>
                <w:rFonts w:ascii="Times New Roman" w:hAnsi="Times New Roman" w:cs="Times New Roman"/>
              </w:rPr>
              <w:t>.</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5.</w:t>
            </w:r>
            <w:r w:rsidRPr="002071F4">
              <w:rPr>
                <w:rFonts w:ascii="Times New Roman" w:hAnsi="Times New Roman" w:cs="Times New Roman"/>
              </w:rPr>
              <w:tab/>
              <w:t>A common MAC CR capturing the changes to sections 5.1.1 and section 5.1.1a of the MAC spec can also be considered and if agreeable, this CR should also be maintained as part of the common RACH agenda item.</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6.</w:t>
            </w:r>
            <w:r w:rsidRPr="002071F4">
              <w:rPr>
                <w:rFonts w:ascii="Times New Roman" w:hAnsi="Times New Roman" w:cs="Times New Roman"/>
              </w:rPr>
              <w:tab/>
              <w:t xml:space="preserve">As a baseline, the RA procedure design for Rel-17 should adhere to the following general principles: </w:t>
            </w:r>
          </w:p>
          <w:p w:rsidR="00D53634" w:rsidRPr="002071F4" w:rsidRDefault="00D53634" w:rsidP="00D53634">
            <w:pPr>
              <w:pStyle w:val="Doc-text2"/>
              <w:ind w:left="726"/>
              <w:rPr>
                <w:rFonts w:ascii="Times New Roman" w:hAnsi="Times New Roman" w:cs="Times New Roman"/>
              </w:rPr>
            </w:pPr>
            <w:proofErr w:type="gramStart"/>
            <w:r w:rsidRPr="002071F4">
              <w:rPr>
                <w:rFonts w:ascii="Times New Roman" w:hAnsi="Times New Roman" w:cs="Times New Roman"/>
              </w:rPr>
              <w:t>a</w:t>
            </w:r>
            <w:proofErr w:type="gramEnd"/>
            <w:r w:rsidRPr="002071F4">
              <w:rPr>
                <w:rFonts w:ascii="Times New Roman" w:hAnsi="Times New Roman" w:cs="Times New Roman"/>
              </w:rPr>
              <w:t xml:space="preserve">: Carrier selection (between NUL/SUL) should happen ahead of the initial RACH resource selection (i.e. feature combination is not considered in carrier selection).   </w:t>
            </w:r>
          </w:p>
          <w:p w:rsidR="00D53634" w:rsidRPr="002071F4" w:rsidRDefault="00D53634" w:rsidP="00D53634">
            <w:pPr>
              <w:pStyle w:val="Doc-text2"/>
              <w:ind w:left="726"/>
              <w:rPr>
                <w:rFonts w:ascii="Times New Roman" w:hAnsi="Times New Roman" w:cs="Times New Roman"/>
              </w:rPr>
            </w:pPr>
            <w:proofErr w:type="gramStart"/>
            <w:r w:rsidRPr="002071F4">
              <w:rPr>
                <w:rFonts w:ascii="Times New Roman" w:hAnsi="Times New Roman" w:cs="Times New Roman"/>
              </w:rPr>
              <w:t>b</w:t>
            </w:r>
            <w:proofErr w:type="gramEnd"/>
            <w:r w:rsidRPr="002071F4">
              <w:rPr>
                <w:rFonts w:ascii="Times New Roman" w:hAnsi="Times New Roman" w:cs="Times New Roman"/>
              </w:rPr>
              <w:t xml:space="preserve">: Initial RACH resource should be selected based on the selected carrier for the selected feature combination (i.e., selected slice, SDT or not, REDCAP or not </w:t>
            </w:r>
            <w:proofErr w:type="spellStart"/>
            <w:r w:rsidRPr="002071F4">
              <w:rPr>
                <w:rFonts w:ascii="Times New Roman" w:hAnsi="Times New Roman" w:cs="Times New Roman"/>
              </w:rPr>
              <w:t>etc</w:t>
            </w:r>
            <w:proofErr w:type="spellEnd"/>
            <w:r w:rsidRPr="002071F4">
              <w:rPr>
                <w:rFonts w:ascii="Times New Roman" w:hAnsi="Times New Roman" w:cs="Times New Roman"/>
              </w:rPr>
              <w:t>). Only the RACH resource matching the feature and/or feature combination of current RACH procedure will be considered as available in the RACH resource selection.</w:t>
            </w:r>
          </w:p>
          <w:p w:rsidR="00D53634" w:rsidRDefault="00D53634" w:rsidP="00745809">
            <w:pPr>
              <w:pStyle w:val="Doc-text2"/>
              <w:ind w:left="726"/>
              <w:rPr>
                <w:szCs w:val="20"/>
              </w:rPr>
            </w:pPr>
            <w:proofErr w:type="gramStart"/>
            <w:r w:rsidRPr="002071F4">
              <w:rPr>
                <w:rFonts w:ascii="Times New Roman" w:hAnsi="Times New Roman" w:cs="Times New Roman"/>
              </w:rPr>
              <w:t>c</w:t>
            </w:r>
            <w:proofErr w:type="gramEnd"/>
            <w:r w:rsidRPr="002071F4">
              <w:rPr>
                <w:rFonts w:ascii="Times New Roman" w:hAnsi="Times New Roman" w:cs="Times New Roman"/>
              </w:rPr>
              <w:t>: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rsidR="005555DE" w:rsidRDefault="005555DE" w:rsidP="00FB6079">
      <w:pPr>
        <w:spacing w:before="120"/>
        <w:rPr>
          <w:sz w:val="20"/>
          <w:szCs w:val="20"/>
        </w:rPr>
      </w:pPr>
      <w:r>
        <w:rPr>
          <w:rFonts w:hint="eastAsia"/>
          <w:sz w:val="20"/>
          <w:szCs w:val="20"/>
        </w:rPr>
        <w:t xml:space="preserve">From the above </w:t>
      </w:r>
      <w:r>
        <w:rPr>
          <w:sz w:val="20"/>
          <w:szCs w:val="20"/>
        </w:rPr>
        <w:t>agreement</w:t>
      </w:r>
      <w:r w:rsidR="004C132F">
        <w:rPr>
          <w:rFonts w:hint="eastAsia"/>
          <w:sz w:val="20"/>
          <w:szCs w:val="20"/>
        </w:rPr>
        <w:t>s</w:t>
      </w:r>
      <w:r>
        <w:rPr>
          <w:rFonts w:hint="eastAsia"/>
          <w:sz w:val="20"/>
          <w:szCs w:val="20"/>
        </w:rPr>
        <w:t xml:space="preserve">, a specific preamble/RO partitioning can be defined on </w:t>
      </w:r>
      <w:r w:rsidR="004C132F">
        <w:rPr>
          <w:rFonts w:hint="eastAsia"/>
          <w:sz w:val="20"/>
          <w:szCs w:val="20"/>
        </w:rPr>
        <w:t xml:space="preserve">a </w:t>
      </w:r>
      <w:r>
        <w:rPr>
          <w:rFonts w:hint="eastAsia"/>
          <w:sz w:val="20"/>
          <w:szCs w:val="20"/>
        </w:rPr>
        <w:t>feature combination basis. To enable adopting CE features to RedCap, a combination of {</w:t>
      </w:r>
      <w:r>
        <w:rPr>
          <w:sz w:val="20"/>
          <w:szCs w:val="20"/>
        </w:rPr>
        <w:t>‘</w:t>
      </w:r>
      <w:r>
        <w:rPr>
          <w:rFonts w:hint="eastAsia"/>
          <w:sz w:val="20"/>
          <w:szCs w:val="20"/>
        </w:rPr>
        <w:t>RedCap</w:t>
      </w:r>
      <w:r>
        <w:rPr>
          <w:sz w:val="20"/>
          <w:szCs w:val="20"/>
        </w:rPr>
        <w:t>’</w:t>
      </w:r>
      <w:r>
        <w:rPr>
          <w:rFonts w:hint="eastAsia"/>
          <w:sz w:val="20"/>
          <w:szCs w:val="20"/>
        </w:rPr>
        <w:t xml:space="preserve">, </w:t>
      </w:r>
      <w:r>
        <w:rPr>
          <w:sz w:val="20"/>
          <w:szCs w:val="20"/>
        </w:rPr>
        <w:t>‘</w:t>
      </w:r>
      <w:r>
        <w:rPr>
          <w:rFonts w:hint="eastAsia"/>
          <w:sz w:val="20"/>
          <w:szCs w:val="20"/>
        </w:rPr>
        <w:t>Coverage enhancement (Msg3 repetition)</w:t>
      </w:r>
      <w:r>
        <w:rPr>
          <w:sz w:val="20"/>
          <w:szCs w:val="20"/>
        </w:rPr>
        <w:t>’</w:t>
      </w:r>
      <w:r>
        <w:rPr>
          <w:rFonts w:hint="eastAsia"/>
          <w:sz w:val="20"/>
          <w:szCs w:val="20"/>
        </w:rPr>
        <w:t xml:space="preserve">} </w:t>
      </w:r>
      <w:r>
        <w:rPr>
          <w:sz w:val="20"/>
          <w:szCs w:val="20"/>
        </w:rPr>
        <w:t>should</w:t>
      </w:r>
      <w:r>
        <w:rPr>
          <w:rFonts w:hint="eastAsia"/>
          <w:sz w:val="20"/>
          <w:szCs w:val="20"/>
        </w:rPr>
        <w:t xml:space="preserve"> be</w:t>
      </w:r>
      <w:r w:rsidR="0083423E">
        <w:rPr>
          <w:rFonts w:hint="eastAsia"/>
          <w:sz w:val="20"/>
          <w:szCs w:val="20"/>
        </w:rPr>
        <w:t xml:space="preserve"> considered to reflect the requirement of RedCap WID</w:t>
      </w:r>
      <w:r>
        <w:rPr>
          <w:rFonts w:hint="eastAsia"/>
          <w:sz w:val="20"/>
          <w:szCs w:val="20"/>
        </w:rPr>
        <w:t>.</w:t>
      </w:r>
      <w:r w:rsidR="0083423E">
        <w:rPr>
          <w:rFonts w:hint="eastAsia"/>
          <w:sz w:val="20"/>
          <w:szCs w:val="20"/>
        </w:rPr>
        <w:t xml:space="preserve"> Besides, c</w:t>
      </w:r>
      <w:r>
        <w:rPr>
          <w:rFonts w:hint="eastAsia"/>
          <w:sz w:val="20"/>
          <w:szCs w:val="20"/>
        </w:rPr>
        <w:t>onsidering that 4-step RACH should be mandate</w:t>
      </w:r>
      <w:r w:rsidR="004C132F">
        <w:rPr>
          <w:rFonts w:hint="eastAsia"/>
          <w:sz w:val="20"/>
          <w:szCs w:val="20"/>
        </w:rPr>
        <w:t>d</w:t>
      </w:r>
      <w:r>
        <w:rPr>
          <w:rFonts w:hint="eastAsia"/>
          <w:sz w:val="20"/>
          <w:szCs w:val="20"/>
        </w:rPr>
        <w:t xml:space="preserve"> while 2-step RACH is optional, </w:t>
      </w:r>
      <w:r w:rsidR="0083423E">
        <w:rPr>
          <w:rFonts w:hint="eastAsia"/>
          <w:sz w:val="20"/>
          <w:szCs w:val="20"/>
        </w:rPr>
        <w:t>a combination of {</w:t>
      </w:r>
      <w:r w:rsidR="0083423E">
        <w:rPr>
          <w:sz w:val="20"/>
          <w:szCs w:val="20"/>
        </w:rPr>
        <w:t>‘</w:t>
      </w:r>
      <w:r w:rsidR="0083423E" w:rsidRPr="0083423E">
        <w:rPr>
          <w:sz w:val="20"/>
          <w:szCs w:val="20"/>
        </w:rPr>
        <w:t>4-step RACH’, ‘RedCap’, ‘Coverage</w:t>
      </w:r>
      <w:r w:rsidR="0083423E">
        <w:rPr>
          <w:sz w:val="20"/>
          <w:szCs w:val="20"/>
        </w:rPr>
        <w:t xml:space="preserve"> enhancement (Msg3 repetition)’</w:t>
      </w:r>
      <w:r w:rsidR="0083423E">
        <w:rPr>
          <w:rFonts w:hint="eastAsia"/>
          <w:sz w:val="20"/>
          <w:szCs w:val="20"/>
        </w:rPr>
        <w:t>} should be supported.</w:t>
      </w:r>
      <w:r w:rsidR="0092699B">
        <w:rPr>
          <w:rFonts w:hint="eastAsia"/>
          <w:sz w:val="20"/>
          <w:szCs w:val="20"/>
        </w:rPr>
        <w:t xml:space="preserve"> The detailed signaling can be up to RAN2.</w:t>
      </w:r>
    </w:p>
    <w:p w:rsidR="00F27DE7" w:rsidRPr="00E20964" w:rsidRDefault="00F27DE7" w:rsidP="00FB6079">
      <w:pPr>
        <w:spacing w:before="120"/>
        <w:rPr>
          <w:b/>
          <w:sz w:val="20"/>
          <w:szCs w:val="20"/>
        </w:rPr>
      </w:pPr>
      <w:r w:rsidRPr="00E20964">
        <w:rPr>
          <w:rFonts w:hint="eastAsia"/>
          <w:b/>
          <w:sz w:val="20"/>
          <w:szCs w:val="20"/>
        </w:rPr>
        <w:t xml:space="preserve">Proposal </w:t>
      </w:r>
      <w:r w:rsidR="0092699B">
        <w:rPr>
          <w:rFonts w:hint="eastAsia"/>
          <w:b/>
          <w:sz w:val="20"/>
          <w:szCs w:val="20"/>
        </w:rPr>
        <w:t>1</w:t>
      </w:r>
      <w:r w:rsidRPr="00E20964">
        <w:rPr>
          <w:rFonts w:hint="eastAsia"/>
          <w:b/>
          <w:sz w:val="20"/>
          <w:szCs w:val="20"/>
        </w:rPr>
        <w:t xml:space="preserve">: At least </w:t>
      </w:r>
      <w:r w:rsidR="002B2031">
        <w:rPr>
          <w:rFonts w:hint="eastAsia"/>
          <w:b/>
          <w:sz w:val="20"/>
          <w:szCs w:val="20"/>
        </w:rPr>
        <w:t xml:space="preserve">a feature </w:t>
      </w:r>
      <w:r w:rsidRPr="00E20964">
        <w:rPr>
          <w:rFonts w:hint="eastAsia"/>
          <w:b/>
          <w:sz w:val="20"/>
          <w:szCs w:val="20"/>
        </w:rPr>
        <w:t>combination of {</w:t>
      </w:r>
      <w:r w:rsidRPr="00E20964">
        <w:rPr>
          <w:b/>
          <w:sz w:val="20"/>
          <w:szCs w:val="20"/>
        </w:rPr>
        <w:t>‘</w:t>
      </w:r>
      <w:r w:rsidRPr="00E20964">
        <w:rPr>
          <w:rFonts w:hint="eastAsia"/>
          <w:b/>
          <w:sz w:val="20"/>
          <w:szCs w:val="20"/>
        </w:rPr>
        <w:t>4-step RACH</w:t>
      </w:r>
      <w:r w:rsidRPr="00E20964">
        <w:rPr>
          <w:b/>
          <w:sz w:val="20"/>
          <w:szCs w:val="20"/>
        </w:rPr>
        <w:t>’</w:t>
      </w:r>
      <w:r w:rsidRPr="00E20964">
        <w:rPr>
          <w:rFonts w:hint="eastAsia"/>
          <w:b/>
          <w:sz w:val="20"/>
          <w:szCs w:val="20"/>
        </w:rPr>
        <w:t xml:space="preserve">, </w:t>
      </w:r>
      <w:r w:rsidRPr="00E20964">
        <w:rPr>
          <w:b/>
          <w:sz w:val="20"/>
          <w:szCs w:val="20"/>
        </w:rPr>
        <w:t>‘</w:t>
      </w:r>
      <w:r w:rsidRPr="00E20964">
        <w:rPr>
          <w:rFonts w:hint="eastAsia"/>
          <w:b/>
          <w:sz w:val="20"/>
          <w:szCs w:val="20"/>
        </w:rPr>
        <w:t>RedCap</w:t>
      </w:r>
      <w:r w:rsidRPr="00E20964">
        <w:rPr>
          <w:b/>
          <w:sz w:val="20"/>
          <w:szCs w:val="20"/>
        </w:rPr>
        <w:t>’</w:t>
      </w:r>
      <w:r w:rsidRPr="00E20964">
        <w:rPr>
          <w:rFonts w:hint="eastAsia"/>
          <w:b/>
          <w:sz w:val="20"/>
          <w:szCs w:val="20"/>
        </w:rPr>
        <w:t xml:space="preserve">, </w:t>
      </w:r>
      <w:r w:rsidRPr="00E20964">
        <w:rPr>
          <w:b/>
          <w:sz w:val="20"/>
          <w:szCs w:val="20"/>
        </w:rPr>
        <w:t>‘</w:t>
      </w:r>
      <w:r w:rsidRPr="00E20964">
        <w:rPr>
          <w:rFonts w:hint="eastAsia"/>
          <w:b/>
          <w:sz w:val="20"/>
          <w:szCs w:val="20"/>
        </w:rPr>
        <w:t>Coverage enhancement (Msg3 repetition)</w:t>
      </w:r>
      <w:r w:rsidRPr="00E20964">
        <w:rPr>
          <w:b/>
          <w:sz w:val="20"/>
          <w:szCs w:val="20"/>
        </w:rPr>
        <w:t>’</w:t>
      </w:r>
      <w:r w:rsidRPr="00E20964">
        <w:rPr>
          <w:rFonts w:hint="eastAsia"/>
          <w:b/>
          <w:sz w:val="20"/>
          <w:szCs w:val="20"/>
        </w:rPr>
        <w:t xml:space="preserve">} </w:t>
      </w:r>
      <w:r w:rsidRPr="00E20964">
        <w:rPr>
          <w:b/>
          <w:sz w:val="20"/>
          <w:szCs w:val="20"/>
        </w:rPr>
        <w:t>should</w:t>
      </w:r>
      <w:r w:rsidRPr="00E20964">
        <w:rPr>
          <w:rFonts w:hint="eastAsia"/>
          <w:b/>
          <w:sz w:val="20"/>
          <w:szCs w:val="20"/>
        </w:rPr>
        <w:t xml:space="preserve"> be supported</w:t>
      </w:r>
      <w:r w:rsidR="00B25BAC" w:rsidRPr="00E20964">
        <w:rPr>
          <w:rFonts w:hint="eastAsia"/>
          <w:b/>
          <w:sz w:val="20"/>
          <w:szCs w:val="20"/>
        </w:rPr>
        <w:t xml:space="preserve"> in RACH </w:t>
      </w:r>
      <w:r w:rsidR="00B25BAC" w:rsidRPr="00E20964">
        <w:rPr>
          <w:b/>
          <w:sz w:val="20"/>
          <w:szCs w:val="20"/>
        </w:rPr>
        <w:t xml:space="preserve">indication </w:t>
      </w:r>
      <w:r w:rsidR="00B25BAC" w:rsidRPr="00E20964">
        <w:rPr>
          <w:rFonts w:hint="eastAsia"/>
          <w:b/>
          <w:sz w:val="20"/>
          <w:szCs w:val="20"/>
        </w:rPr>
        <w:t>and partitioning</w:t>
      </w:r>
      <w:r w:rsidRPr="00E20964">
        <w:rPr>
          <w:rFonts w:hint="eastAsia"/>
          <w:b/>
          <w:sz w:val="20"/>
          <w:szCs w:val="20"/>
        </w:rPr>
        <w:t>.</w:t>
      </w:r>
    </w:p>
    <w:p w:rsidR="00F27DE7" w:rsidRPr="00E20964" w:rsidRDefault="00F27DE7" w:rsidP="00FB6079">
      <w:pPr>
        <w:spacing w:before="120"/>
        <w:rPr>
          <w:b/>
          <w:sz w:val="20"/>
          <w:szCs w:val="20"/>
        </w:rPr>
      </w:pPr>
      <w:r w:rsidRPr="00E20964">
        <w:rPr>
          <w:rFonts w:hint="eastAsia"/>
          <w:b/>
          <w:sz w:val="20"/>
          <w:szCs w:val="20"/>
        </w:rPr>
        <w:t xml:space="preserve">Proposal </w:t>
      </w:r>
      <w:r w:rsidR="0092699B">
        <w:rPr>
          <w:rFonts w:hint="eastAsia"/>
          <w:b/>
          <w:sz w:val="20"/>
          <w:szCs w:val="20"/>
        </w:rPr>
        <w:t>2</w:t>
      </w:r>
      <w:r w:rsidRPr="00E20964">
        <w:rPr>
          <w:rFonts w:hint="eastAsia"/>
          <w:b/>
          <w:sz w:val="20"/>
          <w:szCs w:val="20"/>
        </w:rPr>
        <w:t>: Detailed signaling is up to RAN2 decision.</w:t>
      </w:r>
    </w:p>
    <w:p w:rsidR="005C0EDA" w:rsidRPr="00962B96" w:rsidRDefault="005C0EDA" w:rsidP="00846D35"/>
    <w:p w:rsidR="006B368D" w:rsidRDefault="006B368D" w:rsidP="006B368D">
      <w:pPr>
        <w:pStyle w:val="2"/>
        <w:ind w:left="723" w:hangingChars="300" w:hanging="723"/>
        <w:rPr>
          <w:lang w:val="en-GB"/>
        </w:rPr>
      </w:pPr>
      <w:r>
        <w:rPr>
          <w:rFonts w:hint="eastAsia"/>
          <w:lang w:val="en-GB"/>
        </w:rPr>
        <w:lastRenderedPageBreak/>
        <w:t xml:space="preserve">Further cost reduction by reducing </w:t>
      </w:r>
      <w:r w:rsidR="00557E75">
        <w:rPr>
          <w:rFonts w:hint="eastAsia"/>
          <w:lang w:val="en-GB"/>
        </w:rPr>
        <w:t xml:space="preserve">the </w:t>
      </w:r>
      <w:r>
        <w:rPr>
          <w:rFonts w:hint="eastAsia"/>
          <w:lang w:val="en-GB"/>
        </w:rPr>
        <w:t xml:space="preserve">maximum </w:t>
      </w:r>
      <w:r w:rsidR="00557E75">
        <w:rPr>
          <w:rFonts w:hint="eastAsia"/>
          <w:lang w:val="en-GB"/>
        </w:rPr>
        <w:t xml:space="preserve">value of </w:t>
      </w:r>
      <w:r>
        <w:rPr>
          <w:rFonts w:hint="eastAsia"/>
          <w:lang w:val="en-GB"/>
        </w:rPr>
        <w:t>parameters</w:t>
      </w:r>
    </w:p>
    <w:p w:rsidR="006B368D" w:rsidRPr="00D32E2B" w:rsidRDefault="00D32E2B" w:rsidP="00846D35">
      <w:pPr>
        <w:rPr>
          <w:sz w:val="20"/>
          <w:lang w:val="en-GB"/>
        </w:rPr>
      </w:pPr>
      <w:r w:rsidRPr="00D32E2B">
        <w:rPr>
          <w:rFonts w:hint="eastAsia"/>
          <w:sz w:val="20"/>
          <w:lang w:val="en-GB"/>
        </w:rPr>
        <w:t>The WID also states that the UE capabilities and RRC parameters may be updated for RedCap UE.</w:t>
      </w:r>
    </w:p>
    <w:tbl>
      <w:tblPr>
        <w:tblStyle w:val="ad"/>
        <w:tblW w:w="0" w:type="auto"/>
        <w:tblLook w:val="04A0" w:firstRow="1" w:lastRow="0" w:firstColumn="1" w:lastColumn="0" w:noHBand="0" w:noVBand="1"/>
      </w:tblPr>
      <w:tblGrid>
        <w:gridCol w:w="9286"/>
      </w:tblGrid>
      <w:tr w:rsidR="005454E6" w:rsidTr="005454E6">
        <w:tc>
          <w:tcPr>
            <w:tcW w:w="9286" w:type="dxa"/>
          </w:tcPr>
          <w:p w:rsidR="005454E6" w:rsidRPr="005454E6" w:rsidRDefault="005454E6" w:rsidP="00846D35">
            <w:pPr>
              <w:pStyle w:val="B1"/>
              <w:numPr>
                <w:ilvl w:val="0"/>
                <w:numId w:val="45"/>
              </w:numPr>
              <w:jc w:val="both"/>
              <w:rPr>
                <w:rFonts w:eastAsia="宋体"/>
                <w:bCs/>
                <w:lang w:val="en-US" w:eastAsia="ja-JP"/>
              </w:rPr>
            </w:pPr>
            <w:r>
              <w:rPr>
                <w:rFonts w:eastAsia="宋体"/>
                <w:bCs/>
                <w:lang w:val="en-US" w:eastAsia="ja-JP"/>
              </w:rPr>
              <w:t>Specify necessary updates of UE capabilities (38.306) and RRC parameters (38.331). [RAN2]</w:t>
            </w:r>
          </w:p>
        </w:tc>
      </w:tr>
    </w:tbl>
    <w:p w:rsidR="00557E75" w:rsidRDefault="00D32E2B" w:rsidP="00D32E2B">
      <w:pPr>
        <w:widowControl/>
        <w:spacing w:beforeLines="50" w:before="120"/>
        <w:rPr>
          <w:rFonts w:cs="Times New Roman"/>
          <w:sz w:val="20"/>
          <w:szCs w:val="20"/>
        </w:rPr>
      </w:pPr>
      <w:r w:rsidRPr="00D32E2B">
        <w:rPr>
          <w:rFonts w:cs="Times New Roman" w:hint="eastAsia"/>
          <w:sz w:val="20"/>
          <w:szCs w:val="20"/>
        </w:rPr>
        <w:t xml:space="preserve">It is understandable that </w:t>
      </w:r>
      <w:r w:rsidR="007479B0">
        <w:rPr>
          <w:rFonts w:cs="Times New Roman" w:hint="eastAsia"/>
          <w:sz w:val="20"/>
          <w:szCs w:val="20"/>
        </w:rPr>
        <w:t xml:space="preserve">the </w:t>
      </w:r>
      <w:r w:rsidR="00557E75">
        <w:rPr>
          <w:rFonts w:cs="Times New Roman" w:hint="eastAsia"/>
          <w:sz w:val="20"/>
          <w:szCs w:val="20"/>
        </w:rPr>
        <w:t xml:space="preserve">standard of </w:t>
      </w:r>
      <w:r w:rsidR="007479B0">
        <w:rPr>
          <w:rFonts w:cs="Times New Roman" w:hint="eastAsia"/>
          <w:sz w:val="20"/>
          <w:szCs w:val="20"/>
        </w:rPr>
        <w:t xml:space="preserve">UE capabilities and RRC parameters may be updated to support RedCap UE features, e.g. reporting the number of Rx branches, </w:t>
      </w:r>
      <w:r w:rsidR="006F01A3">
        <w:rPr>
          <w:rFonts w:cs="Times New Roman" w:hint="eastAsia"/>
          <w:sz w:val="20"/>
          <w:szCs w:val="20"/>
        </w:rPr>
        <w:t xml:space="preserve">or configuring RedCap-dedicated initial DL/UL BWPs. </w:t>
      </w:r>
      <w:r w:rsidR="00557E75">
        <w:rPr>
          <w:rFonts w:cs="Times New Roman" w:hint="eastAsia"/>
          <w:sz w:val="20"/>
          <w:szCs w:val="20"/>
        </w:rPr>
        <w:t>This can be discussed in a later phase when most of the RAN1/RAN2 design is finished.</w:t>
      </w:r>
    </w:p>
    <w:p w:rsidR="006B368D" w:rsidRDefault="006F01A3" w:rsidP="00D32E2B">
      <w:pPr>
        <w:widowControl/>
        <w:spacing w:beforeLines="50" w:before="120"/>
        <w:rPr>
          <w:rFonts w:cs="Times New Roman"/>
          <w:sz w:val="20"/>
          <w:szCs w:val="20"/>
        </w:rPr>
      </w:pPr>
      <w:r>
        <w:rPr>
          <w:rFonts w:cs="Times New Roman" w:hint="eastAsia"/>
          <w:sz w:val="20"/>
          <w:szCs w:val="20"/>
        </w:rPr>
        <w:t xml:space="preserve">Furthermore, considering that the RedCap UE has typically less </w:t>
      </w:r>
      <w:r w:rsidR="00E47F39">
        <w:rPr>
          <w:rFonts w:cs="Times New Roman" w:hint="eastAsia"/>
          <w:sz w:val="20"/>
          <w:szCs w:val="20"/>
        </w:rPr>
        <w:t xml:space="preserve">number of </w:t>
      </w:r>
      <w:r>
        <w:rPr>
          <w:rFonts w:cs="Times New Roman" w:hint="eastAsia"/>
          <w:sz w:val="20"/>
          <w:szCs w:val="20"/>
        </w:rPr>
        <w:t xml:space="preserve">Rx branches and </w:t>
      </w:r>
      <w:r w:rsidR="00A73B72">
        <w:rPr>
          <w:rFonts w:cs="Times New Roman" w:hint="eastAsia"/>
          <w:sz w:val="20"/>
          <w:szCs w:val="20"/>
        </w:rPr>
        <w:t xml:space="preserve">lower </w:t>
      </w:r>
      <w:r w:rsidR="00557E75">
        <w:rPr>
          <w:rFonts w:cs="Times New Roman" w:hint="eastAsia"/>
          <w:sz w:val="20"/>
          <w:szCs w:val="20"/>
        </w:rPr>
        <w:t xml:space="preserve">processing capability, it may be feasible to reduce some of </w:t>
      </w:r>
      <w:r w:rsidR="00557E75">
        <w:rPr>
          <w:rFonts w:cs="Times New Roman"/>
          <w:sz w:val="20"/>
          <w:szCs w:val="20"/>
        </w:rPr>
        <w:t>the</w:t>
      </w:r>
      <w:r w:rsidR="00557E75">
        <w:rPr>
          <w:rFonts w:cs="Times New Roman" w:hint="eastAsia"/>
          <w:sz w:val="20"/>
          <w:szCs w:val="20"/>
        </w:rPr>
        <w:t xml:space="preserve"> maximum value of parameters for RedCap to achieve further cost reduction. Such parameters include, e.g. the maximum number of CSI-RS resources, the maximum number of measurement objects, the maximum number of different DCI size, etc. This may reduce the buffer and processing requirement, and thus reduce the cost of baseband circuit. </w:t>
      </w:r>
    </w:p>
    <w:p w:rsidR="00557E75" w:rsidRDefault="00774BE8" w:rsidP="00D32E2B">
      <w:pPr>
        <w:widowControl/>
        <w:spacing w:beforeLines="50" w:before="120"/>
        <w:rPr>
          <w:rFonts w:cs="Times New Roman"/>
          <w:sz w:val="20"/>
          <w:szCs w:val="20"/>
        </w:rPr>
      </w:pPr>
      <w:r>
        <w:rPr>
          <w:rFonts w:cs="Times New Roman" w:hint="eastAsia"/>
          <w:sz w:val="20"/>
          <w:szCs w:val="20"/>
        </w:rPr>
        <w:t>Having said this, we have the following observation:</w:t>
      </w:r>
    </w:p>
    <w:p w:rsidR="00557E75" w:rsidRPr="00557E75" w:rsidRDefault="00557E75" w:rsidP="00D32E2B">
      <w:pPr>
        <w:widowControl/>
        <w:spacing w:beforeLines="50" w:before="120"/>
        <w:rPr>
          <w:b/>
          <w:lang w:val="en-GB"/>
        </w:rPr>
      </w:pPr>
      <w:r w:rsidRPr="00557E75">
        <w:rPr>
          <w:rFonts w:hint="eastAsia"/>
          <w:b/>
          <w:lang w:val="en-GB"/>
        </w:rPr>
        <w:t xml:space="preserve">Observation </w:t>
      </w:r>
      <w:r w:rsidR="00DF2B17">
        <w:rPr>
          <w:rFonts w:hint="eastAsia"/>
          <w:b/>
          <w:lang w:val="en-GB"/>
        </w:rPr>
        <w:t>1</w:t>
      </w:r>
      <w:r w:rsidRPr="00557E75">
        <w:rPr>
          <w:rFonts w:hint="eastAsia"/>
          <w:b/>
          <w:lang w:val="en-GB"/>
        </w:rPr>
        <w:t>: The cost of RedCap UE may be further reduced by reducing the maximum value of parameters.</w:t>
      </w:r>
    </w:p>
    <w:p w:rsidR="005454E6" w:rsidRDefault="005454E6" w:rsidP="00846D35">
      <w:pPr>
        <w:rPr>
          <w:lang w:val="en-GB"/>
        </w:rPr>
      </w:pP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557E75">
        <w:rPr>
          <w:rFonts w:eastAsia="宋体" w:cs="Times New Roman" w:hint="eastAsia"/>
          <w:kern w:val="0"/>
          <w:sz w:val="20"/>
          <w:szCs w:val="20"/>
          <w:lang w:val="en-GB"/>
        </w:rPr>
        <w:t>remaining issues of RedCap UE</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Pr>
          <w:rFonts w:eastAsia="宋体" w:cs="Times New Roman" w:hint="eastAsia"/>
          <w:kern w:val="0"/>
          <w:sz w:val="20"/>
          <w:szCs w:val="20"/>
          <w:lang w:val="en-GB"/>
        </w:rPr>
        <w:t xml:space="preserve"> </w:t>
      </w:r>
      <w:r w:rsidR="005F779B">
        <w:rPr>
          <w:rFonts w:eastAsia="宋体" w:cs="Times New Roman" w:hint="eastAsia"/>
          <w:kern w:val="0"/>
          <w:sz w:val="20"/>
          <w:szCs w:val="20"/>
          <w:lang w:val="en-GB"/>
        </w:rPr>
        <w:t>observation</w:t>
      </w:r>
      <w:r w:rsidR="00DF2B17">
        <w:rPr>
          <w:rFonts w:eastAsia="宋体" w:cs="Times New Roman" w:hint="eastAsia"/>
          <w:kern w:val="0"/>
          <w:sz w:val="20"/>
          <w:szCs w:val="20"/>
          <w:lang w:val="en-GB"/>
        </w:rPr>
        <w:t xml:space="preserve"> and proposals </w:t>
      </w:r>
      <w:r w:rsidR="00061BE4">
        <w:rPr>
          <w:rFonts w:eastAsia="宋体" w:cs="Times New Roman" w:hint="eastAsia"/>
          <w:kern w:val="0"/>
          <w:sz w:val="20"/>
          <w:szCs w:val="20"/>
          <w:lang w:val="en-GB"/>
        </w:rPr>
        <w:t>are summarized as follows:</w:t>
      </w:r>
    </w:p>
    <w:p w:rsidR="002047FB" w:rsidRPr="00557E75" w:rsidRDefault="002047FB" w:rsidP="002047FB">
      <w:pPr>
        <w:widowControl/>
        <w:spacing w:beforeLines="50" w:before="120"/>
        <w:rPr>
          <w:b/>
          <w:lang w:val="en-GB"/>
        </w:rPr>
      </w:pPr>
      <w:r w:rsidRPr="00557E75">
        <w:rPr>
          <w:rFonts w:hint="eastAsia"/>
          <w:b/>
          <w:lang w:val="en-GB"/>
        </w:rPr>
        <w:t xml:space="preserve">Observation </w:t>
      </w:r>
      <w:r>
        <w:rPr>
          <w:rFonts w:hint="eastAsia"/>
          <w:b/>
          <w:lang w:val="en-GB"/>
        </w:rPr>
        <w:t>1</w:t>
      </w:r>
      <w:r w:rsidRPr="00557E75">
        <w:rPr>
          <w:rFonts w:hint="eastAsia"/>
          <w:b/>
          <w:lang w:val="en-GB"/>
        </w:rPr>
        <w:t>: The cost of RedCap UE may be further reduced by reducing the maximum value of parameters.</w:t>
      </w:r>
    </w:p>
    <w:p w:rsidR="002047FB" w:rsidRPr="00E20964" w:rsidRDefault="002047FB" w:rsidP="002047FB">
      <w:pPr>
        <w:spacing w:before="120"/>
        <w:rPr>
          <w:b/>
          <w:sz w:val="20"/>
          <w:szCs w:val="20"/>
        </w:rPr>
      </w:pPr>
      <w:r w:rsidRPr="00E20964">
        <w:rPr>
          <w:rFonts w:hint="eastAsia"/>
          <w:b/>
          <w:sz w:val="20"/>
          <w:szCs w:val="20"/>
        </w:rPr>
        <w:t xml:space="preserve">Proposal </w:t>
      </w:r>
      <w:r>
        <w:rPr>
          <w:rFonts w:hint="eastAsia"/>
          <w:b/>
          <w:sz w:val="20"/>
          <w:szCs w:val="20"/>
        </w:rPr>
        <w:t>1</w:t>
      </w:r>
      <w:r w:rsidRPr="00E20964">
        <w:rPr>
          <w:rFonts w:hint="eastAsia"/>
          <w:b/>
          <w:sz w:val="20"/>
          <w:szCs w:val="20"/>
        </w:rPr>
        <w:t xml:space="preserve">: At least </w:t>
      </w:r>
      <w:r>
        <w:rPr>
          <w:rFonts w:hint="eastAsia"/>
          <w:b/>
          <w:sz w:val="20"/>
          <w:szCs w:val="20"/>
        </w:rPr>
        <w:t xml:space="preserve">a feature </w:t>
      </w:r>
      <w:r w:rsidRPr="00E20964">
        <w:rPr>
          <w:rFonts w:hint="eastAsia"/>
          <w:b/>
          <w:sz w:val="20"/>
          <w:szCs w:val="20"/>
        </w:rPr>
        <w:t>combination of {</w:t>
      </w:r>
      <w:r w:rsidRPr="00E20964">
        <w:rPr>
          <w:b/>
          <w:sz w:val="20"/>
          <w:szCs w:val="20"/>
        </w:rPr>
        <w:t>‘</w:t>
      </w:r>
      <w:r w:rsidRPr="00E20964">
        <w:rPr>
          <w:rFonts w:hint="eastAsia"/>
          <w:b/>
          <w:sz w:val="20"/>
          <w:szCs w:val="20"/>
        </w:rPr>
        <w:t>4-step RACH</w:t>
      </w:r>
      <w:r w:rsidRPr="00E20964">
        <w:rPr>
          <w:b/>
          <w:sz w:val="20"/>
          <w:szCs w:val="20"/>
        </w:rPr>
        <w:t>’</w:t>
      </w:r>
      <w:r w:rsidRPr="00E20964">
        <w:rPr>
          <w:rFonts w:hint="eastAsia"/>
          <w:b/>
          <w:sz w:val="20"/>
          <w:szCs w:val="20"/>
        </w:rPr>
        <w:t xml:space="preserve">, </w:t>
      </w:r>
      <w:r w:rsidRPr="00E20964">
        <w:rPr>
          <w:b/>
          <w:sz w:val="20"/>
          <w:szCs w:val="20"/>
        </w:rPr>
        <w:t>‘</w:t>
      </w:r>
      <w:r w:rsidRPr="00E20964">
        <w:rPr>
          <w:rFonts w:hint="eastAsia"/>
          <w:b/>
          <w:sz w:val="20"/>
          <w:szCs w:val="20"/>
        </w:rPr>
        <w:t>RedCap</w:t>
      </w:r>
      <w:r w:rsidRPr="00E20964">
        <w:rPr>
          <w:b/>
          <w:sz w:val="20"/>
          <w:szCs w:val="20"/>
        </w:rPr>
        <w:t>’</w:t>
      </w:r>
      <w:r w:rsidRPr="00E20964">
        <w:rPr>
          <w:rFonts w:hint="eastAsia"/>
          <w:b/>
          <w:sz w:val="20"/>
          <w:szCs w:val="20"/>
        </w:rPr>
        <w:t xml:space="preserve">, </w:t>
      </w:r>
      <w:r w:rsidRPr="00E20964">
        <w:rPr>
          <w:b/>
          <w:sz w:val="20"/>
          <w:szCs w:val="20"/>
        </w:rPr>
        <w:t>‘</w:t>
      </w:r>
      <w:r w:rsidRPr="00E20964">
        <w:rPr>
          <w:rFonts w:hint="eastAsia"/>
          <w:b/>
          <w:sz w:val="20"/>
          <w:szCs w:val="20"/>
        </w:rPr>
        <w:t>Coverage enhancement (Msg3 repetition)</w:t>
      </w:r>
      <w:r w:rsidRPr="00E20964">
        <w:rPr>
          <w:b/>
          <w:sz w:val="20"/>
          <w:szCs w:val="20"/>
        </w:rPr>
        <w:t>’</w:t>
      </w:r>
      <w:r w:rsidRPr="00E20964">
        <w:rPr>
          <w:rFonts w:hint="eastAsia"/>
          <w:b/>
          <w:sz w:val="20"/>
          <w:szCs w:val="20"/>
        </w:rPr>
        <w:t xml:space="preserve">} </w:t>
      </w:r>
      <w:r w:rsidRPr="00E20964">
        <w:rPr>
          <w:b/>
          <w:sz w:val="20"/>
          <w:szCs w:val="20"/>
        </w:rPr>
        <w:t>should</w:t>
      </w:r>
      <w:r w:rsidRPr="00E20964">
        <w:rPr>
          <w:rFonts w:hint="eastAsia"/>
          <w:b/>
          <w:sz w:val="20"/>
          <w:szCs w:val="20"/>
        </w:rPr>
        <w:t xml:space="preserve"> be supported in RACH </w:t>
      </w:r>
      <w:r w:rsidRPr="00E20964">
        <w:rPr>
          <w:b/>
          <w:sz w:val="20"/>
          <w:szCs w:val="20"/>
        </w:rPr>
        <w:t xml:space="preserve">indication </w:t>
      </w:r>
      <w:r w:rsidRPr="00E20964">
        <w:rPr>
          <w:rFonts w:hint="eastAsia"/>
          <w:b/>
          <w:sz w:val="20"/>
          <w:szCs w:val="20"/>
        </w:rPr>
        <w:t>and partitioning.</w:t>
      </w:r>
    </w:p>
    <w:p w:rsidR="002047FB" w:rsidRPr="00E20964" w:rsidRDefault="002047FB" w:rsidP="002047FB">
      <w:pPr>
        <w:spacing w:before="120"/>
        <w:rPr>
          <w:b/>
          <w:sz w:val="20"/>
          <w:szCs w:val="20"/>
        </w:rPr>
      </w:pPr>
      <w:r w:rsidRPr="00E20964">
        <w:rPr>
          <w:rFonts w:hint="eastAsia"/>
          <w:b/>
          <w:sz w:val="20"/>
          <w:szCs w:val="20"/>
        </w:rPr>
        <w:t xml:space="preserve">Proposal </w:t>
      </w:r>
      <w:r>
        <w:rPr>
          <w:rFonts w:hint="eastAsia"/>
          <w:b/>
          <w:sz w:val="20"/>
          <w:szCs w:val="20"/>
        </w:rPr>
        <w:t>2</w:t>
      </w:r>
      <w:r w:rsidRPr="00E20964">
        <w:rPr>
          <w:rFonts w:hint="eastAsia"/>
          <w:b/>
          <w:sz w:val="20"/>
          <w:szCs w:val="20"/>
        </w:rPr>
        <w:t>: Detailed signaling is up to RAN2 decision.</w:t>
      </w:r>
    </w:p>
    <w:p w:rsidR="006907BA" w:rsidRPr="00557E75" w:rsidRDefault="006907BA" w:rsidP="008B5CAF">
      <w:pPr>
        <w:pStyle w:val="a6"/>
        <w:widowControl/>
        <w:spacing w:beforeLines="50" w:before="120"/>
        <w:ind w:firstLineChars="0" w:firstLine="0"/>
        <w:rPr>
          <w:rFonts w:cs="Times New Roman"/>
          <w:b/>
          <w:sz w:val="20"/>
          <w:szCs w:val="20"/>
          <w:lang w:val="en-GB"/>
        </w:rPr>
      </w:pPr>
    </w:p>
    <w:p w:rsidR="00A5188B" w:rsidRPr="00CC300E" w:rsidRDefault="00A5188B" w:rsidP="0041435B">
      <w:pPr>
        <w:pStyle w:val="1"/>
        <w:ind w:left="562" w:hanging="562"/>
        <w:rPr>
          <w:lang w:eastAsia="x-none"/>
        </w:rPr>
      </w:pPr>
      <w:r>
        <w:rPr>
          <w:rFonts w:hint="eastAsia"/>
        </w:rPr>
        <w:t>Reference</w:t>
      </w:r>
    </w:p>
    <w:p w:rsidR="00F85275" w:rsidRDefault="0022245C" w:rsidP="00EC4E2B">
      <w:pPr>
        <w:pStyle w:val="a6"/>
        <w:widowControl/>
        <w:numPr>
          <w:ilvl w:val="0"/>
          <w:numId w:val="5"/>
        </w:numPr>
        <w:spacing w:beforeLines="50" w:before="120"/>
        <w:ind w:firstLineChars="0"/>
        <w:rPr>
          <w:rFonts w:eastAsia="宋体" w:cs="Times New Roman"/>
          <w:kern w:val="0"/>
          <w:sz w:val="20"/>
          <w:szCs w:val="20"/>
          <w:lang w:val="en-GB"/>
        </w:rPr>
      </w:pPr>
      <w:bookmarkStart w:id="7" w:name="_Ref39749538"/>
      <w:bookmarkStart w:id="8" w:name="_Ref60931569"/>
      <w:r>
        <w:rPr>
          <w:rFonts w:eastAsia="宋体" w:cs="Times New Roman" w:hint="eastAsia"/>
          <w:kern w:val="0"/>
          <w:sz w:val="20"/>
          <w:szCs w:val="20"/>
          <w:lang w:val="en-GB"/>
        </w:rPr>
        <w:t xml:space="preserve">RP-202933, </w:t>
      </w:r>
      <w:r w:rsidRPr="0094780A">
        <w:rPr>
          <w:rFonts w:eastAsia="宋体" w:cs="Times New Roman"/>
          <w:kern w:val="0"/>
          <w:sz w:val="20"/>
          <w:szCs w:val="20"/>
          <w:lang w:val="en-GB"/>
        </w:rPr>
        <w:t>New WID on support of reduced capability NR devices</w:t>
      </w:r>
      <w:r>
        <w:rPr>
          <w:rFonts w:eastAsia="宋体" w:cs="Times New Roman" w:hint="eastAsia"/>
          <w:kern w:val="0"/>
          <w:sz w:val="20"/>
          <w:szCs w:val="20"/>
          <w:lang w:val="en-GB"/>
        </w:rPr>
        <w:t>, Ericsson, RAN#</w:t>
      </w:r>
      <w:bookmarkEnd w:id="7"/>
      <w:r>
        <w:rPr>
          <w:rFonts w:eastAsia="宋体" w:cs="Times New Roman" w:hint="eastAsia"/>
          <w:kern w:val="0"/>
          <w:sz w:val="20"/>
          <w:szCs w:val="20"/>
          <w:lang w:val="en-GB"/>
        </w:rPr>
        <w:t>90</w:t>
      </w:r>
      <w:r w:rsidR="00EA5A15">
        <w:rPr>
          <w:rFonts w:eastAsia="宋体" w:cs="Times New Roman" w:hint="eastAsia"/>
          <w:kern w:val="0"/>
          <w:sz w:val="20"/>
          <w:szCs w:val="20"/>
          <w:lang w:val="en-GB"/>
        </w:rPr>
        <w:t>-</w:t>
      </w:r>
      <w:r>
        <w:rPr>
          <w:rFonts w:eastAsia="宋体" w:cs="Times New Roman" w:hint="eastAsia"/>
          <w:kern w:val="0"/>
          <w:sz w:val="20"/>
          <w:szCs w:val="20"/>
          <w:lang w:val="en-GB"/>
        </w:rPr>
        <w:t xml:space="preserve">e, </w:t>
      </w:r>
      <w:r w:rsidR="00EA5A15">
        <w:rPr>
          <w:rFonts w:eastAsia="宋体" w:cs="Times New Roman" w:hint="eastAsia"/>
          <w:kern w:val="0"/>
          <w:sz w:val="20"/>
          <w:szCs w:val="20"/>
          <w:lang w:val="en-GB"/>
        </w:rPr>
        <w:t xml:space="preserve">e-Meeting, </w:t>
      </w:r>
      <w:r w:rsidRPr="004A588F">
        <w:rPr>
          <w:rFonts w:eastAsia="宋体" w:cs="Times New Roman"/>
          <w:kern w:val="0"/>
          <w:sz w:val="20"/>
          <w:szCs w:val="20"/>
          <w:lang w:val="en-GB"/>
        </w:rPr>
        <w:t>December 7</w:t>
      </w:r>
      <w:r>
        <w:rPr>
          <w:rFonts w:eastAsia="宋体" w:cs="Times New Roman" w:hint="eastAsia"/>
          <w:kern w:val="0"/>
          <w:sz w:val="20"/>
          <w:szCs w:val="20"/>
          <w:lang w:val="en-GB"/>
        </w:rPr>
        <w:t xml:space="preserve">th </w:t>
      </w:r>
      <w:r>
        <w:rPr>
          <w:rFonts w:eastAsia="宋体" w:cs="Times New Roman"/>
          <w:kern w:val="0"/>
          <w:sz w:val="20"/>
          <w:szCs w:val="20"/>
          <w:lang w:val="en-GB"/>
        </w:rPr>
        <w:t>–</w:t>
      </w:r>
      <w:r>
        <w:rPr>
          <w:rFonts w:eastAsia="宋体" w:cs="Times New Roman" w:hint="eastAsia"/>
          <w:kern w:val="0"/>
          <w:sz w:val="20"/>
          <w:szCs w:val="20"/>
          <w:lang w:val="en-GB"/>
        </w:rPr>
        <w:t xml:space="preserve"> </w:t>
      </w:r>
      <w:r w:rsidRPr="004A588F">
        <w:rPr>
          <w:rFonts w:eastAsia="宋体" w:cs="Times New Roman"/>
          <w:kern w:val="0"/>
          <w:sz w:val="20"/>
          <w:szCs w:val="20"/>
          <w:lang w:val="en-GB"/>
        </w:rPr>
        <w:t>11</w:t>
      </w:r>
      <w:r>
        <w:rPr>
          <w:rFonts w:eastAsia="宋体" w:cs="Times New Roman" w:hint="eastAsia"/>
          <w:kern w:val="0"/>
          <w:sz w:val="20"/>
          <w:szCs w:val="20"/>
          <w:lang w:val="en-GB"/>
        </w:rPr>
        <w:t>th</w:t>
      </w:r>
      <w:r w:rsidRPr="004A588F">
        <w:rPr>
          <w:rFonts w:eastAsia="宋体" w:cs="Times New Roman"/>
          <w:kern w:val="0"/>
          <w:sz w:val="20"/>
          <w:szCs w:val="20"/>
          <w:lang w:val="en-GB"/>
        </w:rPr>
        <w:t>, 2020</w:t>
      </w:r>
      <w:r>
        <w:rPr>
          <w:rFonts w:eastAsia="宋体" w:cs="Times New Roman" w:hint="eastAsia"/>
          <w:kern w:val="0"/>
          <w:sz w:val="20"/>
          <w:szCs w:val="20"/>
          <w:lang w:val="en-GB"/>
        </w:rPr>
        <w:t>.</w:t>
      </w:r>
      <w:bookmarkEnd w:id="8"/>
    </w:p>
    <w:p w:rsidR="00BB525D" w:rsidRDefault="0088440A" w:rsidP="0088440A">
      <w:pPr>
        <w:pStyle w:val="a6"/>
        <w:widowControl/>
        <w:numPr>
          <w:ilvl w:val="0"/>
          <w:numId w:val="5"/>
        </w:numPr>
        <w:spacing w:beforeLines="50" w:before="120"/>
        <w:ind w:firstLineChars="0"/>
        <w:rPr>
          <w:rFonts w:eastAsia="宋体" w:cs="Times New Roman"/>
          <w:kern w:val="0"/>
          <w:szCs w:val="21"/>
          <w:lang w:val="en-GB"/>
        </w:rPr>
      </w:pPr>
      <w:bookmarkStart w:id="9" w:name="_Ref64637089"/>
      <w:bookmarkStart w:id="10" w:name="_Ref60735320"/>
      <w:r w:rsidRPr="0088440A">
        <w:rPr>
          <w:rFonts w:eastAsia="宋体" w:cs="Times New Roman"/>
          <w:kern w:val="0"/>
          <w:szCs w:val="21"/>
          <w:lang w:val="en-GB"/>
        </w:rPr>
        <w:t>RP-211574</w:t>
      </w:r>
      <w:r w:rsidR="00904E7E" w:rsidRPr="00E906F8">
        <w:rPr>
          <w:rFonts w:eastAsia="宋体" w:cs="Times New Roman" w:hint="eastAsia"/>
          <w:kern w:val="0"/>
          <w:szCs w:val="21"/>
          <w:lang w:val="en-GB"/>
        </w:rPr>
        <w:t xml:space="preserve">, </w:t>
      </w:r>
      <w:r w:rsidR="00904E7E">
        <w:rPr>
          <w:rFonts w:eastAsia="宋体" w:cs="Times New Roman" w:hint="eastAsia"/>
          <w:kern w:val="0"/>
          <w:szCs w:val="21"/>
          <w:lang w:val="en-GB"/>
        </w:rPr>
        <w:t>Revised</w:t>
      </w:r>
      <w:r w:rsidR="00904E7E" w:rsidRPr="00E906F8">
        <w:rPr>
          <w:rFonts w:eastAsia="宋体" w:cs="Times New Roman"/>
          <w:kern w:val="0"/>
          <w:szCs w:val="21"/>
          <w:lang w:val="en-GB"/>
        </w:rPr>
        <w:t xml:space="preserve"> WID on support of reduced capability NR devices</w:t>
      </w:r>
      <w:r w:rsidR="00904E7E" w:rsidRPr="00E906F8">
        <w:rPr>
          <w:rFonts w:eastAsia="宋体" w:cs="Times New Roman" w:hint="eastAsia"/>
          <w:kern w:val="0"/>
          <w:szCs w:val="21"/>
          <w:lang w:val="en-GB"/>
        </w:rPr>
        <w:t>, Ericsson, RAN#</w:t>
      </w:r>
      <w:r w:rsidR="00690669" w:rsidRPr="00E906F8">
        <w:rPr>
          <w:rFonts w:eastAsia="宋体" w:cs="Times New Roman" w:hint="eastAsia"/>
          <w:kern w:val="0"/>
          <w:szCs w:val="21"/>
          <w:lang w:val="en-GB"/>
        </w:rPr>
        <w:t>9</w:t>
      </w:r>
      <w:r w:rsidR="00690669">
        <w:rPr>
          <w:rFonts w:eastAsia="宋体" w:cs="Times New Roman" w:hint="eastAsia"/>
          <w:kern w:val="0"/>
          <w:szCs w:val="21"/>
          <w:lang w:val="en-GB"/>
        </w:rPr>
        <w:t>2</w:t>
      </w:r>
      <w:r w:rsidR="00EA5A15">
        <w:rPr>
          <w:rFonts w:eastAsia="宋体" w:cs="Times New Roman" w:hint="eastAsia"/>
          <w:kern w:val="0"/>
          <w:szCs w:val="21"/>
          <w:lang w:val="en-GB"/>
        </w:rPr>
        <w:t>-</w:t>
      </w:r>
      <w:r w:rsidR="00904E7E" w:rsidRPr="00E906F8">
        <w:rPr>
          <w:rFonts w:eastAsia="宋体" w:cs="Times New Roman" w:hint="eastAsia"/>
          <w:kern w:val="0"/>
          <w:szCs w:val="21"/>
          <w:lang w:val="en-GB"/>
        </w:rPr>
        <w:t xml:space="preserve">e, </w:t>
      </w:r>
      <w:r w:rsidR="00EA5A15">
        <w:rPr>
          <w:rFonts w:eastAsia="宋体" w:cs="Times New Roman" w:hint="eastAsia"/>
          <w:kern w:val="0"/>
          <w:sz w:val="20"/>
          <w:szCs w:val="20"/>
          <w:lang w:val="en-GB"/>
        </w:rPr>
        <w:t xml:space="preserve">e-Meeting, </w:t>
      </w:r>
      <w:r>
        <w:rPr>
          <w:rFonts w:eastAsia="宋体" w:cs="Times New Roman" w:hint="eastAsia"/>
          <w:kern w:val="0"/>
          <w:szCs w:val="21"/>
          <w:lang w:val="en-GB"/>
        </w:rPr>
        <w:t>June</w:t>
      </w:r>
      <w:r w:rsidR="00904E7E" w:rsidRPr="00E906F8">
        <w:rPr>
          <w:rFonts w:eastAsia="宋体" w:cs="Times New Roman"/>
          <w:kern w:val="0"/>
          <w:szCs w:val="21"/>
          <w:lang w:val="en-GB"/>
        </w:rPr>
        <w:t xml:space="preserve"> </w:t>
      </w:r>
      <w:r>
        <w:rPr>
          <w:rFonts w:eastAsia="宋体" w:cs="Times New Roman" w:hint="eastAsia"/>
          <w:kern w:val="0"/>
          <w:szCs w:val="21"/>
          <w:lang w:val="en-GB"/>
        </w:rPr>
        <w:t>14</w:t>
      </w:r>
      <w:r w:rsidR="00904E7E" w:rsidRPr="00E906F8">
        <w:rPr>
          <w:rFonts w:eastAsia="宋体" w:cs="Times New Roman" w:hint="eastAsia"/>
          <w:kern w:val="0"/>
          <w:szCs w:val="21"/>
          <w:lang w:val="en-GB"/>
        </w:rPr>
        <w:t xml:space="preserve">th </w:t>
      </w:r>
      <w:r w:rsidR="00904E7E" w:rsidRPr="00E906F8">
        <w:rPr>
          <w:rFonts w:eastAsia="宋体" w:cs="Times New Roman"/>
          <w:kern w:val="0"/>
          <w:szCs w:val="21"/>
          <w:lang w:val="en-GB"/>
        </w:rPr>
        <w:t>–</w:t>
      </w:r>
      <w:r w:rsidR="00904E7E" w:rsidRPr="00E906F8">
        <w:rPr>
          <w:rFonts w:eastAsia="宋体" w:cs="Times New Roman" w:hint="eastAsia"/>
          <w:kern w:val="0"/>
          <w:szCs w:val="21"/>
          <w:lang w:val="en-GB"/>
        </w:rPr>
        <w:t xml:space="preserve"> </w:t>
      </w:r>
      <w:r w:rsidR="00904E7E" w:rsidRPr="00E906F8">
        <w:rPr>
          <w:rFonts w:eastAsia="宋体" w:cs="Times New Roman"/>
          <w:kern w:val="0"/>
          <w:szCs w:val="21"/>
          <w:lang w:val="en-GB"/>
        </w:rPr>
        <w:t>1</w:t>
      </w:r>
      <w:r>
        <w:rPr>
          <w:rFonts w:eastAsia="宋体" w:cs="Times New Roman" w:hint="eastAsia"/>
          <w:kern w:val="0"/>
          <w:szCs w:val="21"/>
          <w:lang w:val="en-GB"/>
        </w:rPr>
        <w:t>8</w:t>
      </w:r>
      <w:r w:rsidR="00904E7E" w:rsidRPr="00E906F8">
        <w:rPr>
          <w:rFonts w:eastAsia="宋体" w:cs="Times New Roman" w:hint="eastAsia"/>
          <w:kern w:val="0"/>
          <w:szCs w:val="21"/>
          <w:lang w:val="en-GB"/>
        </w:rPr>
        <w:t>th</w:t>
      </w:r>
      <w:r w:rsidR="00904E7E" w:rsidRPr="00E906F8">
        <w:rPr>
          <w:rFonts w:eastAsia="宋体" w:cs="Times New Roman"/>
          <w:kern w:val="0"/>
          <w:szCs w:val="21"/>
          <w:lang w:val="en-GB"/>
        </w:rPr>
        <w:t>, 202</w:t>
      </w:r>
      <w:r w:rsidR="00904E7E">
        <w:rPr>
          <w:rFonts w:eastAsia="宋体" w:cs="Times New Roman" w:hint="eastAsia"/>
          <w:kern w:val="0"/>
          <w:szCs w:val="21"/>
          <w:lang w:val="en-GB"/>
        </w:rPr>
        <w:t>1</w:t>
      </w:r>
      <w:r w:rsidR="00904E7E" w:rsidRPr="00E906F8">
        <w:rPr>
          <w:rFonts w:eastAsia="宋体" w:cs="Times New Roman" w:hint="eastAsia"/>
          <w:kern w:val="0"/>
          <w:szCs w:val="21"/>
          <w:lang w:val="en-GB"/>
        </w:rPr>
        <w:t>.</w:t>
      </w:r>
      <w:bookmarkEnd w:id="9"/>
      <w:bookmarkEnd w:id="10"/>
    </w:p>
    <w:p w:rsidR="00D53634" w:rsidRPr="00D53634" w:rsidRDefault="00D53634" w:rsidP="0088440A">
      <w:pPr>
        <w:pStyle w:val="a6"/>
        <w:widowControl/>
        <w:numPr>
          <w:ilvl w:val="0"/>
          <w:numId w:val="5"/>
        </w:numPr>
        <w:spacing w:beforeLines="50" w:before="120"/>
        <w:ind w:firstLineChars="0"/>
        <w:rPr>
          <w:rFonts w:eastAsia="宋体" w:cs="Times New Roman"/>
          <w:kern w:val="0"/>
          <w:szCs w:val="21"/>
          <w:lang w:val="en-GB"/>
        </w:rPr>
      </w:pPr>
      <w:bookmarkStart w:id="11" w:name="_Ref77944019"/>
      <w:r w:rsidRPr="00D53634">
        <w:rPr>
          <w:rFonts w:cs="Arial"/>
        </w:rPr>
        <w:t>Report of 3GPP TSG RAN WG2 meeting #11</w:t>
      </w:r>
      <w:r w:rsidRPr="00D53634">
        <w:rPr>
          <w:rFonts w:cs="Arial" w:hint="eastAsia"/>
        </w:rPr>
        <w:t>5</w:t>
      </w:r>
      <w:r w:rsidRPr="00D53634">
        <w:rPr>
          <w:rFonts w:cs="Arial"/>
        </w:rPr>
        <w:t>-e,</w:t>
      </w:r>
      <w:r w:rsidRPr="00D53634">
        <w:rPr>
          <w:rFonts w:cs="Arial" w:hint="eastAsia"/>
        </w:rPr>
        <w:t xml:space="preserve"> </w:t>
      </w:r>
      <w:r w:rsidRPr="00D53634">
        <w:rPr>
          <w:rFonts w:eastAsia="宋体" w:cs="Times New Roman"/>
          <w:kern w:val="0"/>
          <w:szCs w:val="21"/>
          <w:lang w:val="en-GB"/>
        </w:rPr>
        <w:t>3GPP TSG RAN WG</w:t>
      </w:r>
      <w:r w:rsidRPr="00D53634">
        <w:rPr>
          <w:rFonts w:eastAsia="宋体" w:cs="Times New Roman" w:hint="eastAsia"/>
          <w:kern w:val="0"/>
          <w:szCs w:val="21"/>
          <w:lang w:val="en-GB"/>
        </w:rPr>
        <w:t>2</w:t>
      </w:r>
      <w:r w:rsidRPr="00D53634">
        <w:rPr>
          <w:rFonts w:eastAsia="宋体" w:cs="Times New Roman"/>
          <w:kern w:val="0"/>
          <w:szCs w:val="21"/>
          <w:lang w:val="en-GB"/>
        </w:rPr>
        <w:t xml:space="preserve"> Meeting #1</w:t>
      </w:r>
      <w:r w:rsidRPr="00D53634">
        <w:rPr>
          <w:rFonts w:eastAsia="宋体" w:cs="Times New Roman" w:hint="eastAsia"/>
          <w:kern w:val="0"/>
          <w:szCs w:val="21"/>
          <w:lang w:val="en-GB"/>
        </w:rPr>
        <w:t>15</w:t>
      </w:r>
      <w:r w:rsidRPr="00D53634">
        <w:rPr>
          <w:rFonts w:eastAsia="宋体" w:cs="Times New Roman"/>
          <w:kern w:val="0"/>
          <w:szCs w:val="21"/>
          <w:lang w:val="en-GB"/>
        </w:rPr>
        <w:t>-e</w:t>
      </w:r>
      <w:r w:rsidRPr="00D53634">
        <w:rPr>
          <w:rFonts w:eastAsia="宋体" w:cs="Times New Roman" w:hint="eastAsia"/>
          <w:kern w:val="0"/>
          <w:szCs w:val="21"/>
          <w:lang w:val="en-GB"/>
        </w:rPr>
        <w:t xml:space="preserve">, </w:t>
      </w:r>
      <w:r w:rsidRPr="00D53634">
        <w:rPr>
          <w:rFonts w:eastAsia="宋体" w:cs="Times New Roman"/>
          <w:kern w:val="0"/>
          <w:szCs w:val="21"/>
          <w:lang w:val="en-GB"/>
        </w:rPr>
        <w:t>e-Meeting,</w:t>
      </w:r>
      <w:r w:rsidRPr="00D53634">
        <w:rPr>
          <w:rFonts w:eastAsia="宋体" w:cs="Times New Roman" w:hint="eastAsia"/>
          <w:kern w:val="0"/>
          <w:szCs w:val="21"/>
          <w:lang w:val="en-GB"/>
        </w:rPr>
        <w:t xml:space="preserve"> August</w:t>
      </w:r>
      <w:r w:rsidRPr="00D53634">
        <w:rPr>
          <w:rFonts w:eastAsia="宋体" w:cs="Times New Roman"/>
          <w:kern w:val="0"/>
          <w:szCs w:val="21"/>
          <w:lang w:val="en-GB"/>
        </w:rPr>
        <w:t xml:space="preserve"> </w:t>
      </w:r>
      <w:r w:rsidRPr="00D53634">
        <w:rPr>
          <w:rFonts w:eastAsia="宋体" w:cs="Times New Roman" w:hint="eastAsia"/>
          <w:kern w:val="0"/>
          <w:szCs w:val="21"/>
          <w:lang w:val="en-GB"/>
        </w:rPr>
        <w:t>16</w:t>
      </w:r>
      <w:r w:rsidRPr="00D53634">
        <w:rPr>
          <w:rFonts w:eastAsia="宋体" w:cs="Times New Roman"/>
          <w:kern w:val="0"/>
          <w:szCs w:val="21"/>
          <w:lang w:val="en-GB"/>
        </w:rPr>
        <w:t xml:space="preserve">th – </w:t>
      </w:r>
      <w:r w:rsidRPr="00D53634">
        <w:rPr>
          <w:rFonts w:eastAsia="宋体" w:cs="Times New Roman" w:hint="eastAsia"/>
          <w:kern w:val="0"/>
          <w:szCs w:val="21"/>
          <w:lang w:val="en-GB"/>
        </w:rPr>
        <w:t>27</w:t>
      </w:r>
      <w:r w:rsidRPr="00D53634">
        <w:rPr>
          <w:rFonts w:eastAsia="宋体" w:cs="Times New Roman"/>
          <w:kern w:val="0"/>
          <w:szCs w:val="21"/>
          <w:lang w:val="en-GB"/>
        </w:rPr>
        <w:t>th, 2021</w:t>
      </w:r>
      <w:r w:rsidRPr="00D53634">
        <w:rPr>
          <w:rFonts w:eastAsia="宋体" w:cs="Times New Roman" w:hint="eastAsia"/>
          <w:kern w:val="0"/>
          <w:szCs w:val="21"/>
          <w:lang w:val="en-GB"/>
        </w:rPr>
        <w:t>.</w:t>
      </w:r>
      <w:bookmarkEnd w:id="11"/>
    </w:p>
    <w:sectPr w:rsidR="00D53634" w:rsidRPr="00D53634"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45E" w:rsidRDefault="00A7445E" w:rsidP="00A578C0">
      <w:r>
        <w:separator/>
      </w:r>
    </w:p>
  </w:endnote>
  <w:endnote w:type="continuationSeparator" w:id="0">
    <w:p w:rsidR="00A7445E" w:rsidRDefault="00A7445E"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45E" w:rsidRDefault="00A7445E" w:rsidP="00A578C0">
      <w:r>
        <w:separator/>
      </w:r>
    </w:p>
  </w:footnote>
  <w:footnote w:type="continuationSeparator" w:id="0">
    <w:p w:rsidR="00A7445E" w:rsidRDefault="00A7445E"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740C06"/>
    <w:multiLevelType w:val="hybridMultilevel"/>
    <w:tmpl w:val="08BEDA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E34E88"/>
    <w:multiLevelType w:val="hybridMultilevel"/>
    <w:tmpl w:val="F370A1A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60E4A"/>
    <w:multiLevelType w:val="hybridMultilevel"/>
    <w:tmpl w:val="27D2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603D9B"/>
    <w:multiLevelType w:val="hybridMultilevel"/>
    <w:tmpl w:val="24F06C86"/>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49728B"/>
    <w:multiLevelType w:val="multilevel"/>
    <w:tmpl w:val="682277DA"/>
    <w:lvl w:ilvl="0">
      <w:start w:val="1"/>
      <w:numFmt w:val="decimal"/>
      <w:lvlText w:val="%1."/>
      <w:lvlJc w:val="left"/>
      <w:pPr>
        <w:ind w:left="420" w:hanging="420"/>
      </w:pPr>
      <w:rPr>
        <w:rFonts w:hint="eastAsia"/>
      </w:rPr>
    </w:lvl>
    <w:lvl w:ilvl="1">
      <w:start w:val="1"/>
      <w:numFmt w:val="decimal"/>
      <w:lvlText w:val="%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A4403D9"/>
    <w:multiLevelType w:val="hybridMultilevel"/>
    <w:tmpl w:val="944C9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705F97"/>
    <w:multiLevelType w:val="hybridMultilevel"/>
    <w:tmpl w:val="D494D3FA"/>
    <w:lvl w:ilvl="0" w:tplc="93F4A012">
      <w:start w:val="1"/>
      <w:numFmt w:val="decimal"/>
      <w:lvlText w:val="%1."/>
      <w:lvlJc w:val="left"/>
      <w:pPr>
        <w:ind w:left="420" w:hanging="420"/>
      </w:pPr>
      <w:rPr>
        <w:rFonts w:hint="default"/>
      </w:rPr>
    </w:lvl>
    <w:lvl w:ilvl="1" w:tplc="04EAEE3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E1746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1CA139E"/>
    <w:multiLevelType w:val="hybridMultilevel"/>
    <w:tmpl w:val="B5E49CF0"/>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nsid w:val="44B80D8A"/>
    <w:multiLevelType w:val="hybridMultilevel"/>
    <w:tmpl w:val="63120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3">
    <w:nsid w:val="47FD01DA"/>
    <w:multiLevelType w:val="hybridMultilevel"/>
    <w:tmpl w:val="7FB4B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7160B5"/>
    <w:multiLevelType w:val="hybridMultilevel"/>
    <w:tmpl w:val="7966B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6A6442"/>
    <w:multiLevelType w:val="multilevel"/>
    <w:tmpl w:val="7AEACA84"/>
    <w:lvl w:ilvl="0">
      <w:start w:val="1"/>
      <w:numFmt w:val="bullet"/>
      <w:lvlText w:val=""/>
      <w:lvlJc w:val="left"/>
      <w:pPr>
        <w:ind w:left="900" w:hanging="480"/>
      </w:pPr>
      <w:rPr>
        <w:rFonts w:ascii="Symbol" w:hAnsi="Symbol" w:hint="default"/>
        <w:color w:val="auto"/>
      </w:rPr>
    </w:lvl>
    <w:lvl w:ilvl="1">
      <w:start w:val="1"/>
      <w:numFmt w:val="bullet"/>
      <w:lvlText w:val="o"/>
      <w:lvlJc w:val="left"/>
      <w:pPr>
        <w:ind w:left="1380" w:hanging="480"/>
      </w:pPr>
      <w:rPr>
        <w:rFonts w:ascii="Courier New" w:hAnsi="Courier New" w:cs="Courier New"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6">
    <w:nsid w:val="4EF95A08"/>
    <w:multiLevelType w:val="hybridMultilevel"/>
    <w:tmpl w:val="48205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E61C19"/>
    <w:multiLevelType w:val="hybridMultilevel"/>
    <w:tmpl w:val="3C94857E"/>
    <w:lvl w:ilvl="0" w:tplc="04EAEE3A">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5E03EF3"/>
    <w:multiLevelType w:val="hybridMultilevel"/>
    <w:tmpl w:val="E76E1C8E"/>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194110"/>
    <w:multiLevelType w:val="multilevel"/>
    <w:tmpl w:val="37A082B6"/>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nsid w:val="571A5B3D"/>
    <w:multiLevelType w:val="multilevel"/>
    <w:tmpl w:val="8D8A6468"/>
    <w:lvl w:ilvl="0">
      <w:start w:val="1"/>
      <w:numFmt w:val="decimal"/>
      <w:lvlText w:val="%1."/>
      <w:lvlJc w:val="left"/>
      <w:pPr>
        <w:ind w:left="420" w:hanging="420"/>
      </w:pPr>
      <w:rPr>
        <w:rFonts w:hint="eastAsia"/>
      </w:rPr>
    </w:lvl>
    <w:lvl w:ilvl="1">
      <w:start w:val="1"/>
      <w:numFmt w:val="decimal"/>
      <w:isLgl/>
      <w:lvlText w:val="%1.%2"/>
      <w:lvlJc w:val="left"/>
      <w:pPr>
        <w:ind w:left="840" w:hanging="420"/>
      </w:pPr>
      <w:rPr>
        <w:rFonts w:hint="eastAsia"/>
      </w:rPr>
    </w:lvl>
    <w:lvl w:ilvl="2">
      <w:start w:val="1"/>
      <w:numFmt w:val="decimal"/>
      <w:lvlText w:val="%1.%2.%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5BB737DD"/>
    <w:multiLevelType w:val="hybridMultilevel"/>
    <w:tmpl w:val="6F685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FC22C7"/>
    <w:multiLevelType w:val="hybridMultilevel"/>
    <w:tmpl w:val="AF12C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80082D"/>
    <w:multiLevelType w:val="hybridMultilevel"/>
    <w:tmpl w:val="C17C2BD8"/>
    <w:lvl w:ilvl="0" w:tplc="0409000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FB6897"/>
    <w:multiLevelType w:val="hybridMultilevel"/>
    <w:tmpl w:val="D0A263EE"/>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D85031"/>
    <w:multiLevelType w:val="hybridMultilevel"/>
    <w:tmpl w:val="7AEC1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521E4E"/>
    <w:multiLevelType w:val="hybridMultilevel"/>
    <w:tmpl w:val="1E809CCA"/>
    <w:lvl w:ilvl="0" w:tplc="7F28AC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1"/>
  </w:num>
  <w:num w:numId="4">
    <w:abstractNumId w:val="38"/>
  </w:num>
  <w:num w:numId="5">
    <w:abstractNumId w:val="7"/>
  </w:num>
  <w:num w:numId="6">
    <w:abstractNumId w:val="10"/>
  </w:num>
  <w:num w:numId="7">
    <w:abstractNumId w:val="4"/>
  </w:num>
  <w:num w:numId="8">
    <w:abstractNumId w:val="28"/>
  </w:num>
  <w:num w:numId="9">
    <w:abstractNumId w:val="21"/>
  </w:num>
  <w:num w:numId="10">
    <w:abstractNumId w:val="40"/>
  </w:num>
  <w:num w:numId="11">
    <w:abstractNumId w:val="39"/>
  </w:num>
  <w:num w:numId="12">
    <w:abstractNumId w:val="19"/>
  </w:num>
  <w:num w:numId="13">
    <w:abstractNumId w:val="25"/>
  </w:num>
  <w:num w:numId="14">
    <w:abstractNumId w:val="3"/>
  </w:num>
  <w:num w:numId="15">
    <w:abstractNumId w:val="9"/>
  </w:num>
  <w:num w:numId="16">
    <w:abstractNumId w:val="5"/>
  </w:num>
  <w:num w:numId="17">
    <w:abstractNumId w:val="41"/>
  </w:num>
  <w:num w:numId="18">
    <w:abstractNumId w:val="20"/>
  </w:num>
  <w:num w:numId="19">
    <w:abstractNumId w:val="37"/>
  </w:num>
  <w:num w:numId="20">
    <w:abstractNumId w:val="16"/>
  </w:num>
  <w:num w:numId="21">
    <w:abstractNumId w:val="27"/>
  </w:num>
  <w:num w:numId="22">
    <w:abstractNumId w:val="17"/>
  </w:num>
  <w:num w:numId="23">
    <w:abstractNumId w:val="13"/>
  </w:num>
  <w:num w:numId="24">
    <w:abstractNumId w:val="13"/>
  </w:num>
  <w:num w:numId="25">
    <w:abstractNumId w:val="30"/>
  </w:num>
  <w:num w:numId="26">
    <w:abstractNumId w:val="13"/>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1"/>
  </w:num>
  <w:num w:numId="31">
    <w:abstractNumId w:val="22"/>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3"/>
  </w:num>
  <w:num w:numId="36">
    <w:abstractNumId w:val="32"/>
  </w:num>
  <w:num w:numId="37">
    <w:abstractNumId w:val="36"/>
  </w:num>
  <w:num w:numId="38">
    <w:abstractNumId w:val="24"/>
  </w:num>
  <w:num w:numId="39">
    <w:abstractNumId w:val="15"/>
  </w:num>
  <w:num w:numId="40">
    <w:abstractNumId w:val="26"/>
  </w:num>
  <w:num w:numId="41">
    <w:abstractNumId w:val="1"/>
  </w:num>
  <w:num w:numId="42">
    <w:abstractNumId w:val="33"/>
  </w:num>
  <w:num w:numId="43">
    <w:abstractNumId w:val="35"/>
  </w:num>
  <w:num w:numId="44">
    <w:abstractNumId w:val="18"/>
  </w:num>
  <w:num w:numId="45">
    <w:abstractNumId w:val="12"/>
  </w:num>
  <w:num w:numId="46">
    <w:abstractNumId w:val="34"/>
  </w:num>
  <w:num w:numId="47">
    <w:abstractNumId w:val="22"/>
  </w:num>
  <w:num w:numId="48">
    <w:abstractNumId w:val="29"/>
  </w:num>
  <w:num w:numId="49">
    <w:abstractNumId w:val="2"/>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1CCE"/>
    <w:rsid w:val="00007ACD"/>
    <w:rsid w:val="00013D56"/>
    <w:rsid w:val="00015940"/>
    <w:rsid w:val="00031A40"/>
    <w:rsid w:val="00043B1E"/>
    <w:rsid w:val="000474D9"/>
    <w:rsid w:val="0005030A"/>
    <w:rsid w:val="00051636"/>
    <w:rsid w:val="0005333E"/>
    <w:rsid w:val="000605E6"/>
    <w:rsid w:val="000608E3"/>
    <w:rsid w:val="00061BE4"/>
    <w:rsid w:val="00076DA1"/>
    <w:rsid w:val="00077040"/>
    <w:rsid w:val="00082259"/>
    <w:rsid w:val="00082BF8"/>
    <w:rsid w:val="00083C44"/>
    <w:rsid w:val="000842F7"/>
    <w:rsid w:val="00094F59"/>
    <w:rsid w:val="00096530"/>
    <w:rsid w:val="00097BDD"/>
    <w:rsid w:val="000A2F8C"/>
    <w:rsid w:val="000B1352"/>
    <w:rsid w:val="000B3BC7"/>
    <w:rsid w:val="000C3BA8"/>
    <w:rsid w:val="000C68ED"/>
    <w:rsid w:val="000D4230"/>
    <w:rsid w:val="000D4A87"/>
    <w:rsid w:val="000E0D27"/>
    <w:rsid w:val="000F4F6A"/>
    <w:rsid w:val="000F7827"/>
    <w:rsid w:val="0010576F"/>
    <w:rsid w:val="00105878"/>
    <w:rsid w:val="001103C3"/>
    <w:rsid w:val="00111D9C"/>
    <w:rsid w:val="00115399"/>
    <w:rsid w:val="001160C9"/>
    <w:rsid w:val="00124E7E"/>
    <w:rsid w:val="00142825"/>
    <w:rsid w:val="00143223"/>
    <w:rsid w:val="00173760"/>
    <w:rsid w:val="00184436"/>
    <w:rsid w:val="00186538"/>
    <w:rsid w:val="00193172"/>
    <w:rsid w:val="00194C0B"/>
    <w:rsid w:val="001977AF"/>
    <w:rsid w:val="001A064D"/>
    <w:rsid w:val="001B4E74"/>
    <w:rsid w:val="001C0F37"/>
    <w:rsid w:val="001C7A49"/>
    <w:rsid w:val="001C7B45"/>
    <w:rsid w:val="001D79CF"/>
    <w:rsid w:val="001E2AC0"/>
    <w:rsid w:val="001F42A7"/>
    <w:rsid w:val="00200B6C"/>
    <w:rsid w:val="002047FB"/>
    <w:rsid w:val="00205018"/>
    <w:rsid w:val="00210225"/>
    <w:rsid w:val="00214F2B"/>
    <w:rsid w:val="00215C94"/>
    <w:rsid w:val="0022010E"/>
    <w:rsid w:val="0022245C"/>
    <w:rsid w:val="00224DBF"/>
    <w:rsid w:val="002254FB"/>
    <w:rsid w:val="0024169A"/>
    <w:rsid w:val="00245AD4"/>
    <w:rsid w:val="00263A47"/>
    <w:rsid w:val="00264DD6"/>
    <w:rsid w:val="002745A5"/>
    <w:rsid w:val="002827BE"/>
    <w:rsid w:val="00286A83"/>
    <w:rsid w:val="00290D8E"/>
    <w:rsid w:val="002A11F8"/>
    <w:rsid w:val="002A1831"/>
    <w:rsid w:val="002A367C"/>
    <w:rsid w:val="002B2031"/>
    <w:rsid w:val="002C4938"/>
    <w:rsid w:val="002D02AA"/>
    <w:rsid w:val="002D135A"/>
    <w:rsid w:val="002E1E8E"/>
    <w:rsid w:val="00303AD8"/>
    <w:rsid w:val="00305C4A"/>
    <w:rsid w:val="0031625E"/>
    <w:rsid w:val="00317A6D"/>
    <w:rsid w:val="003214F4"/>
    <w:rsid w:val="00323041"/>
    <w:rsid w:val="00340FD3"/>
    <w:rsid w:val="00343302"/>
    <w:rsid w:val="003434A7"/>
    <w:rsid w:val="003445E6"/>
    <w:rsid w:val="003635EF"/>
    <w:rsid w:val="00365E6A"/>
    <w:rsid w:val="00366B60"/>
    <w:rsid w:val="0036751F"/>
    <w:rsid w:val="0038764A"/>
    <w:rsid w:val="0039481F"/>
    <w:rsid w:val="00396526"/>
    <w:rsid w:val="00397988"/>
    <w:rsid w:val="003A37FA"/>
    <w:rsid w:val="003A6940"/>
    <w:rsid w:val="003B076C"/>
    <w:rsid w:val="003B52F8"/>
    <w:rsid w:val="003C68BE"/>
    <w:rsid w:val="003C78FC"/>
    <w:rsid w:val="003D4B88"/>
    <w:rsid w:val="003E0848"/>
    <w:rsid w:val="003E5AAC"/>
    <w:rsid w:val="003F296A"/>
    <w:rsid w:val="003F3BD9"/>
    <w:rsid w:val="003F43A1"/>
    <w:rsid w:val="00402D66"/>
    <w:rsid w:val="0040382A"/>
    <w:rsid w:val="0040445C"/>
    <w:rsid w:val="00404F3F"/>
    <w:rsid w:val="004050E9"/>
    <w:rsid w:val="00413292"/>
    <w:rsid w:val="0041435B"/>
    <w:rsid w:val="00417EC0"/>
    <w:rsid w:val="00426A5F"/>
    <w:rsid w:val="00427CF2"/>
    <w:rsid w:val="00431320"/>
    <w:rsid w:val="00431B25"/>
    <w:rsid w:val="0043327A"/>
    <w:rsid w:val="00443F5F"/>
    <w:rsid w:val="004565FC"/>
    <w:rsid w:val="00461EFA"/>
    <w:rsid w:val="00466378"/>
    <w:rsid w:val="00471B4B"/>
    <w:rsid w:val="00473E9E"/>
    <w:rsid w:val="00480867"/>
    <w:rsid w:val="00481E71"/>
    <w:rsid w:val="00484513"/>
    <w:rsid w:val="00486938"/>
    <w:rsid w:val="004906AB"/>
    <w:rsid w:val="0049407A"/>
    <w:rsid w:val="004949D5"/>
    <w:rsid w:val="00497D68"/>
    <w:rsid w:val="004A4A4E"/>
    <w:rsid w:val="004A5E3D"/>
    <w:rsid w:val="004C132F"/>
    <w:rsid w:val="004C1D12"/>
    <w:rsid w:val="004C3D1E"/>
    <w:rsid w:val="004C3D6D"/>
    <w:rsid w:val="004C5B2F"/>
    <w:rsid w:val="004D2443"/>
    <w:rsid w:val="004D4531"/>
    <w:rsid w:val="004E45EB"/>
    <w:rsid w:val="004E5EF7"/>
    <w:rsid w:val="004E6A74"/>
    <w:rsid w:val="004F2251"/>
    <w:rsid w:val="004F712D"/>
    <w:rsid w:val="00501027"/>
    <w:rsid w:val="0052209A"/>
    <w:rsid w:val="00533FE1"/>
    <w:rsid w:val="005370B4"/>
    <w:rsid w:val="005422FD"/>
    <w:rsid w:val="00544465"/>
    <w:rsid w:val="005454E6"/>
    <w:rsid w:val="00551991"/>
    <w:rsid w:val="005555DE"/>
    <w:rsid w:val="00556CE9"/>
    <w:rsid w:val="00557E75"/>
    <w:rsid w:val="0056480E"/>
    <w:rsid w:val="005732E8"/>
    <w:rsid w:val="005769C1"/>
    <w:rsid w:val="00576FDA"/>
    <w:rsid w:val="00580B8C"/>
    <w:rsid w:val="00581A94"/>
    <w:rsid w:val="00593673"/>
    <w:rsid w:val="00594BFB"/>
    <w:rsid w:val="00595B89"/>
    <w:rsid w:val="00597A35"/>
    <w:rsid w:val="005A1AE8"/>
    <w:rsid w:val="005A357E"/>
    <w:rsid w:val="005A643E"/>
    <w:rsid w:val="005B3F23"/>
    <w:rsid w:val="005B6273"/>
    <w:rsid w:val="005C0EDA"/>
    <w:rsid w:val="005C4763"/>
    <w:rsid w:val="005D134E"/>
    <w:rsid w:val="005E6F4A"/>
    <w:rsid w:val="005F13F1"/>
    <w:rsid w:val="005F753C"/>
    <w:rsid w:val="005F779B"/>
    <w:rsid w:val="00601310"/>
    <w:rsid w:val="006026FC"/>
    <w:rsid w:val="006053E4"/>
    <w:rsid w:val="00606879"/>
    <w:rsid w:val="00612D87"/>
    <w:rsid w:val="006131BD"/>
    <w:rsid w:val="00614F92"/>
    <w:rsid w:val="00632A42"/>
    <w:rsid w:val="006344F4"/>
    <w:rsid w:val="00645D0B"/>
    <w:rsid w:val="00646352"/>
    <w:rsid w:val="006578F6"/>
    <w:rsid w:val="00670BC6"/>
    <w:rsid w:val="00672DCE"/>
    <w:rsid w:val="006803DB"/>
    <w:rsid w:val="0068484C"/>
    <w:rsid w:val="00685118"/>
    <w:rsid w:val="00687E3A"/>
    <w:rsid w:val="00690669"/>
    <w:rsid w:val="006907BA"/>
    <w:rsid w:val="00691A8A"/>
    <w:rsid w:val="00691CBB"/>
    <w:rsid w:val="006A002F"/>
    <w:rsid w:val="006B368D"/>
    <w:rsid w:val="006B6A62"/>
    <w:rsid w:val="006C2766"/>
    <w:rsid w:val="006C3478"/>
    <w:rsid w:val="006C7C5C"/>
    <w:rsid w:val="006D7355"/>
    <w:rsid w:val="006D7857"/>
    <w:rsid w:val="006F01A3"/>
    <w:rsid w:val="006F4B31"/>
    <w:rsid w:val="00703B1A"/>
    <w:rsid w:val="0070488B"/>
    <w:rsid w:val="00720483"/>
    <w:rsid w:val="00725C91"/>
    <w:rsid w:val="00730DAC"/>
    <w:rsid w:val="007356DE"/>
    <w:rsid w:val="0074256C"/>
    <w:rsid w:val="00745809"/>
    <w:rsid w:val="0074631B"/>
    <w:rsid w:val="007479B0"/>
    <w:rsid w:val="00750473"/>
    <w:rsid w:val="007517A6"/>
    <w:rsid w:val="00753833"/>
    <w:rsid w:val="0075584C"/>
    <w:rsid w:val="00755F6F"/>
    <w:rsid w:val="00774BE8"/>
    <w:rsid w:val="00781CD4"/>
    <w:rsid w:val="00782C29"/>
    <w:rsid w:val="00784676"/>
    <w:rsid w:val="00792E64"/>
    <w:rsid w:val="007944DE"/>
    <w:rsid w:val="007A231D"/>
    <w:rsid w:val="007A3DA2"/>
    <w:rsid w:val="007A48EC"/>
    <w:rsid w:val="007A66D5"/>
    <w:rsid w:val="007B2018"/>
    <w:rsid w:val="007C4BBB"/>
    <w:rsid w:val="007C5894"/>
    <w:rsid w:val="007C66A6"/>
    <w:rsid w:val="007D4ADC"/>
    <w:rsid w:val="007E0E48"/>
    <w:rsid w:val="007E21EB"/>
    <w:rsid w:val="007F21D9"/>
    <w:rsid w:val="007F3436"/>
    <w:rsid w:val="007F64AB"/>
    <w:rsid w:val="00802826"/>
    <w:rsid w:val="00804679"/>
    <w:rsid w:val="008131E0"/>
    <w:rsid w:val="00814A4F"/>
    <w:rsid w:val="00827C12"/>
    <w:rsid w:val="00833197"/>
    <w:rsid w:val="0083423E"/>
    <w:rsid w:val="00843D5F"/>
    <w:rsid w:val="00846D35"/>
    <w:rsid w:val="00850D43"/>
    <w:rsid w:val="0085134E"/>
    <w:rsid w:val="00851459"/>
    <w:rsid w:val="00854AD4"/>
    <w:rsid w:val="00855F2C"/>
    <w:rsid w:val="0085614F"/>
    <w:rsid w:val="008608C7"/>
    <w:rsid w:val="008639A9"/>
    <w:rsid w:val="00863C7E"/>
    <w:rsid w:val="00866A71"/>
    <w:rsid w:val="0087658E"/>
    <w:rsid w:val="00877D6E"/>
    <w:rsid w:val="00883DCA"/>
    <w:rsid w:val="0088440A"/>
    <w:rsid w:val="00884961"/>
    <w:rsid w:val="00886235"/>
    <w:rsid w:val="008A0387"/>
    <w:rsid w:val="008A27BF"/>
    <w:rsid w:val="008B111D"/>
    <w:rsid w:val="008B4EE6"/>
    <w:rsid w:val="008B5CAF"/>
    <w:rsid w:val="008C5EF4"/>
    <w:rsid w:val="008D29F7"/>
    <w:rsid w:val="008D3D73"/>
    <w:rsid w:val="008E3CF5"/>
    <w:rsid w:val="008F258F"/>
    <w:rsid w:val="008F3AB2"/>
    <w:rsid w:val="008F56F1"/>
    <w:rsid w:val="00904E7E"/>
    <w:rsid w:val="00906E8A"/>
    <w:rsid w:val="009073CD"/>
    <w:rsid w:val="00915B1A"/>
    <w:rsid w:val="00921DCC"/>
    <w:rsid w:val="00925B86"/>
    <w:rsid w:val="0092699B"/>
    <w:rsid w:val="00932D21"/>
    <w:rsid w:val="00934AB5"/>
    <w:rsid w:val="00952CE2"/>
    <w:rsid w:val="00957F4D"/>
    <w:rsid w:val="009616CA"/>
    <w:rsid w:val="00962B96"/>
    <w:rsid w:val="00967708"/>
    <w:rsid w:val="00970CC9"/>
    <w:rsid w:val="0097683A"/>
    <w:rsid w:val="009772B4"/>
    <w:rsid w:val="00984295"/>
    <w:rsid w:val="009851A0"/>
    <w:rsid w:val="00985A3B"/>
    <w:rsid w:val="009871AC"/>
    <w:rsid w:val="00990ED9"/>
    <w:rsid w:val="009913E4"/>
    <w:rsid w:val="00996BDE"/>
    <w:rsid w:val="009A1175"/>
    <w:rsid w:val="009A1AAA"/>
    <w:rsid w:val="009A5D54"/>
    <w:rsid w:val="009C1D4A"/>
    <w:rsid w:val="009C3FE5"/>
    <w:rsid w:val="009E2E9D"/>
    <w:rsid w:val="009F0099"/>
    <w:rsid w:val="009F0912"/>
    <w:rsid w:val="009F31BB"/>
    <w:rsid w:val="009F47F5"/>
    <w:rsid w:val="009F5B06"/>
    <w:rsid w:val="00A0341C"/>
    <w:rsid w:val="00A17B18"/>
    <w:rsid w:val="00A22296"/>
    <w:rsid w:val="00A2539B"/>
    <w:rsid w:val="00A26073"/>
    <w:rsid w:val="00A34617"/>
    <w:rsid w:val="00A35F19"/>
    <w:rsid w:val="00A408CF"/>
    <w:rsid w:val="00A40E93"/>
    <w:rsid w:val="00A42180"/>
    <w:rsid w:val="00A44F2A"/>
    <w:rsid w:val="00A5188B"/>
    <w:rsid w:val="00A56A42"/>
    <w:rsid w:val="00A578C0"/>
    <w:rsid w:val="00A6320A"/>
    <w:rsid w:val="00A65D4E"/>
    <w:rsid w:val="00A65FE9"/>
    <w:rsid w:val="00A73B72"/>
    <w:rsid w:val="00A7445E"/>
    <w:rsid w:val="00A74DF9"/>
    <w:rsid w:val="00A751B0"/>
    <w:rsid w:val="00AA02AF"/>
    <w:rsid w:val="00AA1B16"/>
    <w:rsid w:val="00AA3757"/>
    <w:rsid w:val="00AA50C0"/>
    <w:rsid w:val="00AB231A"/>
    <w:rsid w:val="00AC1D58"/>
    <w:rsid w:val="00AC7F63"/>
    <w:rsid w:val="00AD06C3"/>
    <w:rsid w:val="00AD3D40"/>
    <w:rsid w:val="00AD7D8E"/>
    <w:rsid w:val="00AE2A83"/>
    <w:rsid w:val="00AE4543"/>
    <w:rsid w:val="00AE4613"/>
    <w:rsid w:val="00AF15F7"/>
    <w:rsid w:val="00B0090E"/>
    <w:rsid w:val="00B152E2"/>
    <w:rsid w:val="00B23308"/>
    <w:rsid w:val="00B25BAC"/>
    <w:rsid w:val="00B33BE8"/>
    <w:rsid w:val="00B36956"/>
    <w:rsid w:val="00B44F5E"/>
    <w:rsid w:val="00B47D93"/>
    <w:rsid w:val="00B51FC6"/>
    <w:rsid w:val="00B61835"/>
    <w:rsid w:val="00B63651"/>
    <w:rsid w:val="00B6402F"/>
    <w:rsid w:val="00B65780"/>
    <w:rsid w:val="00B66E34"/>
    <w:rsid w:val="00B7490D"/>
    <w:rsid w:val="00B77088"/>
    <w:rsid w:val="00B80227"/>
    <w:rsid w:val="00B82233"/>
    <w:rsid w:val="00B8388E"/>
    <w:rsid w:val="00B8602F"/>
    <w:rsid w:val="00BA3792"/>
    <w:rsid w:val="00BB0CDE"/>
    <w:rsid w:val="00BB525D"/>
    <w:rsid w:val="00BC1B55"/>
    <w:rsid w:val="00BC25F4"/>
    <w:rsid w:val="00BC336F"/>
    <w:rsid w:val="00BC5DCB"/>
    <w:rsid w:val="00BD1386"/>
    <w:rsid w:val="00BE65F0"/>
    <w:rsid w:val="00BE65F5"/>
    <w:rsid w:val="00BF272B"/>
    <w:rsid w:val="00BF2E52"/>
    <w:rsid w:val="00C038AE"/>
    <w:rsid w:val="00C04AD8"/>
    <w:rsid w:val="00C04EEE"/>
    <w:rsid w:val="00C06F46"/>
    <w:rsid w:val="00C116AD"/>
    <w:rsid w:val="00C13C7B"/>
    <w:rsid w:val="00C17161"/>
    <w:rsid w:val="00C20F76"/>
    <w:rsid w:val="00C3002E"/>
    <w:rsid w:val="00C37036"/>
    <w:rsid w:val="00C40452"/>
    <w:rsid w:val="00C42295"/>
    <w:rsid w:val="00C5061B"/>
    <w:rsid w:val="00C60DEC"/>
    <w:rsid w:val="00C63A04"/>
    <w:rsid w:val="00C6660E"/>
    <w:rsid w:val="00C717CE"/>
    <w:rsid w:val="00C74CA3"/>
    <w:rsid w:val="00C83BEE"/>
    <w:rsid w:val="00C930A7"/>
    <w:rsid w:val="00C94150"/>
    <w:rsid w:val="00C94AD1"/>
    <w:rsid w:val="00C97F99"/>
    <w:rsid w:val="00CA3B7C"/>
    <w:rsid w:val="00CB5066"/>
    <w:rsid w:val="00CC03DC"/>
    <w:rsid w:val="00CC300E"/>
    <w:rsid w:val="00CC4B21"/>
    <w:rsid w:val="00CE1194"/>
    <w:rsid w:val="00CE4EA8"/>
    <w:rsid w:val="00CF2A65"/>
    <w:rsid w:val="00CF5482"/>
    <w:rsid w:val="00D111D2"/>
    <w:rsid w:val="00D11ADF"/>
    <w:rsid w:val="00D11F3C"/>
    <w:rsid w:val="00D14987"/>
    <w:rsid w:val="00D16C48"/>
    <w:rsid w:val="00D226FF"/>
    <w:rsid w:val="00D24BAC"/>
    <w:rsid w:val="00D32E2B"/>
    <w:rsid w:val="00D33270"/>
    <w:rsid w:val="00D364B1"/>
    <w:rsid w:val="00D369BF"/>
    <w:rsid w:val="00D40532"/>
    <w:rsid w:val="00D4318E"/>
    <w:rsid w:val="00D43FB3"/>
    <w:rsid w:val="00D4677B"/>
    <w:rsid w:val="00D5277D"/>
    <w:rsid w:val="00D52CAD"/>
    <w:rsid w:val="00D53634"/>
    <w:rsid w:val="00D56570"/>
    <w:rsid w:val="00D80AAB"/>
    <w:rsid w:val="00D91A46"/>
    <w:rsid w:val="00D9266A"/>
    <w:rsid w:val="00D94A2F"/>
    <w:rsid w:val="00DA3A04"/>
    <w:rsid w:val="00DA495D"/>
    <w:rsid w:val="00DA6D26"/>
    <w:rsid w:val="00DC0054"/>
    <w:rsid w:val="00DC3075"/>
    <w:rsid w:val="00DC516B"/>
    <w:rsid w:val="00DD171D"/>
    <w:rsid w:val="00DD4940"/>
    <w:rsid w:val="00DD5F07"/>
    <w:rsid w:val="00DE0FE4"/>
    <w:rsid w:val="00DE26EA"/>
    <w:rsid w:val="00DE2F2A"/>
    <w:rsid w:val="00DE6323"/>
    <w:rsid w:val="00DE7551"/>
    <w:rsid w:val="00DF215D"/>
    <w:rsid w:val="00DF2B17"/>
    <w:rsid w:val="00DF5471"/>
    <w:rsid w:val="00DF7569"/>
    <w:rsid w:val="00E00DE7"/>
    <w:rsid w:val="00E033B7"/>
    <w:rsid w:val="00E05CD9"/>
    <w:rsid w:val="00E0672B"/>
    <w:rsid w:val="00E126A5"/>
    <w:rsid w:val="00E12A44"/>
    <w:rsid w:val="00E20964"/>
    <w:rsid w:val="00E26600"/>
    <w:rsid w:val="00E27B0C"/>
    <w:rsid w:val="00E33ABC"/>
    <w:rsid w:val="00E41FFA"/>
    <w:rsid w:val="00E43FDC"/>
    <w:rsid w:val="00E47F39"/>
    <w:rsid w:val="00E52F30"/>
    <w:rsid w:val="00E53EF6"/>
    <w:rsid w:val="00E55063"/>
    <w:rsid w:val="00E669BB"/>
    <w:rsid w:val="00E71031"/>
    <w:rsid w:val="00E92BD6"/>
    <w:rsid w:val="00E93534"/>
    <w:rsid w:val="00E96743"/>
    <w:rsid w:val="00EA0515"/>
    <w:rsid w:val="00EA2716"/>
    <w:rsid w:val="00EA5A15"/>
    <w:rsid w:val="00EB3A28"/>
    <w:rsid w:val="00EB5E54"/>
    <w:rsid w:val="00EC1F2E"/>
    <w:rsid w:val="00EC4E2B"/>
    <w:rsid w:val="00EE389E"/>
    <w:rsid w:val="00EE4DE0"/>
    <w:rsid w:val="00EE5B4D"/>
    <w:rsid w:val="00EE762E"/>
    <w:rsid w:val="00EE777A"/>
    <w:rsid w:val="00EE7E96"/>
    <w:rsid w:val="00EF73B0"/>
    <w:rsid w:val="00F01BC7"/>
    <w:rsid w:val="00F06AA9"/>
    <w:rsid w:val="00F13F01"/>
    <w:rsid w:val="00F167E2"/>
    <w:rsid w:val="00F2250B"/>
    <w:rsid w:val="00F2324F"/>
    <w:rsid w:val="00F27DE7"/>
    <w:rsid w:val="00F30221"/>
    <w:rsid w:val="00F31F3C"/>
    <w:rsid w:val="00F4264D"/>
    <w:rsid w:val="00F43807"/>
    <w:rsid w:val="00F52E60"/>
    <w:rsid w:val="00F53E74"/>
    <w:rsid w:val="00F560B7"/>
    <w:rsid w:val="00F61CB0"/>
    <w:rsid w:val="00F63C64"/>
    <w:rsid w:val="00F70E99"/>
    <w:rsid w:val="00F8506A"/>
    <w:rsid w:val="00F85275"/>
    <w:rsid w:val="00F971BA"/>
    <w:rsid w:val="00FA4769"/>
    <w:rsid w:val="00FA5249"/>
    <w:rsid w:val="00FA6EA6"/>
    <w:rsid w:val="00FB064D"/>
    <w:rsid w:val="00FB43CE"/>
    <w:rsid w:val="00FB6079"/>
    <w:rsid w:val="00FD1CC8"/>
    <w:rsid w:val="00FE0C9A"/>
    <w:rsid w:val="00FE2657"/>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904E7E"/>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904E7E"/>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904E7E"/>
    <w:pPr>
      <w:ind w:left="200" w:hangingChars="200" w:hanging="200"/>
      <w:contextualSpacing/>
    </w:pPr>
  </w:style>
  <w:style w:type="character" w:customStyle="1" w:styleId="Doc-text2Char">
    <w:name w:val="Doc-text2 Char"/>
    <w:link w:val="Doc-text2"/>
    <w:qFormat/>
    <w:locked/>
    <w:rsid w:val="00D53634"/>
    <w:rPr>
      <w:rFonts w:ascii="Arial" w:eastAsia="MS Mincho" w:hAnsi="Arial" w:cs="Arial"/>
      <w:szCs w:val="24"/>
    </w:rPr>
  </w:style>
  <w:style w:type="paragraph" w:customStyle="1" w:styleId="Doc-text2">
    <w:name w:val="Doc-text2"/>
    <w:basedOn w:val="a"/>
    <w:link w:val="Doc-text2Char"/>
    <w:qFormat/>
    <w:rsid w:val="00D53634"/>
    <w:pPr>
      <w:widowControl/>
      <w:tabs>
        <w:tab w:val="left" w:pos="1622"/>
      </w:tabs>
      <w:spacing w:after="0"/>
      <w:ind w:left="1622" w:hanging="363"/>
    </w:pPr>
    <w:rPr>
      <w:rFonts w:ascii="Arial" w:eastAsia="MS Mincho"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904E7E"/>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904E7E"/>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904E7E"/>
    <w:pPr>
      <w:ind w:left="200" w:hangingChars="200" w:hanging="200"/>
      <w:contextualSpacing/>
    </w:pPr>
  </w:style>
  <w:style w:type="character" w:customStyle="1" w:styleId="Doc-text2Char">
    <w:name w:val="Doc-text2 Char"/>
    <w:link w:val="Doc-text2"/>
    <w:qFormat/>
    <w:locked/>
    <w:rsid w:val="00D53634"/>
    <w:rPr>
      <w:rFonts w:ascii="Arial" w:eastAsia="MS Mincho" w:hAnsi="Arial" w:cs="Arial"/>
      <w:szCs w:val="24"/>
    </w:rPr>
  </w:style>
  <w:style w:type="paragraph" w:customStyle="1" w:styleId="Doc-text2">
    <w:name w:val="Doc-text2"/>
    <w:basedOn w:val="a"/>
    <w:link w:val="Doc-text2Char"/>
    <w:qFormat/>
    <w:rsid w:val="00D53634"/>
    <w:pPr>
      <w:widowControl/>
      <w:tabs>
        <w:tab w:val="left" w:pos="1622"/>
      </w:tabs>
      <w:spacing w:after="0"/>
      <w:ind w:left="1622" w:hanging="363"/>
    </w:pPr>
    <w:rPr>
      <w:rFonts w:ascii="Arial" w:eastAsia="MS Mincho"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EF12D-8A00-4202-9DF9-704F54A6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1263</Words>
  <Characters>7200</Characters>
  <Application>Microsoft Office Word</Application>
  <DocSecurity>0</DocSecurity>
  <Lines>60</Lines>
  <Paragraphs>16</Paragraphs>
  <ScaleCrop>false</ScaleCrop>
  <Company>CATT</Company>
  <LinksUpToDate>false</LinksUpToDate>
  <CharactersWithSpaces>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23</cp:revision>
  <dcterms:created xsi:type="dcterms:W3CDTF">2021-08-06T06:38:00Z</dcterms:created>
  <dcterms:modified xsi:type="dcterms:W3CDTF">2021-11-03T03:02:00Z</dcterms:modified>
</cp:coreProperties>
</file>