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46151100"/>
    <w:p w14:paraId="2B969BDA" w14:textId="75DAA725" w:rsidR="009E5ACF" w:rsidRPr="00D74B92" w:rsidRDefault="009E5ACF" w:rsidP="009E5ACF">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45DCCA4D" wp14:editId="4249D12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34AD3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Pr>
          <w:rFonts w:ascii="Arial" w:hAnsi="Arial" w:cs="Arial"/>
          <w:b/>
          <w:kern w:val="2"/>
          <w:lang w:eastAsia="zh-CN"/>
        </w:rPr>
        <w:t xml:space="preserve">Meeting </w:t>
      </w:r>
      <w:r w:rsidRPr="00D74B92">
        <w:rPr>
          <w:rFonts w:ascii="Arial" w:hAnsi="Arial" w:cs="Arial"/>
          <w:b/>
          <w:kern w:val="2"/>
          <w:lang w:eastAsia="zh-CN"/>
        </w:rPr>
        <w:t>#</w:t>
      </w:r>
      <w:r w:rsidR="005C5BEF">
        <w:rPr>
          <w:rFonts w:ascii="Arial" w:hAnsi="Arial" w:cs="Arial"/>
          <w:b/>
          <w:kern w:val="2"/>
          <w:lang w:eastAsia="zh-CN"/>
        </w:rPr>
        <w:t>107</w:t>
      </w:r>
      <w:r>
        <w:rPr>
          <w:rFonts w:ascii="Arial" w:hAnsi="Arial" w:cs="Arial"/>
          <w:b/>
          <w:kern w:val="2"/>
          <w:lang w:eastAsia="zh-CN"/>
        </w:rPr>
        <w:t>-e</w:t>
      </w:r>
      <w:r w:rsidRPr="00D74B92">
        <w:rPr>
          <w:rFonts w:ascii="Arial" w:hAnsi="Arial" w:cs="Arial"/>
          <w:b/>
          <w:kern w:val="2"/>
          <w:lang w:eastAsia="zh-CN"/>
        </w:rPr>
        <w:tab/>
      </w:r>
      <w:r w:rsidR="000A702F" w:rsidRPr="000A702F">
        <w:rPr>
          <w:rFonts w:ascii="Arial" w:hAnsi="Arial" w:cs="Arial"/>
          <w:b/>
          <w:kern w:val="2"/>
          <w:lang w:eastAsia="zh-CN"/>
        </w:rPr>
        <w:t>R1-2110880</w:t>
      </w:r>
    </w:p>
    <w:p w14:paraId="2BCD7D70" w14:textId="37286DA3" w:rsidR="00E91F44" w:rsidRPr="007F5EC6" w:rsidRDefault="009E5ACF" w:rsidP="009E5ACF">
      <w:pPr>
        <w:jc w:val="left"/>
        <w:rPr>
          <w:rFonts w:ascii="Arial" w:hAnsi="Arial" w:cs="Arial"/>
          <w:b/>
          <w:kern w:val="2"/>
          <w:lang w:eastAsia="zh-CN"/>
        </w:rPr>
      </w:pPr>
      <w:r w:rsidRPr="00FF614E">
        <w:rPr>
          <w:rFonts w:ascii="Arial" w:hAnsi="Arial" w:cs="Arial"/>
          <w:b/>
          <w:kern w:val="2"/>
          <w:lang w:eastAsia="zh-CN"/>
        </w:rPr>
        <w:t xml:space="preserve">e-Meeting, </w:t>
      </w:r>
      <w:r w:rsidR="008E6D23">
        <w:rPr>
          <w:rFonts w:ascii="Arial" w:hAnsi="Arial" w:cs="Arial"/>
          <w:b/>
          <w:kern w:val="2"/>
          <w:lang w:eastAsia="zh-CN"/>
        </w:rPr>
        <w:t>November</w:t>
      </w:r>
      <w:r w:rsidR="008E6D23" w:rsidRPr="00D74C53">
        <w:rPr>
          <w:rFonts w:ascii="Arial" w:hAnsi="Arial" w:cs="Arial"/>
          <w:b/>
          <w:kern w:val="2"/>
          <w:lang w:eastAsia="zh-CN"/>
        </w:rPr>
        <w:t xml:space="preserve"> </w:t>
      </w:r>
      <w:r w:rsidR="0065198B" w:rsidRPr="00D74C53">
        <w:rPr>
          <w:rFonts w:ascii="Arial" w:hAnsi="Arial" w:cs="Arial"/>
          <w:b/>
          <w:kern w:val="2"/>
          <w:lang w:eastAsia="zh-CN"/>
        </w:rPr>
        <w:t>1</w:t>
      </w:r>
      <w:r w:rsidR="0065198B">
        <w:rPr>
          <w:rFonts w:ascii="Arial" w:hAnsi="Arial" w:cs="Arial"/>
          <w:b/>
          <w:kern w:val="2"/>
          <w:lang w:eastAsia="zh-CN"/>
        </w:rPr>
        <w:t>1th</w:t>
      </w:r>
      <w:r w:rsidR="0065198B" w:rsidRPr="00D74C53">
        <w:rPr>
          <w:rFonts w:ascii="Arial" w:hAnsi="Arial" w:cs="Arial"/>
          <w:b/>
          <w:kern w:val="2"/>
          <w:lang w:eastAsia="zh-CN"/>
        </w:rPr>
        <w:t xml:space="preserve"> – </w:t>
      </w:r>
      <w:r w:rsidR="0065198B">
        <w:rPr>
          <w:rFonts w:ascii="Arial" w:hAnsi="Arial" w:cs="Arial"/>
          <w:b/>
          <w:kern w:val="2"/>
          <w:lang w:eastAsia="zh-CN"/>
        </w:rPr>
        <w:t>19</w:t>
      </w:r>
      <w:r w:rsidR="0065198B" w:rsidRPr="00D74C53">
        <w:rPr>
          <w:rFonts w:ascii="Arial" w:hAnsi="Arial" w:cs="Arial"/>
          <w:b/>
          <w:kern w:val="2"/>
          <w:lang w:eastAsia="zh-CN"/>
        </w:rPr>
        <w:t>th</w:t>
      </w:r>
      <w:r w:rsidRPr="00FF614E">
        <w:rPr>
          <w:rFonts w:ascii="Arial" w:hAnsi="Arial" w:cs="Arial"/>
          <w:b/>
          <w:kern w:val="2"/>
          <w:lang w:eastAsia="zh-CN"/>
        </w:rPr>
        <w:t>, 2021</w:t>
      </w:r>
    </w:p>
    <w:bookmarkEnd w:id="0"/>
    <w:p w14:paraId="7826937B" w14:textId="17FEE00C"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773DB7">
        <w:rPr>
          <w:rFonts w:ascii="Arial" w:hAnsi="Arial" w:cs="Arial"/>
          <w:b/>
          <w:lang w:eastAsia="zh-CN"/>
        </w:rPr>
        <w:t>8.1.2.2</w:t>
      </w:r>
    </w:p>
    <w:p w14:paraId="7AF4C819" w14:textId="0C2AE7F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0E1588">
        <w:rPr>
          <w:rFonts w:ascii="Arial" w:hAnsi="Arial" w:cs="Arial"/>
          <w:b/>
          <w:bCs/>
          <w:caps/>
          <w:szCs w:val="24"/>
          <w:shd w:val="clear" w:color="auto" w:fill="FFFFFF"/>
        </w:rPr>
        <w:t>Futurewei</w:t>
      </w:r>
    </w:p>
    <w:p w14:paraId="592199C5" w14:textId="45CCCA57"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4F016D" w:rsidRPr="004F016D">
        <w:rPr>
          <w:rFonts w:ascii="Arial" w:hAnsi="Arial" w:cs="Arial"/>
          <w:b/>
          <w:lang w:eastAsia="zh-CN"/>
        </w:rPr>
        <w:t>Inter-cell multi-TRP operation</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6BD94375" w14:textId="75977343" w:rsidR="004969E5" w:rsidRDefault="004A7BE4" w:rsidP="00492DE4">
      <w:pPr>
        <w:spacing w:beforeLines="50" w:before="120"/>
        <w:rPr>
          <w:lang w:val="en-GB"/>
        </w:rPr>
      </w:pPr>
      <w:r>
        <w:rPr>
          <w:lang w:val="en-GB"/>
        </w:rPr>
        <w:t>By</w:t>
      </w:r>
      <w:r w:rsidR="00E91F44">
        <w:rPr>
          <w:lang w:val="en-GB"/>
        </w:rPr>
        <w:t xml:space="preserve"> 3GPP RAN1 Meeting #10</w:t>
      </w:r>
      <w:r w:rsidR="00134B12">
        <w:rPr>
          <w:lang w:val="en-GB"/>
        </w:rPr>
        <w:t>6</w:t>
      </w:r>
      <w:r w:rsidR="004518D8">
        <w:rPr>
          <w:lang w:val="en-GB"/>
        </w:rPr>
        <w:t>bis</w:t>
      </w:r>
      <w:r w:rsidR="00E91F44">
        <w:rPr>
          <w:lang w:val="en-GB"/>
        </w:rPr>
        <w:t xml:space="preserve">-e, </w:t>
      </w:r>
      <w:r>
        <w:rPr>
          <w:lang w:val="en-GB"/>
        </w:rPr>
        <w:t xml:space="preserve">several </w:t>
      </w:r>
      <w:r w:rsidR="00E91F44">
        <w:rPr>
          <w:lang w:val="en-GB"/>
        </w:rPr>
        <w:t>set</w:t>
      </w:r>
      <w:r>
        <w:rPr>
          <w:lang w:val="en-GB"/>
        </w:rPr>
        <w:t>s</w:t>
      </w:r>
      <w:r w:rsidR="00E91F44">
        <w:rPr>
          <w:lang w:val="en-GB"/>
        </w:rPr>
        <w:t xml:space="preserve"> of agreements</w:t>
      </w:r>
      <w:r>
        <w:rPr>
          <w:lang w:val="en-GB"/>
        </w:rPr>
        <w:t>/conclusions</w:t>
      </w:r>
      <w:r w:rsidR="00E91F44">
        <w:rPr>
          <w:lang w:val="en-GB"/>
        </w:rPr>
        <w:t xml:space="preserve"> were achieved</w:t>
      </w:r>
      <w:r w:rsidR="004845BA">
        <w:rPr>
          <w:lang w:val="en-GB"/>
        </w:rPr>
        <w:t xml:space="preserve"> for</w:t>
      </w:r>
      <w:r w:rsidR="004845BA" w:rsidRPr="004845BA">
        <w:rPr>
          <w:lang w:val="en-GB"/>
        </w:rPr>
        <w:t xml:space="preserve"> </w:t>
      </w:r>
      <w:r w:rsidR="004845BA">
        <w:rPr>
          <w:lang w:val="en-GB"/>
        </w:rPr>
        <w:t xml:space="preserve">FeMIMO </w:t>
      </w:r>
      <w:r w:rsidR="004845BA">
        <w:rPr>
          <w:lang w:val="en-GB"/>
        </w:rPr>
        <w:t>inter-cell multi-TRP enhancements</w:t>
      </w:r>
      <w:r w:rsidR="00E91F44">
        <w:rPr>
          <w:lang w:val="en-GB"/>
        </w:rPr>
        <w:t>.</w:t>
      </w:r>
      <w:r w:rsidR="00E91F44">
        <w:rPr>
          <w:rFonts w:hint="eastAsia"/>
          <w:lang w:val="en-GB"/>
        </w:rPr>
        <w:t xml:space="preserve"> </w:t>
      </w:r>
      <w:r>
        <w:rPr>
          <w:lang w:val="en-GB"/>
        </w:rPr>
        <w:t>Some key ones are captured below:</w:t>
      </w:r>
    </w:p>
    <w:p w14:paraId="2739E47F" w14:textId="77777777" w:rsidR="004969E5" w:rsidRPr="00C74552" w:rsidRDefault="004969E5" w:rsidP="004969E5">
      <w:pPr>
        <w:rPr>
          <w:b/>
          <w:bCs/>
          <w:i/>
          <w:iCs/>
          <w:sz w:val="20"/>
          <w:szCs w:val="20"/>
          <w:lang w:eastAsia="x-none"/>
        </w:rPr>
      </w:pPr>
      <w:r w:rsidRPr="00C74552">
        <w:rPr>
          <w:b/>
          <w:bCs/>
          <w:i/>
          <w:iCs/>
          <w:sz w:val="20"/>
          <w:szCs w:val="20"/>
          <w:highlight w:val="green"/>
          <w:lang w:eastAsia="x-none"/>
        </w:rPr>
        <w:t>Agreement</w:t>
      </w:r>
    </w:p>
    <w:p w14:paraId="72FFA68A" w14:textId="77777777" w:rsidR="004969E5" w:rsidRPr="00C74552" w:rsidRDefault="004969E5" w:rsidP="004969E5">
      <w:pPr>
        <w:rPr>
          <w:i/>
          <w:iCs/>
          <w:sz w:val="20"/>
          <w:szCs w:val="20"/>
          <w:lang w:eastAsia="x-none"/>
        </w:rPr>
      </w:pPr>
      <w:r w:rsidRPr="00C74552">
        <w:rPr>
          <w:i/>
          <w:iCs/>
          <w:sz w:val="20"/>
          <w:szCs w:val="20"/>
          <w:lang w:eastAsia="x-none"/>
        </w:rPr>
        <w:t>Non-serving cell information at least includes non-serving cell PCI to support inter-cell multi-DCI multi-TRP operation</w:t>
      </w:r>
    </w:p>
    <w:p w14:paraId="54A4E422" w14:textId="77777777" w:rsidR="004969E5" w:rsidRPr="00C74552" w:rsidRDefault="004969E5" w:rsidP="004969E5">
      <w:pPr>
        <w:pStyle w:val="ListParagraph"/>
        <w:numPr>
          <w:ilvl w:val="0"/>
          <w:numId w:val="23"/>
        </w:numPr>
        <w:shd w:val="clear" w:color="auto" w:fill="FFFFFF"/>
        <w:spacing w:after="0"/>
        <w:rPr>
          <w:rFonts w:ascii="Times New Roman" w:hAnsi="Times New Roman"/>
          <w:i/>
          <w:iCs/>
          <w:sz w:val="20"/>
          <w:szCs w:val="20"/>
        </w:rPr>
      </w:pPr>
      <w:r w:rsidRPr="00C74552">
        <w:rPr>
          <w:rFonts w:ascii="Times New Roman" w:hAnsi="Times New Roman"/>
          <w:i/>
          <w:iCs/>
          <w:sz w:val="20"/>
          <w:szCs w:val="20"/>
        </w:rPr>
        <w:t>FFS: Whether the indication of PCI is implicit or explicit</w:t>
      </w:r>
    </w:p>
    <w:p w14:paraId="71903C4C" w14:textId="77777777" w:rsidR="004969E5" w:rsidRPr="00C74552" w:rsidRDefault="004969E5" w:rsidP="004969E5">
      <w:pPr>
        <w:rPr>
          <w:b/>
          <w:bCs/>
          <w:i/>
          <w:iCs/>
          <w:sz w:val="20"/>
          <w:szCs w:val="20"/>
          <w:highlight w:val="green"/>
          <w:lang w:eastAsia="zh-CN"/>
        </w:rPr>
      </w:pPr>
      <w:r w:rsidRPr="00C74552">
        <w:rPr>
          <w:b/>
          <w:bCs/>
          <w:i/>
          <w:iCs/>
          <w:sz w:val="20"/>
          <w:szCs w:val="20"/>
          <w:highlight w:val="green"/>
          <w:lang w:eastAsia="zh-CN"/>
        </w:rPr>
        <w:t>Agreement</w:t>
      </w:r>
    </w:p>
    <w:p w14:paraId="456615D0" w14:textId="77777777" w:rsidR="004969E5" w:rsidRPr="00C74552" w:rsidRDefault="004969E5" w:rsidP="004969E5">
      <w:pPr>
        <w:rPr>
          <w:b/>
          <w:bCs/>
          <w:i/>
          <w:iCs/>
          <w:sz w:val="20"/>
          <w:szCs w:val="20"/>
        </w:rPr>
      </w:pPr>
      <w:r w:rsidRPr="00C74552">
        <w:rPr>
          <w:i/>
          <w:iCs/>
          <w:sz w:val="20"/>
          <w:szCs w:val="20"/>
        </w:rPr>
        <w:t xml:space="preserve">At least following non-serving cell SSB information are needed in inter-cell MTRP operation </w:t>
      </w:r>
    </w:p>
    <w:p w14:paraId="785F9D1B" w14:textId="77777777" w:rsidR="004969E5" w:rsidRPr="00C74552" w:rsidRDefault="004969E5" w:rsidP="004969E5">
      <w:pPr>
        <w:pStyle w:val="ListParagraph"/>
        <w:numPr>
          <w:ilvl w:val="0"/>
          <w:numId w:val="23"/>
        </w:numPr>
        <w:shd w:val="clear" w:color="auto" w:fill="FFFFFF"/>
        <w:spacing w:after="0"/>
        <w:rPr>
          <w:rFonts w:ascii="Times New Roman" w:hAnsi="Times New Roman"/>
          <w:i/>
          <w:iCs/>
          <w:sz w:val="20"/>
          <w:szCs w:val="20"/>
        </w:rPr>
      </w:pPr>
      <w:r w:rsidRPr="00C74552">
        <w:rPr>
          <w:rFonts w:ascii="Times New Roman" w:hAnsi="Times New Roman"/>
          <w:i/>
          <w:iCs/>
          <w:sz w:val="20"/>
          <w:szCs w:val="20"/>
        </w:rPr>
        <w:t>SSB time domain position</w:t>
      </w:r>
    </w:p>
    <w:p w14:paraId="071B1F21" w14:textId="77777777" w:rsidR="004969E5" w:rsidRPr="00C74552" w:rsidRDefault="004969E5" w:rsidP="004969E5">
      <w:pPr>
        <w:pStyle w:val="ListParagraph"/>
        <w:numPr>
          <w:ilvl w:val="0"/>
          <w:numId w:val="23"/>
        </w:numPr>
        <w:shd w:val="clear" w:color="auto" w:fill="FFFFFF"/>
        <w:spacing w:after="0"/>
        <w:rPr>
          <w:rFonts w:ascii="Times New Roman" w:hAnsi="Times New Roman"/>
          <w:i/>
          <w:iCs/>
          <w:sz w:val="20"/>
          <w:szCs w:val="20"/>
        </w:rPr>
      </w:pPr>
      <w:r w:rsidRPr="00C74552">
        <w:rPr>
          <w:rFonts w:ascii="Times New Roman" w:hAnsi="Times New Roman"/>
          <w:i/>
          <w:iCs/>
          <w:sz w:val="20"/>
          <w:szCs w:val="20"/>
        </w:rPr>
        <w:t>SSB transmission periodicity</w:t>
      </w:r>
    </w:p>
    <w:p w14:paraId="3685F474" w14:textId="77777777" w:rsidR="004969E5" w:rsidRPr="00C74552" w:rsidRDefault="004969E5" w:rsidP="004969E5">
      <w:pPr>
        <w:pStyle w:val="ListParagraph"/>
        <w:numPr>
          <w:ilvl w:val="0"/>
          <w:numId w:val="23"/>
        </w:numPr>
        <w:shd w:val="clear" w:color="auto" w:fill="FFFFFF"/>
        <w:spacing w:after="0"/>
        <w:rPr>
          <w:rFonts w:ascii="Times New Roman" w:hAnsi="Times New Roman"/>
          <w:i/>
          <w:iCs/>
          <w:sz w:val="20"/>
          <w:szCs w:val="20"/>
        </w:rPr>
      </w:pPr>
      <w:r w:rsidRPr="00C74552">
        <w:rPr>
          <w:rFonts w:ascii="Times New Roman" w:hAnsi="Times New Roman"/>
          <w:i/>
          <w:iCs/>
          <w:sz w:val="20"/>
          <w:szCs w:val="20"/>
        </w:rPr>
        <w:t>SSB transmission power</w:t>
      </w:r>
    </w:p>
    <w:p w14:paraId="4BFFDA36" w14:textId="77777777" w:rsidR="004969E5" w:rsidRPr="00C74552" w:rsidRDefault="004969E5" w:rsidP="004969E5">
      <w:pPr>
        <w:pStyle w:val="paragraph"/>
        <w:spacing w:before="0" w:beforeAutospacing="0" w:after="0" w:afterAutospacing="0"/>
        <w:jc w:val="both"/>
        <w:textAlignment w:val="baseline"/>
        <w:rPr>
          <w:i/>
          <w:iCs/>
          <w:sz w:val="20"/>
          <w:szCs w:val="20"/>
        </w:rPr>
      </w:pPr>
      <w:r w:rsidRPr="00C74552">
        <w:rPr>
          <w:i/>
          <w:iCs/>
          <w:sz w:val="20"/>
          <w:szCs w:val="20"/>
        </w:rPr>
        <w:t>FFS: Other non-serving cell information</w:t>
      </w:r>
    </w:p>
    <w:p w14:paraId="31631BD1" w14:textId="77777777" w:rsidR="004969E5" w:rsidRPr="00C74552" w:rsidRDefault="004969E5" w:rsidP="004969E5">
      <w:pPr>
        <w:pStyle w:val="paragraph"/>
        <w:spacing w:before="0" w:beforeAutospacing="0" w:after="0" w:afterAutospacing="0"/>
        <w:jc w:val="both"/>
        <w:textAlignment w:val="baseline"/>
        <w:rPr>
          <w:i/>
          <w:iCs/>
          <w:sz w:val="20"/>
          <w:szCs w:val="20"/>
        </w:rPr>
      </w:pPr>
      <w:r w:rsidRPr="00C74552">
        <w:rPr>
          <w:i/>
          <w:iCs/>
          <w:sz w:val="20"/>
          <w:szCs w:val="20"/>
        </w:rPr>
        <w:t>FFS: Whether indication of these information is implicit or explicit</w:t>
      </w:r>
    </w:p>
    <w:p w14:paraId="0CCD2B8A" w14:textId="77777777" w:rsidR="004969E5" w:rsidRPr="00C74552" w:rsidRDefault="004969E5" w:rsidP="004969E5">
      <w:pPr>
        <w:rPr>
          <w:rFonts w:eastAsia="DengXian"/>
          <w:b/>
          <w:bCs/>
          <w:i/>
          <w:iCs/>
          <w:sz w:val="20"/>
          <w:szCs w:val="20"/>
          <w:lang w:eastAsia="zh-CN"/>
        </w:rPr>
      </w:pPr>
      <w:r w:rsidRPr="00C74552">
        <w:rPr>
          <w:rFonts w:eastAsia="DengXian"/>
          <w:b/>
          <w:bCs/>
          <w:i/>
          <w:iCs/>
          <w:sz w:val="20"/>
          <w:szCs w:val="20"/>
          <w:lang w:eastAsia="zh-CN"/>
        </w:rPr>
        <w:t>Conclusion</w:t>
      </w:r>
    </w:p>
    <w:p w14:paraId="360C16DD" w14:textId="77777777" w:rsidR="004969E5" w:rsidRPr="00C74552" w:rsidRDefault="004969E5" w:rsidP="004969E5">
      <w:pPr>
        <w:rPr>
          <w:rFonts w:eastAsia="DengXian"/>
          <w:bCs/>
          <w:i/>
          <w:iCs/>
          <w:sz w:val="20"/>
          <w:szCs w:val="20"/>
          <w:lang w:eastAsia="zh-CN"/>
        </w:rPr>
      </w:pPr>
      <w:r w:rsidRPr="00C74552">
        <w:rPr>
          <w:rFonts w:eastAsia="DengXian"/>
          <w:bCs/>
          <w:i/>
          <w:iCs/>
          <w:sz w:val="20"/>
          <w:szCs w:val="20"/>
          <w:lang w:eastAsia="zh-CN"/>
        </w:rPr>
        <w:t>The UE may assume received DL transmission from multiple TRP within a CP in FR1 and FR2.</w:t>
      </w:r>
    </w:p>
    <w:p w14:paraId="08D5EBF0" w14:textId="77777777" w:rsidR="004969E5" w:rsidRPr="00C74552" w:rsidRDefault="004969E5" w:rsidP="004969E5">
      <w:pPr>
        <w:pStyle w:val="ListParagraph"/>
        <w:numPr>
          <w:ilvl w:val="0"/>
          <w:numId w:val="23"/>
        </w:numPr>
        <w:shd w:val="clear" w:color="auto" w:fill="FFFFFF"/>
        <w:spacing w:after="0"/>
        <w:rPr>
          <w:rFonts w:ascii="Times New Roman" w:hAnsi="Times New Roman"/>
          <w:i/>
          <w:iCs/>
          <w:sz w:val="20"/>
          <w:szCs w:val="20"/>
        </w:rPr>
      </w:pPr>
      <w:r w:rsidRPr="00C74552">
        <w:rPr>
          <w:rFonts w:ascii="Times New Roman" w:hAnsi="Times New Roman"/>
          <w:i/>
          <w:iCs/>
          <w:sz w:val="20"/>
          <w:szCs w:val="20"/>
        </w:rPr>
        <w:t>Note: This does not imply that RAN1 intends to ask RAN4 to tighten network synchronization requirements.</w:t>
      </w:r>
    </w:p>
    <w:p w14:paraId="06C6A3E1" w14:textId="77777777" w:rsidR="004A7BE4" w:rsidRPr="00C74552" w:rsidRDefault="004A7BE4" w:rsidP="004A7BE4">
      <w:pPr>
        <w:rPr>
          <w:b/>
          <w:bCs/>
          <w:i/>
          <w:iCs/>
          <w:sz w:val="20"/>
          <w:szCs w:val="20"/>
          <w:highlight w:val="green"/>
          <w:lang w:eastAsia="x-none"/>
        </w:rPr>
      </w:pPr>
      <w:r w:rsidRPr="00C74552">
        <w:rPr>
          <w:b/>
          <w:bCs/>
          <w:i/>
          <w:iCs/>
          <w:sz w:val="20"/>
          <w:szCs w:val="20"/>
          <w:highlight w:val="green"/>
          <w:lang w:eastAsia="x-none"/>
        </w:rPr>
        <w:t>Agreement</w:t>
      </w:r>
    </w:p>
    <w:p w14:paraId="0D899A20" w14:textId="77777777" w:rsidR="004A7BE4" w:rsidRPr="00C74552" w:rsidRDefault="004A7BE4" w:rsidP="004A7BE4">
      <w:pPr>
        <w:numPr>
          <w:ilvl w:val="0"/>
          <w:numId w:val="28"/>
        </w:numPr>
        <w:autoSpaceDE/>
        <w:autoSpaceDN/>
        <w:adjustRightInd/>
        <w:snapToGrid/>
        <w:spacing w:after="0"/>
        <w:jc w:val="left"/>
        <w:rPr>
          <w:rFonts w:eastAsia="DengXian"/>
          <w:bCs/>
          <w:i/>
          <w:iCs/>
          <w:kern w:val="32"/>
          <w:sz w:val="20"/>
          <w:szCs w:val="20"/>
          <w:lang w:eastAsia="zh-CN"/>
        </w:rPr>
      </w:pPr>
      <w:r w:rsidRPr="00C74552">
        <w:rPr>
          <w:rFonts w:eastAsia="DengXian"/>
          <w:bCs/>
          <w:i/>
          <w:iCs/>
          <w:kern w:val="32"/>
          <w:sz w:val="20"/>
          <w:szCs w:val="20"/>
          <w:lang w:eastAsia="zh-CN"/>
        </w:rPr>
        <w:t>For intercell MTRP operation, 1 additional PCI different from the serving cell PCI is supported per CC</w:t>
      </w:r>
    </w:p>
    <w:p w14:paraId="72EA779E" w14:textId="77777777" w:rsidR="004A7BE4" w:rsidRPr="00C74552" w:rsidRDefault="004A7BE4" w:rsidP="004A7BE4">
      <w:pPr>
        <w:numPr>
          <w:ilvl w:val="1"/>
          <w:numId w:val="28"/>
        </w:numPr>
        <w:autoSpaceDE/>
        <w:autoSpaceDN/>
        <w:adjustRightInd/>
        <w:snapToGrid/>
        <w:spacing w:after="0"/>
        <w:jc w:val="left"/>
        <w:rPr>
          <w:rFonts w:eastAsia="DengXian"/>
          <w:bCs/>
          <w:i/>
          <w:iCs/>
          <w:kern w:val="32"/>
          <w:sz w:val="20"/>
          <w:szCs w:val="20"/>
          <w:lang w:eastAsia="zh-CN"/>
        </w:rPr>
      </w:pPr>
      <w:r w:rsidRPr="00C74552">
        <w:rPr>
          <w:rFonts w:eastAsia="DengXian"/>
          <w:bCs/>
          <w:i/>
          <w:iCs/>
          <w:kern w:val="32"/>
          <w:sz w:val="20"/>
          <w:szCs w:val="20"/>
          <w:lang w:eastAsia="zh-CN"/>
        </w:rPr>
        <w:t>The additional PCI is the one associated with one or more TCI states that are activated for [CSI-RS for CSI]/PDSCH/PDCCH, per CC.</w:t>
      </w:r>
    </w:p>
    <w:p w14:paraId="27FBD8DE" w14:textId="77777777" w:rsidR="004A7BE4" w:rsidRPr="00C74552" w:rsidRDefault="004A7BE4" w:rsidP="004A7BE4">
      <w:pPr>
        <w:numPr>
          <w:ilvl w:val="1"/>
          <w:numId w:val="28"/>
        </w:numPr>
        <w:autoSpaceDE/>
        <w:autoSpaceDN/>
        <w:adjustRightInd/>
        <w:snapToGrid/>
        <w:spacing w:after="0"/>
        <w:jc w:val="left"/>
        <w:rPr>
          <w:rFonts w:eastAsia="DengXian"/>
          <w:bCs/>
          <w:i/>
          <w:iCs/>
          <w:kern w:val="32"/>
          <w:sz w:val="20"/>
          <w:szCs w:val="20"/>
          <w:lang w:eastAsia="zh-CN"/>
        </w:rPr>
      </w:pPr>
      <w:r w:rsidRPr="00C74552">
        <w:rPr>
          <w:rFonts w:eastAsia="DengXian"/>
          <w:bCs/>
          <w:i/>
          <w:iCs/>
          <w:kern w:val="32"/>
          <w:sz w:val="20"/>
          <w:szCs w:val="20"/>
          <w:lang w:eastAsia="zh-CN"/>
        </w:rPr>
        <w:t>Applicable at least for non-cross carrier QCL indication</w:t>
      </w:r>
    </w:p>
    <w:p w14:paraId="03BB88DB" w14:textId="77777777" w:rsidR="004A7BE4" w:rsidRPr="00C74552" w:rsidRDefault="004A7BE4" w:rsidP="004A7BE4">
      <w:pPr>
        <w:numPr>
          <w:ilvl w:val="2"/>
          <w:numId w:val="28"/>
        </w:numPr>
        <w:autoSpaceDE/>
        <w:autoSpaceDN/>
        <w:adjustRightInd/>
        <w:snapToGrid/>
        <w:spacing w:after="0"/>
        <w:jc w:val="left"/>
        <w:rPr>
          <w:rFonts w:eastAsia="DengXian"/>
          <w:bCs/>
          <w:i/>
          <w:iCs/>
          <w:kern w:val="32"/>
          <w:sz w:val="20"/>
          <w:szCs w:val="20"/>
          <w:lang w:eastAsia="zh-CN"/>
        </w:rPr>
      </w:pPr>
      <w:r w:rsidRPr="00C74552">
        <w:rPr>
          <w:rFonts w:eastAsia="DengXian"/>
          <w:bCs/>
          <w:i/>
          <w:iCs/>
          <w:kern w:val="32"/>
          <w:sz w:val="20"/>
          <w:szCs w:val="20"/>
          <w:lang w:eastAsia="zh-CN"/>
        </w:rPr>
        <w:t>FFS: Cross carrier scheduling QCL indication</w:t>
      </w:r>
    </w:p>
    <w:p w14:paraId="4C7DE29E" w14:textId="77777777" w:rsidR="004A7BE4" w:rsidRPr="00C74552" w:rsidRDefault="004A7BE4" w:rsidP="004A7BE4">
      <w:pPr>
        <w:numPr>
          <w:ilvl w:val="0"/>
          <w:numId w:val="28"/>
        </w:numPr>
        <w:autoSpaceDE/>
        <w:autoSpaceDN/>
        <w:adjustRightInd/>
        <w:snapToGrid/>
        <w:spacing w:after="0"/>
        <w:jc w:val="left"/>
        <w:rPr>
          <w:rFonts w:eastAsia="DengXian"/>
          <w:bCs/>
          <w:i/>
          <w:iCs/>
          <w:kern w:val="32"/>
          <w:sz w:val="20"/>
          <w:szCs w:val="20"/>
          <w:lang w:eastAsia="zh-CN"/>
        </w:rPr>
      </w:pPr>
      <w:r w:rsidRPr="00C74552">
        <w:rPr>
          <w:rFonts w:eastAsia="DengXian"/>
          <w:bCs/>
          <w:i/>
          <w:iCs/>
          <w:kern w:val="32"/>
          <w:sz w:val="20"/>
          <w:szCs w:val="20"/>
          <w:lang w:eastAsia="zh-CN"/>
        </w:rPr>
        <w:t>RAN1 to decide on the maximum number of PCIs different from the serving cell PCI per CC and/or across all CCs that can be RRC-configured for multi-DCI based inter-cell multi-TRP</w:t>
      </w:r>
    </w:p>
    <w:p w14:paraId="146BB5EC" w14:textId="77777777" w:rsidR="004A7BE4" w:rsidRPr="00C74552" w:rsidRDefault="004A7BE4" w:rsidP="004A7BE4">
      <w:pPr>
        <w:numPr>
          <w:ilvl w:val="0"/>
          <w:numId w:val="28"/>
        </w:numPr>
        <w:autoSpaceDE/>
        <w:autoSpaceDN/>
        <w:adjustRightInd/>
        <w:snapToGrid/>
        <w:spacing w:after="0"/>
        <w:jc w:val="left"/>
        <w:rPr>
          <w:rFonts w:eastAsia="DengXian"/>
          <w:bCs/>
          <w:i/>
          <w:iCs/>
          <w:kern w:val="32"/>
          <w:sz w:val="20"/>
          <w:szCs w:val="20"/>
          <w:lang w:eastAsia="zh-CN"/>
        </w:rPr>
      </w:pPr>
      <w:r w:rsidRPr="00C74552">
        <w:rPr>
          <w:rFonts w:eastAsia="DengXian"/>
          <w:bCs/>
          <w:i/>
          <w:iCs/>
          <w:kern w:val="32"/>
          <w:sz w:val="20"/>
          <w:szCs w:val="20"/>
          <w:lang w:eastAsia="zh-CN"/>
        </w:rPr>
        <w:t>Above should be specified by reusing R15 QCL rules as concluded in RAN1#104-e</w:t>
      </w:r>
    </w:p>
    <w:p w14:paraId="35CD5898" w14:textId="77777777" w:rsidR="004A7BE4" w:rsidRPr="00C74552" w:rsidRDefault="004A7BE4" w:rsidP="004A7BE4">
      <w:pPr>
        <w:rPr>
          <w:b/>
          <w:bCs/>
          <w:i/>
          <w:iCs/>
          <w:sz w:val="20"/>
          <w:szCs w:val="20"/>
          <w:lang w:eastAsia="x-none"/>
        </w:rPr>
      </w:pPr>
      <w:r w:rsidRPr="00C74552">
        <w:rPr>
          <w:b/>
          <w:bCs/>
          <w:i/>
          <w:iCs/>
          <w:sz w:val="20"/>
          <w:szCs w:val="20"/>
          <w:lang w:eastAsia="x-none"/>
        </w:rPr>
        <w:t>Conclusion</w:t>
      </w:r>
    </w:p>
    <w:p w14:paraId="21CC81C2" w14:textId="77777777" w:rsidR="004A7BE4" w:rsidRPr="00C74552" w:rsidRDefault="004A7BE4" w:rsidP="004A7BE4">
      <w:pPr>
        <w:pStyle w:val="ListParagraph"/>
        <w:widowControl w:val="0"/>
        <w:shd w:val="clear" w:color="auto" w:fill="FFFFFF"/>
        <w:ind w:left="0"/>
        <w:jc w:val="both"/>
        <w:rPr>
          <w:rFonts w:ascii="Times New Roman" w:hAnsi="Times New Roman"/>
          <w:i/>
          <w:iCs/>
          <w:sz w:val="20"/>
          <w:szCs w:val="20"/>
          <w:lang w:eastAsia="ko-KR"/>
        </w:rPr>
      </w:pPr>
      <w:r w:rsidRPr="00C74552">
        <w:rPr>
          <w:rFonts w:ascii="Times New Roman" w:hAnsi="Times New Roman"/>
          <w:i/>
          <w:iCs/>
          <w:sz w:val="20"/>
          <w:szCs w:val="20"/>
          <w:lang w:eastAsia="ko-KR"/>
        </w:rPr>
        <w:t>Configuration of CSI-RS for mobility as QCL source for intercell MTRP operation is not supported from Rel-17 specifcation point of view</w:t>
      </w:r>
    </w:p>
    <w:p w14:paraId="3573627D" w14:textId="77777777" w:rsidR="00134B12" w:rsidRPr="00C74552" w:rsidRDefault="00134B12" w:rsidP="00134B12">
      <w:pPr>
        <w:tabs>
          <w:tab w:val="left" w:pos="720"/>
          <w:tab w:val="left" w:pos="1440"/>
        </w:tabs>
        <w:rPr>
          <w:bCs/>
          <w:i/>
          <w:iCs/>
          <w:sz w:val="20"/>
          <w:szCs w:val="20"/>
        </w:rPr>
      </w:pPr>
      <w:r w:rsidRPr="00C74552">
        <w:rPr>
          <w:bCs/>
          <w:i/>
          <w:iCs/>
          <w:sz w:val="20"/>
          <w:szCs w:val="20"/>
          <w:highlight w:val="green"/>
        </w:rPr>
        <w:t>Agreement</w:t>
      </w:r>
    </w:p>
    <w:p w14:paraId="269631CC" w14:textId="77777777" w:rsidR="00134B12" w:rsidRPr="00C74552" w:rsidRDefault="00134B12" w:rsidP="00134B12">
      <w:pPr>
        <w:tabs>
          <w:tab w:val="left" w:pos="720"/>
          <w:tab w:val="left" w:pos="1440"/>
        </w:tabs>
        <w:rPr>
          <w:bCs/>
          <w:i/>
          <w:iCs/>
          <w:sz w:val="20"/>
          <w:szCs w:val="20"/>
        </w:rPr>
      </w:pPr>
      <w:r w:rsidRPr="00C74552">
        <w:rPr>
          <w:bCs/>
          <w:i/>
          <w:iCs/>
          <w:sz w:val="20"/>
          <w:szCs w:val="20"/>
        </w:rPr>
        <w:t>Introduce a new RRC indicator/signalling (e.g., re-index the non-serving cell) to indicate the non-serving cell information that a TCI state/QCL information is associated with, where the new indicator/signaling is not the exact PCI value</w:t>
      </w:r>
    </w:p>
    <w:p w14:paraId="6B013786" w14:textId="77777777" w:rsidR="00134B12" w:rsidRPr="00C74552" w:rsidRDefault="00134B12" w:rsidP="00134B12">
      <w:pPr>
        <w:numPr>
          <w:ilvl w:val="0"/>
          <w:numId w:val="31"/>
        </w:numPr>
        <w:tabs>
          <w:tab w:val="left" w:pos="720"/>
          <w:tab w:val="left" w:pos="1440"/>
        </w:tabs>
        <w:autoSpaceDE/>
        <w:autoSpaceDN/>
        <w:adjustRightInd/>
        <w:snapToGrid/>
        <w:spacing w:after="0"/>
        <w:jc w:val="left"/>
        <w:rPr>
          <w:rFonts w:cs="Times"/>
          <w:bCs/>
          <w:i/>
          <w:iCs/>
          <w:sz w:val="20"/>
          <w:szCs w:val="20"/>
        </w:rPr>
      </w:pPr>
      <w:r w:rsidRPr="00C74552">
        <w:rPr>
          <w:rFonts w:cs="Times"/>
          <w:bCs/>
          <w:i/>
          <w:iCs/>
          <w:sz w:val="20"/>
          <w:szCs w:val="20"/>
        </w:rPr>
        <w:t>Detailed signalling design is up to RAN2</w:t>
      </w:r>
    </w:p>
    <w:p w14:paraId="28BBF668" w14:textId="77777777" w:rsidR="00134B12" w:rsidRPr="00C74552" w:rsidRDefault="00134B12" w:rsidP="00134B12">
      <w:pPr>
        <w:pStyle w:val="Style1"/>
        <w:spacing w:after="120" w:line="240" w:lineRule="auto"/>
        <w:ind w:firstLine="0"/>
        <w:rPr>
          <w:bCs/>
          <w:i/>
          <w:iCs/>
          <w:sz w:val="18"/>
          <w:szCs w:val="18"/>
          <w:lang w:val="en-US"/>
        </w:rPr>
      </w:pPr>
    </w:p>
    <w:p w14:paraId="354D6335" w14:textId="77777777" w:rsidR="00134B12" w:rsidRPr="00C74552" w:rsidRDefault="00134B12" w:rsidP="00134B12">
      <w:pPr>
        <w:tabs>
          <w:tab w:val="left" w:pos="720"/>
          <w:tab w:val="left" w:pos="1440"/>
        </w:tabs>
        <w:rPr>
          <w:rFonts w:cs="Times"/>
          <w:bCs/>
          <w:i/>
          <w:iCs/>
          <w:sz w:val="20"/>
          <w:szCs w:val="20"/>
          <w:highlight w:val="green"/>
        </w:rPr>
      </w:pPr>
      <w:r w:rsidRPr="00C74552">
        <w:rPr>
          <w:rFonts w:cs="Times"/>
          <w:bCs/>
          <w:i/>
          <w:iCs/>
          <w:sz w:val="20"/>
          <w:szCs w:val="20"/>
          <w:highlight w:val="green"/>
        </w:rPr>
        <w:t>Agreement</w:t>
      </w:r>
    </w:p>
    <w:p w14:paraId="74E3B0C8" w14:textId="77777777" w:rsidR="00134B12" w:rsidRPr="00C74552" w:rsidRDefault="00134B12" w:rsidP="00134B12">
      <w:pPr>
        <w:numPr>
          <w:ilvl w:val="0"/>
          <w:numId w:val="31"/>
        </w:numPr>
        <w:tabs>
          <w:tab w:val="left" w:pos="720"/>
          <w:tab w:val="left" w:pos="1440"/>
        </w:tabs>
        <w:autoSpaceDE/>
        <w:autoSpaceDN/>
        <w:adjustRightInd/>
        <w:snapToGrid/>
        <w:spacing w:after="0"/>
        <w:jc w:val="left"/>
        <w:rPr>
          <w:rFonts w:cs="Times"/>
          <w:bCs/>
          <w:i/>
          <w:iCs/>
          <w:sz w:val="20"/>
          <w:szCs w:val="20"/>
        </w:rPr>
      </w:pPr>
      <w:r w:rsidRPr="00C74552">
        <w:rPr>
          <w:rFonts w:cs="Times"/>
          <w:bCs/>
          <w:i/>
          <w:iCs/>
          <w:sz w:val="20"/>
          <w:szCs w:val="20"/>
        </w:rPr>
        <w:t xml:space="preserve">For inter-cell mTRP , one PCI associated with one or more of activated TCI states for PDSCH/PDCCH is associated with one CORESETPoolIndex , another PCI associated with one or more of activated TCI states for PDSCH/PDCCH is associated with another CORESETPoolIndex </w:t>
      </w:r>
    </w:p>
    <w:p w14:paraId="5E01E243" w14:textId="77777777" w:rsidR="00134B12" w:rsidRPr="00C74552" w:rsidRDefault="00134B12" w:rsidP="00134B12">
      <w:pPr>
        <w:numPr>
          <w:ilvl w:val="0"/>
          <w:numId w:val="31"/>
        </w:numPr>
        <w:tabs>
          <w:tab w:val="left" w:pos="720"/>
          <w:tab w:val="left" w:pos="1440"/>
        </w:tabs>
        <w:autoSpaceDE/>
        <w:autoSpaceDN/>
        <w:adjustRightInd/>
        <w:snapToGrid/>
        <w:spacing w:after="0"/>
        <w:jc w:val="left"/>
        <w:rPr>
          <w:rFonts w:cs="Times"/>
          <w:bCs/>
          <w:i/>
          <w:iCs/>
          <w:sz w:val="20"/>
          <w:szCs w:val="20"/>
        </w:rPr>
      </w:pPr>
      <w:r w:rsidRPr="00C74552">
        <w:rPr>
          <w:rFonts w:cs="Times"/>
          <w:bCs/>
          <w:i/>
          <w:iCs/>
          <w:sz w:val="20"/>
          <w:szCs w:val="20"/>
        </w:rPr>
        <w:lastRenderedPageBreak/>
        <w:t xml:space="preserve">FFS : The association between PCI and CORESETPoolIndex when switching between intra-cell mTRP and inter-cell mTRP </w:t>
      </w:r>
    </w:p>
    <w:p w14:paraId="2E31471A" w14:textId="77777777" w:rsidR="00134B12" w:rsidRPr="00C74552" w:rsidRDefault="00134B12" w:rsidP="00134B12">
      <w:pPr>
        <w:tabs>
          <w:tab w:val="left" w:pos="720"/>
          <w:tab w:val="left" w:pos="1440"/>
        </w:tabs>
        <w:rPr>
          <w:rFonts w:cs="Times"/>
          <w:bCs/>
          <w:i/>
          <w:iCs/>
          <w:sz w:val="20"/>
          <w:szCs w:val="20"/>
          <w:highlight w:val="green"/>
        </w:rPr>
      </w:pPr>
      <w:r w:rsidRPr="00C74552">
        <w:rPr>
          <w:rFonts w:cs="Times"/>
          <w:bCs/>
          <w:i/>
          <w:iCs/>
          <w:sz w:val="20"/>
          <w:szCs w:val="20"/>
          <w:highlight w:val="green"/>
        </w:rPr>
        <w:t>Agreement</w:t>
      </w:r>
    </w:p>
    <w:p w14:paraId="33817FF2" w14:textId="7BA8FC11" w:rsidR="00134B12" w:rsidRPr="00C74552" w:rsidRDefault="00134B12" w:rsidP="00134B12">
      <w:pPr>
        <w:rPr>
          <w:rFonts w:cs="Times"/>
          <w:bCs/>
          <w:i/>
          <w:iCs/>
          <w:sz w:val="20"/>
          <w:szCs w:val="20"/>
        </w:rPr>
      </w:pPr>
      <w:r w:rsidRPr="00C74552">
        <w:rPr>
          <w:rFonts w:cs="Times"/>
          <w:bCs/>
          <w:i/>
          <w:iCs/>
          <w:sz w:val="20"/>
          <w:szCs w:val="20"/>
        </w:rPr>
        <w:t>For a CSI-RS QCLed with a neighboring cell SSB, the CSI-RS EPRE is calculated based on powerControlOffsetSS and the SSB transmission power in the neighboring cell information.</w:t>
      </w:r>
    </w:p>
    <w:p w14:paraId="703761DB" w14:textId="77777777" w:rsidR="003C5475" w:rsidRPr="00C74552" w:rsidRDefault="003C5475" w:rsidP="003C5475">
      <w:pPr>
        <w:rPr>
          <w:rFonts w:cs="Times"/>
          <w:i/>
          <w:iCs/>
          <w:sz w:val="20"/>
          <w:szCs w:val="20"/>
          <w:highlight w:val="green"/>
          <w:lang w:eastAsia="zh-CN"/>
        </w:rPr>
      </w:pPr>
      <w:r w:rsidRPr="00C74552">
        <w:rPr>
          <w:rStyle w:val="normaltextrun"/>
          <w:rFonts w:cs="Times"/>
          <w:b/>
          <w:bCs/>
          <w:i/>
          <w:iCs/>
          <w:color w:val="000000"/>
          <w:sz w:val="20"/>
          <w:szCs w:val="20"/>
          <w:highlight w:val="green"/>
          <w:shd w:val="clear" w:color="auto" w:fill="FFFF00"/>
        </w:rPr>
        <w:t xml:space="preserve">Agreement </w:t>
      </w:r>
    </w:p>
    <w:p w14:paraId="17B1F24A" w14:textId="77777777" w:rsidR="003C5475" w:rsidRPr="00C74552" w:rsidRDefault="003C5475" w:rsidP="003C5475">
      <w:pPr>
        <w:numPr>
          <w:ilvl w:val="0"/>
          <w:numId w:val="35"/>
        </w:numPr>
        <w:autoSpaceDE/>
        <w:autoSpaceDN/>
        <w:adjustRightInd/>
        <w:snapToGrid/>
        <w:spacing w:after="0"/>
        <w:rPr>
          <w:rFonts w:cs="Times"/>
          <w:i/>
          <w:iCs/>
          <w:sz w:val="20"/>
          <w:szCs w:val="20"/>
        </w:rPr>
      </w:pPr>
      <w:r w:rsidRPr="00C74552">
        <w:rPr>
          <w:rFonts w:cs="Times"/>
          <w:i/>
          <w:iCs/>
          <w:sz w:val="20"/>
          <w:szCs w:val="20"/>
        </w:rPr>
        <w:t>Center frequency, SCS, SFN offset are assumed to be the same for</w:t>
      </w:r>
      <w:r w:rsidRPr="00C74552">
        <w:rPr>
          <w:rStyle w:val="apple-converted-space"/>
          <w:rFonts w:cs="Times"/>
          <w:i/>
          <w:iCs/>
          <w:sz w:val="20"/>
          <w:szCs w:val="20"/>
        </w:rPr>
        <w:t> </w:t>
      </w:r>
      <w:r w:rsidRPr="00C74552">
        <w:rPr>
          <w:rFonts w:cs="Times"/>
          <w:i/>
          <w:iCs/>
          <w:sz w:val="20"/>
          <w:szCs w:val="20"/>
        </w:rPr>
        <w:t>SSBs from</w:t>
      </w:r>
      <w:r w:rsidRPr="00C74552">
        <w:rPr>
          <w:rStyle w:val="apple-converted-space"/>
          <w:rFonts w:cs="Times"/>
          <w:i/>
          <w:iCs/>
          <w:sz w:val="20"/>
          <w:szCs w:val="20"/>
        </w:rPr>
        <w:t> </w:t>
      </w:r>
      <w:r w:rsidRPr="00C74552">
        <w:rPr>
          <w:rFonts w:cs="Times"/>
          <w:i/>
          <w:iCs/>
          <w:sz w:val="20"/>
          <w:szCs w:val="20"/>
        </w:rPr>
        <w:t>the serving cell and the configured</w:t>
      </w:r>
      <w:r w:rsidRPr="00C74552">
        <w:rPr>
          <w:rStyle w:val="apple-converted-space"/>
          <w:rFonts w:cs="Times"/>
          <w:i/>
          <w:iCs/>
          <w:sz w:val="20"/>
          <w:szCs w:val="20"/>
        </w:rPr>
        <w:t> </w:t>
      </w:r>
      <w:r w:rsidRPr="00C74552">
        <w:rPr>
          <w:rFonts w:cs="Times"/>
          <w:i/>
          <w:iCs/>
          <w:sz w:val="20"/>
          <w:szCs w:val="20"/>
        </w:rPr>
        <w:t xml:space="preserve"> SSBs</w:t>
      </w:r>
      <w:r w:rsidRPr="00C74552">
        <w:rPr>
          <w:rStyle w:val="apple-converted-space"/>
          <w:rFonts w:cs="Times"/>
          <w:i/>
          <w:iCs/>
          <w:sz w:val="20"/>
          <w:szCs w:val="20"/>
        </w:rPr>
        <w:t> </w:t>
      </w:r>
      <w:r w:rsidRPr="00C74552">
        <w:rPr>
          <w:rFonts w:cs="Times"/>
          <w:i/>
          <w:iCs/>
          <w:sz w:val="20"/>
          <w:szCs w:val="20"/>
        </w:rPr>
        <w:t>with</w:t>
      </w:r>
      <w:r w:rsidRPr="00C74552">
        <w:rPr>
          <w:rStyle w:val="apple-converted-space"/>
          <w:rFonts w:cs="Times"/>
          <w:i/>
          <w:iCs/>
          <w:sz w:val="20"/>
          <w:szCs w:val="20"/>
        </w:rPr>
        <w:t> </w:t>
      </w:r>
      <w:r w:rsidRPr="00C74552">
        <w:rPr>
          <w:rFonts w:cs="Times"/>
          <w:i/>
          <w:iCs/>
          <w:sz w:val="20"/>
          <w:szCs w:val="20"/>
        </w:rPr>
        <w:t>PCI</w:t>
      </w:r>
      <w:r w:rsidRPr="00C74552">
        <w:rPr>
          <w:rStyle w:val="apple-converted-space"/>
          <w:rFonts w:cs="Times"/>
          <w:i/>
          <w:iCs/>
          <w:sz w:val="20"/>
          <w:szCs w:val="20"/>
        </w:rPr>
        <w:t> </w:t>
      </w:r>
      <w:r w:rsidRPr="00C74552">
        <w:rPr>
          <w:rFonts w:cs="Times"/>
          <w:i/>
          <w:iCs/>
          <w:sz w:val="20"/>
          <w:szCs w:val="20"/>
        </w:rPr>
        <w:t>different from the serving cell</w:t>
      </w:r>
      <w:r w:rsidRPr="00C74552">
        <w:rPr>
          <w:rStyle w:val="apple-converted-space"/>
          <w:rFonts w:cs="Times"/>
          <w:i/>
          <w:iCs/>
          <w:sz w:val="20"/>
          <w:szCs w:val="20"/>
        </w:rPr>
        <w:t> </w:t>
      </w:r>
      <w:r w:rsidRPr="00C74552">
        <w:rPr>
          <w:rFonts w:cs="Times"/>
          <w:i/>
          <w:iCs/>
          <w:sz w:val="20"/>
          <w:szCs w:val="20"/>
        </w:rPr>
        <w:t>for inter-cell multi TRP operation.</w:t>
      </w:r>
    </w:p>
    <w:p w14:paraId="20A8D1BC" w14:textId="77777777" w:rsidR="003C5475" w:rsidRPr="00C74552" w:rsidRDefault="003C5475" w:rsidP="003C5475">
      <w:pPr>
        <w:numPr>
          <w:ilvl w:val="0"/>
          <w:numId w:val="35"/>
        </w:numPr>
        <w:autoSpaceDE/>
        <w:autoSpaceDN/>
        <w:adjustRightInd/>
        <w:snapToGrid/>
        <w:spacing w:after="0"/>
        <w:rPr>
          <w:rFonts w:cs="Times"/>
          <w:i/>
          <w:iCs/>
          <w:sz w:val="20"/>
          <w:szCs w:val="20"/>
        </w:rPr>
      </w:pPr>
      <w:r w:rsidRPr="00C74552">
        <w:rPr>
          <w:rFonts w:cs="Times"/>
          <w:i/>
          <w:iCs/>
          <w:sz w:val="20"/>
          <w:szCs w:val="20"/>
        </w:rPr>
        <w:t>The information related to “SSB time domain position” for</w:t>
      </w:r>
      <w:r w:rsidRPr="00C74552">
        <w:rPr>
          <w:rStyle w:val="apple-converted-space"/>
          <w:rFonts w:cs="Times"/>
          <w:i/>
          <w:iCs/>
          <w:sz w:val="20"/>
          <w:szCs w:val="20"/>
        </w:rPr>
        <w:t> </w:t>
      </w:r>
      <w:r w:rsidRPr="00C74552">
        <w:rPr>
          <w:rFonts w:cs="Times"/>
          <w:i/>
          <w:iCs/>
          <w:sz w:val="20"/>
          <w:szCs w:val="20"/>
        </w:rPr>
        <w:t xml:space="preserve"> SSB</w:t>
      </w:r>
      <w:r w:rsidRPr="00C74552">
        <w:rPr>
          <w:rStyle w:val="apple-converted-space"/>
          <w:rFonts w:cs="Times"/>
          <w:i/>
          <w:iCs/>
          <w:sz w:val="20"/>
          <w:szCs w:val="20"/>
        </w:rPr>
        <w:t> </w:t>
      </w:r>
      <w:r w:rsidRPr="00C74552">
        <w:rPr>
          <w:rFonts w:cs="Times"/>
          <w:i/>
          <w:iCs/>
          <w:sz w:val="20"/>
          <w:szCs w:val="20"/>
        </w:rPr>
        <w:t>with PCI different from the serving cell</w:t>
      </w:r>
      <w:r w:rsidRPr="00C74552">
        <w:rPr>
          <w:rStyle w:val="apple-converted-space"/>
          <w:rFonts w:cs="Times"/>
          <w:i/>
          <w:iCs/>
          <w:sz w:val="20"/>
          <w:szCs w:val="20"/>
        </w:rPr>
        <w:t> </w:t>
      </w:r>
      <w:r w:rsidRPr="00C74552">
        <w:rPr>
          <w:rFonts w:cs="Times"/>
          <w:i/>
          <w:iCs/>
          <w:sz w:val="20"/>
          <w:szCs w:val="20"/>
        </w:rPr>
        <w:t>consists of [halfFrameIndex and] ssb-PositionsInBurst</w:t>
      </w:r>
    </w:p>
    <w:p w14:paraId="3FE83A40" w14:textId="77777777" w:rsidR="003C5475" w:rsidRPr="00C74552" w:rsidRDefault="003C5475" w:rsidP="003C5475">
      <w:pPr>
        <w:rPr>
          <w:rFonts w:cs="Times"/>
          <w:i/>
          <w:iCs/>
          <w:sz w:val="20"/>
          <w:szCs w:val="20"/>
          <w:highlight w:val="green"/>
          <w:lang w:eastAsia="zh-CN"/>
        </w:rPr>
      </w:pPr>
      <w:r w:rsidRPr="00C74552">
        <w:rPr>
          <w:rStyle w:val="normaltextrun"/>
          <w:rFonts w:cs="Times"/>
          <w:b/>
          <w:bCs/>
          <w:i/>
          <w:iCs/>
          <w:color w:val="000000"/>
          <w:sz w:val="20"/>
          <w:szCs w:val="20"/>
          <w:highlight w:val="green"/>
          <w:shd w:val="clear" w:color="auto" w:fill="FFFF00"/>
        </w:rPr>
        <w:t xml:space="preserve">Agreement </w:t>
      </w:r>
    </w:p>
    <w:p w14:paraId="4B0F70E2" w14:textId="77777777" w:rsidR="003C5475" w:rsidRPr="00C74552" w:rsidRDefault="003C5475" w:rsidP="003C5475">
      <w:pPr>
        <w:rPr>
          <w:rFonts w:cs="Times"/>
          <w:i/>
          <w:iCs/>
          <w:sz w:val="20"/>
          <w:szCs w:val="20"/>
        </w:rPr>
      </w:pPr>
      <w:r w:rsidRPr="00C74552">
        <w:rPr>
          <w:rFonts w:cs="Times"/>
          <w:i/>
          <w:iCs/>
          <w:sz w:val="20"/>
          <w:szCs w:val="20"/>
        </w:rPr>
        <w:t>Support two independent X values (X1, X2) are reported as a UE capability for two different assumptions on additional SSB time domain position and periodicity with respect to serving cell SSB.</w:t>
      </w:r>
    </w:p>
    <w:p w14:paraId="2A6A5A75" w14:textId="77777777" w:rsidR="003C5475" w:rsidRPr="00C74552" w:rsidRDefault="003C5475" w:rsidP="003C5475">
      <w:pPr>
        <w:numPr>
          <w:ilvl w:val="0"/>
          <w:numId w:val="36"/>
        </w:numPr>
        <w:autoSpaceDE/>
        <w:autoSpaceDN/>
        <w:adjustRightInd/>
        <w:snapToGrid/>
        <w:spacing w:after="0"/>
        <w:jc w:val="left"/>
        <w:rPr>
          <w:rFonts w:eastAsia="Times New Roman" w:cs="Times"/>
          <w:i/>
          <w:iCs/>
          <w:sz w:val="20"/>
          <w:szCs w:val="20"/>
        </w:rPr>
      </w:pPr>
      <w:r w:rsidRPr="00C74552">
        <w:rPr>
          <w:rFonts w:eastAsia="Times New Roman" w:cs="Times"/>
          <w:i/>
          <w:iCs/>
          <w:sz w:val="20"/>
          <w:szCs w:val="20"/>
        </w:rPr>
        <w:t>X1 (Case 1)= The maximum number of configured additional PCIs when each configuration of SSB time domain positions and periodicity of the additional PCIs is the same as SSB time domain positions and periodicity of the serving cell PCI</w:t>
      </w:r>
    </w:p>
    <w:p w14:paraId="4D1CF180" w14:textId="77777777" w:rsidR="003C5475" w:rsidRPr="00C74552" w:rsidRDefault="003C5475" w:rsidP="003C5475">
      <w:pPr>
        <w:numPr>
          <w:ilvl w:val="0"/>
          <w:numId w:val="36"/>
        </w:numPr>
        <w:autoSpaceDE/>
        <w:autoSpaceDN/>
        <w:adjustRightInd/>
        <w:snapToGrid/>
        <w:spacing w:after="0"/>
        <w:jc w:val="left"/>
        <w:rPr>
          <w:rFonts w:eastAsia="Times New Roman" w:cs="Times"/>
          <w:i/>
          <w:iCs/>
          <w:sz w:val="20"/>
          <w:szCs w:val="20"/>
        </w:rPr>
      </w:pPr>
      <w:r w:rsidRPr="00C74552">
        <w:rPr>
          <w:rFonts w:eastAsia="Times New Roman" w:cs="Times"/>
          <w:i/>
          <w:iCs/>
          <w:sz w:val="20"/>
          <w:szCs w:val="20"/>
        </w:rPr>
        <w:t>X2 (Case 2)= The maximum number of configured additional PCIs when the configurations of SSB time domain positions and periodicity of the additional PCIs is not according to Case 1</w:t>
      </w:r>
    </w:p>
    <w:p w14:paraId="6A69A1C6" w14:textId="77777777" w:rsidR="003C5475" w:rsidRPr="00C74552" w:rsidRDefault="003C5475" w:rsidP="003C5475">
      <w:pPr>
        <w:numPr>
          <w:ilvl w:val="0"/>
          <w:numId w:val="36"/>
        </w:numPr>
        <w:autoSpaceDE/>
        <w:autoSpaceDN/>
        <w:adjustRightInd/>
        <w:snapToGrid/>
        <w:spacing w:after="0"/>
        <w:jc w:val="left"/>
        <w:rPr>
          <w:rFonts w:eastAsia="Times New Roman" w:cs="Times"/>
          <w:i/>
          <w:iCs/>
          <w:sz w:val="20"/>
          <w:szCs w:val="20"/>
        </w:rPr>
      </w:pPr>
      <w:r w:rsidRPr="00C74552">
        <w:rPr>
          <w:rFonts w:eastAsia="Times New Roman" w:cs="Times"/>
          <w:i/>
          <w:iCs/>
          <w:sz w:val="20"/>
          <w:szCs w:val="20"/>
        </w:rPr>
        <w:t>Note: By definition, Case 1 and Case 2 cannot be enabled simultaneously</w:t>
      </w:r>
    </w:p>
    <w:p w14:paraId="717026CE" w14:textId="77777777" w:rsidR="003C5475" w:rsidRPr="00C74552" w:rsidRDefault="003C5475" w:rsidP="003C5475">
      <w:pPr>
        <w:numPr>
          <w:ilvl w:val="0"/>
          <w:numId w:val="36"/>
        </w:numPr>
        <w:autoSpaceDE/>
        <w:autoSpaceDN/>
        <w:adjustRightInd/>
        <w:snapToGrid/>
        <w:spacing w:after="0"/>
        <w:jc w:val="left"/>
        <w:rPr>
          <w:rFonts w:eastAsia="Times New Roman" w:cs="Times"/>
          <w:i/>
          <w:iCs/>
          <w:sz w:val="20"/>
          <w:szCs w:val="20"/>
        </w:rPr>
      </w:pPr>
      <w:r w:rsidRPr="00C74552">
        <w:rPr>
          <w:rFonts w:eastAsia="Times New Roman" w:cs="Times"/>
          <w:i/>
          <w:iCs/>
          <w:sz w:val="20"/>
          <w:szCs w:val="20"/>
        </w:rPr>
        <w:t>Supported values for X1 and X2 include</w:t>
      </w:r>
      <w:r w:rsidRPr="00C74552">
        <w:rPr>
          <w:rFonts w:eastAsia="Times New Roman" w:cs="Times"/>
          <w:i/>
          <w:iCs/>
          <w:strike/>
          <w:sz w:val="20"/>
          <w:szCs w:val="20"/>
        </w:rPr>
        <w:t>s</w:t>
      </w:r>
      <w:r w:rsidRPr="00C74552">
        <w:rPr>
          <w:rFonts w:eastAsia="Times New Roman" w:cs="Times"/>
          <w:i/>
          <w:iCs/>
          <w:sz w:val="20"/>
          <w:szCs w:val="20"/>
        </w:rPr>
        <w:t xml:space="preserve"> at least 0,1,2,3 and 7. FFS on other values</w:t>
      </w:r>
    </w:p>
    <w:p w14:paraId="768DB308" w14:textId="77777777" w:rsidR="003C5475" w:rsidRPr="00C74552" w:rsidRDefault="003C5475" w:rsidP="003C5475">
      <w:pPr>
        <w:numPr>
          <w:ilvl w:val="0"/>
          <w:numId w:val="36"/>
        </w:numPr>
        <w:autoSpaceDE/>
        <w:autoSpaceDN/>
        <w:adjustRightInd/>
        <w:snapToGrid/>
        <w:spacing w:after="0"/>
        <w:jc w:val="left"/>
        <w:rPr>
          <w:rFonts w:eastAsia="Times New Roman" w:cs="Times"/>
          <w:i/>
          <w:iCs/>
          <w:sz w:val="20"/>
          <w:szCs w:val="20"/>
        </w:rPr>
      </w:pPr>
      <w:r w:rsidRPr="00C74552">
        <w:rPr>
          <w:rFonts w:eastAsia="Times New Roman" w:cs="Times"/>
          <w:i/>
          <w:iCs/>
          <w:sz w:val="20"/>
          <w:szCs w:val="20"/>
        </w:rPr>
        <w:t>This UE capability has FR1 and FR2 differentiation (FFS : Whether this UE capability is per UE or per band)</w:t>
      </w:r>
    </w:p>
    <w:p w14:paraId="1CDB069F" w14:textId="77777777" w:rsidR="003C5475" w:rsidRPr="00770545" w:rsidRDefault="003C5475" w:rsidP="00134B12">
      <w:pPr>
        <w:rPr>
          <w:rFonts w:cs="Times"/>
          <w:bCs/>
          <w:i/>
          <w:iCs/>
        </w:rPr>
      </w:pPr>
    </w:p>
    <w:p w14:paraId="1BA76490" w14:textId="07844A40" w:rsidR="00492DE4" w:rsidRDefault="00492DE4" w:rsidP="00492DE4">
      <w:pPr>
        <w:spacing w:beforeLines="50" w:before="120"/>
        <w:rPr>
          <w:lang w:val="en-GB"/>
        </w:rPr>
      </w:pPr>
      <w:r>
        <w:rPr>
          <w:rFonts w:hint="eastAsia"/>
          <w:lang w:val="en-GB"/>
        </w:rPr>
        <w:t>In this contribution,</w:t>
      </w:r>
      <w:r>
        <w:rPr>
          <w:lang w:val="en-GB"/>
        </w:rPr>
        <w:t xml:space="preserve"> further discussions on inter-cell multi-TRP enhancements are provided.</w:t>
      </w:r>
    </w:p>
    <w:p w14:paraId="35977C13" w14:textId="77777777" w:rsidR="00C54F8B" w:rsidRPr="00E62EA7" w:rsidRDefault="00C54F8B" w:rsidP="00773DB7">
      <w:pPr>
        <w:spacing w:beforeLines="50" w:before="120"/>
        <w:rPr>
          <w:lang w:val="en-GB"/>
        </w:rPr>
      </w:pPr>
    </w:p>
    <w:p w14:paraId="38A7F13E" w14:textId="5AF5918D" w:rsidR="00D05F0A" w:rsidRDefault="00773DB7" w:rsidP="00260236">
      <w:pPr>
        <w:pStyle w:val="Heading1"/>
      </w:pPr>
      <w:r>
        <w:t>Discussion</w:t>
      </w:r>
      <w:r w:rsidR="00A023A1">
        <w:t xml:space="preserve"> </w:t>
      </w:r>
    </w:p>
    <w:p w14:paraId="1FD272E9" w14:textId="157B91D3" w:rsidR="000924AF" w:rsidRDefault="00971C9C" w:rsidP="000924AF">
      <w:pPr>
        <w:pStyle w:val="Heading2"/>
      </w:pPr>
      <w:r>
        <w:t xml:space="preserve">Number of additional </w:t>
      </w:r>
      <w:r w:rsidR="000924AF">
        <w:t>PCI</w:t>
      </w:r>
      <w:r>
        <w:t>s</w:t>
      </w:r>
    </w:p>
    <w:p w14:paraId="087D30B0" w14:textId="251561E8" w:rsidR="003C4376" w:rsidRDefault="00971C9C" w:rsidP="00881035">
      <w:pPr>
        <w:pStyle w:val="ListParagraph"/>
        <w:spacing w:beforeLines="50" w:before="120"/>
        <w:ind w:left="0"/>
        <w:jc w:val="both"/>
        <w:rPr>
          <w:rFonts w:ascii="Times New Roman" w:hAnsi="Times New Roman"/>
          <w:bCs/>
        </w:rPr>
      </w:pPr>
      <w:r>
        <w:rPr>
          <w:rFonts w:ascii="Times New Roman" w:hAnsi="Times New Roman"/>
          <w:lang w:val="en-US"/>
        </w:rPr>
        <w:t>There were discussions on the number of additional PCIs</w:t>
      </w:r>
      <w:r w:rsidR="00567639">
        <w:rPr>
          <w:rFonts w:ascii="Times New Roman" w:hAnsi="Times New Roman"/>
          <w:lang w:val="en-US"/>
        </w:rPr>
        <w:t xml:space="preserve">, and </w:t>
      </w:r>
      <w:r w:rsidR="002E1A51">
        <w:rPr>
          <w:rFonts w:ascii="Times New Roman" w:hAnsi="Times New Roman"/>
          <w:bCs/>
        </w:rPr>
        <w:t xml:space="preserve">RAN1 </w:t>
      </w:r>
      <w:r w:rsidR="00B67BC0">
        <w:rPr>
          <w:rFonts w:ascii="Times New Roman" w:hAnsi="Times New Roman"/>
          <w:bCs/>
        </w:rPr>
        <w:t>has decided to allow UE to report two independent values. There are still a couple of FFS to be addressed</w:t>
      </w:r>
      <w:r w:rsidR="00CB452A">
        <w:rPr>
          <w:rFonts w:ascii="Times New Roman" w:hAnsi="Times New Roman"/>
          <w:bCs/>
        </w:rPr>
        <w:t>, such as additional X values and per-UE capability vs per-band capability. In general, t</w:t>
      </w:r>
      <w:r w:rsidR="00BC3949">
        <w:rPr>
          <w:rFonts w:ascii="Times New Roman" w:hAnsi="Times New Roman"/>
          <w:bCs/>
        </w:rPr>
        <w:t>his is related to neighbor cell measurement</w:t>
      </w:r>
      <w:r w:rsidR="00CB452A">
        <w:rPr>
          <w:rFonts w:ascii="Times New Roman" w:hAnsi="Times New Roman"/>
          <w:bCs/>
        </w:rPr>
        <w:t xml:space="preserve"> as well as network deployment from the network perspective, and also related to UE monitoring capability from the UE perspective</w:t>
      </w:r>
      <w:r w:rsidR="00BC3949">
        <w:rPr>
          <w:rFonts w:ascii="Times New Roman" w:hAnsi="Times New Roman"/>
          <w:bCs/>
        </w:rPr>
        <w:t xml:space="preserve">. </w:t>
      </w:r>
      <w:r w:rsidR="00CB452A">
        <w:rPr>
          <w:rFonts w:ascii="Times New Roman" w:hAnsi="Times New Roman"/>
          <w:bCs/>
        </w:rPr>
        <w:t xml:space="preserve">Both perspectives need to be accounted for to </w:t>
      </w:r>
      <w:r w:rsidR="00881035">
        <w:rPr>
          <w:rFonts w:ascii="Times New Roman" w:hAnsi="Times New Roman"/>
          <w:bCs/>
        </w:rPr>
        <w:t>make</w:t>
      </w:r>
      <w:r w:rsidR="00CB452A">
        <w:rPr>
          <w:rFonts w:ascii="Times New Roman" w:hAnsi="Times New Roman"/>
          <w:bCs/>
        </w:rPr>
        <w:t xml:space="preserve"> this feature useful in practice</w:t>
      </w:r>
      <w:r w:rsidR="00881035">
        <w:rPr>
          <w:rFonts w:ascii="Times New Roman" w:hAnsi="Times New Roman"/>
          <w:bCs/>
        </w:rPr>
        <w:t>.</w:t>
      </w:r>
    </w:p>
    <w:p w14:paraId="4059CC82" w14:textId="4028727A" w:rsidR="00881035" w:rsidRDefault="00881035" w:rsidP="00881035">
      <w:pPr>
        <w:pStyle w:val="ListParagraph"/>
        <w:numPr>
          <w:ilvl w:val="0"/>
          <w:numId w:val="38"/>
        </w:numPr>
        <w:spacing w:beforeLines="50" w:before="120"/>
        <w:jc w:val="both"/>
        <w:rPr>
          <w:rFonts w:ascii="Times New Roman" w:hAnsi="Times New Roman"/>
          <w:bCs/>
        </w:rPr>
      </w:pPr>
      <w:r>
        <w:rPr>
          <w:rFonts w:ascii="Times New Roman" w:hAnsi="Times New Roman"/>
          <w:bCs/>
        </w:rPr>
        <w:t>P</w:t>
      </w:r>
      <w:r>
        <w:rPr>
          <w:rFonts w:ascii="Times New Roman" w:hAnsi="Times New Roman"/>
          <w:bCs/>
        </w:rPr>
        <w:t>er-UE capability vs per-band capability</w:t>
      </w:r>
    </w:p>
    <w:p w14:paraId="4AD95687" w14:textId="44DC4216" w:rsidR="00881035" w:rsidRDefault="00881035" w:rsidP="00881035">
      <w:pPr>
        <w:pStyle w:val="ListParagraph"/>
        <w:spacing w:beforeLines="50" w:before="120"/>
        <w:jc w:val="both"/>
        <w:rPr>
          <w:rFonts w:ascii="Times New Roman" w:hAnsi="Times New Roman"/>
          <w:bCs/>
        </w:rPr>
      </w:pPr>
      <w:r>
        <w:rPr>
          <w:rFonts w:ascii="Times New Roman" w:hAnsi="Times New Roman"/>
          <w:bCs/>
        </w:rPr>
        <w:t>RAN1 agreed that the capability has FR1 and FR2 differentiation. This makes sense as FR1 and FR2 may have different network deployment</w:t>
      </w:r>
      <w:r w:rsidR="00742B7D">
        <w:rPr>
          <w:rFonts w:ascii="Times New Roman" w:hAnsi="Times New Roman"/>
          <w:bCs/>
        </w:rPr>
        <w:t>s</w:t>
      </w:r>
      <w:r>
        <w:rPr>
          <w:rFonts w:ascii="Times New Roman" w:hAnsi="Times New Roman"/>
          <w:bCs/>
        </w:rPr>
        <w:t>. FR1 TRPs may be sparse, no analog beamforming, and 3-sectored, but FR2 TRPs may be denser, with hybrid beamforming, and omni-directional.</w:t>
      </w:r>
    </w:p>
    <w:p w14:paraId="1A0485B3" w14:textId="6CFF62D2" w:rsidR="00742B7D" w:rsidRDefault="00742B7D" w:rsidP="00881035">
      <w:pPr>
        <w:pStyle w:val="ListParagraph"/>
        <w:spacing w:beforeLines="50" w:before="120"/>
        <w:jc w:val="both"/>
        <w:rPr>
          <w:rFonts w:ascii="Times New Roman" w:hAnsi="Times New Roman"/>
          <w:bCs/>
        </w:rPr>
      </w:pPr>
      <w:r>
        <w:rPr>
          <w:rFonts w:ascii="Times New Roman" w:hAnsi="Times New Roman"/>
          <w:bCs/>
        </w:rPr>
        <w:t xml:space="preserve">For different frequency bands in the same frequency range, there could still be significant differences in the network </w:t>
      </w:r>
      <w:r>
        <w:rPr>
          <w:rFonts w:ascii="Times New Roman" w:hAnsi="Times New Roman"/>
          <w:bCs/>
        </w:rPr>
        <w:t>deployments</w:t>
      </w:r>
      <w:r>
        <w:rPr>
          <w:rFonts w:ascii="Times New Roman" w:hAnsi="Times New Roman"/>
          <w:bCs/>
        </w:rPr>
        <w:t xml:space="preserve">. For FR1, 700 MHz carrier, 1.9 GHz carrier, and C Band carriers are often associated with different TRPs and different network deployments. Their beamforming capabilities and </w:t>
      </w:r>
      <w:r w:rsidR="009336FD">
        <w:rPr>
          <w:rFonts w:ascii="Times New Roman" w:hAnsi="Times New Roman"/>
          <w:bCs/>
        </w:rPr>
        <w:t xml:space="preserve">propagation properties are different. In addition, for both the gNBs and UEs, they </w:t>
      </w:r>
      <w:r w:rsidR="0093691F">
        <w:rPr>
          <w:rFonts w:ascii="Times New Roman" w:hAnsi="Times New Roman"/>
          <w:bCs/>
        </w:rPr>
        <w:t>may</w:t>
      </w:r>
      <w:r w:rsidR="009336FD">
        <w:rPr>
          <w:rFonts w:ascii="Times New Roman" w:hAnsi="Times New Roman"/>
          <w:bCs/>
        </w:rPr>
        <w:t xml:space="preserve"> use several sets of </w:t>
      </w:r>
      <w:r w:rsidR="009336FD">
        <w:rPr>
          <w:rFonts w:ascii="Times New Roman" w:hAnsi="Times New Roman"/>
          <w:bCs/>
        </w:rPr>
        <w:t>hardware</w:t>
      </w:r>
      <w:r w:rsidR="009336FD">
        <w:rPr>
          <w:rFonts w:ascii="Times New Roman" w:hAnsi="Times New Roman"/>
          <w:bCs/>
        </w:rPr>
        <w:t xml:space="preserve"> (in terms of at least</w:t>
      </w:r>
      <w:r w:rsidR="009336FD">
        <w:rPr>
          <w:rFonts w:ascii="Times New Roman" w:hAnsi="Times New Roman"/>
          <w:bCs/>
        </w:rPr>
        <w:t xml:space="preserve"> antenna configurations</w:t>
      </w:r>
      <w:r w:rsidR="009336FD">
        <w:rPr>
          <w:rFonts w:ascii="Times New Roman" w:hAnsi="Times New Roman"/>
          <w:bCs/>
        </w:rPr>
        <w:t xml:space="preserve"> and</w:t>
      </w:r>
      <w:r w:rsidR="009336FD">
        <w:rPr>
          <w:rFonts w:ascii="Times New Roman" w:hAnsi="Times New Roman"/>
          <w:bCs/>
        </w:rPr>
        <w:t xml:space="preserve"> </w:t>
      </w:r>
      <w:r>
        <w:rPr>
          <w:rFonts w:ascii="Times New Roman" w:hAnsi="Times New Roman"/>
          <w:bCs/>
        </w:rPr>
        <w:t xml:space="preserve">RF </w:t>
      </w:r>
      <w:r w:rsidR="009336FD">
        <w:rPr>
          <w:rFonts w:ascii="Times New Roman" w:hAnsi="Times New Roman"/>
          <w:bCs/>
        </w:rPr>
        <w:t>components) for bands far apart in the</w:t>
      </w:r>
      <w:r w:rsidR="00E04EC9">
        <w:rPr>
          <w:rFonts w:ascii="Times New Roman" w:hAnsi="Times New Roman"/>
          <w:bCs/>
        </w:rPr>
        <w:t xml:space="preserve"> carrier frequencies. This is more prominent for FR2 as the frequency range is even wider. </w:t>
      </w:r>
    </w:p>
    <w:p w14:paraId="66FA8730" w14:textId="290D6DC9" w:rsidR="00E04EC9" w:rsidRDefault="00E04EC9" w:rsidP="00881035">
      <w:pPr>
        <w:pStyle w:val="ListParagraph"/>
        <w:spacing w:beforeLines="50" w:before="120"/>
        <w:jc w:val="both"/>
        <w:rPr>
          <w:rFonts w:ascii="Times New Roman" w:hAnsi="Times New Roman"/>
          <w:bCs/>
        </w:rPr>
      </w:pPr>
      <w:r>
        <w:rPr>
          <w:rFonts w:ascii="Times New Roman" w:hAnsi="Times New Roman"/>
          <w:bCs/>
        </w:rPr>
        <w:t xml:space="preserve">Therefore, it seems unreasonable to mandate the same capability across all bands in a frequency range. Per-band capability reporting should be supported, though the UE can </w:t>
      </w:r>
      <w:r w:rsidR="00845A77">
        <w:rPr>
          <w:rFonts w:ascii="Times New Roman" w:hAnsi="Times New Roman"/>
          <w:bCs/>
        </w:rPr>
        <w:t xml:space="preserve">still have the degree of freedom to </w:t>
      </w:r>
      <w:r>
        <w:rPr>
          <w:rFonts w:ascii="Times New Roman" w:hAnsi="Times New Roman"/>
          <w:bCs/>
        </w:rPr>
        <w:t>report the same X values for bands closer in frequency domain (e.g., bands sharing the same set of antennas and RF components).</w:t>
      </w:r>
    </w:p>
    <w:p w14:paraId="033970F8" w14:textId="41B3125D" w:rsidR="00710FE6" w:rsidRDefault="00710FE6" w:rsidP="00710FE6">
      <w:pPr>
        <w:pStyle w:val="ListParagraph"/>
        <w:numPr>
          <w:ilvl w:val="0"/>
          <w:numId w:val="38"/>
        </w:numPr>
        <w:spacing w:beforeLines="50" w:before="120"/>
        <w:jc w:val="both"/>
        <w:rPr>
          <w:rFonts w:ascii="Times New Roman" w:hAnsi="Times New Roman"/>
          <w:bCs/>
        </w:rPr>
      </w:pPr>
      <w:r>
        <w:rPr>
          <w:rFonts w:ascii="Times New Roman" w:hAnsi="Times New Roman"/>
          <w:bCs/>
        </w:rPr>
        <w:t>Additional X values</w:t>
      </w:r>
    </w:p>
    <w:p w14:paraId="0DD444CB" w14:textId="1F23D497" w:rsidR="00710FE6" w:rsidRDefault="00DC1BAE" w:rsidP="00710FE6">
      <w:pPr>
        <w:pStyle w:val="ListParagraph"/>
        <w:spacing w:beforeLines="50" w:before="120"/>
        <w:jc w:val="both"/>
        <w:rPr>
          <w:rFonts w:ascii="Times New Roman" w:hAnsi="Times New Roman"/>
          <w:bCs/>
        </w:rPr>
      </w:pPr>
      <w:r>
        <w:rPr>
          <w:rFonts w:ascii="Times New Roman" w:hAnsi="Times New Roman"/>
          <w:bCs/>
        </w:rPr>
        <w:lastRenderedPageBreak/>
        <w:t xml:space="preserve">So far X values of </w:t>
      </w:r>
      <w:r w:rsidRPr="00DC1BAE">
        <w:rPr>
          <w:rFonts w:ascii="Times New Roman" w:hAnsi="Times New Roman"/>
          <w:bCs/>
        </w:rPr>
        <w:t>0,1,2,3 and 7</w:t>
      </w:r>
      <w:r>
        <w:rPr>
          <w:rFonts w:ascii="Times New Roman" w:hAnsi="Times New Roman"/>
          <w:bCs/>
        </w:rPr>
        <w:t xml:space="preserve"> have been supported. </w:t>
      </w:r>
      <w:r w:rsidR="009031A6">
        <w:rPr>
          <w:rFonts w:ascii="Times New Roman" w:hAnsi="Times New Roman"/>
          <w:bCs/>
        </w:rPr>
        <w:t xml:space="preserve">Companies proposing X values based on network deployment scenarios, UE processing capabilities, and intention to cover a wide range with limited X values (e.g., 1, 4, 7 or 2, 4, 6). Given the values already supported, we note that a big gap between 3 and 7. Thus we suggest at least adding X = 5 to the supported list. </w:t>
      </w:r>
      <w:r w:rsidR="0067478F">
        <w:rPr>
          <w:rFonts w:ascii="Times New Roman" w:hAnsi="Times New Roman"/>
          <w:bCs/>
        </w:rPr>
        <w:t>We are also supportive if the group decides to add X = 4, 5, 6 for full flexibility at both the UE and network, which allows X to be 0~7 based on UE implementation.</w:t>
      </w:r>
    </w:p>
    <w:p w14:paraId="5B829349" w14:textId="77777777" w:rsidR="00881035" w:rsidRDefault="00881035" w:rsidP="00881035">
      <w:pPr>
        <w:pStyle w:val="ListParagraph"/>
        <w:spacing w:beforeLines="50" w:before="120"/>
        <w:jc w:val="both"/>
        <w:rPr>
          <w:rFonts w:ascii="Times New Roman" w:hAnsi="Times New Roman"/>
          <w:bCs/>
        </w:rPr>
      </w:pPr>
    </w:p>
    <w:p w14:paraId="2E31E469" w14:textId="77777777" w:rsidR="0067478F" w:rsidRDefault="00B75A16" w:rsidP="00B75A16">
      <w:pPr>
        <w:pStyle w:val="ListParagraph"/>
        <w:spacing w:beforeLines="50" w:before="120"/>
        <w:ind w:left="0"/>
        <w:jc w:val="both"/>
        <w:rPr>
          <w:rFonts w:ascii="Times New Roman" w:hAnsi="Times New Roman"/>
          <w:b/>
        </w:rPr>
      </w:pPr>
      <w:r w:rsidRPr="00BD5373">
        <w:rPr>
          <w:rFonts w:ascii="Times New Roman" w:hAnsi="Times New Roman"/>
          <w:b/>
          <w:u w:val="single"/>
        </w:rPr>
        <w:t xml:space="preserve">Proposal </w:t>
      </w:r>
      <w:r>
        <w:rPr>
          <w:rFonts w:ascii="Times New Roman" w:hAnsi="Times New Roman"/>
          <w:b/>
          <w:u w:val="single"/>
        </w:rPr>
        <w:t>1</w:t>
      </w:r>
      <w:r w:rsidRPr="00BD5373">
        <w:rPr>
          <w:rFonts w:ascii="Times New Roman" w:hAnsi="Times New Roman"/>
          <w:b/>
        </w:rPr>
        <w:t xml:space="preserve">: </w:t>
      </w:r>
      <w:r w:rsidR="00315F10">
        <w:rPr>
          <w:rFonts w:ascii="Times New Roman" w:hAnsi="Times New Roman"/>
          <w:b/>
        </w:rPr>
        <w:t>For the number of additional PCIs configured per CC</w:t>
      </w:r>
      <w:r w:rsidR="0067478F">
        <w:rPr>
          <w:rFonts w:ascii="Times New Roman" w:hAnsi="Times New Roman"/>
          <w:b/>
        </w:rPr>
        <w:t>:</w:t>
      </w:r>
    </w:p>
    <w:p w14:paraId="4518FE10" w14:textId="2DAC38BD" w:rsidR="00B75A16" w:rsidRDefault="0067478F" w:rsidP="0067478F">
      <w:pPr>
        <w:pStyle w:val="ListParagraph"/>
        <w:numPr>
          <w:ilvl w:val="0"/>
          <w:numId w:val="38"/>
        </w:numPr>
        <w:spacing w:beforeLines="50" w:before="120"/>
        <w:jc w:val="both"/>
        <w:rPr>
          <w:rFonts w:ascii="Times New Roman" w:hAnsi="Times New Roman"/>
          <w:b/>
        </w:rPr>
      </w:pPr>
      <w:r>
        <w:rPr>
          <w:rFonts w:ascii="Times New Roman" w:hAnsi="Times New Roman"/>
          <w:b/>
        </w:rPr>
        <w:t xml:space="preserve">Support </w:t>
      </w:r>
      <w:r w:rsidRPr="0067478F">
        <w:rPr>
          <w:rFonts w:ascii="Times New Roman" w:hAnsi="Times New Roman"/>
          <w:b/>
        </w:rPr>
        <w:t>per-band capability</w:t>
      </w:r>
      <w:r>
        <w:rPr>
          <w:rFonts w:ascii="Times New Roman" w:hAnsi="Times New Roman"/>
          <w:b/>
        </w:rPr>
        <w:t xml:space="preserve"> reporting</w:t>
      </w:r>
    </w:p>
    <w:p w14:paraId="43097690" w14:textId="30FAA1CE" w:rsidR="0067478F" w:rsidRDefault="0067478F" w:rsidP="0067478F">
      <w:pPr>
        <w:pStyle w:val="ListParagraph"/>
        <w:numPr>
          <w:ilvl w:val="0"/>
          <w:numId w:val="38"/>
        </w:numPr>
        <w:spacing w:beforeLines="50" w:before="120"/>
        <w:jc w:val="both"/>
        <w:rPr>
          <w:rFonts w:ascii="Times New Roman" w:hAnsi="Times New Roman"/>
          <w:b/>
        </w:rPr>
      </w:pPr>
      <w:r>
        <w:rPr>
          <w:rFonts w:ascii="Times New Roman" w:hAnsi="Times New Roman"/>
          <w:b/>
        </w:rPr>
        <w:t xml:space="preserve">Support </w:t>
      </w:r>
      <w:r w:rsidRPr="0067478F">
        <w:rPr>
          <w:rFonts w:ascii="Times New Roman" w:hAnsi="Times New Roman"/>
          <w:b/>
        </w:rPr>
        <w:t>at least adding X = 5</w:t>
      </w:r>
    </w:p>
    <w:p w14:paraId="6CD28190" w14:textId="77777777" w:rsidR="002E1A51" w:rsidRPr="00E61E53" w:rsidRDefault="002E1A51" w:rsidP="002E1A51">
      <w:pPr>
        <w:pStyle w:val="ListParagraph"/>
        <w:spacing w:beforeLines="50" w:before="120"/>
        <w:ind w:left="0"/>
        <w:jc w:val="both"/>
        <w:rPr>
          <w:rFonts w:ascii="Times New Roman" w:hAnsi="Times New Roman"/>
          <w:bCs/>
        </w:rPr>
      </w:pPr>
    </w:p>
    <w:p w14:paraId="53694D82" w14:textId="3423B737" w:rsidR="008E01F5" w:rsidRDefault="00C233EA" w:rsidP="009336FD">
      <w:pPr>
        <w:pStyle w:val="Heading2"/>
      </w:pPr>
      <w:r>
        <w:t>A mixture of inter-cell and intra-cell M-TRPs</w:t>
      </w:r>
      <w:r w:rsidR="00B3214A">
        <w:t xml:space="preserve"> and switching between them</w:t>
      </w:r>
    </w:p>
    <w:p w14:paraId="432BF2D2" w14:textId="208A6AA8" w:rsidR="00EB33C8" w:rsidRDefault="00EB33C8" w:rsidP="00EB33C8">
      <w:r>
        <w:t xml:space="preserve">We have pointed out in </w:t>
      </w:r>
      <w:r w:rsidR="008877AF">
        <w:t>previous</w:t>
      </w:r>
      <w:r>
        <w:t xml:space="preserve"> meetings that the deployment scenario may include both intra-cell M-TRP and inter-cell M-TRP. For example, cell 0 </w:t>
      </w:r>
      <w:r w:rsidR="00BC0EE7">
        <w:t xml:space="preserve">(represented by TRP 0) </w:t>
      </w:r>
      <w:r>
        <w:t xml:space="preserve">is the serving cell, TRP 1 is intra-cell with cell 0, cell 2 </w:t>
      </w:r>
      <w:r w:rsidR="00BC0EE7">
        <w:t xml:space="preserve">(represented by TRP 2) </w:t>
      </w:r>
      <w:r>
        <w:t>is a</w:t>
      </w:r>
      <w:r w:rsidR="005A6D54">
        <w:t>n additional cell (</w:t>
      </w:r>
      <w:r>
        <w:t>inter-cell</w:t>
      </w:r>
      <w:r w:rsidR="005A6D54">
        <w:t>)</w:t>
      </w:r>
      <w:r>
        <w:t xml:space="preserve">, TRP 3 is intra-cell with cell 2. Each standalone cell </w:t>
      </w:r>
      <w:r w:rsidR="00BC0EE7">
        <w:t xml:space="preserve">(cell 0 or cell 2) </w:t>
      </w:r>
      <w:r>
        <w:t>can be used to form a</w:t>
      </w:r>
      <w:r w:rsidR="00B37047">
        <w:t>n extended intra-cell</w:t>
      </w:r>
      <w:r>
        <w:t xml:space="preserve"> </w:t>
      </w:r>
      <w:r w:rsidR="00BC0EE7">
        <w:t>resource group</w:t>
      </w:r>
      <w:r>
        <w:t xml:space="preserve"> which comprises all the TRPs associated with that cell. In this example, 2 </w:t>
      </w:r>
      <w:r w:rsidR="009A173D">
        <w:t>non-col-located</w:t>
      </w:r>
      <w:r w:rsidR="00D1465E">
        <w:t xml:space="preserve"> resource groups</w:t>
      </w:r>
      <w:r>
        <w:t xml:space="preserve"> are forms based on cell 0’s PCI and cell 2’s PCI. Within each </w:t>
      </w:r>
      <w:r w:rsidR="00523136">
        <w:t>resource group</w:t>
      </w:r>
      <w:r>
        <w:t xml:space="preserve">, the </w:t>
      </w:r>
      <w:r w:rsidR="00523136">
        <w:t xml:space="preserve">TRPs are intra-cell M-TRPs as defined in Rel-16, and their </w:t>
      </w:r>
      <w:r>
        <w:t>resources can be differentiated by CORESET pool indexes.</w:t>
      </w:r>
      <w:r w:rsidR="00523136">
        <w:t xml:space="preserve"> Across the resource groups, the TRPs are inter-cell M-TRPs not covered in Rel-16, and their resources can be differentiated based on </w:t>
      </w:r>
      <w:r w:rsidR="00BC2D1B">
        <w:t xml:space="preserve">association/grouping via QCL/TCI association to corresponding PCIs. </w:t>
      </w:r>
      <w:r w:rsidR="00BD7182">
        <w:t>The inter-cell M-TRPs and intra-cell M-TRPs may not need to be supported / used by the UE at the same time, that is, the UE may switch between them based on RRC configuration or MAC indication.</w:t>
      </w:r>
    </w:p>
    <w:p w14:paraId="29CBE38A" w14:textId="05FAB52D" w:rsidR="00F66574" w:rsidRDefault="00F66574" w:rsidP="00EB33C8">
      <w:r>
        <w:rPr>
          <w:bCs/>
        </w:rPr>
        <w:t xml:space="preserve">If multiple additional PCIs are also supported, then each additional PCI and associated intra-cell resources form a resource group, and across different additional PCIs the resources / resource groups are considered as </w:t>
      </w:r>
      <w:r w:rsidR="009A173D">
        <w:t>non-col-located</w:t>
      </w:r>
      <w:r>
        <w:rPr>
          <w:bCs/>
        </w:rPr>
        <w:t xml:space="preserve">. When the activated additional PCI is deactivated, all the resources in the associated resource group are deactivated, including the intra-cell M-TRP identified by CORESET pool index 1 for that additional cell. </w:t>
      </w:r>
    </w:p>
    <w:p w14:paraId="634BBD7F" w14:textId="77F50005" w:rsidR="00BC2D1B" w:rsidRDefault="00BC2D1B" w:rsidP="00EB33C8">
      <w:pPr>
        <w:rPr>
          <w:b/>
        </w:rPr>
      </w:pPr>
      <w:r w:rsidRPr="00D846F2">
        <w:rPr>
          <w:b/>
          <w:u w:val="single"/>
        </w:rPr>
        <w:t xml:space="preserve">Proposal </w:t>
      </w:r>
      <w:r w:rsidR="002D6711">
        <w:rPr>
          <w:b/>
          <w:u w:val="single"/>
        </w:rPr>
        <w:t>2</w:t>
      </w:r>
      <w:r w:rsidRPr="00D846F2">
        <w:rPr>
          <w:b/>
        </w:rPr>
        <w:t>:</w:t>
      </w:r>
      <w:r>
        <w:rPr>
          <w:b/>
        </w:rPr>
        <w:t xml:space="preserve"> For the scenario of a mixture of </w:t>
      </w:r>
      <w:r w:rsidRPr="00BC2D1B">
        <w:rPr>
          <w:b/>
        </w:rPr>
        <w:t>intra-cell M-TRP and inter-cell M-TRP</w:t>
      </w:r>
      <w:r>
        <w:rPr>
          <w:b/>
        </w:rPr>
        <w:t xml:space="preserve">, intra-cell resources can be differentiated by CORESET pool indexes as in Rel-16, and inter-cell resources can be differentiated by </w:t>
      </w:r>
      <w:r w:rsidRPr="00BC2D1B">
        <w:rPr>
          <w:b/>
        </w:rPr>
        <w:t>association/grouping via QCL/TCI association to corresponding PCIs</w:t>
      </w:r>
      <w:r>
        <w:rPr>
          <w:b/>
        </w:rPr>
        <w:t>.</w:t>
      </w:r>
    </w:p>
    <w:p w14:paraId="7A50A701" w14:textId="77777777" w:rsidR="00BC2D1B" w:rsidRPr="00EB33C8" w:rsidRDefault="00BC2D1B" w:rsidP="00910BE1"/>
    <w:p w14:paraId="57FA7C54" w14:textId="0F47C9AA" w:rsidR="00EB33C8" w:rsidRDefault="00776D25" w:rsidP="009336FD">
      <w:pPr>
        <w:pStyle w:val="Heading2"/>
      </w:pPr>
      <w:r>
        <w:t>On CORESET pool indexes</w:t>
      </w:r>
    </w:p>
    <w:p w14:paraId="43EDB195" w14:textId="2A52AC69" w:rsidR="007268E1" w:rsidRDefault="007268E1" w:rsidP="00870619">
      <w:pPr>
        <w:spacing w:beforeLines="50" w:before="120"/>
      </w:pPr>
      <w:r w:rsidRPr="00870619">
        <w:t xml:space="preserve">With the </w:t>
      </w:r>
      <w:r w:rsidR="00671050" w:rsidRPr="007304FC">
        <w:t>additional</w:t>
      </w:r>
      <w:r w:rsidRPr="00870619">
        <w:t xml:space="preserve"> </w:t>
      </w:r>
      <w:r w:rsidR="001A78C4">
        <w:t xml:space="preserve">PCI and </w:t>
      </w:r>
      <w:r w:rsidRPr="00870619">
        <w:t>SSB configured to the UE</w:t>
      </w:r>
      <w:r w:rsidR="00870619">
        <w:t xml:space="preserve"> and based on the above analysis</w:t>
      </w:r>
      <w:r w:rsidRPr="00870619">
        <w:t xml:space="preserve">, it is questionable whether the CORESET pool indexes are </w:t>
      </w:r>
      <w:r w:rsidR="00872F59">
        <w:t>absolutely necessary for inter-cell M-TRP</w:t>
      </w:r>
      <w:r w:rsidRPr="00870619">
        <w:t>. The UE can link PDCCH</w:t>
      </w:r>
      <w:r w:rsidR="00881708" w:rsidRPr="00870619">
        <w:t xml:space="preserve"> (via PDCCH’s CORESET configuration and/or SS set configuration)</w:t>
      </w:r>
      <w:r w:rsidRPr="00870619">
        <w:t xml:space="preserve"> as well as other transmissions/receptions to the inter-cell TRP via the QCL relation to the </w:t>
      </w:r>
      <w:r w:rsidR="00AA5924" w:rsidRPr="007304FC">
        <w:t>additional</w:t>
      </w:r>
      <w:r w:rsidRPr="00870619">
        <w:t xml:space="preserve"> SSB, and hence the CORESET pool indexes </w:t>
      </w:r>
      <w:r w:rsidR="00870619">
        <w:t>do</w:t>
      </w:r>
      <w:r w:rsidRPr="00870619">
        <w:t xml:space="preserve"> not need to be explicitly configured in this case.</w:t>
      </w:r>
      <w:r w:rsidR="00E64A37">
        <w:t xml:space="preserve"> In fact, the CORESET pool index is an explicit ID used in Rel-16 to differentiate </w:t>
      </w:r>
      <w:r w:rsidR="00BC6EC6">
        <w:t>intra-cell TRPs, i.e., an alternative TRP ID</w:t>
      </w:r>
      <w:r w:rsidR="00F46BDA">
        <w:t xml:space="preserve"> or implicit TRP ID</w:t>
      </w:r>
      <w:r w:rsidR="00BC6EC6">
        <w:t xml:space="preserve">. This was necessary for Rel-16 as an intra-cell TRP does not have any ID. However, </w:t>
      </w:r>
      <w:r w:rsidR="00F010B9">
        <w:t>for Rel-17 inter-cell M-TRP,</w:t>
      </w:r>
      <w:r w:rsidR="00223CEC">
        <w:t xml:space="preserve"> the inter-cell TRP already has an ID --- PCI, and there is no reason to introduce any other ID. </w:t>
      </w:r>
      <w:r w:rsidR="00C6544B">
        <w:t>So although it was agreed that, for</w:t>
      </w:r>
      <w:r w:rsidR="00C6544B" w:rsidRPr="00C6544B">
        <w:t xml:space="preserve"> inter-cell mTRP , one PCI associated with one or more of activated TCI states for PDSCH/PDCCH is associated with one CORESETPoolIndex, another PCI associated with one or more of activated TCI states for PDSCH/PDCCH is associated with another CORESETPoolIndex</w:t>
      </w:r>
      <w:r w:rsidR="00C6544B">
        <w:t xml:space="preserve">, the necessity of using </w:t>
      </w:r>
      <w:r w:rsidR="00C6544B" w:rsidRPr="00C6544B">
        <w:t>CORESETPoolIndex</w:t>
      </w:r>
      <w:r w:rsidR="00C6544B">
        <w:t xml:space="preserve"> for purely inter-cell M-TRP is not justified, and </w:t>
      </w:r>
      <w:r w:rsidR="00C6544B" w:rsidRPr="00C6544B">
        <w:t>CORESETPoolIndex</w:t>
      </w:r>
      <w:r w:rsidR="00C6544B">
        <w:t xml:space="preserve"> is redundant given the configured PCIs.</w:t>
      </w:r>
    </w:p>
    <w:p w14:paraId="28AECD6D" w14:textId="3D07A24C" w:rsidR="00B52E60" w:rsidRDefault="00B52E60" w:rsidP="00870619">
      <w:pPr>
        <w:spacing w:beforeLines="50" w:before="120"/>
      </w:pPr>
      <w:r>
        <w:t>For intra-cell M-TRP scenarios, or for the</w:t>
      </w:r>
      <w:r w:rsidRPr="00B52E60">
        <w:t xml:space="preserve"> mix</w:t>
      </w:r>
      <w:r>
        <w:t>ed scenario</w:t>
      </w:r>
      <w:r w:rsidRPr="00B52E60">
        <w:t xml:space="preserve"> of intra-cell M-TRP and inter-cell M-TRP</w:t>
      </w:r>
      <w:r w:rsidR="00C6544B">
        <w:t xml:space="preserve"> (including the switching between </w:t>
      </w:r>
      <w:r w:rsidR="00C6544B" w:rsidRPr="00B52E60">
        <w:t>intra-cell M-TRP and inter-cell M-TRP</w:t>
      </w:r>
      <w:r w:rsidR="00C6544B">
        <w:t>)</w:t>
      </w:r>
      <w:r>
        <w:t>, CORESET pool indexes should still be used within each cell (i.e., intra-cell M-TRP) as this is fully covered by Rel-16 design.</w:t>
      </w:r>
      <w:r w:rsidR="00F91824">
        <w:t xml:space="preserve"> Within each cell, the resources can be differentiated by CORESET pool indexes. The CORESET pool indexes may be </w:t>
      </w:r>
      <w:r w:rsidR="00F91824">
        <w:lastRenderedPageBreak/>
        <w:t>the same across the serving cell and additional cell, but since they are in different cells (associated with different PCIs</w:t>
      </w:r>
      <w:r w:rsidR="00291934">
        <w:t>, also including the cases of multiple additional PCIs on a carrier if supported</w:t>
      </w:r>
      <w:r w:rsidR="00F91824">
        <w:t xml:space="preserve">), there should be no ambiguity. In the above example, cell 0 has CORESET pool index 0 (or </w:t>
      </w:r>
      <w:r w:rsidR="00291934">
        <w:t>absent</w:t>
      </w:r>
      <w:r w:rsidR="00F91824">
        <w:t>), TRP 1 has CORESET pool index 1</w:t>
      </w:r>
      <w:r w:rsidR="00C6544B">
        <w:t xml:space="preserve"> when it is activated</w:t>
      </w:r>
      <w:r w:rsidR="00F91824">
        <w:t xml:space="preserve">, cell 2 has CORESET pool index 0 (or </w:t>
      </w:r>
      <w:r w:rsidR="00291934">
        <w:t>absent</w:t>
      </w:r>
      <w:r w:rsidR="00F91824">
        <w:t>), TRP 3 has CORESET pool index 1</w:t>
      </w:r>
      <w:r w:rsidR="00C6544B" w:rsidRPr="00C6544B">
        <w:t xml:space="preserve"> </w:t>
      </w:r>
      <w:r w:rsidR="00C6544B">
        <w:t>when it is activated</w:t>
      </w:r>
      <w:r w:rsidR="00F91824">
        <w:t>.</w:t>
      </w:r>
    </w:p>
    <w:p w14:paraId="447DC218" w14:textId="60676D37" w:rsidR="00555DBC" w:rsidRDefault="00555DBC" w:rsidP="00AD3488">
      <w:pPr>
        <w:spacing w:beforeLines="50" w:before="120"/>
        <w:rPr>
          <w:b/>
        </w:rPr>
      </w:pPr>
      <w:r w:rsidRPr="00D846F2">
        <w:rPr>
          <w:b/>
          <w:u w:val="single"/>
        </w:rPr>
        <w:t xml:space="preserve">Proposal </w:t>
      </w:r>
      <w:r w:rsidR="002D6711">
        <w:rPr>
          <w:b/>
          <w:u w:val="single"/>
        </w:rPr>
        <w:t>3</w:t>
      </w:r>
      <w:r w:rsidRPr="00D846F2">
        <w:rPr>
          <w:b/>
        </w:rPr>
        <w:t>:</w:t>
      </w:r>
      <w:r>
        <w:rPr>
          <w:b/>
        </w:rPr>
        <w:t xml:space="preserve"> </w:t>
      </w:r>
      <w:r w:rsidRPr="00555DBC">
        <w:rPr>
          <w:b/>
        </w:rPr>
        <w:t>CORESET pool index</w:t>
      </w:r>
      <w:r>
        <w:rPr>
          <w:b/>
        </w:rPr>
        <w:t xml:space="preserve"> </w:t>
      </w:r>
      <w:r w:rsidR="00993417">
        <w:rPr>
          <w:b/>
        </w:rPr>
        <w:t xml:space="preserve">is useful for the scenario of switching between </w:t>
      </w:r>
      <w:r w:rsidR="00993417" w:rsidRPr="00BC2D1B">
        <w:rPr>
          <w:b/>
        </w:rPr>
        <w:t>intra-cell M-TRP and inter-cell M-TRP</w:t>
      </w:r>
      <w:r>
        <w:rPr>
          <w:b/>
        </w:rPr>
        <w:t>.</w:t>
      </w:r>
    </w:p>
    <w:p w14:paraId="11560692" w14:textId="77777777" w:rsidR="00555DBC" w:rsidRDefault="00555DBC" w:rsidP="00AD3488">
      <w:pPr>
        <w:spacing w:beforeLines="50" w:before="120"/>
      </w:pPr>
    </w:p>
    <w:p w14:paraId="2047C2B2" w14:textId="5F7AF787" w:rsidR="00E671E9" w:rsidRDefault="00E671E9" w:rsidP="009336FD">
      <w:pPr>
        <w:pStyle w:val="Heading2"/>
      </w:pPr>
      <w:r>
        <w:t>Non-cross carrier QCL indication and cross-carrier scheduling QCL indication</w:t>
      </w:r>
    </w:p>
    <w:p w14:paraId="0B76EA69" w14:textId="3308D09A" w:rsidR="00E671E9" w:rsidRPr="00E671E9" w:rsidRDefault="00776983" w:rsidP="00910BE1">
      <w:r>
        <w:t xml:space="preserve">An agreement from last meeting has "… The additional PCI … </w:t>
      </w:r>
      <w:r w:rsidRPr="00776983">
        <w:t>Applicable at least for non-cross carrier QCL indication</w:t>
      </w:r>
      <w:r>
        <w:t xml:space="preserve"> … </w:t>
      </w:r>
      <w:r w:rsidRPr="00776983">
        <w:t></w:t>
      </w:r>
      <w:r w:rsidRPr="00776983">
        <w:tab/>
        <w:t>FFS: Cross carrier scheduling QCL indication</w:t>
      </w:r>
      <w:r>
        <w:t xml:space="preserve">". </w:t>
      </w:r>
      <w:r w:rsidR="00721460">
        <w:t xml:space="preserve">For scheduling related to the additional PCI, M-DCI will be utilized, that is, for the resource groups formed by the </w:t>
      </w:r>
      <w:r w:rsidR="005D44A4">
        <w:t xml:space="preserve">serving PCI (PCI 0) and </w:t>
      </w:r>
      <w:r w:rsidR="00721460">
        <w:t xml:space="preserve">additional PCI </w:t>
      </w:r>
      <w:r w:rsidR="005D44A4">
        <w:t>(PCI 1)</w:t>
      </w:r>
      <w:r w:rsidR="00721460">
        <w:t xml:space="preserve">, scheduling is within each group and there is no need/advantage for cross-group scheduling, especially if the backhaul connection between the different cells / resource groups is non-ideal. </w:t>
      </w:r>
      <w:r w:rsidR="005D44A4">
        <w:t>F</w:t>
      </w:r>
      <w:r w:rsidR="00E96990">
        <w:t>or</w:t>
      </w:r>
      <w:r w:rsidR="005D44A4">
        <w:t xml:space="preserve"> cross-carrier scheduling by an additional cell with PCI 2 collocated with the cell with PCI 1, cross-carrier scheduling can be supported without referring to PCI 1 but by legacy mechanism of CIF and so on. Only for some higher-layer signaling by RRC/MAC, the PCI 1 needs to be referred to, such as in the RRC configuration of QCL source</w:t>
      </w:r>
      <w:r w:rsidR="000A21D2">
        <w:t>, the activation of another additional PCI out of several candidates on a carrier</w:t>
      </w:r>
      <w:r w:rsidR="005D44A4">
        <w:t>.</w:t>
      </w:r>
    </w:p>
    <w:p w14:paraId="33752E69" w14:textId="11C957B4" w:rsidR="000A21D2" w:rsidRDefault="000A21D2" w:rsidP="007C4735">
      <w:pPr>
        <w:spacing w:beforeLines="50" w:before="120"/>
      </w:pPr>
      <w:r w:rsidRPr="00D846F2">
        <w:rPr>
          <w:b/>
          <w:u w:val="single"/>
        </w:rPr>
        <w:t xml:space="preserve">Proposal </w:t>
      </w:r>
      <w:r w:rsidR="002D6711">
        <w:rPr>
          <w:b/>
          <w:u w:val="single"/>
        </w:rPr>
        <w:t>4</w:t>
      </w:r>
      <w:r w:rsidRPr="00D846F2">
        <w:rPr>
          <w:b/>
        </w:rPr>
        <w:t>:</w:t>
      </w:r>
      <w:r w:rsidRPr="00E8593E">
        <w:t xml:space="preserve"> </w:t>
      </w:r>
      <w:r>
        <w:rPr>
          <w:b/>
          <w:bCs/>
        </w:rPr>
        <w:t>Indication of an additional PCI for same/cross-carrier scheduling is not needed.</w:t>
      </w:r>
    </w:p>
    <w:p w14:paraId="6F47ED1A" w14:textId="77777777" w:rsidR="000A21D2" w:rsidRPr="007C4735" w:rsidRDefault="000A21D2" w:rsidP="007C4735">
      <w:pPr>
        <w:spacing w:beforeLines="50" w:before="120"/>
      </w:pPr>
    </w:p>
    <w:p w14:paraId="1A801C54" w14:textId="5BBF2CFF" w:rsidR="004B3422" w:rsidRPr="00E27CC0" w:rsidRDefault="004B3422" w:rsidP="004B3422">
      <w:pPr>
        <w:pStyle w:val="Heading1"/>
        <w:tabs>
          <w:tab w:val="clear" w:pos="432"/>
        </w:tabs>
      </w:pPr>
      <w:bookmarkStart w:id="3" w:name="_Ref129681832"/>
      <w:r>
        <w:t>Conclusion</w:t>
      </w:r>
    </w:p>
    <w:p w14:paraId="2DAADC2F" w14:textId="2DFC9D12" w:rsidR="00B44264" w:rsidRDefault="00E93024" w:rsidP="00322207">
      <w:r w:rsidRPr="007F5EC6">
        <w:t>In this contribution, we</w:t>
      </w:r>
      <w:r>
        <w:t xml:space="preserve"> </w:t>
      </w:r>
      <w:r w:rsidR="009E3A88">
        <w:t xml:space="preserve">discussed </w:t>
      </w:r>
      <w:r w:rsidR="00C942E9">
        <w:rPr>
          <w:lang w:val="en-GB"/>
        </w:rPr>
        <w:t>i</w:t>
      </w:r>
      <w:r w:rsidR="00C942E9" w:rsidRPr="00773DB7">
        <w:rPr>
          <w:lang w:val="en-GB"/>
        </w:rPr>
        <w:t>nter-cell multi-TRP operation</w:t>
      </w:r>
      <w:r w:rsidR="00C942E9">
        <w:rPr>
          <w:lang w:val="en-GB"/>
        </w:rPr>
        <w:t xml:space="preserve">. </w:t>
      </w:r>
      <w:r w:rsidR="009E3A88">
        <w:t>The following are proposed:</w:t>
      </w:r>
    </w:p>
    <w:bookmarkEnd w:id="3"/>
    <w:p w14:paraId="1F9A631D" w14:textId="77777777" w:rsidR="002D6711" w:rsidRDefault="002D6711" w:rsidP="002D6711">
      <w:pPr>
        <w:pStyle w:val="ListParagraph"/>
        <w:spacing w:beforeLines="50" w:before="120"/>
        <w:ind w:left="0"/>
        <w:jc w:val="both"/>
        <w:rPr>
          <w:rFonts w:ascii="Times New Roman" w:hAnsi="Times New Roman"/>
          <w:b/>
        </w:rPr>
      </w:pPr>
      <w:r w:rsidRPr="00BD5373">
        <w:rPr>
          <w:rFonts w:ascii="Times New Roman" w:hAnsi="Times New Roman"/>
          <w:b/>
          <w:u w:val="single"/>
        </w:rPr>
        <w:t xml:space="preserve">Proposal </w:t>
      </w:r>
      <w:r>
        <w:rPr>
          <w:rFonts w:ascii="Times New Roman" w:hAnsi="Times New Roman"/>
          <w:b/>
          <w:u w:val="single"/>
        </w:rPr>
        <w:t>1</w:t>
      </w:r>
      <w:r w:rsidRPr="00BD5373">
        <w:rPr>
          <w:rFonts w:ascii="Times New Roman" w:hAnsi="Times New Roman"/>
          <w:b/>
        </w:rPr>
        <w:t xml:space="preserve">: </w:t>
      </w:r>
      <w:r>
        <w:rPr>
          <w:rFonts w:ascii="Times New Roman" w:hAnsi="Times New Roman"/>
          <w:b/>
        </w:rPr>
        <w:t>For the number of additional PCIs configured per CC:</w:t>
      </w:r>
    </w:p>
    <w:p w14:paraId="00D91E5D" w14:textId="77777777" w:rsidR="002D6711" w:rsidRDefault="002D6711" w:rsidP="002D6711">
      <w:pPr>
        <w:pStyle w:val="ListParagraph"/>
        <w:numPr>
          <w:ilvl w:val="0"/>
          <w:numId w:val="38"/>
        </w:numPr>
        <w:spacing w:beforeLines="50" w:before="120"/>
        <w:jc w:val="both"/>
        <w:rPr>
          <w:rFonts w:ascii="Times New Roman" w:hAnsi="Times New Roman"/>
          <w:b/>
        </w:rPr>
      </w:pPr>
      <w:r>
        <w:rPr>
          <w:rFonts w:ascii="Times New Roman" w:hAnsi="Times New Roman"/>
          <w:b/>
        </w:rPr>
        <w:t xml:space="preserve">Support </w:t>
      </w:r>
      <w:r w:rsidRPr="0067478F">
        <w:rPr>
          <w:rFonts w:ascii="Times New Roman" w:hAnsi="Times New Roman"/>
          <w:b/>
        </w:rPr>
        <w:t>per-band capability</w:t>
      </w:r>
      <w:r>
        <w:rPr>
          <w:rFonts w:ascii="Times New Roman" w:hAnsi="Times New Roman"/>
          <w:b/>
        </w:rPr>
        <w:t xml:space="preserve"> reporting</w:t>
      </w:r>
    </w:p>
    <w:p w14:paraId="246E8C8F" w14:textId="77777777" w:rsidR="002D6711" w:rsidRDefault="002D6711" w:rsidP="002D6711">
      <w:pPr>
        <w:pStyle w:val="ListParagraph"/>
        <w:numPr>
          <w:ilvl w:val="0"/>
          <w:numId w:val="38"/>
        </w:numPr>
        <w:spacing w:beforeLines="50" w:before="120"/>
        <w:jc w:val="both"/>
        <w:rPr>
          <w:rFonts w:ascii="Times New Roman" w:hAnsi="Times New Roman"/>
          <w:b/>
        </w:rPr>
      </w:pPr>
      <w:r>
        <w:rPr>
          <w:rFonts w:ascii="Times New Roman" w:hAnsi="Times New Roman"/>
          <w:b/>
        </w:rPr>
        <w:t xml:space="preserve">Support </w:t>
      </w:r>
      <w:r w:rsidRPr="0067478F">
        <w:rPr>
          <w:rFonts w:ascii="Times New Roman" w:hAnsi="Times New Roman"/>
          <w:b/>
        </w:rPr>
        <w:t>at least adding X = 5</w:t>
      </w:r>
    </w:p>
    <w:p w14:paraId="55C836F6" w14:textId="380C082C" w:rsidR="0053069C" w:rsidRDefault="0053069C" w:rsidP="0053069C">
      <w:pPr>
        <w:rPr>
          <w:b/>
        </w:rPr>
      </w:pPr>
      <w:r w:rsidRPr="00D846F2">
        <w:rPr>
          <w:b/>
          <w:u w:val="single"/>
        </w:rPr>
        <w:t xml:space="preserve">Proposal </w:t>
      </w:r>
      <w:r w:rsidR="002D6711">
        <w:rPr>
          <w:b/>
          <w:u w:val="single"/>
        </w:rPr>
        <w:t>2</w:t>
      </w:r>
      <w:r w:rsidRPr="00D846F2">
        <w:rPr>
          <w:b/>
        </w:rPr>
        <w:t>:</w:t>
      </w:r>
      <w:r>
        <w:rPr>
          <w:b/>
        </w:rPr>
        <w:t xml:space="preserve"> For the scenario of a mixture of </w:t>
      </w:r>
      <w:r w:rsidRPr="00BC2D1B">
        <w:rPr>
          <w:b/>
        </w:rPr>
        <w:t>intra-cell M-TRP and inter-cell M-TRP</w:t>
      </w:r>
      <w:r>
        <w:rPr>
          <w:b/>
        </w:rPr>
        <w:t xml:space="preserve">, intra-cell resources can be differentiated by CORESET pool indexes as in Rel-16, and inter-cell resources can be differentiated by </w:t>
      </w:r>
      <w:r w:rsidRPr="00BC2D1B">
        <w:rPr>
          <w:b/>
        </w:rPr>
        <w:t>association/grouping via QCL/TCI association to corresponding PCIs</w:t>
      </w:r>
      <w:r>
        <w:rPr>
          <w:b/>
        </w:rPr>
        <w:t>.</w:t>
      </w:r>
    </w:p>
    <w:p w14:paraId="79867238" w14:textId="2C8B45C9" w:rsidR="00E21436" w:rsidRDefault="00E21436" w:rsidP="00E21436">
      <w:pPr>
        <w:spacing w:beforeLines="50" w:before="120"/>
        <w:rPr>
          <w:b/>
        </w:rPr>
      </w:pPr>
      <w:r w:rsidRPr="00D846F2">
        <w:rPr>
          <w:b/>
          <w:u w:val="single"/>
        </w:rPr>
        <w:t xml:space="preserve">Proposal </w:t>
      </w:r>
      <w:r w:rsidR="002D6711">
        <w:rPr>
          <w:b/>
          <w:u w:val="single"/>
        </w:rPr>
        <w:t>3</w:t>
      </w:r>
      <w:r w:rsidRPr="00D846F2">
        <w:rPr>
          <w:b/>
        </w:rPr>
        <w:t>:</w:t>
      </w:r>
      <w:r>
        <w:rPr>
          <w:b/>
        </w:rPr>
        <w:t xml:space="preserve"> </w:t>
      </w:r>
      <w:r w:rsidRPr="00555DBC">
        <w:rPr>
          <w:b/>
        </w:rPr>
        <w:t>CORESET pool index</w:t>
      </w:r>
      <w:r>
        <w:rPr>
          <w:b/>
        </w:rPr>
        <w:t xml:space="preserve"> is useful for the scenario of switching between </w:t>
      </w:r>
      <w:r w:rsidRPr="00BC2D1B">
        <w:rPr>
          <w:b/>
        </w:rPr>
        <w:t>intra-cell M-TRP and inter-cell M-TRP</w:t>
      </w:r>
      <w:r>
        <w:rPr>
          <w:b/>
        </w:rPr>
        <w:t>.</w:t>
      </w:r>
    </w:p>
    <w:p w14:paraId="56279693" w14:textId="209C31D4" w:rsidR="00DE102B" w:rsidRPr="00910BE1" w:rsidRDefault="0053069C" w:rsidP="00910BE1">
      <w:pPr>
        <w:spacing w:beforeLines="50" w:before="120"/>
      </w:pPr>
      <w:r w:rsidRPr="00D846F2">
        <w:rPr>
          <w:b/>
          <w:u w:val="single"/>
        </w:rPr>
        <w:t xml:space="preserve">Proposal </w:t>
      </w:r>
      <w:r w:rsidR="002D6711">
        <w:rPr>
          <w:b/>
          <w:u w:val="single"/>
        </w:rPr>
        <w:t>4</w:t>
      </w:r>
      <w:r w:rsidRPr="00D846F2">
        <w:rPr>
          <w:b/>
        </w:rPr>
        <w:t>:</w:t>
      </w:r>
      <w:r w:rsidRPr="00E8593E">
        <w:t xml:space="preserve"> </w:t>
      </w:r>
      <w:r>
        <w:rPr>
          <w:b/>
          <w:bCs/>
        </w:rPr>
        <w:t>Indication of an additional PCI for same/cross-carrier scheduling is not needed.</w:t>
      </w:r>
    </w:p>
    <w:sectPr w:rsidR="00DE102B" w:rsidRPr="00910BE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83188" w14:textId="77777777" w:rsidR="001C2553" w:rsidRDefault="001C2553">
      <w:r>
        <w:separator/>
      </w:r>
    </w:p>
  </w:endnote>
  <w:endnote w:type="continuationSeparator" w:id="0">
    <w:p w14:paraId="7B10C1D5" w14:textId="77777777" w:rsidR="001C2553" w:rsidRDefault="001C2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55811" w14:textId="77777777" w:rsidR="001C2553" w:rsidRDefault="001C2553">
      <w:r>
        <w:separator/>
      </w:r>
    </w:p>
  </w:footnote>
  <w:footnote w:type="continuationSeparator" w:id="0">
    <w:p w14:paraId="3F1AE2DC" w14:textId="77777777" w:rsidR="001C2553" w:rsidRDefault="001C25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121D9"/>
    <w:multiLevelType w:val="hybridMultilevel"/>
    <w:tmpl w:val="E57099B4"/>
    <w:lvl w:ilvl="0" w:tplc="C6C056AE">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084722"/>
    <w:multiLevelType w:val="multilevel"/>
    <w:tmpl w:val="13084722"/>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600" w:hanging="720"/>
      </w:pPr>
      <w:rPr>
        <w:rFonts w:ascii="Times" w:eastAsia="Batang" w:hAnsi="Times" w:cs="Time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830208"/>
    <w:multiLevelType w:val="hybridMultilevel"/>
    <w:tmpl w:val="23D877E0"/>
    <w:lvl w:ilvl="0" w:tplc="43D83758">
      <w:start w:val="1"/>
      <w:numFmt w:val="bullet"/>
      <w:lvlText w:val="•"/>
      <w:lvlJc w:val="left"/>
      <w:pPr>
        <w:tabs>
          <w:tab w:val="num" w:pos="720"/>
        </w:tabs>
        <w:ind w:left="720" w:hanging="360"/>
      </w:pPr>
      <w:rPr>
        <w:rFonts w:ascii="Arial" w:hAnsi="Arial" w:hint="default"/>
      </w:rPr>
    </w:lvl>
    <w:lvl w:ilvl="1" w:tplc="B7CA41EE">
      <w:start w:val="8736"/>
      <w:numFmt w:val="bullet"/>
      <w:lvlText w:val="•"/>
      <w:lvlJc w:val="left"/>
      <w:pPr>
        <w:tabs>
          <w:tab w:val="num" w:pos="1440"/>
        </w:tabs>
        <w:ind w:left="1440" w:hanging="360"/>
      </w:pPr>
      <w:rPr>
        <w:rFonts w:ascii="Arial" w:hAnsi="Arial" w:hint="default"/>
      </w:rPr>
    </w:lvl>
    <w:lvl w:ilvl="2" w:tplc="B688FA20">
      <w:start w:val="8736"/>
      <w:numFmt w:val="bullet"/>
      <w:lvlText w:val="•"/>
      <w:lvlJc w:val="left"/>
      <w:pPr>
        <w:tabs>
          <w:tab w:val="num" w:pos="2160"/>
        </w:tabs>
        <w:ind w:left="2160" w:hanging="360"/>
      </w:pPr>
      <w:rPr>
        <w:rFonts w:ascii="Arial" w:hAnsi="Arial" w:hint="default"/>
      </w:rPr>
    </w:lvl>
    <w:lvl w:ilvl="3" w:tplc="3294A5D0" w:tentative="1">
      <w:start w:val="1"/>
      <w:numFmt w:val="bullet"/>
      <w:lvlText w:val="•"/>
      <w:lvlJc w:val="left"/>
      <w:pPr>
        <w:tabs>
          <w:tab w:val="num" w:pos="2880"/>
        </w:tabs>
        <w:ind w:left="2880" w:hanging="360"/>
      </w:pPr>
      <w:rPr>
        <w:rFonts w:ascii="Arial" w:hAnsi="Arial" w:hint="default"/>
      </w:rPr>
    </w:lvl>
    <w:lvl w:ilvl="4" w:tplc="D0783CFC" w:tentative="1">
      <w:start w:val="1"/>
      <w:numFmt w:val="bullet"/>
      <w:lvlText w:val="•"/>
      <w:lvlJc w:val="left"/>
      <w:pPr>
        <w:tabs>
          <w:tab w:val="num" w:pos="3600"/>
        </w:tabs>
        <w:ind w:left="3600" w:hanging="360"/>
      </w:pPr>
      <w:rPr>
        <w:rFonts w:ascii="Arial" w:hAnsi="Arial" w:hint="default"/>
      </w:rPr>
    </w:lvl>
    <w:lvl w:ilvl="5" w:tplc="0018D7B6" w:tentative="1">
      <w:start w:val="1"/>
      <w:numFmt w:val="bullet"/>
      <w:lvlText w:val="•"/>
      <w:lvlJc w:val="left"/>
      <w:pPr>
        <w:tabs>
          <w:tab w:val="num" w:pos="4320"/>
        </w:tabs>
        <w:ind w:left="4320" w:hanging="360"/>
      </w:pPr>
      <w:rPr>
        <w:rFonts w:ascii="Arial" w:hAnsi="Arial" w:hint="default"/>
      </w:rPr>
    </w:lvl>
    <w:lvl w:ilvl="6" w:tplc="13420BCE" w:tentative="1">
      <w:start w:val="1"/>
      <w:numFmt w:val="bullet"/>
      <w:lvlText w:val="•"/>
      <w:lvlJc w:val="left"/>
      <w:pPr>
        <w:tabs>
          <w:tab w:val="num" w:pos="5040"/>
        </w:tabs>
        <w:ind w:left="5040" w:hanging="360"/>
      </w:pPr>
      <w:rPr>
        <w:rFonts w:ascii="Arial" w:hAnsi="Arial" w:hint="default"/>
      </w:rPr>
    </w:lvl>
    <w:lvl w:ilvl="7" w:tplc="5ABAEC66" w:tentative="1">
      <w:start w:val="1"/>
      <w:numFmt w:val="bullet"/>
      <w:lvlText w:val="•"/>
      <w:lvlJc w:val="left"/>
      <w:pPr>
        <w:tabs>
          <w:tab w:val="num" w:pos="5760"/>
        </w:tabs>
        <w:ind w:left="5760" w:hanging="360"/>
      </w:pPr>
      <w:rPr>
        <w:rFonts w:ascii="Arial" w:hAnsi="Arial" w:hint="default"/>
      </w:rPr>
    </w:lvl>
    <w:lvl w:ilvl="8" w:tplc="A7F039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AB1A05"/>
    <w:multiLevelType w:val="multilevel"/>
    <w:tmpl w:val="18AB1A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B515A3"/>
    <w:multiLevelType w:val="hybridMultilevel"/>
    <w:tmpl w:val="E78CA5A0"/>
    <w:lvl w:ilvl="0" w:tplc="2EE6988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E849BC"/>
    <w:multiLevelType w:val="hybridMultilevel"/>
    <w:tmpl w:val="F544EB02"/>
    <w:lvl w:ilvl="0" w:tplc="5AD65BA4">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B813A4C"/>
    <w:multiLevelType w:val="hybridMultilevel"/>
    <w:tmpl w:val="485AFDC2"/>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FC2DB5"/>
    <w:multiLevelType w:val="hybridMultilevel"/>
    <w:tmpl w:val="55E6AABC"/>
    <w:lvl w:ilvl="0" w:tplc="4BB840CE">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75F08A8"/>
    <w:multiLevelType w:val="hybridMultilevel"/>
    <w:tmpl w:val="59FA2DBC"/>
    <w:lvl w:ilvl="0" w:tplc="930E2BA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7" w15:restartNumberingAfterBreak="0">
    <w:nsid w:val="47607049"/>
    <w:multiLevelType w:val="hybridMultilevel"/>
    <w:tmpl w:val="D24C3E7E"/>
    <w:lvl w:ilvl="0" w:tplc="ED101606">
      <w:start w:val="1"/>
      <w:numFmt w:val="bullet"/>
      <w:lvlText w:val="•"/>
      <w:lvlJc w:val="left"/>
      <w:pPr>
        <w:tabs>
          <w:tab w:val="num" w:pos="720"/>
        </w:tabs>
        <w:ind w:left="720" w:hanging="360"/>
      </w:pPr>
      <w:rPr>
        <w:rFonts w:ascii="Arial" w:hAnsi="Arial" w:hint="default"/>
      </w:rPr>
    </w:lvl>
    <w:lvl w:ilvl="1" w:tplc="5C9EAF52">
      <w:start w:val="512"/>
      <w:numFmt w:val="bullet"/>
      <w:lvlText w:val="•"/>
      <w:lvlJc w:val="left"/>
      <w:pPr>
        <w:tabs>
          <w:tab w:val="num" w:pos="1440"/>
        </w:tabs>
        <w:ind w:left="1440" w:hanging="360"/>
      </w:pPr>
      <w:rPr>
        <w:rFonts w:ascii="Arial" w:hAnsi="Arial" w:hint="default"/>
      </w:rPr>
    </w:lvl>
    <w:lvl w:ilvl="2" w:tplc="4ECECF3C">
      <w:start w:val="512"/>
      <w:numFmt w:val="bullet"/>
      <w:lvlText w:val="•"/>
      <w:lvlJc w:val="left"/>
      <w:pPr>
        <w:tabs>
          <w:tab w:val="num" w:pos="2160"/>
        </w:tabs>
        <w:ind w:left="2160" w:hanging="360"/>
      </w:pPr>
      <w:rPr>
        <w:rFonts w:ascii="Arial" w:hAnsi="Arial" w:hint="default"/>
      </w:rPr>
    </w:lvl>
    <w:lvl w:ilvl="3" w:tplc="C2D628C6">
      <w:start w:val="512"/>
      <w:numFmt w:val="bullet"/>
      <w:lvlText w:val="•"/>
      <w:lvlJc w:val="left"/>
      <w:pPr>
        <w:tabs>
          <w:tab w:val="num" w:pos="2880"/>
        </w:tabs>
        <w:ind w:left="2880" w:hanging="360"/>
      </w:pPr>
      <w:rPr>
        <w:rFonts w:ascii="Arial" w:hAnsi="Arial" w:hint="default"/>
      </w:rPr>
    </w:lvl>
    <w:lvl w:ilvl="4" w:tplc="B9629E3A" w:tentative="1">
      <w:start w:val="1"/>
      <w:numFmt w:val="bullet"/>
      <w:lvlText w:val="•"/>
      <w:lvlJc w:val="left"/>
      <w:pPr>
        <w:tabs>
          <w:tab w:val="num" w:pos="3600"/>
        </w:tabs>
        <w:ind w:left="3600" w:hanging="360"/>
      </w:pPr>
      <w:rPr>
        <w:rFonts w:ascii="Arial" w:hAnsi="Arial" w:hint="default"/>
      </w:rPr>
    </w:lvl>
    <w:lvl w:ilvl="5" w:tplc="84621C0A" w:tentative="1">
      <w:start w:val="1"/>
      <w:numFmt w:val="bullet"/>
      <w:lvlText w:val="•"/>
      <w:lvlJc w:val="left"/>
      <w:pPr>
        <w:tabs>
          <w:tab w:val="num" w:pos="4320"/>
        </w:tabs>
        <w:ind w:left="4320" w:hanging="360"/>
      </w:pPr>
      <w:rPr>
        <w:rFonts w:ascii="Arial" w:hAnsi="Arial" w:hint="default"/>
      </w:rPr>
    </w:lvl>
    <w:lvl w:ilvl="6" w:tplc="F5CE6B18" w:tentative="1">
      <w:start w:val="1"/>
      <w:numFmt w:val="bullet"/>
      <w:lvlText w:val="•"/>
      <w:lvlJc w:val="left"/>
      <w:pPr>
        <w:tabs>
          <w:tab w:val="num" w:pos="5040"/>
        </w:tabs>
        <w:ind w:left="5040" w:hanging="360"/>
      </w:pPr>
      <w:rPr>
        <w:rFonts w:ascii="Arial" w:hAnsi="Arial" w:hint="default"/>
      </w:rPr>
    </w:lvl>
    <w:lvl w:ilvl="7" w:tplc="0360D3A2" w:tentative="1">
      <w:start w:val="1"/>
      <w:numFmt w:val="bullet"/>
      <w:lvlText w:val="•"/>
      <w:lvlJc w:val="left"/>
      <w:pPr>
        <w:tabs>
          <w:tab w:val="num" w:pos="5760"/>
        </w:tabs>
        <w:ind w:left="5760" w:hanging="360"/>
      </w:pPr>
      <w:rPr>
        <w:rFonts w:ascii="Arial" w:hAnsi="Arial" w:hint="default"/>
      </w:rPr>
    </w:lvl>
    <w:lvl w:ilvl="8" w:tplc="921CD7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9" w15:restartNumberingAfterBreak="0">
    <w:nsid w:val="4A7D6952"/>
    <w:multiLevelType w:val="hybridMultilevel"/>
    <w:tmpl w:val="4CE42F5C"/>
    <w:lvl w:ilvl="0" w:tplc="7FF2ED8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736F70"/>
    <w:multiLevelType w:val="hybridMultilevel"/>
    <w:tmpl w:val="3E049110"/>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44700DE"/>
    <w:multiLevelType w:val="hybridMultilevel"/>
    <w:tmpl w:val="6BDAFA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4"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711242"/>
    <w:multiLevelType w:val="hybridMultilevel"/>
    <w:tmpl w:val="33D00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A77896"/>
    <w:multiLevelType w:val="hybridMultilevel"/>
    <w:tmpl w:val="5E289380"/>
    <w:lvl w:ilvl="0" w:tplc="554E202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2CC77EC"/>
    <w:multiLevelType w:val="hybridMultilevel"/>
    <w:tmpl w:val="8EB649E6"/>
    <w:lvl w:ilvl="0" w:tplc="5BC629C4">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BF4FCA"/>
    <w:multiLevelType w:val="hybridMultilevel"/>
    <w:tmpl w:val="695A385A"/>
    <w:lvl w:ilvl="0" w:tplc="AC968F4C">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975C52"/>
    <w:multiLevelType w:val="hybridMultilevel"/>
    <w:tmpl w:val="E2846FD8"/>
    <w:lvl w:ilvl="0" w:tplc="0C3A7EF0">
      <w:start w:val="1"/>
      <w:numFmt w:val="bullet"/>
      <w:lvlText w:val="•"/>
      <w:lvlJc w:val="left"/>
      <w:pPr>
        <w:tabs>
          <w:tab w:val="num" w:pos="360"/>
        </w:tabs>
        <w:ind w:left="360" w:hanging="360"/>
      </w:pPr>
      <w:rPr>
        <w:rFonts w:ascii="Arial" w:hAnsi="Arial" w:hint="default"/>
      </w:rPr>
    </w:lvl>
    <w:lvl w:ilvl="1" w:tplc="5E9013BE">
      <w:numFmt w:val="bullet"/>
      <w:lvlText w:val="•"/>
      <w:lvlJc w:val="left"/>
      <w:pPr>
        <w:tabs>
          <w:tab w:val="num" w:pos="1080"/>
        </w:tabs>
        <w:ind w:left="1080" w:hanging="360"/>
      </w:pPr>
      <w:rPr>
        <w:rFonts w:ascii="Arial" w:hAnsi="Arial" w:hint="default"/>
      </w:rPr>
    </w:lvl>
    <w:lvl w:ilvl="2" w:tplc="B6D6A34C" w:tentative="1">
      <w:start w:val="1"/>
      <w:numFmt w:val="bullet"/>
      <w:lvlText w:val="•"/>
      <w:lvlJc w:val="left"/>
      <w:pPr>
        <w:tabs>
          <w:tab w:val="num" w:pos="1800"/>
        </w:tabs>
        <w:ind w:left="1800" w:hanging="360"/>
      </w:pPr>
      <w:rPr>
        <w:rFonts w:ascii="Arial" w:hAnsi="Arial" w:hint="default"/>
      </w:rPr>
    </w:lvl>
    <w:lvl w:ilvl="3" w:tplc="42DC7408" w:tentative="1">
      <w:start w:val="1"/>
      <w:numFmt w:val="bullet"/>
      <w:lvlText w:val="•"/>
      <w:lvlJc w:val="left"/>
      <w:pPr>
        <w:tabs>
          <w:tab w:val="num" w:pos="2520"/>
        </w:tabs>
        <w:ind w:left="2520" w:hanging="360"/>
      </w:pPr>
      <w:rPr>
        <w:rFonts w:ascii="Arial" w:hAnsi="Arial" w:hint="default"/>
      </w:rPr>
    </w:lvl>
    <w:lvl w:ilvl="4" w:tplc="E41A7B2E" w:tentative="1">
      <w:start w:val="1"/>
      <w:numFmt w:val="bullet"/>
      <w:lvlText w:val="•"/>
      <w:lvlJc w:val="left"/>
      <w:pPr>
        <w:tabs>
          <w:tab w:val="num" w:pos="3240"/>
        </w:tabs>
        <w:ind w:left="3240" w:hanging="360"/>
      </w:pPr>
      <w:rPr>
        <w:rFonts w:ascii="Arial" w:hAnsi="Arial" w:hint="default"/>
      </w:rPr>
    </w:lvl>
    <w:lvl w:ilvl="5" w:tplc="F5FE9668" w:tentative="1">
      <w:start w:val="1"/>
      <w:numFmt w:val="bullet"/>
      <w:lvlText w:val="•"/>
      <w:lvlJc w:val="left"/>
      <w:pPr>
        <w:tabs>
          <w:tab w:val="num" w:pos="3960"/>
        </w:tabs>
        <w:ind w:left="3960" w:hanging="360"/>
      </w:pPr>
      <w:rPr>
        <w:rFonts w:ascii="Arial" w:hAnsi="Arial" w:hint="default"/>
      </w:rPr>
    </w:lvl>
    <w:lvl w:ilvl="6" w:tplc="B0064782" w:tentative="1">
      <w:start w:val="1"/>
      <w:numFmt w:val="bullet"/>
      <w:lvlText w:val="•"/>
      <w:lvlJc w:val="left"/>
      <w:pPr>
        <w:tabs>
          <w:tab w:val="num" w:pos="4680"/>
        </w:tabs>
        <w:ind w:left="4680" w:hanging="360"/>
      </w:pPr>
      <w:rPr>
        <w:rFonts w:ascii="Arial" w:hAnsi="Arial" w:hint="default"/>
      </w:rPr>
    </w:lvl>
    <w:lvl w:ilvl="7" w:tplc="D212824E" w:tentative="1">
      <w:start w:val="1"/>
      <w:numFmt w:val="bullet"/>
      <w:lvlText w:val="•"/>
      <w:lvlJc w:val="left"/>
      <w:pPr>
        <w:tabs>
          <w:tab w:val="num" w:pos="5400"/>
        </w:tabs>
        <w:ind w:left="5400" w:hanging="360"/>
      </w:pPr>
      <w:rPr>
        <w:rFonts w:ascii="Arial" w:hAnsi="Arial" w:hint="default"/>
      </w:rPr>
    </w:lvl>
    <w:lvl w:ilvl="8" w:tplc="8206BB6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B14616"/>
    <w:multiLevelType w:val="hybridMultilevel"/>
    <w:tmpl w:val="90244184"/>
    <w:lvl w:ilvl="0" w:tplc="C29EE2DC">
      <w:start w:val="1"/>
      <w:numFmt w:val="bullet"/>
      <w:lvlText w:val="-"/>
      <w:lvlJc w:val="left"/>
      <w:pPr>
        <w:ind w:left="420" w:hanging="360"/>
      </w:pPr>
      <w:rPr>
        <w:rFonts w:ascii="Times New Roman" w:eastAsia="DengXi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3" w15:restartNumberingAfterBreak="0">
    <w:nsid w:val="6B945CBB"/>
    <w:multiLevelType w:val="hybridMultilevel"/>
    <w:tmpl w:val="95205D0A"/>
    <w:lvl w:ilvl="0" w:tplc="58004FA4">
      <w:start w:val="4"/>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311359"/>
    <w:multiLevelType w:val="hybridMultilevel"/>
    <w:tmpl w:val="4EFEE92C"/>
    <w:lvl w:ilvl="0" w:tplc="E8BAA4E8">
      <w:start w:val="3"/>
      <w:numFmt w:val="decimal"/>
      <w:lvlText w:val="%1."/>
      <w:lvlJc w:val="left"/>
      <w:pPr>
        <w:ind w:left="360" w:hanging="360"/>
      </w:pPr>
      <w:rPr>
        <w:rFonts w:hint="default"/>
      </w:rPr>
    </w:lvl>
    <w:lvl w:ilvl="1" w:tplc="ED569C86">
      <w:start w:val="2"/>
      <w:numFmt w:val="lowerLetter"/>
      <w:lvlText w:val="%2."/>
      <w:lvlJc w:val="left"/>
      <w:pPr>
        <w:ind w:left="720" w:hanging="360"/>
      </w:pPr>
      <w:rPr>
        <w:rFonts w:hint="default"/>
      </w:r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5" w15:restartNumberingAfterBreak="0">
    <w:nsid w:val="73636C44"/>
    <w:multiLevelType w:val="hybridMultilevel"/>
    <w:tmpl w:val="2AD22B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6"/>
  </w:num>
  <w:num w:numId="2">
    <w:abstractNumId w:val="13"/>
  </w:num>
  <w:num w:numId="3">
    <w:abstractNumId w:val="27"/>
  </w:num>
  <w:num w:numId="4">
    <w:abstractNumId w:val="10"/>
  </w:num>
  <w:num w:numId="5">
    <w:abstractNumId w:val="33"/>
  </w:num>
  <w:num w:numId="6">
    <w:abstractNumId w:val="26"/>
  </w:num>
  <w:num w:numId="7">
    <w:abstractNumId w:val="10"/>
  </w:num>
  <w:num w:numId="8">
    <w:abstractNumId w:val="1"/>
  </w:num>
  <w:num w:numId="9">
    <w:abstractNumId w:val="34"/>
  </w:num>
  <w:num w:numId="10">
    <w:abstractNumId w:val="20"/>
  </w:num>
  <w:num w:numId="11">
    <w:abstractNumId w:val="23"/>
  </w:num>
  <w:num w:numId="12">
    <w:abstractNumId w:val="7"/>
  </w:num>
  <w:num w:numId="13">
    <w:abstractNumId w:val="3"/>
  </w:num>
  <w:num w:numId="14">
    <w:abstractNumId w:val="19"/>
  </w:num>
  <w:num w:numId="15">
    <w:abstractNumId w:val="15"/>
  </w:num>
  <w:num w:numId="16">
    <w:abstractNumId w:val="30"/>
  </w:num>
  <w:num w:numId="17">
    <w:abstractNumId w:val="14"/>
  </w:num>
  <w:num w:numId="18">
    <w:abstractNumId w:val="21"/>
  </w:num>
  <w:num w:numId="19">
    <w:abstractNumId w:val="11"/>
  </w:num>
  <w:num w:numId="20">
    <w:abstractNumId w:val="24"/>
  </w:num>
  <w:num w:numId="21">
    <w:abstractNumId w:val="17"/>
  </w:num>
  <w:num w:numId="22">
    <w:abstractNumId w:val="6"/>
  </w:num>
  <w:num w:numId="23">
    <w:abstractNumId w:val="18"/>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9"/>
  </w:num>
  <w:num w:numId="27">
    <w:abstractNumId w:val="28"/>
  </w:num>
  <w:num w:numId="28">
    <w:abstractNumId w:val="31"/>
  </w:num>
  <w:num w:numId="29">
    <w:abstractNumId w:val="0"/>
  </w:num>
  <w:num w:numId="30">
    <w:abstractNumId w:val="35"/>
  </w:num>
  <w:num w:numId="31">
    <w:abstractNumId w:val="4"/>
  </w:num>
  <w:num w:numId="32">
    <w:abstractNumId w:val="22"/>
  </w:num>
  <w:num w:numId="33">
    <w:abstractNumId w:val="25"/>
  </w:num>
  <w:num w:numId="34">
    <w:abstractNumId w:val="29"/>
  </w:num>
  <w:num w:numId="35">
    <w:abstractNumId w:val="2"/>
  </w:num>
  <w:num w:numId="36">
    <w:abstractNumId w:val="5"/>
    <w:lvlOverride w:ilvl="0"/>
    <w:lvlOverride w:ilvl="1"/>
    <w:lvlOverride w:ilvl="2"/>
    <w:lvlOverride w:ilvl="3"/>
    <w:lvlOverride w:ilvl="4"/>
    <w:lvlOverride w:ilvl="5"/>
    <w:lvlOverride w:ilvl="6"/>
    <w:lvlOverride w:ilvl="7"/>
    <w:lvlOverride w:ilvl="8"/>
  </w:num>
  <w:num w:numId="37">
    <w:abstractNumId w:val="32"/>
  </w:num>
  <w:num w:numId="3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0D"/>
    <w:rsid w:val="0000143E"/>
    <w:rsid w:val="00001718"/>
    <w:rsid w:val="000020F6"/>
    <w:rsid w:val="00002893"/>
    <w:rsid w:val="0000326A"/>
    <w:rsid w:val="000033A3"/>
    <w:rsid w:val="00003605"/>
    <w:rsid w:val="00003B0B"/>
    <w:rsid w:val="00003C56"/>
    <w:rsid w:val="00003EC2"/>
    <w:rsid w:val="000040A9"/>
    <w:rsid w:val="00004201"/>
    <w:rsid w:val="0000451C"/>
    <w:rsid w:val="0000458E"/>
    <w:rsid w:val="0000492C"/>
    <w:rsid w:val="00004E70"/>
    <w:rsid w:val="00005E66"/>
    <w:rsid w:val="00005F2B"/>
    <w:rsid w:val="000067E8"/>
    <w:rsid w:val="00006B4B"/>
    <w:rsid w:val="00007086"/>
    <w:rsid w:val="000072B6"/>
    <w:rsid w:val="000072DD"/>
    <w:rsid w:val="00007813"/>
    <w:rsid w:val="000102D7"/>
    <w:rsid w:val="000109E6"/>
    <w:rsid w:val="0001116D"/>
    <w:rsid w:val="00011278"/>
    <w:rsid w:val="00011F67"/>
    <w:rsid w:val="00012862"/>
    <w:rsid w:val="000128E6"/>
    <w:rsid w:val="00012F77"/>
    <w:rsid w:val="00013371"/>
    <w:rsid w:val="00014395"/>
    <w:rsid w:val="00015A05"/>
    <w:rsid w:val="00015EFB"/>
    <w:rsid w:val="000162CA"/>
    <w:rsid w:val="000165E2"/>
    <w:rsid w:val="0001678E"/>
    <w:rsid w:val="00016B0E"/>
    <w:rsid w:val="00016EF9"/>
    <w:rsid w:val="000172BE"/>
    <w:rsid w:val="00017519"/>
    <w:rsid w:val="00017D8A"/>
    <w:rsid w:val="0002030C"/>
    <w:rsid w:val="0002235F"/>
    <w:rsid w:val="000224D1"/>
    <w:rsid w:val="000227D0"/>
    <w:rsid w:val="00022A52"/>
    <w:rsid w:val="00023388"/>
    <w:rsid w:val="00023425"/>
    <w:rsid w:val="00023685"/>
    <w:rsid w:val="00023E05"/>
    <w:rsid w:val="000241BE"/>
    <w:rsid w:val="000242F2"/>
    <w:rsid w:val="000247FA"/>
    <w:rsid w:val="000249E3"/>
    <w:rsid w:val="00026642"/>
    <w:rsid w:val="000267C3"/>
    <w:rsid w:val="00026875"/>
    <w:rsid w:val="00026C44"/>
    <w:rsid w:val="00026D4B"/>
    <w:rsid w:val="0002702E"/>
    <w:rsid w:val="000275C6"/>
    <w:rsid w:val="00027AD6"/>
    <w:rsid w:val="00027C82"/>
    <w:rsid w:val="0003024C"/>
    <w:rsid w:val="00030533"/>
    <w:rsid w:val="0003083D"/>
    <w:rsid w:val="00031ADB"/>
    <w:rsid w:val="00032056"/>
    <w:rsid w:val="000328CA"/>
    <w:rsid w:val="00032972"/>
    <w:rsid w:val="00032BA3"/>
    <w:rsid w:val="00032E40"/>
    <w:rsid w:val="0003376B"/>
    <w:rsid w:val="00034676"/>
    <w:rsid w:val="000346E6"/>
    <w:rsid w:val="00034E5C"/>
    <w:rsid w:val="000352B3"/>
    <w:rsid w:val="00036660"/>
    <w:rsid w:val="000371DD"/>
    <w:rsid w:val="00037C6A"/>
    <w:rsid w:val="00040180"/>
    <w:rsid w:val="0004023E"/>
    <w:rsid w:val="0004024B"/>
    <w:rsid w:val="000404D2"/>
    <w:rsid w:val="00041C10"/>
    <w:rsid w:val="00041C57"/>
    <w:rsid w:val="00041D96"/>
    <w:rsid w:val="00042ADB"/>
    <w:rsid w:val="000434B7"/>
    <w:rsid w:val="000435E4"/>
    <w:rsid w:val="000448C0"/>
    <w:rsid w:val="00045848"/>
    <w:rsid w:val="0004589B"/>
    <w:rsid w:val="00045FB1"/>
    <w:rsid w:val="00046189"/>
    <w:rsid w:val="00046796"/>
    <w:rsid w:val="000467FD"/>
    <w:rsid w:val="0004682C"/>
    <w:rsid w:val="00046AAF"/>
    <w:rsid w:val="00046F21"/>
    <w:rsid w:val="00047225"/>
    <w:rsid w:val="0004724D"/>
    <w:rsid w:val="00047B98"/>
    <w:rsid w:val="00047D21"/>
    <w:rsid w:val="00047D47"/>
    <w:rsid w:val="00047E60"/>
    <w:rsid w:val="00050D8A"/>
    <w:rsid w:val="000512E3"/>
    <w:rsid w:val="000516F0"/>
    <w:rsid w:val="00051D59"/>
    <w:rsid w:val="00052144"/>
    <w:rsid w:val="0005256F"/>
    <w:rsid w:val="000525A8"/>
    <w:rsid w:val="00052AD2"/>
    <w:rsid w:val="00052C56"/>
    <w:rsid w:val="00052FEE"/>
    <w:rsid w:val="000530DF"/>
    <w:rsid w:val="000543DD"/>
    <w:rsid w:val="00054BBB"/>
    <w:rsid w:val="00054E0C"/>
    <w:rsid w:val="0005541D"/>
    <w:rsid w:val="00055B33"/>
    <w:rsid w:val="00056400"/>
    <w:rsid w:val="000565C8"/>
    <w:rsid w:val="000567AD"/>
    <w:rsid w:val="00057DC8"/>
    <w:rsid w:val="00060AB2"/>
    <w:rsid w:val="000612E1"/>
    <w:rsid w:val="000614FE"/>
    <w:rsid w:val="0006295E"/>
    <w:rsid w:val="00062C37"/>
    <w:rsid w:val="00063C08"/>
    <w:rsid w:val="00064A09"/>
    <w:rsid w:val="00065C8C"/>
    <w:rsid w:val="00065D38"/>
    <w:rsid w:val="000661FE"/>
    <w:rsid w:val="0006694E"/>
    <w:rsid w:val="00066EF9"/>
    <w:rsid w:val="00067DD1"/>
    <w:rsid w:val="000702E6"/>
    <w:rsid w:val="00070447"/>
    <w:rsid w:val="000706E7"/>
    <w:rsid w:val="00070C73"/>
    <w:rsid w:val="00070EF8"/>
    <w:rsid w:val="00070EF9"/>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6E54"/>
    <w:rsid w:val="000772F4"/>
    <w:rsid w:val="000776EB"/>
    <w:rsid w:val="00081899"/>
    <w:rsid w:val="000823B0"/>
    <w:rsid w:val="0008335B"/>
    <w:rsid w:val="00083379"/>
    <w:rsid w:val="00083587"/>
    <w:rsid w:val="00083838"/>
    <w:rsid w:val="00083B6A"/>
    <w:rsid w:val="00084DF2"/>
    <w:rsid w:val="000858D7"/>
    <w:rsid w:val="00085E04"/>
    <w:rsid w:val="00086763"/>
    <w:rsid w:val="00086800"/>
    <w:rsid w:val="00086AA0"/>
    <w:rsid w:val="00087913"/>
    <w:rsid w:val="000902DC"/>
    <w:rsid w:val="00090946"/>
    <w:rsid w:val="000911AE"/>
    <w:rsid w:val="000924AF"/>
    <w:rsid w:val="00092DF7"/>
    <w:rsid w:val="00093697"/>
    <w:rsid w:val="00093D42"/>
    <w:rsid w:val="00093DD0"/>
    <w:rsid w:val="00094A16"/>
    <w:rsid w:val="00094DE6"/>
    <w:rsid w:val="00095799"/>
    <w:rsid w:val="0009591B"/>
    <w:rsid w:val="00096356"/>
    <w:rsid w:val="00096372"/>
    <w:rsid w:val="0009798B"/>
    <w:rsid w:val="00097C40"/>
    <w:rsid w:val="00097C99"/>
    <w:rsid w:val="000A0B2A"/>
    <w:rsid w:val="000A0F14"/>
    <w:rsid w:val="000A1441"/>
    <w:rsid w:val="000A174A"/>
    <w:rsid w:val="000A1A06"/>
    <w:rsid w:val="000A1B60"/>
    <w:rsid w:val="000A21B4"/>
    <w:rsid w:val="000A21D2"/>
    <w:rsid w:val="000A2CC7"/>
    <w:rsid w:val="000A2ED6"/>
    <w:rsid w:val="000A41D1"/>
    <w:rsid w:val="000A4205"/>
    <w:rsid w:val="000A4226"/>
    <w:rsid w:val="000A4A19"/>
    <w:rsid w:val="000A4DEA"/>
    <w:rsid w:val="000A54B7"/>
    <w:rsid w:val="000A6351"/>
    <w:rsid w:val="000A63D6"/>
    <w:rsid w:val="000A702F"/>
    <w:rsid w:val="000A7B38"/>
    <w:rsid w:val="000A7F11"/>
    <w:rsid w:val="000B0343"/>
    <w:rsid w:val="000B13B8"/>
    <w:rsid w:val="000B19A9"/>
    <w:rsid w:val="000B1FE1"/>
    <w:rsid w:val="000B2985"/>
    <w:rsid w:val="000B2C88"/>
    <w:rsid w:val="000B3342"/>
    <w:rsid w:val="000B3905"/>
    <w:rsid w:val="000B3A59"/>
    <w:rsid w:val="000B3B37"/>
    <w:rsid w:val="000B4D45"/>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C055B"/>
    <w:rsid w:val="000C114E"/>
    <w:rsid w:val="000C115D"/>
    <w:rsid w:val="000C13AE"/>
    <w:rsid w:val="000C1535"/>
    <w:rsid w:val="000C1F4B"/>
    <w:rsid w:val="000C252B"/>
    <w:rsid w:val="000C2FBD"/>
    <w:rsid w:val="000C3B0C"/>
    <w:rsid w:val="000C422D"/>
    <w:rsid w:val="000C485D"/>
    <w:rsid w:val="000C53CD"/>
    <w:rsid w:val="000C5ADD"/>
    <w:rsid w:val="000C5F91"/>
    <w:rsid w:val="000C6025"/>
    <w:rsid w:val="000C6792"/>
    <w:rsid w:val="000C6EFA"/>
    <w:rsid w:val="000C7345"/>
    <w:rsid w:val="000D0565"/>
    <w:rsid w:val="000D0811"/>
    <w:rsid w:val="000D0E4E"/>
    <w:rsid w:val="000D113C"/>
    <w:rsid w:val="000D12D1"/>
    <w:rsid w:val="000D159A"/>
    <w:rsid w:val="000D16FF"/>
    <w:rsid w:val="000D1796"/>
    <w:rsid w:val="000D20EA"/>
    <w:rsid w:val="000D2220"/>
    <w:rsid w:val="000D22CC"/>
    <w:rsid w:val="000D2938"/>
    <w:rsid w:val="000D31C8"/>
    <w:rsid w:val="000D36AE"/>
    <w:rsid w:val="000D38A1"/>
    <w:rsid w:val="000D3C4B"/>
    <w:rsid w:val="000D43D3"/>
    <w:rsid w:val="000D4C4E"/>
    <w:rsid w:val="000D5077"/>
    <w:rsid w:val="000D51C3"/>
    <w:rsid w:val="000D5362"/>
    <w:rsid w:val="000D57F8"/>
    <w:rsid w:val="000D5851"/>
    <w:rsid w:val="000D5C60"/>
    <w:rsid w:val="000D694B"/>
    <w:rsid w:val="000D715A"/>
    <w:rsid w:val="000D71E2"/>
    <w:rsid w:val="000D73A5"/>
    <w:rsid w:val="000E07D6"/>
    <w:rsid w:val="000E1380"/>
    <w:rsid w:val="000E1588"/>
    <w:rsid w:val="000E18DF"/>
    <w:rsid w:val="000E1FE5"/>
    <w:rsid w:val="000E2BD7"/>
    <w:rsid w:val="000E3123"/>
    <w:rsid w:val="000E4761"/>
    <w:rsid w:val="000E48AF"/>
    <w:rsid w:val="000E59A0"/>
    <w:rsid w:val="000E7403"/>
    <w:rsid w:val="000E7A84"/>
    <w:rsid w:val="000F0079"/>
    <w:rsid w:val="000F0CC6"/>
    <w:rsid w:val="000F15BC"/>
    <w:rsid w:val="000F180A"/>
    <w:rsid w:val="000F1C92"/>
    <w:rsid w:val="000F1E81"/>
    <w:rsid w:val="000F2D25"/>
    <w:rsid w:val="000F2EEE"/>
    <w:rsid w:val="000F3238"/>
    <w:rsid w:val="000F3697"/>
    <w:rsid w:val="000F407D"/>
    <w:rsid w:val="000F5BC8"/>
    <w:rsid w:val="000F631C"/>
    <w:rsid w:val="000F637B"/>
    <w:rsid w:val="000F65A0"/>
    <w:rsid w:val="000F7326"/>
    <w:rsid w:val="000F756F"/>
    <w:rsid w:val="000F7F58"/>
    <w:rsid w:val="00100128"/>
    <w:rsid w:val="00100CDC"/>
    <w:rsid w:val="00100FF3"/>
    <w:rsid w:val="00101492"/>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32D"/>
    <w:rsid w:val="00105CC7"/>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9B5"/>
    <w:rsid w:val="00112AD7"/>
    <w:rsid w:val="00112B9A"/>
    <w:rsid w:val="00112BAD"/>
    <w:rsid w:val="00112BE6"/>
    <w:rsid w:val="00112D22"/>
    <w:rsid w:val="00112FE5"/>
    <w:rsid w:val="00113C24"/>
    <w:rsid w:val="001141E3"/>
    <w:rsid w:val="001144DF"/>
    <w:rsid w:val="00114B18"/>
    <w:rsid w:val="00114BF1"/>
    <w:rsid w:val="001152B9"/>
    <w:rsid w:val="0011557B"/>
    <w:rsid w:val="00115B5D"/>
    <w:rsid w:val="001160C4"/>
    <w:rsid w:val="001161A4"/>
    <w:rsid w:val="00116585"/>
    <w:rsid w:val="00116643"/>
    <w:rsid w:val="001169EC"/>
    <w:rsid w:val="00117141"/>
    <w:rsid w:val="00117678"/>
    <w:rsid w:val="001179BC"/>
    <w:rsid w:val="00117C85"/>
    <w:rsid w:val="001203A0"/>
    <w:rsid w:val="00120B13"/>
    <w:rsid w:val="00121162"/>
    <w:rsid w:val="00121DF7"/>
    <w:rsid w:val="0012324C"/>
    <w:rsid w:val="001233BB"/>
    <w:rsid w:val="00124258"/>
    <w:rsid w:val="0012449B"/>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184"/>
    <w:rsid w:val="00134B12"/>
    <w:rsid w:val="00134B88"/>
    <w:rsid w:val="00135A01"/>
    <w:rsid w:val="00136A23"/>
    <w:rsid w:val="00136B57"/>
    <w:rsid w:val="00136B99"/>
    <w:rsid w:val="0014063E"/>
    <w:rsid w:val="0014087D"/>
    <w:rsid w:val="00140F74"/>
    <w:rsid w:val="00141191"/>
    <w:rsid w:val="0014159C"/>
    <w:rsid w:val="00142665"/>
    <w:rsid w:val="00143079"/>
    <w:rsid w:val="00143123"/>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673F"/>
    <w:rsid w:val="001572C1"/>
    <w:rsid w:val="001577D8"/>
    <w:rsid w:val="00157FC3"/>
    <w:rsid w:val="00160655"/>
    <w:rsid w:val="00160739"/>
    <w:rsid w:val="00160E2D"/>
    <w:rsid w:val="00160FD4"/>
    <w:rsid w:val="00161FE4"/>
    <w:rsid w:val="0016271E"/>
    <w:rsid w:val="00162D7A"/>
    <w:rsid w:val="00162DAB"/>
    <w:rsid w:val="001633C3"/>
    <w:rsid w:val="00163654"/>
    <w:rsid w:val="00164DAB"/>
    <w:rsid w:val="0016541D"/>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1F59"/>
    <w:rsid w:val="00172864"/>
    <w:rsid w:val="00172B82"/>
    <w:rsid w:val="00172EFA"/>
    <w:rsid w:val="00173608"/>
    <w:rsid w:val="00173938"/>
    <w:rsid w:val="001745EC"/>
    <w:rsid w:val="001747B7"/>
    <w:rsid w:val="00174B63"/>
    <w:rsid w:val="00175446"/>
    <w:rsid w:val="00175C30"/>
    <w:rsid w:val="001762F8"/>
    <w:rsid w:val="00177069"/>
    <w:rsid w:val="0017709D"/>
    <w:rsid w:val="00177FC1"/>
    <w:rsid w:val="0018014F"/>
    <w:rsid w:val="0018070A"/>
    <w:rsid w:val="001815A2"/>
    <w:rsid w:val="00181FC1"/>
    <w:rsid w:val="001823C3"/>
    <w:rsid w:val="00182F13"/>
    <w:rsid w:val="00183034"/>
    <w:rsid w:val="001830F7"/>
    <w:rsid w:val="0018371D"/>
    <w:rsid w:val="00183EE6"/>
    <w:rsid w:val="001844E5"/>
    <w:rsid w:val="00184E75"/>
    <w:rsid w:val="0018528A"/>
    <w:rsid w:val="0018588A"/>
    <w:rsid w:val="00185FC2"/>
    <w:rsid w:val="00186BE6"/>
    <w:rsid w:val="00187252"/>
    <w:rsid w:val="00187CCB"/>
    <w:rsid w:val="00187E43"/>
    <w:rsid w:val="001910FF"/>
    <w:rsid w:val="00191C91"/>
    <w:rsid w:val="00192DD9"/>
    <w:rsid w:val="001931F7"/>
    <w:rsid w:val="00193878"/>
    <w:rsid w:val="00194339"/>
    <w:rsid w:val="001946BF"/>
    <w:rsid w:val="00194848"/>
    <w:rsid w:val="00194BA9"/>
    <w:rsid w:val="00194F68"/>
    <w:rsid w:val="001958EA"/>
    <w:rsid w:val="00195E0E"/>
    <w:rsid w:val="00196F76"/>
    <w:rsid w:val="001A00FD"/>
    <w:rsid w:val="001A01A5"/>
    <w:rsid w:val="001A0617"/>
    <w:rsid w:val="001A0E0D"/>
    <w:rsid w:val="001A154C"/>
    <w:rsid w:val="001A180D"/>
    <w:rsid w:val="001A1BAC"/>
    <w:rsid w:val="001A23CE"/>
    <w:rsid w:val="001A2C89"/>
    <w:rsid w:val="001A3BB2"/>
    <w:rsid w:val="001A4752"/>
    <w:rsid w:val="001A488C"/>
    <w:rsid w:val="001A4965"/>
    <w:rsid w:val="001A57EE"/>
    <w:rsid w:val="001A5C71"/>
    <w:rsid w:val="001A673E"/>
    <w:rsid w:val="001A6C59"/>
    <w:rsid w:val="001A7763"/>
    <w:rsid w:val="001A783D"/>
    <w:rsid w:val="001A78C4"/>
    <w:rsid w:val="001A7CB3"/>
    <w:rsid w:val="001B0525"/>
    <w:rsid w:val="001B22F1"/>
    <w:rsid w:val="001B2439"/>
    <w:rsid w:val="001B27A5"/>
    <w:rsid w:val="001B31AD"/>
    <w:rsid w:val="001B31DB"/>
    <w:rsid w:val="001B34AB"/>
    <w:rsid w:val="001B3964"/>
    <w:rsid w:val="001B4452"/>
    <w:rsid w:val="001B463A"/>
    <w:rsid w:val="001B466C"/>
    <w:rsid w:val="001B4F34"/>
    <w:rsid w:val="001B52EC"/>
    <w:rsid w:val="001B554A"/>
    <w:rsid w:val="001B56A9"/>
    <w:rsid w:val="001B5804"/>
    <w:rsid w:val="001B64C4"/>
    <w:rsid w:val="001B6564"/>
    <w:rsid w:val="001B6583"/>
    <w:rsid w:val="001B691A"/>
    <w:rsid w:val="001B71BA"/>
    <w:rsid w:val="001B72E7"/>
    <w:rsid w:val="001B7436"/>
    <w:rsid w:val="001B7520"/>
    <w:rsid w:val="001B7D23"/>
    <w:rsid w:val="001C0072"/>
    <w:rsid w:val="001C02D8"/>
    <w:rsid w:val="001C0437"/>
    <w:rsid w:val="001C04E3"/>
    <w:rsid w:val="001C1D40"/>
    <w:rsid w:val="001C2378"/>
    <w:rsid w:val="001C2553"/>
    <w:rsid w:val="001C3EE9"/>
    <w:rsid w:val="001C3FA4"/>
    <w:rsid w:val="001C40F9"/>
    <w:rsid w:val="001C40FC"/>
    <w:rsid w:val="001C41B6"/>
    <w:rsid w:val="001C458B"/>
    <w:rsid w:val="001C4759"/>
    <w:rsid w:val="001C50F9"/>
    <w:rsid w:val="001C542A"/>
    <w:rsid w:val="001C5D4F"/>
    <w:rsid w:val="001C64C0"/>
    <w:rsid w:val="001C69DA"/>
    <w:rsid w:val="001C6F06"/>
    <w:rsid w:val="001C75AF"/>
    <w:rsid w:val="001C7611"/>
    <w:rsid w:val="001D0442"/>
    <w:rsid w:val="001D0854"/>
    <w:rsid w:val="001D2360"/>
    <w:rsid w:val="001D2372"/>
    <w:rsid w:val="001D26E5"/>
    <w:rsid w:val="001D2CE6"/>
    <w:rsid w:val="001D3109"/>
    <w:rsid w:val="001D332E"/>
    <w:rsid w:val="001D3914"/>
    <w:rsid w:val="001D3F75"/>
    <w:rsid w:val="001D5033"/>
    <w:rsid w:val="001D5058"/>
    <w:rsid w:val="001D5C88"/>
    <w:rsid w:val="001D6567"/>
    <w:rsid w:val="001D695C"/>
    <w:rsid w:val="001D6FD9"/>
    <w:rsid w:val="001D780E"/>
    <w:rsid w:val="001D7A29"/>
    <w:rsid w:val="001E05C3"/>
    <w:rsid w:val="001E0AB0"/>
    <w:rsid w:val="001E0AD3"/>
    <w:rsid w:val="001E1E92"/>
    <w:rsid w:val="001E32C3"/>
    <w:rsid w:val="001E36E4"/>
    <w:rsid w:val="001E379D"/>
    <w:rsid w:val="001E3A3C"/>
    <w:rsid w:val="001E462D"/>
    <w:rsid w:val="001E5291"/>
    <w:rsid w:val="001E5570"/>
    <w:rsid w:val="001E5C23"/>
    <w:rsid w:val="001E6354"/>
    <w:rsid w:val="001E678D"/>
    <w:rsid w:val="001E7504"/>
    <w:rsid w:val="001E76DF"/>
    <w:rsid w:val="001E7BB9"/>
    <w:rsid w:val="001F1308"/>
    <w:rsid w:val="001F1525"/>
    <w:rsid w:val="001F1E87"/>
    <w:rsid w:val="001F1EB6"/>
    <w:rsid w:val="001F2A7D"/>
    <w:rsid w:val="001F2E23"/>
    <w:rsid w:val="001F2E3D"/>
    <w:rsid w:val="001F341F"/>
    <w:rsid w:val="001F3911"/>
    <w:rsid w:val="001F3F09"/>
    <w:rsid w:val="001F3F1A"/>
    <w:rsid w:val="001F40E6"/>
    <w:rsid w:val="001F4315"/>
    <w:rsid w:val="001F4CBD"/>
    <w:rsid w:val="001F4DF9"/>
    <w:rsid w:val="001F5545"/>
    <w:rsid w:val="001F5777"/>
    <w:rsid w:val="001F5937"/>
    <w:rsid w:val="001F59E3"/>
    <w:rsid w:val="001F59ED"/>
    <w:rsid w:val="001F5A1B"/>
    <w:rsid w:val="001F7121"/>
    <w:rsid w:val="001F7534"/>
    <w:rsid w:val="001F7688"/>
    <w:rsid w:val="002009BC"/>
    <w:rsid w:val="00200D2C"/>
    <w:rsid w:val="002019D8"/>
    <w:rsid w:val="00201EC7"/>
    <w:rsid w:val="00203165"/>
    <w:rsid w:val="0020349A"/>
    <w:rsid w:val="002034B4"/>
    <w:rsid w:val="00204032"/>
    <w:rsid w:val="002048C2"/>
    <w:rsid w:val="00204AFE"/>
    <w:rsid w:val="00204BAD"/>
    <w:rsid w:val="00204D60"/>
    <w:rsid w:val="00205627"/>
    <w:rsid w:val="002056D0"/>
    <w:rsid w:val="00205A0F"/>
    <w:rsid w:val="00205E70"/>
    <w:rsid w:val="00207118"/>
    <w:rsid w:val="00207A66"/>
    <w:rsid w:val="00210860"/>
    <w:rsid w:val="00210979"/>
    <w:rsid w:val="00210B6A"/>
    <w:rsid w:val="00211019"/>
    <w:rsid w:val="0021120F"/>
    <w:rsid w:val="00211C40"/>
    <w:rsid w:val="00211DAC"/>
    <w:rsid w:val="00212CB6"/>
    <w:rsid w:val="00212E37"/>
    <w:rsid w:val="00213B5D"/>
    <w:rsid w:val="00213F68"/>
    <w:rsid w:val="002140FF"/>
    <w:rsid w:val="00215C63"/>
    <w:rsid w:val="00215DBC"/>
    <w:rsid w:val="00215E90"/>
    <w:rsid w:val="002164D8"/>
    <w:rsid w:val="00216C8D"/>
    <w:rsid w:val="00220894"/>
    <w:rsid w:val="0022095C"/>
    <w:rsid w:val="00221772"/>
    <w:rsid w:val="00223CEC"/>
    <w:rsid w:val="00224952"/>
    <w:rsid w:val="00224DD2"/>
    <w:rsid w:val="0022565B"/>
    <w:rsid w:val="00225905"/>
    <w:rsid w:val="00225A6A"/>
    <w:rsid w:val="00225AC7"/>
    <w:rsid w:val="00225ACC"/>
    <w:rsid w:val="002265F9"/>
    <w:rsid w:val="0022780F"/>
    <w:rsid w:val="00227DBD"/>
    <w:rsid w:val="00231C25"/>
    <w:rsid w:val="00231C6F"/>
    <w:rsid w:val="0023244C"/>
    <w:rsid w:val="002329C4"/>
    <w:rsid w:val="00232A90"/>
    <w:rsid w:val="00232B3B"/>
    <w:rsid w:val="002330ED"/>
    <w:rsid w:val="00233A2C"/>
    <w:rsid w:val="00234151"/>
    <w:rsid w:val="00234F8C"/>
    <w:rsid w:val="0023535E"/>
    <w:rsid w:val="00235542"/>
    <w:rsid w:val="00235DAD"/>
    <w:rsid w:val="00235E55"/>
    <w:rsid w:val="002369B0"/>
    <w:rsid w:val="00236AD8"/>
    <w:rsid w:val="00236B3F"/>
    <w:rsid w:val="00237081"/>
    <w:rsid w:val="002401F5"/>
    <w:rsid w:val="002407C9"/>
    <w:rsid w:val="00240E54"/>
    <w:rsid w:val="002419CC"/>
    <w:rsid w:val="00241CFB"/>
    <w:rsid w:val="00242380"/>
    <w:rsid w:val="002427E1"/>
    <w:rsid w:val="0024342B"/>
    <w:rsid w:val="00244C2D"/>
    <w:rsid w:val="00245115"/>
    <w:rsid w:val="002451C5"/>
    <w:rsid w:val="00245E6C"/>
    <w:rsid w:val="00245F1F"/>
    <w:rsid w:val="00245F5E"/>
    <w:rsid w:val="00246335"/>
    <w:rsid w:val="0024663B"/>
    <w:rsid w:val="00246F24"/>
    <w:rsid w:val="00247103"/>
    <w:rsid w:val="00247174"/>
    <w:rsid w:val="0024729C"/>
    <w:rsid w:val="00250067"/>
    <w:rsid w:val="00250FCC"/>
    <w:rsid w:val="002516DE"/>
    <w:rsid w:val="00251F81"/>
    <w:rsid w:val="002525E6"/>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7BF4"/>
    <w:rsid w:val="00260003"/>
    <w:rsid w:val="00260236"/>
    <w:rsid w:val="0026035D"/>
    <w:rsid w:val="002606D6"/>
    <w:rsid w:val="00260F70"/>
    <w:rsid w:val="0026186F"/>
    <w:rsid w:val="00261C98"/>
    <w:rsid w:val="0026248E"/>
    <w:rsid w:val="00262914"/>
    <w:rsid w:val="00263F38"/>
    <w:rsid w:val="002647BF"/>
    <w:rsid w:val="002647D5"/>
    <w:rsid w:val="00265032"/>
    <w:rsid w:val="002651FB"/>
    <w:rsid w:val="0026538C"/>
    <w:rsid w:val="002653A9"/>
    <w:rsid w:val="0026558C"/>
    <w:rsid w:val="00265781"/>
    <w:rsid w:val="00265933"/>
    <w:rsid w:val="00266B13"/>
    <w:rsid w:val="00266B23"/>
    <w:rsid w:val="00270728"/>
    <w:rsid w:val="00270D42"/>
    <w:rsid w:val="00270FA0"/>
    <w:rsid w:val="002714D5"/>
    <w:rsid w:val="0027195D"/>
    <w:rsid w:val="00272487"/>
    <w:rsid w:val="002724CE"/>
    <w:rsid w:val="00272B03"/>
    <w:rsid w:val="0027328B"/>
    <w:rsid w:val="002733E2"/>
    <w:rsid w:val="00273F2D"/>
    <w:rsid w:val="00274542"/>
    <w:rsid w:val="00274693"/>
    <w:rsid w:val="002750B1"/>
    <w:rsid w:val="002755A6"/>
    <w:rsid w:val="00276851"/>
    <w:rsid w:val="00276A35"/>
    <w:rsid w:val="00276F36"/>
    <w:rsid w:val="002774DD"/>
    <w:rsid w:val="00277835"/>
    <w:rsid w:val="00280AB1"/>
    <w:rsid w:val="00281274"/>
    <w:rsid w:val="002822A2"/>
    <w:rsid w:val="002822B5"/>
    <w:rsid w:val="0028344F"/>
    <w:rsid w:val="00283571"/>
    <w:rsid w:val="00283AD1"/>
    <w:rsid w:val="00283E5D"/>
    <w:rsid w:val="002846CE"/>
    <w:rsid w:val="00284B4D"/>
    <w:rsid w:val="00284BAE"/>
    <w:rsid w:val="002859AF"/>
    <w:rsid w:val="00285F67"/>
    <w:rsid w:val="002866AD"/>
    <w:rsid w:val="00286AE7"/>
    <w:rsid w:val="00287243"/>
    <w:rsid w:val="002874C6"/>
    <w:rsid w:val="00287552"/>
    <w:rsid w:val="00287F84"/>
    <w:rsid w:val="00290647"/>
    <w:rsid w:val="00291385"/>
    <w:rsid w:val="00291422"/>
    <w:rsid w:val="00291934"/>
    <w:rsid w:val="0029237F"/>
    <w:rsid w:val="00292715"/>
    <w:rsid w:val="00293CEA"/>
    <w:rsid w:val="00293E57"/>
    <w:rsid w:val="002947D1"/>
    <w:rsid w:val="002948DF"/>
    <w:rsid w:val="00294D90"/>
    <w:rsid w:val="0029546B"/>
    <w:rsid w:val="0029628D"/>
    <w:rsid w:val="002A0348"/>
    <w:rsid w:val="002A0749"/>
    <w:rsid w:val="002A0E29"/>
    <w:rsid w:val="002A1339"/>
    <w:rsid w:val="002A1E92"/>
    <w:rsid w:val="002A1E9C"/>
    <w:rsid w:val="002A204D"/>
    <w:rsid w:val="002A2616"/>
    <w:rsid w:val="002A26E1"/>
    <w:rsid w:val="002A2C30"/>
    <w:rsid w:val="002A2C8D"/>
    <w:rsid w:val="002A335E"/>
    <w:rsid w:val="002A368A"/>
    <w:rsid w:val="002A3D86"/>
    <w:rsid w:val="002A4065"/>
    <w:rsid w:val="002A4B4D"/>
    <w:rsid w:val="002A4E11"/>
    <w:rsid w:val="002A4F48"/>
    <w:rsid w:val="002A5619"/>
    <w:rsid w:val="002A59F0"/>
    <w:rsid w:val="002A5CDE"/>
    <w:rsid w:val="002A6432"/>
    <w:rsid w:val="002A6F25"/>
    <w:rsid w:val="002A6FD3"/>
    <w:rsid w:val="002B0A7D"/>
    <w:rsid w:val="002B0BC8"/>
    <w:rsid w:val="002B0F43"/>
    <w:rsid w:val="002B1A69"/>
    <w:rsid w:val="002B1BD3"/>
    <w:rsid w:val="002B1F96"/>
    <w:rsid w:val="002B20D7"/>
    <w:rsid w:val="002B2723"/>
    <w:rsid w:val="002B2778"/>
    <w:rsid w:val="002B2DBC"/>
    <w:rsid w:val="002B2E4A"/>
    <w:rsid w:val="002B303A"/>
    <w:rsid w:val="002B538E"/>
    <w:rsid w:val="002B5DCA"/>
    <w:rsid w:val="002B6BDC"/>
    <w:rsid w:val="002B6CB1"/>
    <w:rsid w:val="002B75B0"/>
    <w:rsid w:val="002B779D"/>
    <w:rsid w:val="002B7EAF"/>
    <w:rsid w:val="002C0115"/>
    <w:rsid w:val="002C03D1"/>
    <w:rsid w:val="002C04D7"/>
    <w:rsid w:val="002C099C"/>
    <w:rsid w:val="002C0B74"/>
    <w:rsid w:val="002C0C8B"/>
    <w:rsid w:val="002C0CBB"/>
    <w:rsid w:val="002C1201"/>
    <w:rsid w:val="002C1460"/>
    <w:rsid w:val="002C160D"/>
    <w:rsid w:val="002C20F2"/>
    <w:rsid w:val="002C2F8C"/>
    <w:rsid w:val="002C30EA"/>
    <w:rsid w:val="002C36A2"/>
    <w:rsid w:val="002C38B2"/>
    <w:rsid w:val="002C3DC2"/>
    <w:rsid w:val="002C3F54"/>
    <w:rsid w:val="002C3F9C"/>
    <w:rsid w:val="002C51A7"/>
    <w:rsid w:val="002C5466"/>
    <w:rsid w:val="002C5AFA"/>
    <w:rsid w:val="002C6CF6"/>
    <w:rsid w:val="002C73E3"/>
    <w:rsid w:val="002C7DF5"/>
    <w:rsid w:val="002D0439"/>
    <w:rsid w:val="002D11B7"/>
    <w:rsid w:val="002D26B4"/>
    <w:rsid w:val="002D2D24"/>
    <w:rsid w:val="002D3055"/>
    <w:rsid w:val="002D361F"/>
    <w:rsid w:val="002D36D3"/>
    <w:rsid w:val="002D3AF5"/>
    <w:rsid w:val="002D3BBC"/>
    <w:rsid w:val="002D3C29"/>
    <w:rsid w:val="002D4171"/>
    <w:rsid w:val="002D438A"/>
    <w:rsid w:val="002D48DA"/>
    <w:rsid w:val="002D50A0"/>
    <w:rsid w:val="002D5152"/>
    <w:rsid w:val="002D53C8"/>
    <w:rsid w:val="002D56E4"/>
    <w:rsid w:val="002D5738"/>
    <w:rsid w:val="002D5E53"/>
    <w:rsid w:val="002D63F9"/>
    <w:rsid w:val="002D6711"/>
    <w:rsid w:val="002D7215"/>
    <w:rsid w:val="002D72CC"/>
    <w:rsid w:val="002E0038"/>
    <w:rsid w:val="002E0319"/>
    <w:rsid w:val="002E0A8E"/>
    <w:rsid w:val="002E1093"/>
    <w:rsid w:val="002E179B"/>
    <w:rsid w:val="002E1897"/>
    <w:rsid w:val="002E1A51"/>
    <w:rsid w:val="002E1C9E"/>
    <w:rsid w:val="002E1D9F"/>
    <w:rsid w:val="002E215A"/>
    <w:rsid w:val="002E257B"/>
    <w:rsid w:val="002E3C65"/>
    <w:rsid w:val="002E3F5B"/>
    <w:rsid w:val="002E4362"/>
    <w:rsid w:val="002E5B07"/>
    <w:rsid w:val="002E63D9"/>
    <w:rsid w:val="002E640E"/>
    <w:rsid w:val="002E739D"/>
    <w:rsid w:val="002E76D0"/>
    <w:rsid w:val="002F0C28"/>
    <w:rsid w:val="002F281C"/>
    <w:rsid w:val="002F2999"/>
    <w:rsid w:val="002F3CDE"/>
    <w:rsid w:val="002F4AFB"/>
    <w:rsid w:val="002F559A"/>
    <w:rsid w:val="002F5DD6"/>
    <w:rsid w:val="002F5FEA"/>
    <w:rsid w:val="002F63E7"/>
    <w:rsid w:val="002F7BE3"/>
    <w:rsid w:val="002F7E6A"/>
    <w:rsid w:val="00300165"/>
    <w:rsid w:val="00300445"/>
    <w:rsid w:val="003008C7"/>
    <w:rsid w:val="00300978"/>
    <w:rsid w:val="00300F00"/>
    <w:rsid w:val="003010CF"/>
    <w:rsid w:val="00303440"/>
    <w:rsid w:val="00303D80"/>
    <w:rsid w:val="00304D9B"/>
    <w:rsid w:val="00304E7F"/>
    <w:rsid w:val="00305C43"/>
    <w:rsid w:val="00305D2F"/>
    <w:rsid w:val="00305FF9"/>
    <w:rsid w:val="00306827"/>
    <w:rsid w:val="00306E6B"/>
    <w:rsid w:val="0030723C"/>
    <w:rsid w:val="003100C8"/>
    <w:rsid w:val="003107C2"/>
    <w:rsid w:val="003109FD"/>
    <w:rsid w:val="00311161"/>
    <w:rsid w:val="00312400"/>
    <w:rsid w:val="00312418"/>
    <w:rsid w:val="00312739"/>
    <w:rsid w:val="00312D10"/>
    <w:rsid w:val="00313221"/>
    <w:rsid w:val="00313BFF"/>
    <w:rsid w:val="00313C7D"/>
    <w:rsid w:val="00314A18"/>
    <w:rsid w:val="00315F10"/>
    <w:rsid w:val="00316DFF"/>
    <w:rsid w:val="003178DA"/>
    <w:rsid w:val="00317DB8"/>
    <w:rsid w:val="00317E6F"/>
    <w:rsid w:val="00320085"/>
    <w:rsid w:val="00320618"/>
    <w:rsid w:val="00320F61"/>
    <w:rsid w:val="0032100B"/>
    <w:rsid w:val="00321507"/>
    <w:rsid w:val="00321BD7"/>
    <w:rsid w:val="00322207"/>
    <w:rsid w:val="00322217"/>
    <w:rsid w:val="0032260F"/>
    <w:rsid w:val="003228DA"/>
    <w:rsid w:val="00322B78"/>
    <w:rsid w:val="0032377E"/>
    <w:rsid w:val="00323D6B"/>
    <w:rsid w:val="003245D2"/>
    <w:rsid w:val="00326907"/>
    <w:rsid w:val="00326957"/>
    <w:rsid w:val="00326AE2"/>
    <w:rsid w:val="00326D5B"/>
    <w:rsid w:val="00326E13"/>
    <w:rsid w:val="00327792"/>
    <w:rsid w:val="00330D56"/>
    <w:rsid w:val="003311E9"/>
    <w:rsid w:val="00331426"/>
    <w:rsid w:val="0033165C"/>
    <w:rsid w:val="0033171D"/>
    <w:rsid w:val="00331949"/>
    <w:rsid w:val="00331EE8"/>
    <w:rsid w:val="00331F28"/>
    <w:rsid w:val="00331FC3"/>
    <w:rsid w:val="0033200E"/>
    <w:rsid w:val="0033243C"/>
    <w:rsid w:val="0033291A"/>
    <w:rsid w:val="00332E41"/>
    <w:rsid w:val="003336B3"/>
    <w:rsid w:val="003343EC"/>
    <w:rsid w:val="003349E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551C"/>
    <w:rsid w:val="00345C56"/>
    <w:rsid w:val="0034638C"/>
    <w:rsid w:val="00346F7F"/>
    <w:rsid w:val="00347715"/>
    <w:rsid w:val="00347F4C"/>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35E"/>
    <w:rsid w:val="0035463B"/>
    <w:rsid w:val="003548D8"/>
    <w:rsid w:val="00355252"/>
    <w:rsid w:val="003554CA"/>
    <w:rsid w:val="00355918"/>
    <w:rsid w:val="00356A5A"/>
    <w:rsid w:val="0035767D"/>
    <w:rsid w:val="00357680"/>
    <w:rsid w:val="00360232"/>
    <w:rsid w:val="003602E0"/>
    <w:rsid w:val="00360D01"/>
    <w:rsid w:val="003616C7"/>
    <w:rsid w:val="00362569"/>
    <w:rsid w:val="003636CD"/>
    <w:rsid w:val="00363ABF"/>
    <w:rsid w:val="0036487C"/>
    <w:rsid w:val="00365411"/>
    <w:rsid w:val="003655E9"/>
    <w:rsid w:val="0036581E"/>
    <w:rsid w:val="00365FA2"/>
    <w:rsid w:val="003664B0"/>
    <w:rsid w:val="00366C69"/>
    <w:rsid w:val="00367441"/>
    <w:rsid w:val="00367B1D"/>
    <w:rsid w:val="003707F6"/>
    <w:rsid w:val="00370E4F"/>
    <w:rsid w:val="00371215"/>
    <w:rsid w:val="00371CB1"/>
    <w:rsid w:val="00372630"/>
    <w:rsid w:val="00372CA6"/>
    <w:rsid w:val="00372F0D"/>
    <w:rsid w:val="00373B6B"/>
    <w:rsid w:val="00373D35"/>
    <w:rsid w:val="00374059"/>
    <w:rsid w:val="00374223"/>
    <w:rsid w:val="003748F7"/>
    <w:rsid w:val="00374F16"/>
    <w:rsid w:val="0037535B"/>
    <w:rsid w:val="00375394"/>
    <w:rsid w:val="0037552D"/>
    <w:rsid w:val="003756DB"/>
    <w:rsid w:val="00375AD7"/>
    <w:rsid w:val="00376991"/>
    <w:rsid w:val="003770BB"/>
    <w:rsid w:val="0037771A"/>
    <w:rsid w:val="003802DC"/>
    <w:rsid w:val="003807F0"/>
    <w:rsid w:val="00380C2D"/>
    <w:rsid w:val="00380E4E"/>
    <w:rsid w:val="00380FBF"/>
    <w:rsid w:val="00381156"/>
    <w:rsid w:val="00381391"/>
    <w:rsid w:val="003819F7"/>
    <w:rsid w:val="003820E9"/>
    <w:rsid w:val="003829F2"/>
    <w:rsid w:val="00382A43"/>
    <w:rsid w:val="00382D60"/>
    <w:rsid w:val="00382F29"/>
    <w:rsid w:val="00383440"/>
    <w:rsid w:val="00383C8D"/>
    <w:rsid w:val="00384FA0"/>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265"/>
    <w:rsid w:val="003919F6"/>
    <w:rsid w:val="0039218D"/>
    <w:rsid w:val="00392B93"/>
    <w:rsid w:val="003940CE"/>
    <w:rsid w:val="00394739"/>
    <w:rsid w:val="00395826"/>
    <w:rsid w:val="00396D33"/>
    <w:rsid w:val="0039738B"/>
    <w:rsid w:val="00397C1D"/>
    <w:rsid w:val="00397D21"/>
    <w:rsid w:val="003A015A"/>
    <w:rsid w:val="003A048B"/>
    <w:rsid w:val="003A15BF"/>
    <w:rsid w:val="003A180F"/>
    <w:rsid w:val="003A18DD"/>
    <w:rsid w:val="003A20C8"/>
    <w:rsid w:val="003A2C29"/>
    <w:rsid w:val="003A2EC3"/>
    <w:rsid w:val="003A36F2"/>
    <w:rsid w:val="003A3D39"/>
    <w:rsid w:val="003A3EC7"/>
    <w:rsid w:val="003A40B4"/>
    <w:rsid w:val="003A4C3F"/>
    <w:rsid w:val="003A597E"/>
    <w:rsid w:val="003A5A11"/>
    <w:rsid w:val="003A5A88"/>
    <w:rsid w:val="003A5BAD"/>
    <w:rsid w:val="003A7702"/>
    <w:rsid w:val="003A7834"/>
    <w:rsid w:val="003B0B5B"/>
    <w:rsid w:val="003B0CE2"/>
    <w:rsid w:val="003B0D8E"/>
    <w:rsid w:val="003B0E79"/>
    <w:rsid w:val="003B19A2"/>
    <w:rsid w:val="003B31B1"/>
    <w:rsid w:val="003B3575"/>
    <w:rsid w:val="003B38D1"/>
    <w:rsid w:val="003B50BC"/>
    <w:rsid w:val="003B5875"/>
    <w:rsid w:val="003B5B02"/>
    <w:rsid w:val="003B5D97"/>
    <w:rsid w:val="003B5FD2"/>
    <w:rsid w:val="003B63A4"/>
    <w:rsid w:val="003B68FE"/>
    <w:rsid w:val="003B6D7D"/>
    <w:rsid w:val="003B790A"/>
    <w:rsid w:val="003B7D7E"/>
    <w:rsid w:val="003C04B9"/>
    <w:rsid w:val="003C1012"/>
    <w:rsid w:val="003C11C9"/>
    <w:rsid w:val="003C1229"/>
    <w:rsid w:val="003C149B"/>
    <w:rsid w:val="003C1FD4"/>
    <w:rsid w:val="003C213D"/>
    <w:rsid w:val="003C24FC"/>
    <w:rsid w:val="003C25AD"/>
    <w:rsid w:val="003C291D"/>
    <w:rsid w:val="003C2D21"/>
    <w:rsid w:val="003C4135"/>
    <w:rsid w:val="003C4376"/>
    <w:rsid w:val="003C4503"/>
    <w:rsid w:val="003C5475"/>
    <w:rsid w:val="003C56F7"/>
    <w:rsid w:val="003C5E6B"/>
    <w:rsid w:val="003C5ED6"/>
    <w:rsid w:val="003C652F"/>
    <w:rsid w:val="003C6B81"/>
    <w:rsid w:val="003C7AD7"/>
    <w:rsid w:val="003D0992"/>
    <w:rsid w:val="003D0FC3"/>
    <w:rsid w:val="003D14DC"/>
    <w:rsid w:val="003D1902"/>
    <w:rsid w:val="003D2C1D"/>
    <w:rsid w:val="003D2C34"/>
    <w:rsid w:val="003D31B9"/>
    <w:rsid w:val="003D3538"/>
    <w:rsid w:val="003D3568"/>
    <w:rsid w:val="003D3DDD"/>
    <w:rsid w:val="003D4022"/>
    <w:rsid w:val="003D46F1"/>
    <w:rsid w:val="003D5CBF"/>
    <w:rsid w:val="003D60B6"/>
    <w:rsid w:val="003D66D2"/>
    <w:rsid w:val="003D6E4F"/>
    <w:rsid w:val="003D729E"/>
    <w:rsid w:val="003E0282"/>
    <w:rsid w:val="003E0473"/>
    <w:rsid w:val="003E0513"/>
    <w:rsid w:val="003E0767"/>
    <w:rsid w:val="003E07AE"/>
    <w:rsid w:val="003E14FC"/>
    <w:rsid w:val="003E289D"/>
    <w:rsid w:val="003E2976"/>
    <w:rsid w:val="003E2C50"/>
    <w:rsid w:val="003E33B8"/>
    <w:rsid w:val="003E349D"/>
    <w:rsid w:val="003E3B8E"/>
    <w:rsid w:val="003E4858"/>
    <w:rsid w:val="003E4D6A"/>
    <w:rsid w:val="003E557D"/>
    <w:rsid w:val="003E5998"/>
    <w:rsid w:val="003E5DBA"/>
    <w:rsid w:val="003E6316"/>
    <w:rsid w:val="003E6884"/>
    <w:rsid w:val="003E6AC5"/>
    <w:rsid w:val="003E6EDF"/>
    <w:rsid w:val="003F0096"/>
    <w:rsid w:val="003F00E2"/>
    <w:rsid w:val="003F0381"/>
    <w:rsid w:val="003F0850"/>
    <w:rsid w:val="003F0D12"/>
    <w:rsid w:val="003F12C3"/>
    <w:rsid w:val="003F1339"/>
    <w:rsid w:val="003F15A3"/>
    <w:rsid w:val="003F15A9"/>
    <w:rsid w:val="003F160C"/>
    <w:rsid w:val="003F278D"/>
    <w:rsid w:val="003F2AE2"/>
    <w:rsid w:val="003F2B82"/>
    <w:rsid w:val="003F324F"/>
    <w:rsid w:val="003F33BC"/>
    <w:rsid w:val="003F3632"/>
    <w:rsid w:val="003F3643"/>
    <w:rsid w:val="003F3D4E"/>
    <w:rsid w:val="003F4271"/>
    <w:rsid w:val="003F477E"/>
    <w:rsid w:val="003F4950"/>
    <w:rsid w:val="003F6CD2"/>
    <w:rsid w:val="003F788D"/>
    <w:rsid w:val="003F7936"/>
    <w:rsid w:val="004008FE"/>
    <w:rsid w:val="0040126E"/>
    <w:rsid w:val="00401B60"/>
    <w:rsid w:val="004020D4"/>
    <w:rsid w:val="004021B6"/>
    <w:rsid w:val="0040274F"/>
    <w:rsid w:val="00402E14"/>
    <w:rsid w:val="004039EC"/>
    <w:rsid w:val="00403F9A"/>
    <w:rsid w:val="004047C4"/>
    <w:rsid w:val="0040523D"/>
    <w:rsid w:val="0040570B"/>
    <w:rsid w:val="00405EDB"/>
    <w:rsid w:val="00405FB1"/>
    <w:rsid w:val="00406460"/>
    <w:rsid w:val="00407AE3"/>
    <w:rsid w:val="004105F6"/>
    <w:rsid w:val="004106E4"/>
    <w:rsid w:val="00411574"/>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F6C"/>
    <w:rsid w:val="00421DCF"/>
    <w:rsid w:val="00421F52"/>
    <w:rsid w:val="00422341"/>
    <w:rsid w:val="004226CC"/>
    <w:rsid w:val="00423392"/>
    <w:rsid w:val="00423641"/>
    <w:rsid w:val="004237F1"/>
    <w:rsid w:val="00423DA5"/>
    <w:rsid w:val="00423EEC"/>
    <w:rsid w:val="00425FC7"/>
    <w:rsid w:val="00426266"/>
    <w:rsid w:val="00426369"/>
    <w:rsid w:val="00426FFB"/>
    <w:rsid w:val="00427CE6"/>
    <w:rsid w:val="00430A2D"/>
    <w:rsid w:val="004312B0"/>
    <w:rsid w:val="00431505"/>
    <w:rsid w:val="0043190D"/>
    <w:rsid w:val="00431AF0"/>
    <w:rsid w:val="0043213A"/>
    <w:rsid w:val="0043260B"/>
    <w:rsid w:val="004327DD"/>
    <w:rsid w:val="004328CF"/>
    <w:rsid w:val="004330F4"/>
    <w:rsid w:val="00433590"/>
    <w:rsid w:val="0043393D"/>
    <w:rsid w:val="004344C7"/>
    <w:rsid w:val="00435274"/>
    <w:rsid w:val="004352AD"/>
    <w:rsid w:val="0043545D"/>
    <w:rsid w:val="0043547E"/>
    <w:rsid w:val="00435FE2"/>
    <w:rsid w:val="00436E2F"/>
    <w:rsid w:val="00436E4E"/>
    <w:rsid w:val="00436EAB"/>
    <w:rsid w:val="004376CE"/>
    <w:rsid w:val="004379C7"/>
    <w:rsid w:val="004413B0"/>
    <w:rsid w:val="004423FF"/>
    <w:rsid w:val="00442935"/>
    <w:rsid w:val="00442E51"/>
    <w:rsid w:val="004431CF"/>
    <w:rsid w:val="004434F4"/>
    <w:rsid w:val="004439ED"/>
    <w:rsid w:val="00443D0E"/>
    <w:rsid w:val="00445E81"/>
    <w:rsid w:val="004461D9"/>
    <w:rsid w:val="00446AC6"/>
    <w:rsid w:val="0044759B"/>
    <w:rsid w:val="00447F54"/>
    <w:rsid w:val="0045037E"/>
    <w:rsid w:val="00450B7E"/>
    <w:rsid w:val="00450E41"/>
    <w:rsid w:val="00450E95"/>
    <w:rsid w:val="0045134F"/>
    <w:rsid w:val="0045136B"/>
    <w:rsid w:val="00451375"/>
    <w:rsid w:val="004518D8"/>
    <w:rsid w:val="00451C7E"/>
    <w:rsid w:val="00452E5A"/>
    <w:rsid w:val="00453BB6"/>
    <w:rsid w:val="00453CAA"/>
    <w:rsid w:val="00454358"/>
    <w:rsid w:val="00454624"/>
    <w:rsid w:val="00455113"/>
    <w:rsid w:val="00456175"/>
    <w:rsid w:val="00456421"/>
    <w:rsid w:val="00456549"/>
    <w:rsid w:val="00456DAB"/>
    <w:rsid w:val="00457656"/>
    <w:rsid w:val="00457825"/>
    <w:rsid w:val="00457D9A"/>
    <w:rsid w:val="00460BBD"/>
    <w:rsid w:val="00460CC3"/>
    <w:rsid w:val="00460E86"/>
    <w:rsid w:val="00461165"/>
    <w:rsid w:val="004618D5"/>
    <w:rsid w:val="00463690"/>
    <w:rsid w:val="00463C0A"/>
    <w:rsid w:val="004646B4"/>
    <w:rsid w:val="00464A88"/>
    <w:rsid w:val="00464B01"/>
    <w:rsid w:val="004651A0"/>
    <w:rsid w:val="004653A4"/>
    <w:rsid w:val="00465587"/>
    <w:rsid w:val="00465742"/>
    <w:rsid w:val="00466532"/>
    <w:rsid w:val="00467488"/>
    <w:rsid w:val="00467D12"/>
    <w:rsid w:val="0047083E"/>
    <w:rsid w:val="00470B8A"/>
    <w:rsid w:val="00470EB5"/>
    <w:rsid w:val="00471030"/>
    <w:rsid w:val="00472419"/>
    <w:rsid w:val="0047286B"/>
    <w:rsid w:val="00472E27"/>
    <w:rsid w:val="00472E55"/>
    <w:rsid w:val="00473356"/>
    <w:rsid w:val="00473812"/>
    <w:rsid w:val="004740FC"/>
    <w:rsid w:val="00474220"/>
    <w:rsid w:val="00474BA6"/>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58"/>
    <w:rsid w:val="004816BE"/>
    <w:rsid w:val="00482BA7"/>
    <w:rsid w:val="00482BBE"/>
    <w:rsid w:val="00483A12"/>
    <w:rsid w:val="00483BBB"/>
    <w:rsid w:val="00483C32"/>
    <w:rsid w:val="00483DE2"/>
    <w:rsid w:val="004845BA"/>
    <w:rsid w:val="0048481F"/>
    <w:rsid w:val="004848BA"/>
    <w:rsid w:val="00484A77"/>
    <w:rsid w:val="0048540F"/>
    <w:rsid w:val="00485970"/>
    <w:rsid w:val="00485BA7"/>
    <w:rsid w:val="00485C0D"/>
    <w:rsid w:val="00485C35"/>
    <w:rsid w:val="00485F47"/>
    <w:rsid w:val="00486575"/>
    <w:rsid w:val="004866D0"/>
    <w:rsid w:val="00486936"/>
    <w:rsid w:val="00487B59"/>
    <w:rsid w:val="00490589"/>
    <w:rsid w:val="004909C7"/>
    <w:rsid w:val="0049162F"/>
    <w:rsid w:val="00491DD9"/>
    <w:rsid w:val="004920B8"/>
    <w:rsid w:val="0049257F"/>
    <w:rsid w:val="00492D44"/>
    <w:rsid w:val="00492DE4"/>
    <w:rsid w:val="00493895"/>
    <w:rsid w:val="00493C77"/>
    <w:rsid w:val="00494242"/>
    <w:rsid w:val="00494E8E"/>
    <w:rsid w:val="00494F26"/>
    <w:rsid w:val="004955BC"/>
    <w:rsid w:val="00495676"/>
    <w:rsid w:val="00495CB2"/>
    <w:rsid w:val="00495D63"/>
    <w:rsid w:val="0049629E"/>
    <w:rsid w:val="00496378"/>
    <w:rsid w:val="0049648F"/>
    <w:rsid w:val="00496606"/>
    <w:rsid w:val="004969E5"/>
    <w:rsid w:val="00496F05"/>
    <w:rsid w:val="00497370"/>
    <w:rsid w:val="004973D4"/>
    <w:rsid w:val="004974FA"/>
    <w:rsid w:val="004A0F39"/>
    <w:rsid w:val="004A152B"/>
    <w:rsid w:val="004A1D5F"/>
    <w:rsid w:val="004A251F"/>
    <w:rsid w:val="004A2C8C"/>
    <w:rsid w:val="004A3329"/>
    <w:rsid w:val="004A36AD"/>
    <w:rsid w:val="004A3874"/>
    <w:rsid w:val="004A3BF1"/>
    <w:rsid w:val="004A3D4B"/>
    <w:rsid w:val="004A3E42"/>
    <w:rsid w:val="004A4045"/>
    <w:rsid w:val="004A436E"/>
    <w:rsid w:val="004A46EB"/>
    <w:rsid w:val="004A4715"/>
    <w:rsid w:val="004A5046"/>
    <w:rsid w:val="004A565E"/>
    <w:rsid w:val="004A5D55"/>
    <w:rsid w:val="004A5D73"/>
    <w:rsid w:val="004A5DF3"/>
    <w:rsid w:val="004A6134"/>
    <w:rsid w:val="004A7092"/>
    <w:rsid w:val="004A7427"/>
    <w:rsid w:val="004A7437"/>
    <w:rsid w:val="004A74BE"/>
    <w:rsid w:val="004A776F"/>
    <w:rsid w:val="004A79B4"/>
    <w:rsid w:val="004A7BE4"/>
    <w:rsid w:val="004B0808"/>
    <w:rsid w:val="004B1C92"/>
    <w:rsid w:val="004B2270"/>
    <w:rsid w:val="004B257F"/>
    <w:rsid w:val="004B3422"/>
    <w:rsid w:val="004B44D6"/>
    <w:rsid w:val="004B49E6"/>
    <w:rsid w:val="004B4D69"/>
    <w:rsid w:val="004B4DE4"/>
    <w:rsid w:val="004B52FB"/>
    <w:rsid w:val="004B6A5A"/>
    <w:rsid w:val="004B6C16"/>
    <w:rsid w:val="004B6DFA"/>
    <w:rsid w:val="004B7E99"/>
    <w:rsid w:val="004C01A8"/>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5C9"/>
    <w:rsid w:val="004D1D91"/>
    <w:rsid w:val="004D1D9E"/>
    <w:rsid w:val="004D22C3"/>
    <w:rsid w:val="004D2D7B"/>
    <w:rsid w:val="004D2E1A"/>
    <w:rsid w:val="004D399D"/>
    <w:rsid w:val="004D40AE"/>
    <w:rsid w:val="004D41C6"/>
    <w:rsid w:val="004D4851"/>
    <w:rsid w:val="004D4924"/>
    <w:rsid w:val="004D4D31"/>
    <w:rsid w:val="004D6F4D"/>
    <w:rsid w:val="004D6F95"/>
    <w:rsid w:val="004D70CF"/>
    <w:rsid w:val="004D72FE"/>
    <w:rsid w:val="004D7358"/>
    <w:rsid w:val="004D77A8"/>
    <w:rsid w:val="004D7E91"/>
    <w:rsid w:val="004D7EFF"/>
    <w:rsid w:val="004E003A"/>
    <w:rsid w:val="004E0664"/>
    <w:rsid w:val="004E06E7"/>
    <w:rsid w:val="004E0768"/>
    <w:rsid w:val="004E0D06"/>
    <w:rsid w:val="004E1A31"/>
    <w:rsid w:val="004E1A62"/>
    <w:rsid w:val="004E1C6F"/>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F7E"/>
    <w:rsid w:val="004F32B5"/>
    <w:rsid w:val="004F3967"/>
    <w:rsid w:val="004F3B2E"/>
    <w:rsid w:val="004F407E"/>
    <w:rsid w:val="004F41E5"/>
    <w:rsid w:val="004F517A"/>
    <w:rsid w:val="004F5479"/>
    <w:rsid w:val="004F6426"/>
    <w:rsid w:val="004F6C73"/>
    <w:rsid w:val="004F7528"/>
    <w:rsid w:val="004F755F"/>
    <w:rsid w:val="004F7BCA"/>
    <w:rsid w:val="004F7D89"/>
    <w:rsid w:val="00501981"/>
    <w:rsid w:val="00501A85"/>
    <w:rsid w:val="00501BB3"/>
    <w:rsid w:val="005021DD"/>
    <w:rsid w:val="005026CA"/>
    <w:rsid w:val="00502B72"/>
    <w:rsid w:val="00502D50"/>
    <w:rsid w:val="00502FB1"/>
    <w:rsid w:val="0050376D"/>
    <w:rsid w:val="00504009"/>
    <w:rsid w:val="0050475C"/>
    <w:rsid w:val="00504BC1"/>
    <w:rsid w:val="00505134"/>
    <w:rsid w:val="005056C9"/>
    <w:rsid w:val="00505C04"/>
    <w:rsid w:val="005062B1"/>
    <w:rsid w:val="00506853"/>
    <w:rsid w:val="005076EC"/>
    <w:rsid w:val="005109C3"/>
    <w:rsid w:val="005118E5"/>
    <w:rsid w:val="00511F15"/>
    <w:rsid w:val="0051318C"/>
    <w:rsid w:val="005142CD"/>
    <w:rsid w:val="005143C9"/>
    <w:rsid w:val="005157A9"/>
    <w:rsid w:val="00515E79"/>
    <w:rsid w:val="0051685C"/>
    <w:rsid w:val="00516951"/>
    <w:rsid w:val="00516A3C"/>
    <w:rsid w:val="005173A7"/>
    <w:rsid w:val="005176D7"/>
    <w:rsid w:val="00517742"/>
    <w:rsid w:val="005177E1"/>
    <w:rsid w:val="00517B3E"/>
    <w:rsid w:val="00520C0A"/>
    <w:rsid w:val="005215C2"/>
    <w:rsid w:val="005218B6"/>
    <w:rsid w:val="005219AF"/>
    <w:rsid w:val="00521C33"/>
    <w:rsid w:val="00522589"/>
    <w:rsid w:val="00522835"/>
    <w:rsid w:val="0052283C"/>
    <w:rsid w:val="00523136"/>
    <w:rsid w:val="0052361E"/>
    <w:rsid w:val="00524204"/>
    <w:rsid w:val="00524489"/>
    <w:rsid w:val="00524545"/>
    <w:rsid w:val="00524937"/>
    <w:rsid w:val="005255BF"/>
    <w:rsid w:val="00525769"/>
    <w:rsid w:val="005257DE"/>
    <w:rsid w:val="00526C15"/>
    <w:rsid w:val="00527200"/>
    <w:rsid w:val="00527802"/>
    <w:rsid w:val="00530157"/>
    <w:rsid w:val="005303DC"/>
    <w:rsid w:val="0053069C"/>
    <w:rsid w:val="00530FEB"/>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2B62"/>
    <w:rsid w:val="00543424"/>
    <w:rsid w:val="0054343A"/>
    <w:rsid w:val="005437F3"/>
    <w:rsid w:val="00543974"/>
    <w:rsid w:val="005439A6"/>
    <w:rsid w:val="00543EBF"/>
    <w:rsid w:val="0054422C"/>
    <w:rsid w:val="00544672"/>
    <w:rsid w:val="00544939"/>
    <w:rsid w:val="00544ABA"/>
    <w:rsid w:val="005457C8"/>
    <w:rsid w:val="0054593A"/>
    <w:rsid w:val="0054615C"/>
    <w:rsid w:val="0054622F"/>
    <w:rsid w:val="005467FB"/>
    <w:rsid w:val="00546AE9"/>
    <w:rsid w:val="00546CA8"/>
    <w:rsid w:val="00547588"/>
    <w:rsid w:val="00547775"/>
    <w:rsid w:val="00547989"/>
    <w:rsid w:val="00550975"/>
    <w:rsid w:val="00551320"/>
    <w:rsid w:val="005518A4"/>
    <w:rsid w:val="005526B2"/>
    <w:rsid w:val="00552768"/>
    <w:rsid w:val="00552935"/>
    <w:rsid w:val="00552A30"/>
    <w:rsid w:val="00553127"/>
    <w:rsid w:val="005537D5"/>
    <w:rsid w:val="0055407C"/>
    <w:rsid w:val="0055475E"/>
    <w:rsid w:val="005547C5"/>
    <w:rsid w:val="00554973"/>
    <w:rsid w:val="00554BE7"/>
    <w:rsid w:val="005556F9"/>
    <w:rsid w:val="00555DBC"/>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3EEE"/>
    <w:rsid w:val="005643CA"/>
    <w:rsid w:val="00565587"/>
    <w:rsid w:val="005656ED"/>
    <w:rsid w:val="00565C9E"/>
    <w:rsid w:val="00565D02"/>
    <w:rsid w:val="0056653E"/>
    <w:rsid w:val="00566544"/>
    <w:rsid w:val="00566608"/>
    <w:rsid w:val="00566C83"/>
    <w:rsid w:val="00567639"/>
    <w:rsid w:val="005700FE"/>
    <w:rsid w:val="00570E24"/>
    <w:rsid w:val="00570FF8"/>
    <w:rsid w:val="00571BF7"/>
    <w:rsid w:val="00572176"/>
    <w:rsid w:val="00572760"/>
    <w:rsid w:val="00572B31"/>
    <w:rsid w:val="0057320B"/>
    <w:rsid w:val="005743DE"/>
    <w:rsid w:val="00574F3F"/>
    <w:rsid w:val="0057562C"/>
    <w:rsid w:val="005759F6"/>
    <w:rsid w:val="00575E3E"/>
    <w:rsid w:val="00575FE7"/>
    <w:rsid w:val="005763B2"/>
    <w:rsid w:val="005765F5"/>
    <w:rsid w:val="00576D6C"/>
    <w:rsid w:val="0057748A"/>
    <w:rsid w:val="0057748B"/>
    <w:rsid w:val="0057790E"/>
    <w:rsid w:val="00577986"/>
    <w:rsid w:val="00577A2E"/>
    <w:rsid w:val="00577B23"/>
    <w:rsid w:val="00580E48"/>
    <w:rsid w:val="00580F0A"/>
    <w:rsid w:val="00581246"/>
    <w:rsid w:val="00581E89"/>
    <w:rsid w:val="00582252"/>
    <w:rsid w:val="00582C3A"/>
    <w:rsid w:val="00582E1A"/>
    <w:rsid w:val="00583147"/>
    <w:rsid w:val="00584416"/>
    <w:rsid w:val="00584874"/>
    <w:rsid w:val="00584B39"/>
    <w:rsid w:val="00585028"/>
    <w:rsid w:val="00585253"/>
    <w:rsid w:val="0058542E"/>
    <w:rsid w:val="005854D1"/>
    <w:rsid w:val="005856A2"/>
    <w:rsid w:val="0058590B"/>
    <w:rsid w:val="00585F5B"/>
    <w:rsid w:val="0058620A"/>
    <w:rsid w:val="00586303"/>
    <w:rsid w:val="00587043"/>
    <w:rsid w:val="00587FC0"/>
    <w:rsid w:val="005906AD"/>
    <w:rsid w:val="00590985"/>
    <w:rsid w:val="00590DA6"/>
    <w:rsid w:val="00590FF4"/>
    <w:rsid w:val="00591C7D"/>
    <w:rsid w:val="0059239D"/>
    <w:rsid w:val="00592623"/>
    <w:rsid w:val="00592A47"/>
    <w:rsid w:val="00592B03"/>
    <w:rsid w:val="00593AB9"/>
    <w:rsid w:val="00594ABB"/>
    <w:rsid w:val="00594D1C"/>
    <w:rsid w:val="00594E36"/>
    <w:rsid w:val="00594F0A"/>
    <w:rsid w:val="00595255"/>
    <w:rsid w:val="0059525E"/>
    <w:rsid w:val="00595887"/>
    <w:rsid w:val="00596123"/>
    <w:rsid w:val="005961F7"/>
    <w:rsid w:val="005964BE"/>
    <w:rsid w:val="00596504"/>
    <w:rsid w:val="005969C3"/>
    <w:rsid w:val="00596B9C"/>
    <w:rsid w:val="005A04BA"/>
    <w:rsid w:val="005A054D"/>
    <w:rsid w:val="005A0A46"/>
    <w:rsid w:val="005A0BD2"/>
    <w:rsid w:val="005A10B9"/>
    <w:rsid w:val="005A11EA"/>
    <w:rsid w:val="005A1945"/>
    <w:rsid w:val="005A1BBF"/>
    <w:rsid w:val="005A1BF0"/>
    <w:rsid w:val="005A269F"/>
    <w:rsid w:val="005A305E"/>
    <w:rsid w:val="005A30BB"/>
    <w:rsid w:val="005A3887"/>
    <w:rsid w:val="005A3E23"/>
    <w:rsid w:val="005A57EA"/>
    <w:rsid w:val="005A5E23"/>
    <w:rsid w:val="005A6410"/>
    <w:rsid w:val="005A6D54"/>
    <w:rsid w:val="005A7680"/>
    <w:rsid w:val="005B0542"/>
    <w:rsid w:val="005B1C65"/>
    <w:rsid w:val="005B1FD1"/>
    <w:rsid w:val="005B2225"/>
    <w:rsid w:val="005B2799"/>
    <w:rsid w:val="005B2B77"/>
    <w:rsid w:val="005B3330"/>
    <w:rsid w:val="005B39F0"/>
    <w:rsid w:val="005B3D4A"/>
    <w:rsid w:val="005B4D87"/>
    <w:rsid w:val="005B519B"/>
    <w:rsid w:val="005B54CD"/>
    <w:rsid w:val="005B6111"/>
    <w:rsid w:val="005B6E65"/>
    <w:rsid w:val="005B774F"/>
    <w:rsid w:val="005B77D9"/>
    <w:rsid w:val="005B7DD1"/>
    <w:rsid w:val="005C00A0"/>
    <w:rsid w:val="005C086C"/>
    <w:rsid w:val="005C0A1E"/>
    <w:rsid w:val="005C1F42"/>
    <w:rsid w:val="005C28FA"/>
    <w:rsid w:val="005C37E4"/>
    <w:rsid w:val="005C40F4"/>
    <w:rsid w:val="005C43BE"/>
    <w:rsid w:val="005C44F3"/>
    <w:rsid w:val="005C4BBD"/>
    <w:rsid w:val="005C5BEF"/>
    <w:rsid w:val="005C658D"/>
    <w:rsid w:val="005C67E4"/>
    <w:rsid w:val="005C6C52"/>
    <w:rsid w:val="005C6E4A"/>
    <w:rsid w:val="005C712D"/>
    <w:rsid w:val="005C7C75"/>
    <w:rsid w:val="005D0784"/>
    <w:rsid w:val="005D09FA"/>
    <w:rsid w:val="005D0E4F"/>
    <w:rsid w:val="005D1E32"/>
    <w:rsid w:val="005D1E47"/>
    <w:rsid w:val="005D206B"/>
    <w:rsid w:val="005D2100"/>
    <w:rsid w:val="005D22B7"/>
    <w:rsid w:val="005D2BDE"/>
    <w:rsid w:val="005D3D76"/>
    <w:rsid w:val="005D44A4"/>
    <w:rsid w:val="005D4578"/>
    <w:rsid w:val="005D4EFA"/>
    <w:rsid w:val="005D4F01"/>
    <w:rsid w:val="005D5455"/>
    <w:rsid w:val="005D55BA"/>
    <w:rsid w:val="005D573B"/>
    <w:rsid w:val="005D5ADB"/>
    <w:rsid w:val="005D63CC"/>
    <w:rsid w:val="005D648A"/>
    <w:rsid w:val="005D706C"/>
    <w:rsid w:val="005D7E0D"/>
    <w:rsid w:val="005E0355"/>
    <w:rsid w:val="005E0B3F"/>
    <w:rsid w:val="005E1FBC"/>
    <w:rsid w:val="005E234A"/>
    <w:rsid w:val="005E2867"/>
    <w:rsid w:val="005E3451"/>
    <w:rsid w:val="005E35CC"/>
    <w:rsid w:val="005E371E"/>
    <w:rsid w:val="005E4140"/>
    <w:rsid w:val="005E53F9"/>
    <w:rsid w:val="005E5E9E"/>
    <w:rsid w:val="005E7614"/>
    <w:rsid w:val="005E775D"/>
    <w:rsid w:val="005F0551"/>
    <w:rsid w:val="005F0A43"/>
    <w:rsid w:val="005F0E91"/>
    <w:rsid w:val="005F1498"/>
    <w:rsid w:val="005F25A0"/>
    <w:rsid w:val="005F27BF"/>
    <w:rsid w:val="005F2CBE"/>
    <w:rsid w:val="005F3D1F"/>
    <w:rsid w:val="005F4171"/>
    <w:rsid w:val="005F46D6"/>
    <w:rsid w:val="005F4DD6"/>
    <w:rsid w:val="005F4F5D"/>
    <w:rsid w:val="005F50D8"/>
    <w:rsid w:val="005F53A1"/>
    <w:rsid w:val="005F5879"/>
    <w:rsid w:val="005F6B77"/>
    <w:rsid w:val="005F7487"/>
    <w:rsid w:val="005F7625"/>
    <w:rsid w:val="006002C7"/>
    <w:rsid w:val="00600F95"/>
    <w:rsid w:val="0060172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AA4"/>
    <w:rsid w:val="00607D8D"/>
    <w:rsid w:val="00607F2E"/>
    <w:rsid w:val="00607F77"/>
    <w:rsid w:val="00610D72"/>
    <w:rsid w:val="006130F7"/>
    <w:rsid w:val="00613AF8"/>
    <w:rsid w:val="00613D8E"/>
    <w:rsid w:val="006142E0"/>
    <w:rsid w:val="0061444B"/>
    <w:rsid w:val="00616112"/>
    <w:rsid w:val="00617066"/>
    <w:rsid w:val="00617234"/>
    <w:rsid w:val="00617332"/>
    <w:rsid w:val="006173CF"/>
    <w:rsid w:val="006175A0"/>
    <w:rsid w:val="00617CF5"/>
    <w:rsid w:val="00620035"/>
    <w:rsid w:val="006205CA"/>
    <w:rsid w:val="00621DD3"/>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651B"/>
    <w:rsid w:val="0062660B"/>
    <w:rsid w:val="00626AD1"/>
    <w:rsid w:val="0062713D"/>
    <w:rsid w:val="006272A4"/>
    <w:rsid w:val="006278D5"/>
    <w:rsid w:val="00627A58"/>
    <w:rsid w:val="006300E9"/>
    <w:rsid w:val="0063044F"/>
    <w:rsid w:val="006304BC"/>
    <w:rsid w:val="00630DCE"/>
    <w:rsid w:val="0063120A"/>
    <w:rsid w:val="0063150B"/>
    <w:rsid w:val="00631585"/>
    <w:rsid w:val="00632303"/>
    <w:rsid w:val="00634ACF"/>
    <w:rsid w:val="00635035"/>
    <w:rsid w:val="0063580D"/>
    <w:rsid w:val="00635BF9"/>
    <w:rsid w:val="00635CAE"/>
    <w:rsid w:val="00637240"/>
    <w:rsid w:val="00641457"/>
    <w:rsid w:val="00641BC1"/>
    <w:rsid w:val="00643607"/>
    <w:rsid w:val="00643660"/>
    <w:rsid w:val="00644039"/>
    <w:rsid w:val="006447DC"/>
    <w:rsid w:val="00644C95"/>
    <w:rsid w:val="006450EE"/>
    <w:rsid w:val="00645361"/>
    <w:rsid w:val="00645817"/>
    <w:rsid w:val="00646711"/>
    <w:rsid w:val="006475AB"/>
    <w:rsid w:val="00647CBC"/>
    <w:rsid w:val="00650139"/>
    <w:rsid w:val="006504F1"/>
    <w:rsid w:val="00651704"/>
    <w:rsid w:val="0065185B"/>
    <w:rsid w:val="0065198B"/>
    <w:rsid w:val="00652756"/>
    <w:rsid w:val="00652AD8"/>
    <w:rsid w:val="00652B79"/>
    <w:rsid w:val="006533C3"/>
    <w:rsid w:val="00654068"/>
    <w:rsid w:val="00654285"/>
    <w:rsid w:val="0065479C"/>
    <w:rsid w:val="00654B38"/>
    <w:rsid w:val="00654B83"/>
    <w:rsid w:val="00655061"/>
    <w:rsid w:val="0065510C"/>
    <w:rsid w:val="0065565F"/>
    <w:rsid w:val="0065589D"/>
    <w:rsid w:val="00655B63"/>
    <w:rsid w:val="006571F6"/>
    <w:rsid w:val="00661316"/>
    <w:rsid w:val="006613F4"/>
    <w:rsid w:val="006618CC"/>
    <w:rsid w:val="00661ACB"/>
    <w:rsid w:val="00661E09"/>
    <w:rsid w:val="00662111"/>
    <w:rsid w:val="00662118"/>
    <w:rsid w:val="00662E2F"/>
    <w:rsid w:val="006638AD"/>
    <w:rsid w:val="00664B27"/>
    <w:rsid w:val="0066535B"/>
    <w:rsid w:val="00666487"/>
    <w:rsid w:val="00666BC8"/>
    <w:rsid w:val="0066732C"/>
    <w:rsid w:val="006679F5"/>
    <w:rsid w:val="00667B77"/>
    <w:rsid w:val="00667D81"/>
    <w:rsid w:val="00670011"/>
    <w:rsid w:val="0067013A"/>
    <w:rsid w:val="006706F5"/>
    <w:rsid w:val="00670F07"/>
    <w:rsid w:val="00671050"/>
    <w:rsid w:val="006716DA"/>
    <w:rsid w:val="00672893"/>
    <w:rsid w:val="006728ED"/>
    <w:rsid w:val="006732B1"/>
    <w:rsid w:val="00673980"/>
    <w:rsid w:val="006742D9"/>
    <w:rsid w:val="006742E1"/>
    <w:rsid w:val="0067446F"/>
    <w:rsid w:val="006745A0"/>
    <w:rsid w:val="006746A4"/>
    <w:rsid w:val="0067478F"/>
    <w:rsid w:val="006749CF"/>
    <w:rsid w:val="00674D86"/>
    <w:rsid w:val="00675558"/>
    <w:rsid w:val="00675611"/>
    <w:rsid w:val="00675A60"/>
    <w:rsid w:val="00675BE2"/>
    <w:rsid w:val="00675DDE"/>
    <w:rsid w:val="006763D7"/>
    <w:rsid w:val="0067697E"/>
    <w:rsid w:val="0067721A"/>
    <w:rsid w:val="00677443"/>
    <w:rsid w:val="0067769A"/>
    <w:rsid w:val="0067793D"/>
    <w:rsid w:val="00677B6A"/>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436C"/>
    <w:rsid w:val="006851C4"/>
    <w:rsid w:val="0068545E"/>
    <w:rsid w:val="00685FD4"/>
    <w:rsid w:val="006860A2"/>
    <w:rsid w:val="00686612"/>
    <w:rsid w:val="0068661E"/>
    <w:rsid w:val="006874F0"/>
    <w:rsid w:val="00690A49"/>
    <w:rsid w:val="00690BB6"/>
    <w:rsid w:val="0069135B"/>
    <w:rsid w:val="00691610"/>
    <w:rsid w:val="00691B30"/>
    <w:rsid w:val="00692012"/>
    <w:rsid w:val="00692CA4"/>
    <w:rsid w:val="00692D86"/>
    <w:rsid w:val="00693E1F"/>
    <w:rsid w:val="00693ECB"/>
    <w:rsid w:val="00694097"/>
    <w:rsid w:val="00694482"/>
    <w:rsid w:val="00694797"/>
    <w:rsid w:val="00694F2D"/>
    <w:rsid w:val="00695246"/>
    <w:rsid w:val="00695257"/>
    <w:rsid w:val="00695887"/>
    <w:rsid w:val="00695C40"/>
    <w:rsid w:val="00695F6D"/>
    <w:rsid w:val="0069772F"/>
    <w:rsid w:val="00697733"/>
    <w:rsid w:val="006A0A85"/>
    <w:rsid w:val="006A254E"/>
    <w:rsid w:val="006A2843"/>
    <w:rsid w:val="006A285F"/>
    <w:rsid w:val="006A2B47"/>
    <w:rsid w:val="006A2C30"/>
    <w:rsid w:val="006A301C"/>
    <w:rsid w:val="006A307F"/>
    <w:rsid w:val="006A3E2B"/>
    <w:rsid w:val="006A3FF2"/>
    <w:rsid w:val="006A6262"/>
    <w:rsid w:val="006A6E17"/>
    <w:rsid w:val="006A775D"/>
    <w:rsid w:val="006A7CB6"/>
    <w:rsid w:val="006B11FC"/>
    <w:rsid w:val="006B120D"/>
    <w:rsid w:val="006B17E7"/>
    <w:rsid w:val="006B19E8"/>
    <w:rsid w:val="006B1A8A"/>
    <w:rsid w:val="006B1FD5"/>
    <w:rsid w:val="006B226B"/>
    <w:rsid w:val="006B24D6"/>
    <w:rsid w:val="006B2CF2"/>
    <w:rsid w:val="006B2F57"/>
    <w:rsid w:val="006B3B9C"/>
    <w:rsid w:val="006B475C"/>
    <w:rsid w:val="006B4EF8"/>
    <w:rsid w:val="006B506C"/>
    <w:rsid w:val="006B555A"/>
    <w:rsid w:val="006B5BD6"/>
    <w:rsid w:val="006B600A"/>
    <w:rsid w:val="006B656B"/>
    <w:rsid w:val="006B6635"/>
    <w:rsid w:val="006B6D3E"/>
    <w:rsid w:val="006B7466"/>
    <w:rsid w:val="006B7A69"/>
    <w:rsid w:val="006B7D22"/>
    <w:rsid w:val="006B7D2C"/>
    <w:rsid w:val="006C0957"/>
    <w:rsid w:val="006C1019"/>
    <w:rsid w:val="006C2006"/>
    <w:rsid w:val="006C2BB5"/>
    <w:rsid w:val="006C2BEE"/>
    <w:rsid w:val="006C2C71"/>
    <w:rsid w:val="006C3AD8"/>
    <w:rsid w:val="006C4516"/>
    <w:rsid w:val="006C455E"/>
    <w:rsid w:val="006C4B20"/>
    <w:rsid w:val="006C5393"/>
    <w:rsid w:val="006C5958"/>
    <w:rsid w:val="006C5B4F"/>
    <w:rsid w:val="006C5D43"/>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81A"/>
    <w:rsid w:val="006D6939"/>
    <w:rsid w:val="006D6B77"/>
    <w:rsid w:val="006D6F42"/>
    <w:rsid w:val="006D7EB0"/>
    <w:rsid w:val="006E0138"/>
    <w:rsid w:val="006E06E9"/>
    <w:rsid w:val="006E0BB0"/>
    <w:rsid w:val="006E12C3"/>
    <w:rsid w:val="006E1BFB"/>
    <w:rsid w:val="006E20DA"/>
    <w:rsid w:val="006E2407"/>
    <w:rsid w:val="006E2529"/>
    <w:rsid w:val="006E2A36"/>
    <w:rsid w:val="006E2B19"/>
    <w:rsid w:val="006E2FD5"/>
    <w:rsid w:val="006E3343"/>
    <w:rsid w:val="006E3DA8"/>
    <w:rsid w:val="006E4156"/>
    <w:rsid w:val="006E432F"/>
    <w:rsid w:val="006E45F3"/>
    <w:rsid w:val="006E4A2F"/>
    <w:rsid w:val="006E4ED4"/>
    <w:rsid w:val="006E5E19"/>
    <w:rsid w:val="006E61C3"/>
    <w:rsid w:val="006E6577"/>
    <w:rsid w:val="006E6764"/>
    <w:rsid w:val="006E75E3"/>
    <w:rsid w:val="006E799D"/>
    <w:rsid w:val="006F0593"/>
    <w:rsid w:val="006F1064"/>
    <w:rsid w:val="006F1B76"/>
    <w:rsid w:val="006F1EB7"/>
    <w:rsid w:val="006F1FFC"/>
    <w:rsid w:val="006F21CC"/>
    <w:rsid w:val="006F45DF"/>
    <w:rsid w:val="006F49EF"/>
    <w:rsid w:val="006F4BE0"/>
    <w:rsid w:val="006F52E5"/>
    <w:rsid w:val="006F52FF"/>
    <w:rsid w:val="006F54E1"/>
    <w:rsid w:val="006F54FC"/>
    <w:rsid w:val="006F56B5"/>
    <w:rsid w:val="006F6066"/>
    <w:rsid w:val="006F615E"/>
    <w:rsid w:val="006F6850"/>
    <w:rsid w:val="006F6930"/>
    <w:rsid w:val="006F6CAF"/>
    <w:rsid w:val="006F707E"/>
    <w:rsid w:val="006F765B"/>
    <w:rsid w:val="007001DC"/>
    <w:rsid w:val="007003D1"/>
    <w:rsid w:val="007015D6"/>
    <w:rsid w:val="007025CB"/>
    <w:rsid w:val="00702868"/>
    <w:rsid w:val="007034AA"/>
    <w:rsid w:val="007038CC"/>
    <w:rsid w:val="00703C5D"/>
    <w:rsid w:val="00703C9D"/>
    <w:rsid w:val="0070490C"/>
    <w:rsid w:val="00704981"/>
    <w:rsid w:val="007054F5"/>
    <w:rsid w:val="00705C38"/>
    <w:rsid w:val="007060B1"/>
    <w:rsid w:val="00706222"/>
    <w:rsid w:val="00706465"/>
    <w:rsid w:val="0070695A"/>
    <w:rsid w:val="007072EB"/>
    <w:rsid w:val="0070782D"/>
    <w:rsid w:val="00707D16"/>
    <w:rsid w:val="007109C2"/>
    <w:rsid w:val="00710FE6"/>
    <w:rsid w:val="00711250"/>
    <w:rsid w:val="00711340"/>
    <w:rsid w:val="00711901"/>
    <w:rsid w:val="00711D0C"/>
    <w:rsid w:val="00712C42"/>
    <w:rsid w:val="0071312C"/>
    <w:rsid w:val="007136E0"/>
    <w:rsid w:val="00713DE4"/>
    <w:rsid w:val="00714C47"/>
    <w:rsid w:val="007157CD"/>
    <w:rsid w:val="00716462"/>
    <w:rsid w:val="00717CCE"/>
    <w:rsid w:val="00720093"/>
    <w:rsid w:val="00721084"/>
    <w:rsid w:val="00721262"/>
    <w:rsid w:val="00721460"/>
    <w:rsid w:val="00721D9B"/>
    <w:rsid w:val="00721E63"/>
    <w:rsid w:val="00722121"/>
    <w:rsid w:val="007224B9"/>
    <w:rsid w:val="00722A3C"/>
    <w:rsid w:val="00722F94"/>
    <w:rsid w:val="007237EC"/>
    <w:rsid w:val="00723AA7"/>
    <w:rsid w:val="0072432E"/>
    <w:rsid w:val="00724388"/>
    <w:rsid w:val="007246C6"/>
    <w:rsid w:val="0072530E"/>
    <w:rsid w:val="00725C99"/>
    <w:rsid w:val="00726036"/>
    <w:rsid w:val="00726279"/>
    <w:rsid w:val="007268E1"/>
    <w:rsid w:val="0072692D"/>
    <w:rsid w:val="00726A9B"/>
    <w:rsid w:val="00726D75"/>
    <w:rsid w:val="00727530"/>
    <w:rsid w:val="0072757A"/>
    <w:rsid w:val="007275F1"/>
    <w:rsid w:val="00727FE0"/>
    <w:rsid w:val="007304FC"/>
    <w:rsid w:val="007311C4"/>
    <w:rsid w:val="007314F0"/>
    <w:rsid w:val="00731E7C"/>
    <w:rsid w:val="007329EF"/>
    <w:rsid w:val="0073327A"/>
    <w:rsid w:val="00734539"/>
    <w:rsid w:val="007347A5"/>
    <w:rsid w:val="00734EBE"/>
    <w:rsid w:val="00734F68"/>
    <w:rsid w:val="00735549"/>
    <w:rsid w:val="00735DD7"/>
    <w:rsid w:val="00735EA8"/>
    <w:rsid w:val="00736DD8"/>
    <w:rsid w:val="00737832"/>
    <w:rsid w:val="00740106"/>
    <w:rsid w:val="0074076A"/>
    <w:rsid w:val="0074165B"/>
    <w:rsid w:val="00741AF4"/>
    <w:rsid w:val="00741DCC"/>
    <w:rsid w:val="0074203A"/>
    <w:rsid w:val="007427B5"/>
    <w:rsid w:val="00742865"/>
    <w:rsid w:val="0074296C"/>
    <w:rsid w:val="00742B7D"/>
    <w:rsid w:val="00742C83"/>
    <w:rsid w:val="00743077"/>
    <w:rsid w:val="0074315A"/>
    <w:rsid w:val="0074360F"/>
    <w:rsid w:val="00744278"/>
    <w:rsid w:val="007448CE"/>
    <w:rsid w:val="00744A26"/>
    <w:rsid w:val="00744A64"/>
    <w:rsid w:val="00744D47"/>
    <w:rsid w:val="00744EA0"/>
    <w:rsid w:val="0074638D"/>
    <w:rsid w:val="00746484"/>
    <w:rsid w:val="007464F4"/>
    <w:rsid w:val="007465CC"/>
    <w:rsid w:val="0074704F"/>
    <w:rsid w:val="0074787C"/>
    <w:rsid w:val="00747F48"/>
    <w:rsid w:val="00747F4C"/>
    <w:rsid w:val="00750721"/>
    <w:rsid w:val="00751091"/>
    <w:rsid w:val="00751B83"/>
    <w:rsid w:val="0075268B"/>
    <w:rsid w:val="00753191"/>
    <w:rsid w:val="00754359"/>
    <w:rsid w:val="00754411"/>
    <w:rsid w:val="00754666"/>
    <w:rsid w:val="00754BD9"/>
    <w:rsid w:val="00754E7A"/>
    <w:rsid w:val="0075540C"/>
    <w:rsid w:val="00755DB1"/>
    <w:rsid w:val="00756376"/>
    <w:rsid w:val="007574FC"/>
    <w:rsid w:val="007603F1"/>
    <w:rsid w:val="00760975"/>
    <w:rsid w:val="00761A5B"/>
    <w:rsid w:val="00761E64"/>
    <w:rsid w:val="00761FDA"/>
    <w:rsid w:val="007621FF"/>
    <w:rsid w:val="007634E3"/>
    <w:rsid w:val="00764194"/>
    <w:rsid w:val="0076443E"/>
    <w:rsid w:val="00765ABD"/>
    <w:rsid w:val="00765ED3"/>
    <w:rsid w:val="00766160"/>
    <w:rsid w:val="0076681D"/>
    <w:rsid w:val="00766A65"/>
    <w:rsid w:val="007670BB"/>
    <w:rsid w:val="007671F5"/>
    <w:rsid w:val="007676B8"/>
    <w:rsid w:val="00770545"/>
    <w:rsid w:val="00770D5E"/>
    <w:rsid w:val="0077175C"/>
    <w:rsid w:val="00771870"/>
    <w:rsid w:val="00771BF9"/>
    <w:rsid w:val="0077212A"/>
    <w:rsid w:val="00772F8A"/>
    <w:rsid w:val="0077305E"/>
    <w:rsid w:val="00773641"/>
    <w:rsid w:val="007739C6"/>
    <w:rsid w:val="00773DB7"/>
    <w:rsid w:val="00774889"/>
    <w:rsid w:val="00774FF5"/>
    <w:rsid w:val="007750B3"/>
    <w:rsid w:val="00775F76"/>
    <w:rsid w:val="007768C6"/>
    <w:rsid w:val="00776983"/>
    <w:rsid w:val="00776AEA"/>
    <w:rsid w:val="00776D25"/>
    <w:rsid w:val="00777BA0"/>
    <w:rsid w:val="007803BD"/>
    <w:rsid w:val="007803E9"/>
    <w:rsid w:val="00780507"/>
    <w:rsid w:val="007811DC"/>
    <w:rsid w:val="007814EF"/>
    <w:rsid w:val="00781C62"/>
    <w:rsid w:val="007820FA"/>
    <w:rsid w:val="00782371"/>
    <w:rsid w:val="0078285F"/>
    <w:rsid w:val="00783207"/>
    <w:rsid w:val="0078346F"/>
    <w:rsid w:val="00783896"/>
    <w:rsid w:val="00783E1D"/>
    <w:rsid w:val="007846A9"/>
    <w:rsid w:val="0078483B"/>
    <w:rsid w:val="00784C52"/>
    <w:rsid w:val="00784EED"/>
    <w:rsid w:val="007851E8"/>
    <w:rsid w:val="00785900"/>
    <w:rsid w:val="00785D3A"/>
    <w:rsid w:val="00786810"/>
    <w:rsid w:val="00786958"/>
    <w:rsid w:val="00786A97"/>
    <w:rsid w:val="00786DD3"/>
    <w:rsid w:val="00786E71"/>
    <w:rsid w:val="0078772F"/>
    <w:rsid w:val="007908F8"/>
    <w:rsid w:val="0079162F"/>
    <w:rsid w:val="00793B64"/>
    <w:rsid w:val="00794924"/>
    <w:rsid w:val="0079506E"/>
    <w:rsid w:val="007963FD"/>
    <w:rsid w:val="007A0BC2"/>
    <w:rsid w:val="007A1F44"/>
    <w:rsid w:val="007A2115"/>
    <w:rsid w:val="007A23FF"/>
    <w:rsid w:val="007A25D6"/>
    <w:rsid w:val="007A295B"/>
    <w:rsid w:val="007A3424"/>
    <w:rsid w:val="007A35EF"/>
    <w:rsid w:val="007A43A2"/>
    <w:rsid w:val="007A4D04"/>
    <w:rsid w:val="007A59F6"/>
    <w:rsid w:val="007A7A96"/>
    <w:rsid w:val="007B03AF"/>
    <w:rsid w:val="007B0D96"/>
    <w:rsid w:val="007B1543"/>
    <w:rsid w:val="007B1AC0"/>
    <w:rsid w:val="007B1B9F"/>
    <w:rsid w:val="007B25A8"/>
    <w:rsid w:val="007B270A"/>
    <w:rsid w:val="007B2D3B"/>
    <w:rsid w:val="007B5018"/>
    <w:rsid w:val="007B52CD"/>
    <w:rsid w:val="007B74F9"/>
    <w:rsid w:val="007B7DC1"/>
    <w:rsid w:val="007B7EDB"/>
    <w:rsid w:val="007C0043"/>
    <w:rsid w:val="007C0718"/>
    <w:rsid w:val="007C19AD"/>
    <w:rsid w:val="007C1F83"/>
    <w:rsid w:val="007C27C8"/>
    <w:rsid w:val="007C2977"/>
    <w:rsid w:val="007C2A16"/>
    <w:rsid w:val="007C2ABC"/>
    <w:rsid w:val="007C3598"/>
    <w:rsid w:val="007C3D6D"/>
    <w:rsid w:val="007C3FA8"/>
    <w:rsid w:val="007C417E"/>
    <w:rsid w:val="007C4735"/>
    <w:rsid w:val="007C5956"/>
    <w:rsid w:val="007C5F1A"/>
    <w:rsid w:val="007C62C1"/>
    <w:rsid w:val="007C6552"/>
    <w:rsid w:val="007C669D"/>
    <w:rsid w:val="007C68DA"/>
    <w:rsid w:val="007C70BF"/>
    <w:rsid w:val="007C7BB9"/>
    <w:rsid w:val="007D01D9"/>
    <w:rsid w:val="007D0BB4"/>
    <w:rsid w:val="007D1C9B"/>
    <w:rsid w:val="007D229A"/>
    <w:rsid w:val="007D2F44"/>
    <w:rsid w:val="007D2F4D"/>
    <w:rsid w:val="007D3C97"/>
    <w:rsid w:val="007D4178"/>
    <w:rsid w:val="007D4D33"/>
    <w:rsid w:val="007D5403"/>
    <w:rsid w:val="007D5C21"/>
    <w:rsid w:val="007D6B47"/>
    <w:rsid w:val="007D7175"/>
    <w:rsid w:val="007D7ADE"/>
    <w:rsid w:val="007E02A5"/>
    <w:rsid w:val="007E1369"/>
    <w:rsid w:val="007E1A1B"/>
    <w:rsid w:val="007E1A88"/>
    <w:rsid w:val="007E27EB"/>
    <w:rsid w:val="007E2F3D"/>
    <w:rsid w:val="007E3B71"/>
    <w:rsid w:val="007E4450"/>
    <w:rsid w:val="007E4782"/>
    <w:rsid w:val="007E4C88"/>
    <w:rsid w:val="007E52BF"/>
    <w:rsid w:val="007E57CA"/>
    <w:rsid w:val="007E585E"/>
    <w:rsid w:val="007E5FD9"/>
    <w:rsid w:val="007E6151"/>
    <w:rsid w:val="007E635F"/>
    <w:rsid w:val="007E6E00"/>
    <w:rsid w:val="007E7223"/>
    <w:rsid w:val="007E7B35"/>
    <w:rsid w:val="007E7D52"/>
    <w:rsid w:val="007E7DDF"/>
    <w:rsid w:val="007F070A"/>
    <w:rsid w:val="007F0B2A"/>
    <w:rsid w:val="007F11C8"/>
    <w:rsid w:val="007F1205"/>
    <w:rsid w:val="007F17EA"/>
    <w:rsid w:val="007F1CFB"/>
    <w:rsid w:val="007F1F1C"/>
    <w:rsid w:val="007F2146"/>
    <w:rsid w:val="007F220B"/>
    <w:rsid w:val="007F22F5"/>
    <w:rsid w:val="007F25C6"/>
    <w:rsid w:val="007F27DD"/>
    <w:rsid w:val="007F2826"/>
    <w:rsid w:val="007F4247"/>
    <w:rsid w:val="007F4C0A"/>
    <w:rsid w:val="007F4D22"/>
    <w:rsid w:val="007F50B1"/>
    <w:rsid w:val="007F5116"/>
    <w:rsid w:val="007F58C6"/>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245F"/>
    <w:rsid w:val="00802BFD"/>
    <w:rsid w:val="00802E74"/>
    <w:rsid w:val="0080439D"/>
    <w:rsid w:val="00804B92"/>
    <w:rsid w:val="00804DA1"/>
    <w:rsid w:val="00804E21"/>
    <w:rsid w:val="00804E7A"/>
    <w:rsid w:val="00805092"/>
    <w:rsid w:val="00805F15"/>
    <w:rsid w:val="008061C7"/>
    <w:rsid w:val="008064D0"/>
    <w:rsid w:val="00806565"/>
    <w:rsid w:val="00806AAF"/>
    <w:rsid w:val="008070AC"/>
    <w:rsid w:val="008074A5"/>
    <w:rsid w:val="008074C6"/>
    <w:rsid w:val="00807D99"/>
    <w:rsid w:val="008101FD"/>
    <w:rsid w:val="00810D8D"/>
    <w:rsid w:val="00811835"/>
    <w:rsid w:val="00811EE5"/>
    <w:rsid w:val="00812765"/>
    <w:rsid w:val="008128B1"/>
    <w:rsid w:val="00812FCD"/>
    <w:rsid w:val="00813FD5"/>
    <w:rsid w:val="0081452D"/>
    <w:rsid w:val="00814E3E"/>
    <w:rsid w:val="00814F60"/>
    <w:rsid w:val="008156F8"/>
    <w:rsid w:val="0081581D"/>
    <w:rsid w:val="00816E9B"/>
    <w:rsid w:val="00816FCB"/>
    <w:rsid w:val="0081726C"/>
    <w:rsid w:val="008172BE"/>
    <w:rsid w:val="00817B71"/>
    <w:rsid w:val="00820244"/>
    <w:rsid w:val="008205E8"/>
    <w:rsid w:val="00820C37"/>
    <w:rsid w:val="00820DCE"/>
    <w:rsid w:val="0082102D"/>
    <w:rsid w:val="00821099"/>
    <w:rsid w:val="0082113E"/>
    <w:rsid w:val="008211CF"/>
    <w:rsid w:val="008221B3"/>
    <w:rsid w:val="0082232D"/>
    <w:rsid w:val="0082248E"/>
    <w:rsid w:val="008224EA"/>
    <w:rsid w:val="008228D4"/>
    <w:rsid w:val="00822944"/>
    <w:rsid w:val="00822E2E"/>
    <w:rsid w:val="00823FB6"/>
    <w:rsid w:val="00824B6F"/>
    <w:rsid w:val="00824E0E"/>
    <w:rsid w:val="00824FDF"/>
    <w:rsid w:val="00825125"/>
    <w:rsid w:val="00825749"/>
    <w:rsid w:val="008257CC"/>
    <w:rsid w:val="00825F5C"/>
    <w:rsid w:val="00826345"/>
    <w:rsid w:val="00826609"/>
    <w:rsid w:val="0082696E"/>
    <w:rsid w:val="00826ACF"/>
    <w:rsid w:val="008274BF"/>
    <w:rsid w:val="00830DC3"/>
    <w:rsid w:val="00831555"/>
    <w:rsid w:val="00831F52"/>
    <w:rsid w:val="00832154"/>
    <w:rsid w:val="008322AF"/>
    <w:rsid w:val="00832F5C"/>
    <w:rsid w:val="00834046"/>
    <w:rsid w:val="00834489"/>
    <w:rsid w:val="00834DE6"/>
    <w:rsid w:val="00834ECD"/>
    <w:rsid w:val="008359E0"/>
    <w:rsid w:val="0083689A"/>
    <w:rsid w:val="008376F6"/>
    <w:rsid w:val="00837840"/>
    <w:rsid w:val="00837D5B"/>
    <w:rsid w:val="00840607"/>
    <w:rsid w:val="00840A16"/>
    <w:rsid w:val="008412DD"/>
    <w:rsid w:val="00841CD2"/>
    <w:rsid w:val="00842666"/>
    <w:rsid w:val="00842899"/>
    <w:rsid w:val="00842B77"/>
    <w:rsid w:val="00842B92"/>
    <w:rsid w:val="0084309F"/>
    <w:rsid w:val="008435CF"/>
    <w:rsid w:val="0084556E"/>
    <w:rsid w:val="00845A77"/>
    <w:rsid w:val="00845B5C"/>
    <w:rsid w:val="00845C12"/>
    <w:rsid w:val="00846716"/>
    <w:rsid w:val="00846791"/>
    <w:rsid w:val="00846918"/>
    <w:rsid w:val="008469D9"/>
    <w:rsid w:val="00846DC0"/>
    <w:rsid w:val="008474A7"/>
    <w:rsid w:val="008506B6"/>
    <w:rsid w:val="00850AE0"/>
    <w:rsid w:val="00850EB2"/>
    <w:rsid w:val="0085140C"/>
    <w:rsid w:val="008524D2"/>
    <w:rsid w:val="00852E19"/>
    <w:rsid w:val="008551A3"/>
    <w:rsid w:val="00855B38"/>
    <w:rsid w:val="00855EFE"/>
    <w:rsid w:val="008560CC"/>
    <w:rsid w:val="00856441"/>
    <w:rsid w:val="00856833"/>
    <w:rsid w:val="00856840"/>
    <w:rsid w:val="0086087C"/>
    <w:rsid w:val="0086099F"/>
    <w:rsid w:val="00860D8E"/>
    <w:rsid w:val="00861562"/>
    <w:rsid w:val="00861D51"/>
    <w:rsid w:val="0086275E"/>
    <w:rsid w:val="00864384"/>
    <w:rsid w:val="00864440"/>
    <w:rsid w:val="008645BC"/>
    <w:rsid w:val="00864D76"/>
    <w:rsid w:val="008650FC"/>
    <w:rsid w:val="00866E61"/>
    <w:rsid w:val="00866EB3"/>
    <w:rsid w:val="0086701A"/>
    <w:rsid w:val="00867BD2"/>
    <w:rsid w:val="00867DDF"/>
    <w:rsid w:val="00870619"/>
    <w:rsid w:val="008707F7"/>
    <w:rsid w:val="008712FD"/>
    <w:rsid w:val="00871335"/>
    <w:rsid w:val="008716A1"/>
    <w:rsid w:val="00872AA7"/>
    <w:rsid w:val="00872D3F"/>
    <w:rsid w:val="00872F59"/>
    <w:rsid w:val="008733AA"/>
    <w:rsid w:val="008733E4"/>
    <w:rsid w:val="00873F15"/>
    <w:rsid w:val="00874096"/>
    <w:rsid w:val="008756A4"/>
    <w:rsid w:val="00875793"/>
    <w:rsid w:val="00875F73"/>
    <w:rsid w:val="008766AC"/>
    <w:rsid w:val="00877049"/>
    <w:rsid w:val="00877F0E"/>
    <w:rsid w:val="00877F56"/>
    <w:rsid w:val="00880389"/>
    <w:rsid w:val="00880933"/>
    <w:rsid w:val="00880D53"/>
    <w:rsid w:val="00880F30"/>
    <w:rsid w:val="00881035"/>
    <w:rsid w:val="00881708"/>
    <w:rsid w:val="00882238"/>
    <w:rsid w:val="008833E8"/>
    <w:rsid w:val="00885457"/>
    <w:rsid w:val="00886333"/>
    <w:rsid w:val="008865C8"/>
    <w:rsid w:val="0088759F"/>
    <w:rsid w:val="00887746"/>
    <w:rsid w:val="008877AF"/>
    <w:rsid w:val="0088796E"/>
    <w:rsid w:val="00887B48"/>
    <w:rsid w:val="00890D89"/>
    <w:rsid w:val="00890E76"/>
    <w:rsid w:val="00890EC6"/>
    <w:rsid w:val="0089111A"/>
    <w:rsid w:val="0089176E"/>
    <w:rsid w:val="008917E0"/>
    <w:rsid w:val="008918B6"/>
    <w:rsid w:val="00892365"/>
    <w:rsid w:val="00892BE5"/>
    <w:rsid w:val="0089387C"/>
    <w:rsid w:val="0089444E"/>
    <w:rsid w:val="008949DF"/>
    <w:rsid w:val="008951DB"/>
    <w:rsid w:val="008952E3"/>
    <w:rsid w:val="00895E17"/>
    <w:rsid w:val="00896160"/>
    <w:rsid w:val="0089691B"/>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A9E"/>
    <w:rsid w:val="008A3D02"/>
    <w:rsid w:val="008A3F1E"/>
    <w:rsid w:val="008A4B7C"/>
    <w:rsid w:val="008A4FEB"/>
    <w:rsid w:val="008A583D"/>
    <w:rsid w:val="008A5940"/>
    <w:rsid w:val="008A732B"/>
    <w:rsid w:val="008A73B2"/>
    <w:rsid w:val="008A7425"/>
    <w:rsid w:val="008B034B"/>
    <w:rsid w:val="008B043F"/>
    <w:rsid w:val="008B0808"/>
    <w:rsid w:val="008B0AEC"/>
    <w:rsid w:val="008B0DFB"/>
    <w:rsid w:val="008B0FB4"/>
    <w:rsid w:val="008B1828"/>
    <w:rsid w:val="008B1E53"/>
    <w:rsid w:val="008B1E5B"/>
    <w:rsid w:val="008B24DC"/>
    <w:rsid w:val="008B2C7D"/>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6684"/>
    <w:rsid w:val="008B7B08"/>
    <w:rsid w:val="008C068D"/>
    <w:rsid w:val="008C0724"/>
    <w:rsid w:val="008C0890"/>
    <w:rsid w:val="008C13F0"/>
    <w:rsid w:val="008C1F26"/>
    <w:rsid w:val="008C1F57"/>
    <w:rsid w:val="008C2A3A"/>
    <w:rsid w:val="008C2F69"/>
    <w:rsid w:val="008C376C"/>
    <w:rsid w:val="008C3D8B"/>
    <w:rsid w:val="008C4329"/>
    <w:rsid w:val="008C44D1"/>
    <w:rsid w:val="008C47A0"/>
    <w:rsid w:val="008C4C7E"/>
    <w:rsid w:val="008C5C46"/>
    <w:rsid w:val="008C6184"/>
    <w:rsid w:val="008C6865"/>
    <w:rsid w:val="008C7008"/>
    <w:rsid w:val="008C72BC"/>
    <w:rsid w:val="008C785E"/>
    <w:rsid w:val="008C7DD4"/>
    <w:rsid w:val="008D0863"/>
    <w:rsid w:val="008D0AFB"/>
    <w:rsid w:val="008D1470"/>
    <w:rsid w:val="008D1511"/>
    <w:rsid w:val="008D17D9"/>
    <w:rsid w:val="008D184F"/>
    <w:rsid w:val="008D27E2"/>
    <w:rsid w:val="008D32DF"/>
    <w:rsid w:val="008D35E9"/>
    <w:rsid w:val="008D3959"/>
    <w:rsid w:val="008D3966"/>
    <w:rsid w:val="008D3BDF"/>
    <w:rsid w:val="008D4352"/>
    <w:rsid w:val="008D5A60"/>
    <w:rsid w:val="008D60BC"/>
    <w:rsid w:val="008D665E"/>
    <w:rsid w:val="008D6D7B"/>
    <w:rsid w:val="008D6EA4"/>
    <w:rsid w:val="008D7041"/>
    <w:rsid w:val="008D7D04"/>
    <w:rsid w:val="008D7EB7"/>
    <w:rsid w:val="008E01F5"/>
    <w:rsid w:val="008E0430"/>
    <w:rsid w:val="008E04DE"/>
    <w:rsid w:val="008E0EB8"/>
    <w:rsid w:val="008E10A6"/>
    <w:rsid w:val="008E1271"/>
    <w:rsid w:val="008E1A5B"/>
    <w:rsid w:val="008E205D"/>
    <w:rsid w:val="008E2251"/>
    <w:rsid w:val="008E24B3"/>
    <w:rsid w:val="008E24CA"/>
    <w:rsid w:val="008E2F6E"/>
    <w:rsid w:val="008E3359"/>
    <w:rsid w:val="008E38AD"/>
    <w:rsid w:val="008E3EEC"/>
    <w:rsid w:val="008E46AE"/>
    <w:rsid w:val="008E4BB8"/>
    <w:rsid w:val="008E50AB"/>
    <w:rsid w:val="008E5BF2"/>
    <w:rsid w:val="008E5C81"/>
    <w:rsid w:val="008E613D"/>
    <w:rsid w:val="008E61F9"/>
    <w:rsid w:val="008E6A9D"/>
    <w:rsid w:val="008E6B99"/>
    <w:rsid w:val="008E6D23"/>
    <w:rsid w:val="008F0A38"/>
    <w:rsid w:val="008F0A5A"/>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0FCB"/>
    <w:rsid w:val="00902232"/>
    <w:rsid w:val="00902341"/>
    <w:rsid w:val="009027C8"/>
    <w:rsid w:val="00902D33"/>
    <w:rsid w:val="009031A6"/>
    <w:rsid w:val="00903802"/>
    <w:rsid w:val="00904584"/>
    <w:rsid w:val="00904640"/>
    <w:rsid w:val="00904748"/>
    <w:rsid w:val="009054E2"/>
    <w:rsid w:val="00905A8D"/>
    <w:rsid w:val="00905BCE"/>
    <w:rsid w:val="00905F2A"/>
    <w:rsid w:val="00906118"/>
    <w:rsid w:val="0090696D"/>
    <w:rsid w:val="00906CD6"/>
    <w:rsid w:val="00906E4D"/>
    <w:rsid w:val="00906F31"/>
    <w:rsid w:val="0090729B"/>
    <w:rsid w:val="00907576"/>
    <w:rsid w:val="009078B3"/>
    <w:rsid w:val="00907A4F"/>
    <w:rsid w:val="00907A77"/>
    <w:rsid w:val="00907B21"/>
    <w:rsid w:val="00907C68"/>
    <w:rsid w:val="00907E00"/>
    <w:rsid w:val="00910606"/>
    <w:rsid w:val="0091088D"/>
    <w:rsid w:val="00910BE1"/>
    <w:rsid w:val="00910FC9"/>
    <w:rsid w:val="009122A6"/>
    <w:rsid w:val="0091291A"/>
    <w:rsid w:val="00912953"/>
    <w:rsid w:val="00912988"/>
    <w:rsid w:val="009133A6"/>
    <w:rsid w:val="00913612"/>
    <w:rsid w:val="0091366A"/>
    <w:rsid w:val="00913824"/>
    <w:rsid w:val="00915757"/>
    <w:rsid w:val="009159B3"/>
    <w:rsid w:val="00915FC5"/>
    <w:rsid w:val="0091607D"/>
    <w:rsid w:val="00916181"/>
    <w:rsid w:val="00916367"/>
    <w:rsid w:val="009204C5"/>
    <w:rsid w:val="0092180D"/>
    <w:rsid w:val="009218BD"/>
    <w:rsid w:val="00922F17"/>
    <w:rsid w:val="009232C9"/>
    <w:rsid w:val="00923608"/>
    <w:rsid w:val="009238E5"/>
    <w:rsid w:val="00923F12"/>
    <w:rsid w:val="00924FF8"/>
    <w:rsid w:val="009258AE"/>
    <w:rsid w:val="00925BA8"/>
    <w:rsid w:val="009266C8"/>
    <w:rsid w:val="00926DA7"/>
    <w:rsid w:val="009277E1"/>
    <w:rsid w:val="00927F41"/>
    <w:rsid w:val="00927F8B"/>
    <w:rsid w:val="009300E4"/>
    <w:rsid w:val="009303AF"/>
    <w:rsid w:val="0093094D"/>
    <w:rsid w:val="00930D5D"/>
    <w:rsid w:val="009312BE"/>
    <w:rsid w:val="009328C7"/>
    <w:rsid w:val="00932E11"/>
    <w:rsid w:val="00932ECB"/>
    <w:rsid w:val="009336EC"/>
    <w:rsid w:val="009336FD"/>
    <w:rsid w:val="0093387F"/>
    <w:rsid w:val="00933F56"/>
    <w:rsid w:val="009346EE"/>
    <w:rsid w:val="00934C13"/>
    <w:rsid w:val="0093515C"/>
    <w:rsid w:val="00935228"/>
    <w:rsid w:val="009355A2"/>
    <w:rsid w:val="009359CE"/>
    <w:rsid w:val="00935F9E"/>
    <w:rsid w:val="0093691F"/>
    <w:rsid w:val="00936D98"/>
    <w:rsid w:val="0093765A"/>
    <w:rsid w:val="00940324"/>
    <w:rsid w:val="00941523"/>
    <w:rsid w:val="009417E4"/>
    <w:rsid w:val="00942C80"/>
    <w:rsid w:val="00943029"/>
    <w:rsid w:val="00943197"/>
    <w:rsid w:val="00943460"/>
    <w:rsid w:val="00943577"/>
    <w:rsid w:val="009435F2"/>
    <w:rsid w:val="00943AFB"/>
    <w:rsid w:val="009446D2"/>
    <w:rsid w:val="00944856"/>
    <w:rsid w:val="00945180"/>
    <w:rsid w:val="0094590C"/>
    <w:rsid w:val="00946355"/>
    <w:rsid w:val="009468B7"/>
    <w:rsid w:val="00946ACC"/>
    <w:rsid w:val="0094724E"/>
    <w:rsid w:val="00947973"/>
    <w:rsid w:val="00947BE6"/>
    <w:rsid w:val="0095048D"/>
    <w:rsid w:val="00950729"/>
    <w:rsid w:val="00951300"/>
    <w:rsid w:val="00951ADB"/>
    <w:rsid w:val="00952253"/>
    <w:rsid w:val="00952CB8"/>
    <w:rsid w:val="0095380C"/>
    <w:rsid w:val="009540C0"/>
    <w:rsid w:val="00954353"/>
    <w:rsid w:val="00954ADF"/>
    <w:rsid w:val="00955C0A"/>
    <w:rsid w:val="00955C4F"/>
    <w:rsid w:val="00956109"/>
    <w:rsid w:val="00956BBB"/>
    <w:rsid w:val="009575AA"/>
    <w:rsid w:val="00957945"/>
    <w:rsid w:val="00960980"/>
    <w:rsid w:val="00960CE7"/>
    <w:rsid w:val="00961A13"/>
    <w:rsid w:val="00962EB2"/>
    <w:rsid w:val="00963B86"/>
    <w:rsid w:val="00964777"/>
    <w:rsid w:val="009657F1"/>
    <w:rsid w:val="00965C8A"/>
    <w:rsid w:val="0096625D"/>
    <w:rsid w:val="0096648B"/>
    <w:rsid w:val="009664F5"/>
    <w:rsid w:val="00966A93"/>
    <w:rsid w:val="009677AE"/>
    <w:rsid w:val="009705D8"/>
    <w:rsid w:val="009709F8"/>
    <w:rsid w:val="00970BD4"/>
    <w:rsid w:val="00971C9C"/>
    <w:rsid w:val="0097271B"/>
    <w:rsid w:val="009728F6"/>
    <w:rsid w:val="00972929"/>
    <w:rsid w:val="00972F91"/>
    <w:rsid w:val="0097317C"/>
    <w:rsid w:val="00973827"/>
    <w:rsid w:val="009738B6"/>
    <w:rsid w:val="009739F2"/>
    <w:rsid w:val="00973D63"/>
    <w:rsid w:val="009742D3"/>
    <w:rsid w:val="00975927"/>
    <w:rsid w:val="0097597B"/>
    <w:rsid w:val="00975ED7"/>
    <w:rsid w:val="00976DBE"/>
    <w:rsid w:val="00976F32"/>
    <w:rsid w:val="00977BA7"/>
    <w:rsid w:val="00977E45"/>
    <w:rsid w:val="00977EB0"/>
    <w:rsid w:val="009801D4"/>
    <w:rsid w:val="00980506"/>
    <w:rsid w:val="00980517"/>
    <w:rsid w:val="0098086D"/>
    <w:rsid w:val="0098194F"/>
    <w:rsid w:val="009826C8"/>
    <w:rsid w:val="00982B17"/>
    <w:rsid w:val="00982F56"/>
    <w:rsid w:val="00982F5C"/>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8B"/>
    <w:rsid w:val="00990BD5"/>
    <w:rsid w:val="0099196F"/>
    <w:rsid w:val="00991CD6"/>
    <w:rsid w:val="00992B98"/>
    <w:rsid w:val="00993417"/>
    <w:rsid w:val="0099359F"/>
    <w:rsid w:val="00994505"/>
    <w:rsid w:val="00994813"/>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73D"/>
    <w:rsid w:val="009A1CC9"/>
    <w:rsid w:val="009A29DB"/>
    <w:rsid w:val="009A2DF9"/>
    <w:rsid w:val="009A373B"/>
    <w:rsid w:val="009A3A86"/>
    <w:rsid w:val="009A3CEB"/>
    <w:rsid w:val="009A3DB8"/>
    <w:rsid w:val="009A4282"/>
    <w:rsid w:val="009A4869"/>
    <w:rsid w:val="009A5091"/>
    <w:rsid w:val="009A63E0"/>
    <w:rsid w:val="009A6A6B"/>
    <w:rsid w:val="009A7929"/>
    <w:rsid w:val="009A7DAA"/>
    <w:rsid w:val="009B0270"/>
    <w:rsid w:val="009B03F6"/>
    <w:rsid w:val="009B1EF9"/>
    <w:rsid w:val="009B24E0"/>
    <w:rsid w:val="009B26AC"/>
    <w:rsid w:val="009B3201"/>
    <w:rsid w:val="009B37E2"/>
    <w:rsid w:val="009B4519"/>
    <w:rsid w:val="009B46F7"/>
    <w:rsid w:val="009B506B"/>
    <w:rsid w:val="009B534B"/>
    <w:rsid w:val="009B56EA"/>
    <w:rsid w:val="009B57EF"/>
    <w:rsid w:val="009B5B67"/>
    <w:rsid w:val="009B5B85"/>
    <w:rsid w:val="009B611B"/>
    <w:rsid w:val="009B6141"/>
    <w:rsid w:val="009B62D3"/>
    <w:rsid w:val="009B650C"/>
    <w:rsid w:val="009B66AF"/>
    <w:rsid w:val="009B6C34"/>
    <w:rsid w:val="009B6D48"/>
    <w:rsid w:val="009B7204"/>
    <w:rsid w:val="009B725F"/>
    <w:rsid w:val="009B7B5B"/>
    <w:rsid w:val="009B7BB3"/>
    <w:rsid w:val="009C0074"/>
    <w:rsid w:val="009C0564"/>
    <w:rsid w:val="009C0F04"/>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3D9A"/>
    <w:rsid w:val="009D4C59"/>
    <w:rsid w:val="009D4CBF"/>
    <w:rsid w:val="009D4D26"/>
    <w:rsid w:val="009D590D"/>
    <w:rsid w:val="009D5BAB"/>
    <w:rsid w:val="009D5FF6"/>
    <w:rsid w:val="009D6051"/>
    <w:rsid w:val="009D6A0A"/>
    <w:rsid w:val="009D7580"/>
    <w:rsid w:val="009E058F"/>
    <w:rsid w:val="009E0A3B"/>
    <w:rsid w:val="009E0A9E"/>
    <w:rsid w:val="009E17D4"/>
    <w:rsid w:val="009E19A2"/>
    <w:rsid w:val="009E34DE"/>
    <w:rsid w:val="009E3A88"/>
    <w:rsid w:val="009E3AFD"/>
    <w:rsid w:val="009E3CDD"/>
    <w:rsid w:val="009E4233"/>
    <w:rsid w:val="009E4A12"/>
    <w:rsid w:val="009E4B16"/>
    <w:rsid w:val="009E4F07"/>
    <w:rsid w:val="009E5ACF"/>
    <w:rsid w:val="009E5C60"/>
    <w:rsid w:val="009E64DB"/>
    <w:rsid w:val="009E65E2"/>
    <w:rsid w:val="009E664F"/>
    <w:rsid w:val="009E6794"/>
    <w:rsid w:val="009E7189"/>
    <w:rsid w:val="009E71C8"/>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3FB5"/>
    <w:rsid w:val="009F4129"/>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23A1"/>
    <w:rsid w:val="00A032F3"/>
    <w:rsid w:val="00A037D6"/>
    <w:rsid w:val="00A03A22"/>
    <w:rsid w:val="00A03E46"/>
    <w:rsid w:val="00A04294"/>
    <w:rsid w:val="00A04634"/>
    <w:rsid w:val="00A0497B"/>
    <w:rsid w:val="00A04D2D"/>
    <w:rsid w:val="00A04D67"/>
    <w:rsid w:val="00A0556E"/>
    <w:rsid w:val="00A05672"/>
    <w:rsid w:val="00A06119"/>
    <w:rsid w:val="00A06E12"/>
    <w:rsid w:val="00A0703A"/>
    <w:rsid w:val="00A074E5"/>
    <w:rsid w:val="00A07A48"/>
    <w:rsid w:val="00A108EE"/>
    <w:rsid w:val="00A10BB8"/>
    <w:rsid w:val="00A1180F"/>
    <w:rsid w:val="00A11C08"/>
    <w:rsid w:val="00A11F8C"/>
    <w:rsid w:val="00A1200D"/>
    <w:rsid w:val="00A13415"/>
    <w:rsid w:val="00A13610"/>
    <w:rsid w:val="00A137E4"/>
    <w:rsid w:val="00A1396C"/>
    <w:rsid w:val="00A13DDD"/>
    <w:rsid w:val="00A14008"/>
    <w:rsid w:val="00A145A4"/>
    <w:rsid w:val="00A14813"/>
    <w:rsid w:val="00A150B2"/>
    <w:rsid w:val="00A154A5"/>
    <w:rsid w:val="00A1566A"/>
    <w:rsid w:val="00A164A8"/>
    <w:rsid w:val="00A165BF"/>
    <w:rsid w:val="00A16D53"/>
    <w:rsid w:val="00A16E83"/>
    <w:rsid w:val="00A172E8"/>
    <w:rsid w:val="00A17705"/>
    <w:rsid w:val="00A179FF"/>
    <w:rsid w:val="00A20BCE"/>
    <w:rsid w:val="00A217F2"/>
    <w:rsid w:val="00A21A36"/>
    <w:rsid w:val="00A21DF7"/>
    <w:rsid w:val="00A22401"/>
    <w:rsid w:val="00A2275C"/>
    <w:rsid w:val="00A22A44"/>
    <w:rsid w:val="00A22CC8"/>
    <w:rsid w:val="00A22E60"/>
    <w:rsid w:val="00A23C0B"/>
    <w:rsid w:val="00A241F4"/>
    <w:rsid w:val="00A24839"/>
    <w:rsid w:val="00A24B9F"/>
    <w:rsid w:val="00A25294"/>
    <w:rsid w:val="00A254EE"/>
    <w:rsid w:val="00A25BE7"/>
    <w:rsid w:val="00A26475"/>
    <w:rsid w:val="00A26627"/>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C39"/>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4E8"/>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599"/>
    <w:rsid w:val="00A54B82"/>
    <w:rsid w:val="00A5515C"/>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333A"/>
    <w:rsid w:val="00A736B2"/>
    <w:rsid w:val="00A73D0D"/>
    <w:rsid w:val="00A74A92"/>
    <w:rsid w:val="00A74E31"/>
    <w:rsid w:val="00A75399"/>
    <w:rsid w:val="00A75CC1"/>
    <w:rsid w:val="00A75E88"/>
    <w:rsid w:val="00A7611B"/>
    <w:rsid w:val="00A775B8"/>
    <w:rsid w:val="00A8056E"/>
    <w:rsid w:val="00A814BC"/>
    <w:rsid w:val="00A82D58"/>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87C3A"/>
    <w:rsid w:val="00A90165"/>
    <w:rsid w:val="00A90E72"/>
    <w:rsid w:val="00A90FE9"/>
    <w:rsid w:val="00A92286"/>
    <w:rsid w:val="00A922A2"/>
    <w:rsid w:val="00A93050"/>
    <w:rsid w:val="00A931F9"/>
    <w:rsid w:val="00A9327B"/>
    <w:rsid w:val="00A9361B"/>
    <w:rsid w:val="00A93B69"/>
    <w:rsid w:val="00A942D1"/>
    <w:rsid w:val="00A94335"/>
    <w:rsid w:val="00A95C8A"/>
    <w:rsid w:val="00A963C7"/>
    <w:rsid w:val="00A96C23"/>
    <w:rsid w:val="00AA07A5"/>
    <w:rsid w:val="00AA080D"/>
    <w:rsid w:val="00AA0A41"/>
    <w:rsid w:val="00AA0AF1"/>
    <w:rsid w:val="00AA0BF5"/>
    <w:rsid w:val="00AA1626"/>
    <w:rsid w:val="00AA1C25"/>
    <w:rsid w:val="00AA1C7A"/>
    <w:rsid w:val="00AA2133"/>
    <w:rsid w:val="00AA323E"/>
    <w:rsid w:val="00AA3DB7"/>
    <w:rsid w:val="00AA4073"/>
    <w:rsid w:val="00AA4358"/>
    <w:rsid w:val="00AA45A6"/>
    <w:rsid w:val="00AA50EB"/>
    <w:rsid w:val="00AA51F5"/>
    <w:rsid w:val="00AA5924"/>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9F4"/>
    <w:rsid w:val="00AB3F38"/>
    <w:rsid w:val="00AB43EC"/>
    <w:rsid w:val="00AB4BF4"/>
    <w:rsid w:val="00AB50FC"/>
    <w:rsid w:val="00AB577C"/>
    <w:rsid w:val="00AB5ADF"/>
    <w:rsid w:val="00AB5E57"/>
    <w:rsid w:val="00AB5FB8"/>
    <w:rsid w:val="00AB725F"/>
    <w:rsid w:val="00AC00EF"/>
    <w:rsid w:val="00AC0705"/>
    <w:rsid w:val="00AC109B"/>
    <w:rsid w:val="00AC209E"/>
    <w:rsid w:val="00AC2107"/>
    <w:rsid w:val="00AC36A6"/>
    <w:rsid w:val="00AC44D0"/>
    <w:rsid w:val="00AC4E94"/>
    <w:rsid w:val="00AC5636"/>
    <w:rsid w:val="00AC67A8"/>
    <w:rsid w:val="00AC6972"/>
    <w:rsid w:val="00AC74DA"/>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2F03"/>
    <w:rsid w:val="00AD3488"/>
    <w:rsid w:val="00AD364B"/>
    <w:rsid w:val="00AD3976"/>
    <w:rsid w:val="00AD4860"/>
    <w:rsid w:val="00AD4D2A"/>
    <w:rsid w:val="00AD542F"/>
    <w:rsid w:val="00AD5FBE"/>
    <w:rsid w:val="00AD6598"/>
    <w:rsid w:val="00AD7305"/>
    <w:rsid w:val="00AD75B2"/>
    <w:rsid w:val="00AD7D6C"/>
    <w:rsid w:val="00AD7E09"/>
    <w:rsid w:val="00AD7E64"/>
    <w:rsid w:val="00AE0C56"/>
    <w:rsid w:val="00AE141B"/>
    <w:rsid w:val="00AE149E"/>
    <w:rsid w:val="00AE2263"/>
    <w:rsid w:val="00AE22F2"/>
    <w:rsid w:val="00AE28C5"/>
    <w:rsid w:val="00AE29FC"/>
    <w:rsid w:val="00AE2ADF"/>
    <w:rsid w:val="00AE2B81"/>
    <w:rsid w:val="00AE2F3F"/>
    <w:rsid w:val="00AE3B4E"/>
    <w:rsid w:val="00AE4DDA"/>
    <w:rsid w:val="00AE5280"/>
    <w:rsid w:val="00AE53F9"/>
    <w:rsid w:val="00AE59EC"/>
    <w:rsid w:val="00AE67B3"/>
    <w:rsid w:val="00AE704D"/>
    <w:rsid w:val="00AE7864"/>
    <w:rsid w:val="00AE7933"/>
    <w:rsid w:val="00AE7949"/>
    <w:rsid w:val="00AF0B68"/>
    <w:rsid w:val="00AF0CBA"/>
    <w:rsid w:val="00AF1C6C"/>
    <w:rsid w:val="00AF25D5"/>
    <w:rsid w:val="00AF26F1"/>
    <w:rsid w:val="00AF3DBB"/>
    <w:rsid w:val="00AF4424"/>
    <w:rsid w:val="00AF4B8D"/>
    <w:rsid w:val="00AF5021"/>
    <w:rsid w:val="00AF5194"/>
    <w:rsid w:val="00AF53EF"/>
    <w:rsid w:val="00AF60E1"/>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6010"/>
    <w:rsid w:val="00B069D8"/>
    <w:rsid w:val="00B07150"/>
    <w:rsid w:val="00B072D4"/>
    <w:rsid w:val="00B07A86"/>
    <w:rsid w:val="00B10558"/>
    <w:rsid w:val="00B11B28"/>
    <w:rsid w:val="00B12595"/>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1722"/>
    <w:rsid w:val="00B226C7"/>
    <w:rsid w:val="00B22743"/>
    <w:rsid w:val="00B22C0D"/>
    <w:rsid w:val="00B22FB9"/>
    <w:rsid w:val="00B2334E"/>
    <w:rsid w:val="00B23AF4"/>
    <w:rsid w:val="00B23C15"/>
    <w:rsid w:val="00B243F2"/>
    <w:rsid w:val="00B25762"/>
    <w:rsid w:val="00B25860"/>
    <w:rsid w:val="00B25981"/>
    <w:rsid w:val="00B25B40"/>
    <w:rsid w:val="00B25FDE"/>
    <w:rsid w:val="00B26AB0"/>
    <w:rsid w:val="00B26AD2"/>
    <w:rsid w:val="00B26CA2"/>
    <w:rsid w:val="00B27947"/>
    <w:rsid w:val="00B27A9B"/>
    <w:rsid w:val="00B30B4E"/>
    <w:rsid w:val="00B31246"/>
    <w:rsid w:val="00B315E3"/>
    <w:rsid w:val="00B31D6D"/>
    <w:rsid w:val="00B3214A"/>
    <w:rsid w:val="00B32347"/>
    <w:rsid w:val="00B326FF"/>
    <w:rsid w:val="00B32864"/>
    <w:rsid w:val="00B32AA1"/>
    <w:rsid w:val="00B33157"/>
    <w:rsid w:val="00B3378D"/>
    <w:rsid w:val="00B33BA7"/>
    <w:rsid w:val="00B340AA"/>
    <w:rsid w:val="00B34A9F"/>
    <w:rsid w:val="00B34B80"/>
    <w:rsid w:val="00B3501B"/>
    <w:rsid w:val="00B354B5"/>
    <w:rsid w:val="00B35CDA"/>
    <w:rsid w:val="00B37047"/>
    <w:rsid w:val="00B372F2"/>
    <w:rsid w:val="00B37D97"/>
    <w:rsid w:val="00B40BC3"/>
    <w:rsid w:val="00B411BD"/>
    <w:rsid w:val="00B41559"/>
    <w:rsid w:val="00B418E8"/>
    <w:rsid w:val="00B42285"/>
    <w:rsid w:val="00B4229B"/>
    <w:rsid w:val="00B4274B"/>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2E60"/>
    <w:rsid w:val="00B5310E"/>
    <w:rsid w:val="00B5321B"/>
    <w:rsid w:val="00B53F3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AD8"/>
    <w:rsid w:val="00B61BE2"/>
    <w:rsid w:val="00B6266F"/>
    <w:rsid w:val="00B62907"/>
    <w:rsid w:val="00B62E0B"/>
    <w:rsid w:val="00B63430"/>
    <w:rsid w:val="00B63C32"/>
    <w:rsid w:val="00B64434"/>
    <w:rsid w:val="00B654BD"/>
    <w:rsid w:val="00B657E1"/>
    <w:rsid w:val="00B659C5"/>
    <w:rsid w:val="00B66559"/>
    <w:rsid w:val="00B66E1B"/>
    <w:rsid w:val="00B67BC0"/>
    <w:rsid w:val="00B70260"/>
    <w:rsid w:val="00B703C0"/>
    <w:rsid w:val="00B70D58"/>
    <w:rsid w:val="00B711CE"/>
    <w:rsid w:val="00B71CA8"/>
    <w:rsid w:val="00B71DC8"/>
    <w:rsid w:val="00B722A4"/>
    <w:rsid w:val="00B736D1"/>
    <w:rsid w:val="00B73A6A"/>
    <w:rsid w:val="00B746C6"/>
    <w:rsid w:val="00B74B5B"/>
    <w:rsid w:val="00B75A16"/>
    <w:rsid w:val="00B75AA0"/>
    <w:rsid w:val="00B75E6A"/>
    <w:rsid w:val="00B7604C"/>
    <w:rsid w:val="00B7652C"/>
    <w:rsid w:val="00B76639"/>
    <w:rsid w:val="00B766BF"/>
    <w:rsid w:val="00B76FA6"/>
    <w:rsid w:val="00B774B7"/>
    <w:rsid w:val="00B77644"/>
    <w:rsid w:val="00B77F08"/>
    <w:rsid w:val="00B80086"/>
    <w:rsid w:val="00B8037A"/>
    <w:rsid w:val="00B8072F"/>
    <w:rsid w:val="00B80910"/>
    <w:rsid w:val="00B80B71"/>
    <w:rsid w:val="00B81386"/>
    <w:rsid w:val="00B818F4"/>
    <w:rsid w:val="00B81BC9"/>
    <w:rsid w:val="00B8220F"/>
    <w:rsid w:val="00B8222F"/>
    <w:rsid w:val="00B82615"/>
    <w:rsid w:val="00B829BE"/>
    <w:rsid w:val="00B82CF3"/>
    <w:rsid w:val="00B83444"/>
    <w:rsid w:val="00B836ED"/>
    <w:rsid w:val="00B84306"/>
    <w:rsid w:val="00B8432F"/>
    <w:rsid w:val="00B84BFE"/>
    <w:rsid w:val="00B853BE"/>
    <w:rsid w:val="00B8579F"/>
    <w:rsid w:val="00B8618E"/>
    <w:rsid w:val="00B86476"/>
    <w:rsid w:val="00B86896"/>
    <w:rsid w:val="00B86A3D"/>
    <w:rsid w:val="00B86A65"/>
    <w:rsid w:val="00B875C7"/>
    <w:rsid w:val="00B879BB"/>
    <w:rsid w:val="00B87C56"/>
    <w:rsid w:val="00B87EC9"/>
    <w:rsid w:val="00B90D10"/>
    <w:rsid w:val="00B90FE5"/>
    <w:rsid w:val="00B910C7"/>
    <w:rsid w:val="00B919AD"/>
    <w:rsid w:val="00B91A2B"/>
    <w:rsid w:val="00B925E3"/>
    <w:rsid w:val="00B92C4A"/>
    <w:rsid w:val="00B93204"/>
    <w:rsid w:val="00B9455D"/>
    <w:rsid w:val="00B94E17"/>
    <w:rsid w:val="00B957F9"/>
    <w:rsid w:val="00B957FE"/>
    <w:rsid w:val="00B958CD"/>
    <w:rsid w:val="00B95F02"/>
    <w:rsid w:val="00B9641D"/>
    <w:rsid w:val="00B96BEF"/>
    <w:rsid w:val="00B96D20"/>
    <w:rsid w:val="00B96FC0"/>
    <w:rsid w:val="00B97260"/>
    <w:rsid w:val="00B974E0"/>
    <w:rsid w:val="00B97A69"/>
    <w:rsid w:val="00BA004E"/>
    <w:rsid w:val="00BA029E"/>
    <w:rsid w:val="00BA0375"/>
    <w:rsid w:val="00BA0632"/>
    <w:rsid w:val="00BA0AAA"/>
    <w:rsid w:val="00BA0AE9"/>
    <w:rsid w:val="00BA0DFB"/>
    <w:rsid w:val="00BA0FD1"/>
    <w:rsid w:val="00BA2FEF"/>
    <w:rsid w:val="00BA4F1C"/>
    <w:rsid w:val="00BA584C"/>
    <w:rsid w:val="00BA5E62"/>
    <w:rsid w:val="00BA6425"/>
    <w:rsid w:val="00BA66A2"/>
    <w:rsid w:val="00BA6D52"/>
    <w:rsid w:val="00BA7E4E"/>
    <w:rsid w:val="00BA7E92"/>
    <w:rsid w:val="00BB001A"/>
    <w:rsid w:val="00BB0149"/>
    <w:rsid w:val="00BB0A97"/>
    <w:rsid w:val="00BB1548"/>
    <w:rsid w:val="00BB18A9"/>
    <w:rsid w:val="00BB1B84"/>
    <w:rsid w:val="00BB1CC4"/>
    <w:rsid w:val="00BB1CE7"/>
    <w:rsid w:val="00BB2FD3"/>
    <w:rsid w:val="00BB2FDF"/>
    <w:rsid w:val="00BB2FFF"/>
    <w:rsid w:val="00BB3BB3"/>
    <w:rsid w:val="00BB4196"/>
    <w:rsid w:val="00BB5FCB"/>
    <w:rsid w:val="00BB604B"/>
    <w:rsid w:val="00BB6681"/>
    <w:rsid w:val="00BB68CE"/>
    <w:rsid w:val="00BC00EC"/>
    <w:rsid w:val="00BC01DD"/>
    <w:rsid w:val="00BC04E1"/>
    <w:rsid w:val="00BC08C5"/>
    <w:rsid w:val="00BC0EE7"/>
    <w:rsid w:val="00BC1181"/>
    <w:rsid w:val="00BC12FB"/>
    <w:rsid w:val="00BC13BA"/>
    <w:rsid w:val="00BC160A"/>
    <w:rsid w:val="00BC1C3C"/>
    <w:rsid w:val="00BC28A5"/>
    <w:rsid w:val="00BC2D1B"/>
    <w:rsid w:val="00BC307F"/>
    <w:rsid w:val="00BC3159"/>
    <w:rsid w:val="00BC31A1"/>
    <w:rsid w:val="00BC3257"/>
    <w:rsid w:val="00BC3949"/>
    <w:rsid w:val="00BC39DB"/>
    <w:rsid w:val="00BC3A32"/>
    <w:rsid w:val="00BC3B07"/>
    <w:rsid w:val="00BC4343"/>
    <w:rsid w:val="00BC442C"/>
    <w:rsid w:val="00BC46EF"/>
    <w:rsid w:val="00BC4A0D"/>
    <w:rsid w:val="00BC6BC1"/>
    <w:rsid w:val="00BC6EC6"/>
    <w:rsid w:val="00BC6FD6"/>
    <w:rsid w:val="00BC793D"/>
    <w:rsid w:val="00BD008E"/>
    <w:rsid w:val="00BD0444"/>
    <w:rsid w:val="00BD051B"/>
    <w:rsid w:val="00BD0F02"/>
    <w:rsid w:val="00BD14A7"/>
    <w:rsid w:val="00BD2F3B"/>
    <w:rsid w:val="00BD3038"/>
    <w:rsid w:val="00BD3372"/>
    <w:rsid w:val="00BD4708"/>
    <w:rsid w:val="00BD50AA"/>
    <w:rsid w:val="00BD5135"/>
    <w:rsid w:val="00BD5373"/>
    <w:rsid w:val="00BD596B"/>
    <w:rsid w:val="00BD5F76"/>
    <w:rsid w:val="00BD7182"/>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FEB"/>
    <w:rsid w:val="00BF2A35"/>
    <w:rsid w:val="00BF2B6F"/>
    <w:rsid w:val="00BF351A"/>
    <w:rsid w:val="00BF3914"/>
    <w:rsid w:val="00BF49B1"/>
    <w:rsid w:val="00BF4E6F"/>
    <w:rsid w:val="00BF507C"/>
    <w:rsid w:val="00BF5552"/>
    <w:rsid w:val="00BF559B"/>
    <w:rsid w:val="00BF5A18"/>
    <w:rsid w:val="00BF5ABE"/>
    <w:rsid w:val="00BF5CC9"/>
    <w:rsid w:val="00BF6A84"/>
    <w:rsid w:val="00BF6A88"/>
    <w:rsid w:val="00BF6CBF"/>
    <w:rsid w:val="00BF720C"/>
    <w:rsid w:val="00BF73F2"/>
    <w:rsid w:val="00C010A2"/>
    <w:rsid w:val="00C01671"/>
    <w:rsid w:val="00C01D57"/>
    <w:rsid w:val="00C02419"/>
    <w:rsid w:val="00C02766"/>
    <w:rsid w:val="00C027DD"/>
    <w:rsid w:val="00C02F76"/>
    <w:rsid w:val="00C031D9"/>
    <w:rsid w:val="00C03231"/>
    <w:rsid w:val="00C03E7F"/>
    <w:rsid w:val="00C03EE8"/>
    <w:rsid w:val="00C0432F"/>
    <w:rsid w:val="00C049A2"/>
    <w:rsid w:val="00C04AAF"/>
    <w:rsid w:val="00C05356"/>
    <w:rsid w:val="00C053EA"/>
    <w:rsid w:val="00C05434"/>
    <w:rsid w:val="00C05AD9"/>
    <w:rsid w:val="00C05BEC"/>
    <w:rsid w:val="00C06BDD"/>
    <w:rsid w:val="00C06E7D"/>
    <w:rsid w:val="00C074DC"/>
    <w:rsid w:val="00C07738"/>
    <w:rsid w:val="00C102A2"/>
    <w:rsid w:val="00C10561"/>
    <w:rsid w:val="00C10594"/>
    <w:rsid w:val="00C106DD"/>
    <w:rsid w:val="00C1112B"/>
    <w:rsid w:val="00C11933"/>
    <w:rsid w:val="00C11A88"/>
    <w:rsid w:val="00C11A93"/>
    <w:rsid w:val="00C11BED"/>
    <w:rsid w:val="00C12012"/>
    <w:rsid w:val="00C12874"/>
    <w:rsid w:val="00C12990"/>
    <w:rsid w:val="00C12BC1"/>
    <w:rsid w:val="00C13BDA"/>
    <w:rsid w:val="00C13FFD"/>
    <w:rsid w:val="00C14632"/>
    <w:rsid w:val="00C147BE"/>
    <w:rsid w:val="00C149B7"/>
    <w:rsid w:val="00C167DB"/>
    <w:rsid w:val="00C16C30"/>
    <w:rsid w:val="00C17952"/>
    <w:rsid w:val="00C20A00"/>
    <w:rsid w:val="00C20BA6"/>
    <w:rsid w:val="00C21673"/>
    <w:rsid w:val="00C21C7A"/>
    <w:rsid w:val="00C23130"/>
    <w:rsid w:val="00C233EA"/>
    <w:rsid w:val="00C24631"/>
    <w:rsid w:val="00C255A5"/>
    <w:rsid w:val="00C25758"/>
    <w:rsid w:val="00C2584B"/>
    <w:rsid w:val="00C25942"/>
    <w:rsid w:val="00C25D34"/>
    <w:rsid w:val="00C25DD9"/>
    <w:rsid w:val="00C25F31"/>
    <w:rsid w:val="00C2663F"/>
    <w:rsid w:val="00C26DB8"/>
    <w:rsid w:val="00C272EF"/>
    <w:rsid w:val="00C27663"/>
    <w:rsid w:val="00C30E58"/>
    <w:rsid w:val="00C3109B"/>
    <w:rsid w:val="00C312BD"/>
    <w:rsid w:val="00C31BFF"/>
    <w:rsid w:val="00C32217"/>
    <w:rsid w:val="00C3254F"/>
    <w:rsid w:val="00C3400F"/>
    <w:rsid w:val="00C344A0"/>
    <w:rsid w:val="00C34B64"/>
    <w:rsid w:val="00C34C36"/>
    <w:rsid w:val="00C352B3"/>
    <w:rsid w:val="00C3654C"/>
    <w:rsid w:val="00C36BF5"/>
    <w:rsid w:val="00C36DBC"/>
    <w:rsid w:val="00C3711A"/>
    <w:rsid w:val="00C376BA"/>
    <w:rsid w:val="00C3787F"/>
    <w:rsid w:val="00C378F8"/>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B15"/>
    <w:rsid w:val="00C46F7D"/>
    <w:rsid w:val="00C479B5"/>
    <w:rsid w:val="00C50242"/>
    <w:rsid w:val="00C5034D"/>
    <w:rsid w:val="00C5050E"/>
    <w:rsid w:val="00C50E99"/>
    <w:rsid w:val="00C516E0"/>
    <w:rsid w:val="00C51C22"/>
    <w:rsid w:val="00C51CAB"/>
    <w:rsid w:val="00C51E83"/>
    <w:rsid w:val="00C52468"/>
    <w:rsid w:val="00C52654"/>
    <w:rsid w:val="00C52744"/>
    <w:rsid w:val="00C52C78"/>
    <w:rsid w:val="00C5334B"/>
    <w:rsid w:val="00C539D2"/>
    <w:rsid w:val="00C53EB3"/>
    <w:rsid w:val="00C542D4"/>
    <w:rsid w:val="00C54D71"/>
    <w:rsid w:val="00C54F8B"/>
    <w:rsid w:val="00C55178"/>
    <w:rsid w:val="00C55751"/>
    <w:rsid w:val="00C55E7C"/>
    <w:rsid w:val="00C563F5"/>
    <w:rsid w:val="00C570F7"/>
    <w:rsid w:val="00C574BB"/>
    <w:rsid w:val="00C6050F"/>
    <w:rsid w:val="00C61C91"/>
    <w:rsid w:val="00C61E91"/>
    <w:rsid w:val="00C62254"/>
    <w:rsid w:val="00C62CD5"/>
    <w:rsid w:val="00C636E6"/>
    <w:rsid w:val="00C639D6"/>
    <w:rsid w:val="00C63F8E"/>
    <w:rsid w:val="00C647FB"/>
    <w:rsid w:val="00C6544B"/>
    <w:rsid w:val="00C654E0"/>
    <w:rsid w:val="00C657E6"/>
    <w:rsid w:val="00C67719"/>
    <w:rsid w:val="00C67EAB"/>
    <w:rsid w:val="00C7088B"/>
    <w:rsid w:val="00C70DFF"/>
    <w:rsid w:val="00C72D64"/>
    <w:rsid w:val="00C743CF"/>
    <w:rsid w:val="00C74552"/>
    <w:rsid w:val="00C745E6"/>
    <w:rsid w:val="00C74FEE"/>
    <w:rsid w:val="00C75351"/>
    <w:rsid w:val="00C75A6B"/>
    <w:rsid w:val="00C763B6"/>
    <w:rsid w:val="00C7644F"/>
    <w:rsid w:val="00C768F6"/>
    <w:rsid w:val="00C76FF3"/>
    <w:rsid w:val="00C80073"/>
    <w:rsid w:val="00C805E7"/>
    <w:rsid w:val="00C80DEA"/>
    <w:rsid w:val="00C80ED7"/>
    <w:rsid w:val="00C81664"/>
    <w:rsid w:val="00C81C79"/>
    <w:rsid w:val="00C82EAA"/>
    <w:rsid w:val="00C832DC"/>
    <w:rsid w:val="00C8377F"/>
    <w:rsid w:val="00C83D54"/>
    <w:rsid w:val="00C8426A"/>
    <w:rsid w:val="00C84D02"/>
    <w:rsid w:val="00C852A9"/>
    <w:rsid w:val="00C8646D"/>
    <w:rsid w:val="00C864DD"/>
    <w:rsid w:val="00C875D5"/>
    <w:rsid w:val="00C876BC"/>
    <w:rsid w:val="00C91D21"/>
    <w:rsid w:val="00C91DE3"/>
    <w:rsid w:val="00C92C7F"/>
    <w:rsid w:val="00C9369D"/>
    <w:rsid w:val="00C9383D"/>
    <w:rsid w:val="00C9407D"/>
    <w:rsid w:val="00C942E9"/>
    <w:rsid w:val="00C944FA"/>
    <w:rsid w:val="00C94652"/>
    <w:rsid w:val="00C95854"/>
    <w:rsid w:val="00C959FD"/>
    <w:rsid w:val="00C95D24"/>
    <w:rsid w:val="00C95EFF"/>
    <w:rsid w:val="00C96AE7"/>
    <w:rsid w:val="00C96E6F"/>
    <w:rsid w:val="00C97872"/>
    <w:rsid w:val="00CA0532"/>
    <w:rsid w:val="00CA0B4C"/>
    <w:rsid w:val="00CA17DE"/>
    <w:rsid w:val="00CA221D"/>
    <w:rsid w:val="00CA2241"/>
    <w:rsid w:val="00CA28EE"/>
    <w:rsid w:val="00CA3CDD"/>
    <w:rsid w:val="00CA402A"/>
    <w:rsid w:val="00CA403B"/>
    <w:rsid w:val="00CA46C8"/>
    <w:rsid w:val="00CA505A"/>
    <w:rsid w:val="00CA572A"/>
    <w:rsid w:val="00CA59DD"/>
    <w:rsid w:val="00CB008E"/>
    <w:rsid w:val="00CB01FA"/>
    <w:rsid w:val="00CB0737"/>
    <w:rsid w:val="00CB097A"/>
    <w:rsid w:val="00CB0E3E"/>
    <w:rsid w:val="00CB1BF3"/>
    <w:rsid w:val="00CB24A2"/>
    <w:rsid w:val="00CB26EC"/>
    <w:rsid w:val="00CB2881"/>
    <w:rsid w:val="00CB2D2A"/>
    <w:rsid w:val="00CB452A"/>
    <w:rsid w:val="00CB4793"/>
    <w:rsid w:val="00CB514C"/>
    <w:rsid w:val="00CB577C"/>
    <w:rsid w:val="00CB5B1E"/>
    <w:rsid w:val="00CB787A"/>
    <w:rsid w:val="00CC0C4A"/>
    <w:rsid w:val="00CC12E2"/>
    <w:rsid w:val="00CC17F0"/>
    <w:rsid w:val="00CC1853"/>
    <w:rsid w:val="00CC1D13"/>
    <w:rsid w:val="00CC1FAE"/>
    <w:rsid w:val="00CC31B1"/>
    <w:rsid w:val="00CC3A23"/>
    <w:rsid w:val="00CC3BD5"/>
    <w:rsid w:val="00CC3CD6"/>
    <w:rsid w:val="00CC426A"/>
    <w:rsid w:val="00CC5080"/>
    <w:rsid w:val="00CC50D9"/>
    <w:rsid w:val="00CC70D9"/>
    <w:rsid w:val="00CC737C"/>
    <w:rsid w:val="00CC737E"/>
    <w:rsid w:val="00CD0643"/>
    <w:rsid w:val="00CD087D"/>
    <w:rsid w:val="00CD0F5D"/>
    <w:rsid w:val="00CD1C0B"/>
    <w:rsid w:val="00CD239A"/>
    <w:rsid w:val="00CD469A"/>
    <w:rsid w:val="00CD48BB"/>
    <w:rsid w:val="00CD5098"/>
    <w:rsid w:val="00CD50B1"/>
    <w:rsid w:val="00CD5512"/>
    <w:rsid w:val="00CD5BCB"/>
    <w:rsid w:val="00CD5C84"/>
    <w:rsid w:val="00CD6A95"/>
    <w:rsid w:val="00CD6B7C"/>
    <w:rsid w:val="00CD6E3D"/>
    <w:rsid w:val="00CD71AB"/>
    <w:rsid w:val="00CD7766"/>
    <w:rsid w:val="00CD7958"/>
    <w:rsid w:val="00CD7CB1"/>
    <w:rsid w:val="00CE0109"/>
    <w:rsid w:val="00CE1446"/>
    <w:rsid w:val="00CE1FC5"/>
    <w:rsid w:val="00CE46E5"/>
    <w:rsid w:val="00CE485A"/>
    <w:rsid w:val="00CE5279"/>
    <w:rsid w:val="00CE5528"/>
    <w:rsid w:val="00CE5A78"/>
    <w:rsid w:val="00CE6972"/>
    <w:rsid w:val="00CE6D31"/>
    <w:rsid w:val="00CE78AE"/>
    <w:rsid w:val="00CE7E62"/>
    <w:rsid w:val="00CF195E"/>
    <w:rsid w:val="00CF19DA"/>
    <w:rsid w:val="00CF1C7F"/>
    <w:rsid w:val="00CF1CC0"/>
    <w:rsid w:val="00CF24F8"/>
    <w:rsid w:val="00CF2653"/>
    <w:rsid w:val="00CF2E6A"/>
    <w:rsid w:val="00CF3723"/>
    <w:rsid w:val="00CF3CD3"/>
    <w:rsid w:val="00CF3D5A"/>
    <w:rsid w:val="00CF4247"/>
    <w:rsid w:val="00CF5239"/>
    <w:rsid w:val="00CF5263"/>
    <w:rsid w:val="00CF5418"/>
    <w:rsid w:val="00CF5A56"/>
    <w:rsid w:val="00CF5E61"/>
    <w:rsid w:val="00CF60B5"/>
    <w:rsid w:val="00CF6B78"/>
    <w:rsid w:val="00CF721A"/>
    <w:rsid w:val="00D004FA"/>
    <w:rsid w:val="00D01B21"/>
    <w:rsid w:val="00D01E2F"/>
    <w:rsid w:val="00D02FAF"/>
    <w:rsid w:val="00D030B7"/>
    <w:rsid w:val="00D03102"/>
    <w:rsid w:val="00D03420"/>
    <w:rsid w:val="00D03727"/>
    <w:rsid w:val="00D0378A"/>
    <w:rsid w:val="00D03D32"/>
    <w:rsid w:val="00D04289"/>
    <w:rsid w:val="00D04E17"/>
    <w:rsid w:val="00D05132"/>
    <w:rsid w:val="00D0545E"/>
    <w:rsid w:val="00D05479"/>
    <w:rsid w:val="00D05EA9"/>
    <w:rsid w:val="00D05F0A"/>
    <w:rsid w:val="00D065DD"/>
    <w:rsid w:val="00D071F8"/>
    <w:rsid w:val="00D07252"/>
    <w:rsid w:val="00D074F4"/>
    <w:rsid w:val="00D07A3B"/>
    <w:rsid w:val="00D07CE1"/>
    <w:rsid w:val="00D1026A"/>
    <w:rsid w:val="00D1073A"/>
    <w:rsid w:val="00D107CF"/>
    <w:rsid w:val="00D10893"/>
    <w:rsid w:val="00D10E56"/>
    <w:rsid w:val="00D111C8"/>
    <w:rsid w:val="00D11B0B"/>
    <w:rsid w:val="00D11FC2"/>
    <w:rsid w:val="00D12075"/>
    <w:rsid w:val="00D12293"/>
    <w:rsid w:val="00D13A98"/>
    <w:rsid w:val="00D1415C"/>
    <w:rsid w:val="00D1418A"/>
    <w:rsid w:val="00D14236"/>
    <w:rsid w:val="00D14553"/>
    <w:rsid w:val="00D1465E"/>
    <w:rsid w:val="00D14DB1"/>
    <w:rsid w:val="00D15263"/>
    <w:rsid w:val="00D15327"/>
    <w:rsid w:val="00D15F43"/>
    <w:rsid w:val="00D16326"/>
    <w:rsid w:val="00D16E87"/>
    <w:rsid w:val="00D17C6A"/>
    <w:rsid w:val="00D20B8B"/>
    <w:rsid w:val="00D2162C"/>
    <w:rsid w:val="00D21A3C"/>
    <w:rsid w:val="00D233F1"/>
    <w:rsid w:val="00D241D2"/>
    <w:rsid w:val="00D24765"/>
    <w:rsid w:val="00D2485B"/>
    <w:rsid w:val="00D248D3"/>
    <w:rsid w:val="00D256F8"/>
    <w:rsid w:val="00D259EB"/>
    <w:rsid w:val="00D25AA0"/>
    <w:rsid w:val="00D2644C"/>
    <w:rsid w:val="00D2685C"/>
    <w:rsid w:val="00D26A3B"/>
    <w:rsid w:val="00D26D2A"/>
    <w:rsid w:val="00D301BF"/>
    <w:rsid w:val="00D302FD"/>
    <w:rsid w:val="00D3038A"/>
    <w:rsid w:val="00D3098D"/>
    <w:rsid w:val="00D31A02"/>
    <w:rsid w:val="00D32786"/>
    <w:rsid w:val="00D32A09"/>
    <w:rsid w:val="00D3323C"/>
    <w:rsid w:val="00D33456"/>
    <w:rsid w:val="00D3396F"/>
    <w:rsid w:val="00D33D4D"/>
    <w:rsid w:val="00D34A0B"/>
    <w:rsid w:val="00D36234"/>
    <w:rsid w:val="00D36371"/>
    <w:rsid w:val="00D364C2"/>
    <w:rsid w:val="00D365AB"/>
    <w:rsid w:val="00D41005"/>
    <w:rsid w:val="00D41C80"/>
    <w:rsid w:val="00D41CC4"/>
    <w:rsid w:val="00D4229C"/>
    <w:rsid w:val="00D42B94"/>
    <w:rsid w:val="00D437D8"/>
    <w:rsid w:val="00D44994"/>
    <w:rsid w:val="00D44E40"/>
    <w:rsid w:val="00D45C8D"/>
    <w:rsid w:val="00D45DF3"/>
    <w:rsid w:val="00D46174"/>
    <w:rsid w:val="00D46497"/>
    <w:rsid w:val="00D47DD0"/>
    <w:rsid w:val="00D50183"/>
    <w:rsid w:val="00D51D12"/>
    <w:rsid w:val="00D521B2"/>
    <w:rsid w:val="00D52F94"/>
    <w:rsid w:val="00D5362B"/>
    <w:rsid w:val="00D547F8"/>
    <w:rsid w:val="00D547FE"/>
    <w:rsid w:val="00D55072"/>
    <w:rsid w:val="00D551B5"/>
    <w:rsid w:val="00D55B62"/>
    <w:rsid w:val="00D569FB"/>
    <w:rsid w:val="00D56AF5"/>
    <w:rsid w:val="00D56DB2"/>
    <w:rsid w:val="00D5747F"/>
    <w:rsid w:val="00D57495"/>
    <w:rsid w:val="00D574FA"/>
    <w:rsid w:val="00D57A0E"/>
    <w:rsid w:val="00D57AB5"/>
    <w:rsid w:val="00D60779"/>
    <w:rsid w:val="00D60C8D"/>
    <w:rsid w:val="00D61374"/>
    <w:rsid w:val="00D6168A"/>
    <w:rsid w:val="00D616A5"/>
    <w:rsid w:val="00D61FE0"/>
    <w:rsid w:val="00D61FF0"/>
    <w:rsid w:val="00D62106"/>
    <w:rsid w:val="00D6211D"/>
    <w:rsid w:val="00D623A7"/>
    <w:rsid w:val="00D62BD2"/>
    <w:rsid w:val="00D62C97"/>
    <w:rsid w:val="00D63517"/>
    <w:rsid w:val="00D6394B"/>
    <w:rsid w:val="00D63B75"/>
    <w:rsid w:val="00D63D97"/>
    <w:rsid w:val="00D648A1"/>
    <w:rsid w:val="00D64F4F"/>
    <w:rsid w:val="00D659B1"/>
    <w:rsid w:val="00D66D92"/>
    <w:rsid w:val="00D66E18"/>
    <w:rsid w:val="00D6734D"/>
    <w:rsid w:val="00D67733"/>
    <w:rsid w:val="00D67823"/>
    <w:rsid w:val="00D679CF"/>
    <w:rsid w:val="00D679D3"/>
    <w:rsid w:val="00D67F56"/>
    <w:rsid w:val="00D70A36"/>
    <w:rsid w:val="00D72DE1"/>
    <w:rsid w:val="00D73469"/>
    <w:rsid w:val="00D7356F"/>
    <w:rsid w:val="00D73587"/>
    <w:rsid w:val="00D73A25"/>
    <w:rsid w:val="00D73B73"/>
    <w:rsid w:val="00D73EBB"/>
    <w:rsid w:val="00D73F90"/>
    <w:rsid w:val="00D74B92"/>
    <w:rsid w:val="00D751BE"/>
    <w:rsid w:val="00D751FB"/>
    <w:rsid w:val="00D754D6"/>
    <w:rsid w:val="00D75B44"/>
    <w:rsid w:val="00D761AA"/>
    <w:rsid w:val="00D76896"/>
    <w:rsid w:val="00D76CC6"/>
    <w:rsid w:val="00D76FAE"/>
    <w:rsid w:val="00D77040"/>
    <w:rsid w:val="00D777D7"/>
    <w:rsid w:val="00D77948"/>
    <w:rsid w:val="00D807ED"/>
    <w:rsid w:val="00D80AB8"/>
    <w:rsid w:val="00D80FEC"/>
    <w:rsid w:val="00D81792"/>
    <w:rsid w:val="00D819B1"/>
    <w:rsid w:val="00D81BA1"/>
    <w:rsid w:val="00D822EB"/>
    <w:rsid w:val="00D82494"/>
    <w:rsid w:val="00D8344F"/>
    <w:rsid w:val="00D8375D"/>
    <w:rsid w:val="00D83898"/>
    <w:rsid w:val="00D83AE9"/>
    <w:rsid w:val="00D83F48"/>
    <w:rsid w:val="00D84266"/>
    <w:rsid w:val="00D846F2"/>
    <w:rsid w:val="00D84C46"/>
    <w:rsid w:val="00D857B8"/>
    <w:rsid w:val="00D85D1F"/>
    <w:rsid w:val="00D87175"/>
    <w:rsid w:val="00D87ABF"/>
    <w:rsid w:val="00D87C75"/>
    <w:rsid w:val="00D9004A"/>
    <w:rsid w:val="00D90CD3"/>
    <w:rsid w:val="00D90E2C"/>
    <w:rsid w:val="00D919E6"/>
    <w:rsid w:val="00D91BE1"/>
    <w:rsid w:val="00D91F8B"/>
    <w:rsid w:val="00D92B24"/>
    <w:rsid w:val="00D92C29"/>
    <w:rsid w:val="00D92EF9"/>
    <w:rsid w:val="00D93252"/>
    <w:rsid w:val="00D936E2"/>
    <w:rsid w:val="00D945B3"/>
    <w:rsid w:val="00D9503C"/>
    <w:rsid w:val="00D95104"/>
    <w:rsid w:val="00D95299"/>
    <w:rsid w:val="00D95600"/>
    <w:rsid w:val="00D957D8"/>
    <w:rsid w:val="00D95900"/>
    <w:rsid w:val="00D9683C"/>
    <w:rsid w:val="00D977A0"/>
    <w:rsid w:val="00D97884"/>
    <w:rsid w:val="00D97C79"/>
    <w:rsid w:val="00D97F43"/>
    <w:rsid w:val="00DA0712"/>
    <w:rsid w:val="00DA0A7F"/>
    <w:rsid w:val="00DA1C31"/>
    <w:rsid w:val="00DA20BC"/>
    <w:rsid w:val="00DA2575"/>
    <w:rsid w:val="00DA26BA"/>
    <w:rsid w:val="00DA272E"/>
    <w:rsid w:val="00DA2DBA"/>
    <w:rsid w:val="00DA2ED7"/>
    <w:rsid w:val="00DA33B7"/>
    <w:rsid w:val="00DA3768"/>
    <w:rsid w:val="00DA3E7A"/>
    <w:rsid w:val="00DA3EF7"/>
    <w:rsid w:val="00DA3F5B"/>
    <w:rsid w:val="00DA430C"/>
    <w:rsid w:val="00DA4DE3"/>
    <w:rsid w:val="00DA5471"/>
    <w:rsid w:val="00DA615D"/>
    <w:rsid w:val="00DA6598"/>
    <w:rsid w:val="00DA6C0F"/>
    <w:rsid w:val="00DA702F"/>
    <w:rsid w:val="00DA7311"/>
    <w:rsid w:val="00DA74CF"/>
    <w:rsid w:val="00DA7F8A"/>
    <w:rsid w:val="00DB0176"/>
    <w:rsid w:val="00DB0404"/>
    <w:rsid w:val="00DB069C"/>
    <w:rsid w:val="00DB08DD"/>
    <w:rsid w:val="00DB0E59"/>
    <w:rsid w:val="00DB11F0"/>
    <w:rsid w:val="00DB11F8"/>
    <w:rsid w:val="00DB18F8"/>
    <w:rsid w:val="00DB1F2A"/>
    <w:rsid w:val="00DB2175"/>
    <w:rsid w:val="00DB297F"/>
    <w:rsid w:val="00DB2C83"/>
    <w:rsid w:val="00DB3153"/>
    <w:rsid w:val="00DB317A"/>
    <w:rsid w:val="00DB35C2"/>
    <w:rsid w:val="00DB3B82"/>
    <w:rsid w:val="00DB485D"/>
    <w:rsid w:val="00DB4C6E"/>
    <w:rsid w:val="00DB5293"/>
    <w:rsid w:val="00DB6ED8"/>
    <w:rsid w:val="00DB7836"/>
    <w:rsid w:val="00DC1301"/>
    <w:rsid w:val="00DC1327"/>
    <w:rsid w:val="00DC1350"/>
    <w:rsid w:val="00DC1BAE"/>
    <w:rsid w:val="00DC27E0"/>
    <w:rsid w:val="00DC2B54"/>
    <w:rsid w:val="00DC3237"/>
    <w:rsid w:val="00DC367A"/>
    <w:rsid w:val="00DC36F3"/>
    <w:rsid w:val="00DC39C2"/>
    <w:rsid w:val="00DC41A4"/>
    <w:rsid w:val="00DC4C33"/>
    <w:rsid w:val="00DC5150"/>
    <w:rsid w:val="00DC523C"/>
    <w:rsid w:val="00DC52CD"/>
    <w:rsid w:val="00DC5672"/>
    <w:rsid w:val="00DC5726"/>
    <w:rsid w:val="00DC5839"/>
    <w:rsid w:val="00DC5B56"/>
    <w:rsid w:val="00DC60A2"/>
    <w:rsid w:val="00DC6600"/>
    <w:rsid w:val="00DC67BD"/>
    <w:rsid w:val="00DC6924"/>
    <w:rsid w:val="00DC71F2"/>
    <w:rsid w:val="00DC7770"/>
    <w:rsid w:val="00DC7E52"/>
    <w:rsid w:val="00DC7EB1"/>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9A6"/>
    <w:rsid w:val="00DE0443"/>
    <w:rsid w:val="00DE068C"/>
    <w:rsid w:val="00DE0E59"/>
    <w:rsid w:val="00DE0F6C"/>
    <w:rsid w:val="00DE102B"/>
    <w:rsid w:val="00DE12F0"/>
    <w:rsid w:val="00DE1A69"/>
    <w:rsid w:val="00DE219B"/>
    <w:rsid w:val="00DE3407"/>
    <w:rsid w:val="00DE3979"/>
    <w:rsid w:val="00DE4C15"/>
    <w:rsid w:val="00DE52E3"/>
    <w:rsid w:val="00DE70CB"/>
    <w:rsid w:val="00DE7C00"/>
    <w:rsid w:val="00DF03E9"/>
    <w:rsid w:val="00DF03ED"/>
    <w:rsid w:val="00DF04EE"/>
    <w:rsid w:val="00DF0BF4"/>
    <w:rsid w:val="00DF0E41"/>
    <w:rsid w:val="00DF10B2"/>
    <w:rsid w:val="00DF179D"/>
    <w:rsid w:val="00DF1E9C"/>
    <w:rsid w:val="00DF2168"/>
    <w:rsid w:val="00DF2D2C"/>
    <w:rsid w:val="00DF4572"/>
    <w:rsid w:val="00DF4658"/>
    <w:rsid w:val="00DF5A1C"/>
    <w:rsid w:val="00DF5C5B"/>
    <w:rsid w:val="00DF6C8B"/>
    <w:rsid w:val="00DF6F17"/>
    <w:rsid w:val="00DF6F28"/>
    <w:rsid w:val="00DF6F88"/>
    <w:rsid w:val="00DF78FA"/>
    <w:rsid w:val="00DF7960"/>
    <w:rsid w:val="00DF7AE1"/>
    <w:rsid w:val="00E002F1"/>
    <w:rsid w:val="00E0055A"/>
    <w:rsid w:val="00E0082C"/>
    <w:rsid w:val="00E00B0D"/>
    <w:rsid w:val="00E00F45"/>
    <w:rsid w:val="00E00F55"/>
    <w:rsid w:val="00E01DAA"/>
    <w:rsid w:val="00E023E5"/>
    <w:rsid w:val="00E02432"/>
    <w:rsid w:val="00E04022"/>
    <w:rsid w:val="00E041C1"/>
    <w:rsid w:val="00E04446"/>
    <w:rsid w:val="00E04DC9"/>
    <w:rsid w:val="00E04EC9"/>
    <w:rsid w:val="00E05107"/>
    <w:rsid w:val="00E0543F"/>
    <w:rsid w:val="00E06521"/>
    <w:rsid w:val="00E06528"/>
    <w:rsid w:val="00E066DB"/>
    <w:rsid w:val="00E0728F"/>
    <w:rsid w:val="00E0749C"/>
    <w:rsid w:val="00E0755C"/>
    <w:rsid w:val="00E07679"/>
    <w:rsid w:val="00E07A78"/>
    <w:rsid w:val="00E10021"/>
    <w:rsid w:val="00E112CA"/>
    <w:rsid w:val="00E113C6"/>
    <w:rsid w:val="00E128E9"/>
    <w:rsid w:val="00E1336A"/>
    <w:rsid w:val="00E142BE"/>
    <w:rsid w:val="00E14A7E"/>
    <w:rsid w:val="00E14DF2"/>
    <w:rsid w:val="00E151E1"/>
    <w:rsid w:val="00E15AB0"/>
    <w:rsid w:val="00E16766"/>
    <w:rsid w:val="00E17619"/>
    <w:rsid w:val="00E17805"/>
    <w:rsid w:val="00E178F3"/>
    <w:rsid w:val="00E17CAC"/>
    <w:rsid w:val="00E203CF"/>
    <w:rsid w:val="00E20AD3"/>
    <w:rsid w:val="00E20F79"/>
    <w:rsid w:val="00E21278"/>
    <w:rsid w:val="00E21436"/>
    <w:rsid w:val="00E2150A"/>
    <w:rsid w:val="00E22CCD"/>
    <w:rsid w:val="00E23296"/>
    <w:rsid w:val="00E239FC"/>
    <w:rsid w:val="00E23A11"/>
    <w:rsid w:val="00E23FB7"/>
    <w:rsid w:val="00E24A27"/>
    <w:rsid w:val="00E24B5C"/>
    <w:rsid w:val="00E25934"/>
    <w:rsid w:val="00E25F89"/>
    <w:rsid w:val="00E26009"/>
    <w:rsid w:val="00E26387"/>
    <w:rsid w:val="00E26C55"/>
    <w:rsid w:val="00E274C4"/>
    <w:rsid w:val="00E27CC0"/>
    <w:rsid w:val="00E3016C"/>
    <w:rsid w:val="00E30808"/>
    <w:rsid w:val="00E3117A"/>
    <w:rsid w:val="00E311C3"/>
    <w:rsid w:val="00E3261C"/>
    <w:rsid w:val="00E32D62"/>
    <w:rsid w:val="00E339DC"/>
    <w:rsid w:val="00E33E15"/>
    <w:rsid w:val="00E353A4"/>
    <w:rsid w:val="00E361B8"/>
    <w:rsid w:val="00E36A1B"/>
    <w:rsid w:val="00E37DDE"/>
    <w:rsid w:val="00E40949"/>
    <w:rsid w:val="00E40C38"/>
    <w:rsid w:val="00E418A9"/>
    <w:rsid w:val="00E42428"/>
    <w:rsid w:val="00E429ED"/>
    <w:rsid w:val="00E43F37"/>
    <w:rsid w:val="00E441E6"/>
    <w:rsid w:val="00E450ED"/>
    <w:rsid w:val="00E467B6"/>
    <w:rsid w:val="00E46C47"/>
    <w:rsid w:val="00E4765D"/>
    <w:rsid w:val="00E4791B"/>
    <w:rsid w:val="00E47E31"/>
    <w:rsid w:val="00E50A11"/>
    <w:rsid w:val="00E50AC6"/>
    <w:rsid w:val="00E50FCA"/>
    <w:rsid w:val="00E5108D"/>
    <w:rsid w:val="00E51291"/>
    <w:rsid w:val="00E51DDD"/>
    <w:rsid w:val="00E51FDD"/>
    <w:rsid w:val="00E523C6"/>
    <w:rsid w:val="00E52435"/>
    <w:rsid w:val="00E52904"/>
    <w:rsid w:val="00E52C91"/>
    <w:rsid w:val="00E53122"/>
    <w:rsid w:val="00E5351B"/>
    <w:rsid w:val="00E536D3"/>
    <w:rsid w:val="00E53FA9"/>
    <w:rsid w:val="00E5414C"/>
    <w:rsid w:val="00E547B3"/>
    <w:rsid w:val="00E55307"/>
    <w:rsid w:val="00E55C00"/>
    <w:rsid w:val="00E57050"/>
    <w:rsid w:val="00E57237"/>
    <w:rsid w:val="00E5733D"/>
    <w:rsid w:val="00E57613"/>
    <w:rsid w:val="00E57BF0"/>
    <w:rsid w:val="00E57EAC"/>
    <w:rsid w:val="00E604EF"/>
    <w:rsid w:val="00E61CC0"/>
    <w:rsid w:val="00E61E53"/>
    <w:rsid w:val="00E6277B"/>
    <w:rsid w:val="00E62EA7"/>
    <w:rsid w:val="00E63278"/>
    <w:rsid w:val="00E64424"/>
    <w:rsid w:val="00E64A37"/>
    <w:rsid w:val="00E64C99"/>
    <w:rsid w:val="00E64CD3"/>
    <w:rsid w:val="00E64E8F"/>
    <w:rsid w:val="00E66248"/>
    <w:rsid w:val="00E66945"/>
    <w:rsid w:val="00E671C9"/>
    <w:rsid w:val="00E671E9"/>
    <w:rsid w:val="00E6743F"/>
    <w:rsid w:val="00E6758E"/>
    <w:rsid w:val="00E67DD9"/>
    <w:rsid w:val="00E67E23"/>
    <w:rsid w:val="00E70016"/>
    <w:rsid w:val="00E70658"/>
    <w:rsid w:val="00E70BC7"/>
    <w:rsid w:val="00E70F07"/>
    <w:rsid w:val="00E70FBC"/>
    <w:rsid w:val="00E718B4"/>
    <w:rsid w:val="00E72BDF"/>
    <w:rsid w:val="00E72C01"/>
    <w:rsid w:val="00E741AC"/>
    <w:rsid w:val="00E747AA"/>
    <w:rsid w:val="00E74F75"/>
    <w:rsid w:val="00E75174"/>
    <w:rsid w:val="00E753B5"/>
    <w:rsid w:val="00E75EBA"/>
    <w:rsid w:val="00E763B4"/>
    <w:rsid w:val="00E77433"/>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38A0"/>
    <w:rsid w:val="00E84275"/>
    <w:rsid w:val="00E84459"/>
    <w:rsid w:val="00E844D8"/>
    <w:rsid w:val="00E84D72"/>
    <w:rsid w:val="00E8519F"/>
    <w:rsid w:val="00E85387"/>
    <w:rsid w:val="00E85910"/>
    <w:rsid w:val="00E8593E"/>
    <w:rsid w:val="00E85CC3"/>
    <w:rsid w:val="00E8644A"/>
    <w:rsid w:val="00E870A9"/>
    <w:rsid w:val="00E90279"/>
    <w:rsid w:val="00E90635"/>
    <w:rsid w:val="00E909A1"/>
    <w:rsid w:val="00E90BFF"/>
    <w:rsid w:val="00E91F04"/>
    <w:rsid w:val="00E91F35"/>
    <w:rsid w:val="00E91F44"/>
    <w:rsid w:val="00E9259E"/>
    <w:rsid w:val="00E93024"/>
    <w:rsid w:val="00E9574E"/>
    <w:rsid w:val="00E95BA6"/>
    <w:rsid w:val="00E96990"/>
    <w:rsid w:val="00E97648"/>
    <w:rsid w:val="00EA07E9"/>
    <w:rsid w:val="00EA0E4A"/>
    <w:rsid w:val="00EA1A54"/>
    <w:rsid w:val="00EA2226"/>
    <w:rsid w:val="00EA2483"/>
    <w:rsid w:val="00EA26FC"/>
    <w:rsid w:val="00EA2948"/>
    <w:rsid w:val="00EA2CD9"/>
    <w:rsid w:val="00EA3B5A"/>
    <w:rsid w:val="00EA3E8D"/>
    <w:rsid w:val="00EA4100"/>
    <w:rsid w:val="00EA410E"/>
    <w:rsid w:val="00EA4FD1"/>
    <w:rsid w:val="00EA53C2"/>
    <w:rsid w:val="00EA5695"/>
    <w:rsid w:val="00EA5B0A"/>
    <w:rsid w:val="00EA5B4B"/>
    <w:rsid w:val="00EA65AD"/>
    <w:rsid w:val="00EA71F4"/>
    <w:rsid w:val="00EA7487"/>
    <w:rsid w:val="00EA7FCF"/>
    <w:rsid w:val="00EB0CA3"/>
    <w:rsid w:val="00EB104F"/>
    <w:rsid w:val="00EB15F2"/>
    <w:rsid w:val="00EB1B27"/>
    <w:rsid w:val="00EB1DA8"/>
    <w:rsid w:val="00EB28C3"/>
    <w:rsid w:val="00EB2A69"/>
    <w:rsid w:val="00EB2D2E"/>
    <w:rsid w:val="00EB326C"/>
    <w:rsid w:val="00EB33C8"/>
    <w:rsid w:val="00EB4B75"/>
    <w:rsid w:val="00EB4CFF"/>
    <w:rsid w:val="00EB53A6"/>
    <w:rsid w:val="00EB5476"/>
    <w:rsid w:val="00EB5B85"/>
    <w:rsid w:val="00EB5FB6"/>
    <w:rsid w:val="00EB5FF6"/>
    <w:rsid w:val="00EB626C"/>
    <w:rsid w:val="00EB6ABF"/>
    <w:rsid w:val="00EB70B0"/>
    <w:rsid w:val="00EB74F4"/>
    <w:rsid w:val="00EB7633"/>
    <w:rsid w:val="00EB7736"/>
    <w:rsid w:val="00EB7808"/>
    <w:rsid w:val="00EC05FD"/>
    <w:rsid w:val="00EC121A"/>
    <w:rsid w:val="00EC1D32"/>
    <w:rsid w:val="00EC1DCD"/>
    <w:rsid w:val="00EC2BF5"/>
    <w:rsid w:val="00EC2E2D"/>
    <w:rsid w:val="00EC363A"/>
    <w:rsid w:val="00EC370B"/>
    <w:rsid w:val="00EC391D"/>
    <w:rsid w:val="00EC462B"/>
    <w:rsid w:val="00EC4723"/>
    <w:rsid w:val="00EC56E0"/>
    <w:rsid w:val="00EC6057"/>
    <w:rsid w:val="00EC6847"/>
    <w:rsid w:val="00EC6EB4"/>
    <w:rsid w:val="00EC7789"/>
    <w:rsid w:val="00EC7DB6"/>
    <w:rsid w:val="00ED162F"/>
    <w:rsid w:val="00ED1738"/>
    <w:rsid w:val="00ED2568"/>
    <w:rsid w:val="00ED2AE0"/>
    <w:rsid w:val="00ED2E52"/>
    <w:rsid w:val="00ED3024"/>
    <w:rsid w:val="00ED31DB"/>
    <w:rsid w:val="00ED3BB8"/>
    <w:rsid w:val="00ED3C23"/>
    <w:rsid w:val="00ED49B0"/>
    <w:rsid w:val="00ED4B76"/>
    <w:rsid w:val="00ED512D"/>
    <w:rsid w:val="00ED51C0"/>
    <w:rsid w:val="00ED5E5B"/>
    <w:rsid w:val="00ED5FE4"/>
    <w:rsid w:val="00ED63CC"/>
    <w:rsid w:val="00ED664B"/>
    <w:rsid w:val="00ED6FAD"/>
    <w:rsid w:val="00ED71C5"/>
    <w:rsid w:val="00EE16FA"/>
    <w:rsid w:val="00EE18B9"/>
    <w:rsid w:val="00EE32CE"/>
    <w:rsid w:val="00EE394C"/>
    <w:rsid w:val="00EE3C42"/>
    <w:rsid w:val="00EE3D4F"/>
    <w:rsid w:val="00EE534D"/>
    <w:rsid w:val="00EE5560"/>
    <w:rsid w:val="00EE596F"/>
    <w:rsid w:val="00EE5AD0"/>
    <w:rsid w:val="00EE5C0A"/>
    <w:rsid w:val="00EE5DE1"/>
    <w:rsid w:val="00EE6ABC"/>
    <w:rsid w:val="00EE6F1E"/>
    <w:rsid w:val="00EE7D82"/>
    <w:rsid w:val="00EF0348"/>
    <w:rsid w:val="00EF1765"/>
    <w:rsid w:val="00EF17C5"/>
    <w:rsid w:val="00EF1BFD"/>
    <w:rsid w:val="00EF1F9C"/>
    <w:rsid w:val="00EF21E0"/>
    <w:rsid w:val="00EF25C1"/>
    <w:rsid w:val="00EF4366"/>
    <w:rsid w:val="00EF449D"/>
    <w:rsid w:val="00EF4CD6"/>
    <w:rsid w:val="00EF55A0"/>
    <w:rsid w:val="00EF63D1"/>
    <w:rsid w:val="00EF6513"/>
    <w:rsid w:val="00EF6683"/>
    <w:rsid w:val="00EF6BF1"/>
    <w:rsid w:val="00EF6CAC"/>
    <w:rsid w:val="00EF7002"/>
    <w:rsid w:val="00EF712D"/>
    <w:rsid w:val="00EF769B"/>
    <w:rsid w:val="00F010B9"/>
    <w:rsid w:val="00F02651"/>
    <w:rsid w:val="00F027BA"/>
    <w:rsid w:val="00F02A11"/>
    <w:rsid w:val="00F0350A"/>
    <w:rsid w:val="00F0357D"/>
    <w:rsid w:val="00F03CC3"/>
    <w:rsid w:val="00F03E79"/>
    <w:rsid w:val="00F041DC"/>
    <w:rsid w:val="00F05ADE"/>
    <w:rsid w:val="00F0628D"/>
    <w:rsid w:val="00F0661B"/>
    <w:rsid w:val="00F06651"/>
    <w:rsid w:val="00F06CA9"/>
    <w:rsid w:val="00F06DCE"/>
    <w:rsid w:val="00F06FF8"/>
    <w:rsid w:val="00F07027"/>
    <w:rsid w:val="00F07DE6"/>
    <w:rsid w:val="00F07E49"/>
    <w:rsid w:val="00F1056C"/>
    <w:rsid w:val="00F107F1"/>
    <w:rsid w:val="00F10ACE"/>
    <w:rsid w:val="00F10ECF"/>
    <w:rsid w:val="00F10FC1"/>
    <w:rsid w:val="00F112FD"/>
    <w:rsid w:val="00F121EB"/>
    <w:rsid w:val="00F133A1"/>
    <w:rsid w:val="00F13ECD"/>
    <w:rsid w:val="00F14D13"/>
    <w:rsid w:val="00F155CE"/>
    <w:rsid w:val="00F159EC"/>
    <w:rsid w:val="00F16702"/>
    <w:rsid w:val="00F16750"/>
    <w:rsid w:val="00F16BF2"/>
    <w:rsid w:val="00F17EAE"/>
    <w:rsid w:val="00F17F6E"/>
    <w:rsid w:val="00F2117B"/>
    <w:rsid w:val="00F2135D"/>
    <w:rsid w:val="00F218D4"/>
    <w:rsid w:val="00F21E9A"/>
    <w:rsid w:val="00F2250A"/>
    <w:rsid w:val="00F22738"/>
    <w:rsid w:val="00F22840"/>
    <w:rsid w:val="00F23DAF"/>
    <w:rsid w:val="00F245A3"/>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99B"/>
    <w:rsid w:val="00F43B95"/>
    <w:rsid w:val="00F43D00"/>
    <w:rsid w:val="00F444ED"/>
    <w:rsid w:val="00F44EC5"/>
    <w:rsid w:val="00F4566B"/>
    <w:rsid w:val="00F46BDA"/>
    <w:rsid w:val="00F470D6"/>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5F3"/>
    <w:rsid w:val="00F60BE9"/>
    <w:rsid w:val="00F61FD8"/>
    <w:rsid w:val="00F62478"/>
    <w:rsid w:val="00F6254C"/>
    <w:rsid w:val="00F6263C"/>
    <w:rsid w:val="00F62DBF"/>
    <w:rsid w:val="00F63017"/>
    <w:rsid w:val="00F641FC"/>
    <w:rsid w:val="00F643C3"/>
    <w:rsid w:val="00F647F7"/>
    <w:rsid w:val="00F6583C"/>
    <w:rsid w:val="00F6589A"/>
    <w:rsid w:val="00F66574"/>
    <w:rsid w:val="00F6665C"/>
    <w:rsid w:val="00F66920"/>
    <w:rsid w:val="00F673EE"/>
    <w:rsid w:val="00F676DE"/>
    <w:rsid w:val="00F6783E"/>
    <w:rsid w:val="00F67B53"/>
    <w:rsid w:val="00F70822"/>
    <w:rsid w:val="00F70DBE"/>
    <w:rsid w:val="00F71124"/>
    <w:rsid w:val="00F71888"/>
    <w:rsid w:val="00F719CD"/>
    <w:rsid w:val="00F71BB8"/>
    <w:rsid w:val="00F71DC2"/>
    <w:rsid w:val="00F7222B"/>
    <w:rsid w:val="00F72584"/>
    <w:rsid w:val="00F7260C"/>
    <w:rsid w:val="00F7264F"/>
    <w:rsid w:val="00F7290D"/>
    <w:rsid w:val="00F7302F"/>
    <w:rsid w:val="00F732EC"/>
    <w:rsid w:val="00F73A11"/>
    <w:rsid w:val="00F73D08"/>
    <w:rsid w:val="00F749CD"/>
    <w:rsid w:val="00F7586B"/>
    <w:rsid w:val="00F75D45"/>
    <w:rsid w:val="00F75F2F"/>
    <w:rsid w:val="00F75F40"/>
    <w:rsid w:val="00F76445"/>
    <w:rsid w:val="00F76D0C"/>
    <w:rsid w:val="00F76ECC"/>
    <w:rsid w:val="00F779FD"/>
    <w:rsid w:val="00F80399"/>
    <w:rsid w:val="00F80549"/>
    <w:rsid w:val="00F80F97"/>
    <w:rsid w:val="00F812C8"/>
    <w:rsid w:val="00F8132D"/>
    <w:rsid w:val="00F818AE"/>
    <w:rsid w:val="00F81B40"/>
    <w:rsid w:val="00F81C81"/>
    <w:rsid w:val="00F820C4"/>
    <w:rsid w:val="00F826EF"/>
    <w:rsid w:val="00F834F1"/>
    <w:rsid w:val="00F835B9"/>
    <w:rsid w:val="00F83829"/>
    <w:rsid w:val="00F83F87"/>
    <w:rsid w:val="00F84069"/>
    <w:rsid w:val="00F843D7"/>
    <w:rsid w:val="00F8446C"/>
    <w:rsid w:val="00F84997"/>
    <w:rsid w:val="00F850CD"/>
    <w:rsid w:val="00F85536"/>
    <w:rsid w:val="00F8631D"/>
    <w:rsid w:val="00F8657A"/>
    <w:rsid w:val="00F86637"/>
    <w:rsid w:val="00F8679A"/>
    <w:rsid w:val="00F86F07"/>
    <w:rsid w:val="00F87117"/>
    <w:rsid w:val="00F8736C"/>
    <w:rsid w:val="00F87CCB"/>
    <w:rsid w:val="00F9030E"/>
    <w:rsid w:val="00F90ADB"/>
    <w:rsid w:val="00F90E78"/>
    <w:rsid w:val="00F91209"/>
    <w:rsid w:val="00F91824"/>
    <w:rsid w:val="00F9221F"/>
    <w:rsid w:val="00F92333"/>
    <w:rsid w:val="00F931C7"/>
    <w:rsid w:val="00F93559"/>
    <w:rsid w:val="00F93D72"/>
    <w:rsid w:val="00F93E65"/>
    <w:rsid w:val="00F94070"/>
    <w:rsid w:val="00F9469E"/>
    <w:rsid w:val="00F94BB6"/>
    <w:rsid w:val="00F950B5"/>
    <w:rsid w:val="00F9513F"/>
    <w:rsid w:val="00F951B3"/>
    <w:rsid w:val="00F956A6"/>
    <w:rsid w:val="00F960D6"/>
    <w:rsid w:val="00F9632B"/>
    <w:rsid w:val="00F96727"/>
    <w:rsid w:val="00F96CDF"/>
    <w:rsid w:val="00F96F76"/>
    <w:rsid w:val="00F97120"/>
    <w:rsid w:val="00F97908"/>
    <w:rsid w:val="00F97B43"/>
    <w:rsid w:val="00F97D2D"/>
    <w:rsid w:val="00FA0489"/>
    <w:rsid w:val="00FA04D0"/>
    <w:rsid w:val="00FA07F8"/>
    <w:rsid w:val="00FA105C"/>
    <w:rsid w:val="00FA1475"/>
    <w:rsid w:val="00FA148A"/>
    <w:rsid w:val="00FA26BA"/>
    <w:rsid w:val="00FA27C8"/>
    <w:rsid w:val="00FA2D22"/>
    <w:rsid w:val="00FA3122"/>
    <w:rsid w:val="00FA35E3"/>
    <w:rsid w:val="00FA3B76"/>
    <w:rsid w:val="00FA45EE"/>
    <w:rsid w:val="00FA4D66"/>
    <w:rsid w:val="00FA5088"/>
    <w:rsid w:val="00FA56AE"/>
    <w:rsid w:val="00FA5A4E"/>
    <w:rsid w:val="00FA6157"/>
    <w:rsid w:val="00FA71F2"/>
    <w:rsid w:val="00FA7478"/>
    <w:rsid w:val="00FA7A6B"/>
    <w:rsid w:val="00FA7ECC"/>
    <w:rsid w:val="00FB0082"/>
    <w:rsid w:val="00FB0243"/>
    <w:rsid w:val="00FB0AC3"/>
    <w:rsid w:val="00FB1527"/>
    <w:rsid w:val="00FB1E67"/>
    <w:rsid w:val="00FB2537"/>
    <w:rsid w:val="00FB31BD"/>
    <w:rsid w:val="00FB338E"/>
    <w:rsid w:val="00FB33DC"/>
    <w:rsid w:val="00FB35AD"/>
    <w:rsid w:val="00FB4338"/>
    <w:rsid w:val="00FB477E"/>
    <w:rsid w:val="00FB494F"/>
    <w:rsid w:val="00FB4C2A"/>
    <w:rsid w:val="00FB4C9C"/>
    <w:rsid w:val="00FB5148"/>
    <w:rsid w:val="00FB570B"/>
    <w:rsid w:val="00FB5736"/>
    <w:rsid w:val="00FB5EE6"/>
    <w:rsid w:val="00FB6165"/>
    <w:rsid w:val="00FB78E7"/>
    <w:rsid w:val="00FC0150"/>
    <w:rsid w:val="00FC03AB"/>
    <w:rsid w:val="00FC223F"/>
    <w:rsid w:val="00FC2E01"/>
    <w:rsid w:val="00FC4668"/>
    <w:rsid w:val="00FC4729"/>
    <w:rsid w:val="00FC4A8C"/>
    <w:rsid w:val="00FC4B5F"/>
    <w:rsid w:val="00FC53DB"/>
    <w:rsid w:val="00FC5ED5"/>
    <w:rsid w:val="00FC5FC2"/>
    <w:rsid w:val="00FC6177"/>
    <w:rsid w:val="00FC6223"/>
    <w:rsid w:val="00FC6288"/>
    <w:rsid w:val="00FC63D1"/>
    <w:rsid w:val="00FC7528"/>
    <w:rsid w:val="00FD0572"/>
    <w:rsid w:val="00FD1A97"/>
    <w:rsid w:val="00FD2B4E"/>
    <w:rsid w:val="00FD2D7B"/>
    <w:rsid w:val="00FD3027"/>
    <w:rsid w:val="00FD37F6"/>
    <w:rsid w:val="00FD4589"/>
    <w:rsid w:val="00FD4608"/>
    <w:rsid w:val="00FD473E"/>
    <w:rsid w:val="00FD5928"/>
    <w:rsid w:val="00FD66F4"/>
    <w:rsid w:val="00FD7606"/>
    <w:rsid w:val="00FD7DF9"/>
    <w:rsid w:val="00FD7FC9"/>
    <w:rsid w:val="00FE0564"/>
    <w:rsid w:val="00FE0A29"/>
    <w:rsid w:val="00FE0B51"/>
    <w:rsid w:val="00FE0B78"/>
    <w:rsid w:val="00FE0ED4"/>
    <w:rsid w:val="00FE1EAB"/>
    <w:rsid w:val="00FE23ED"/>
    <w:rsid w:val="00FE284B"/>
    <w:rsid w:val="00FE28FC"/>
    <w:rsid w:val="00FE3004"/>
    <w:rsid w:val="00FE3465"/>
    <w:rsid w:val="00FE35A6"/>
    <w:rsid w:val="00FE3CC4"/>
    <w:rsid w:val="00FE45BA"/>
    <w:rsid w:val="00FE4887"/>
    <w:rsid w:val="00FE5E83"/>
    <w:rsid w:val="00FE67CF"/>
    <w:rsid w:val="00FE6D20"/>
    <w:rsid w:val="00FE6FB9"/>
    <w:rsid w:val="00FE7397"/>
    <w:rsid w:val="00FE7549"/>
    <w:rsid w:val="00FE7BCC"/>
    <w:rsid w:val="00FE7CA0"/>
    <w:rsid w:val="00FF0832"/>
    <w:rsid w:val="00FF126D"/>
    <w:rsid w:val="00FF2310"/>
    <w:rsid w:val="00FF2319"/>
    <w:rsid w:val="00FF26BC"/>
    <w:rsid w:val="00FF2E73"/>
    <w:rsid w:val="00FF34D1"/>
    <w:rsid w:val="00FF35C8"/>
    <w:rsid w:val="00FF3FE2"/>
    <w:rsid w:val="00FF47E1"/>
    <w:rsid w:val="00FF4AE2"/>
    <w:rsid w:val="00FF4BCB"/>
    <w:rsid w:val="00FF50A8"/>
    <w:rsid w:val="00FF55ED"/>
    <w:rsid w:val="00FF571E"/>
    <w:rsid w:val="00FF5BC1"/>
    <w:rsid w:val="00FF6533"/>
    <w:rsid w:val="00FF6BD1"/>
    <w:rsid w:val="00FF6CC0"/>
    <w:rsid w:val="00FF7512"/>
    <w:rsid w:val="00FF7563"/>
    <w:rsid w:val="00FF76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4E5C"/>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qFormat/>
    <w:locked/>
    <w:rsid w:val="00235E55"/>
    <w:rPr>
      <w:rFonts w:ascii="Arial" w:hAnsi="Arial" w:cs="Arial"/>
      <w:sz w:val="18"/>
    </w:rPr>
  </w:style>
  <w:style w:type="paragraph" w:customStyle="1" w:styleId="TAL">
    <w:name w:val="TAL"/>
    <w:basedOn w:val="Normal"/>
    <w:link w:val="TALCar"/>
    <w:qFormat/>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styleId="Strong">
    <w:name w:val="Strong"/>
    <w:uiPriority w:val="22"/>
    <w:qFormat/>
    <w:rsid w:val="004969E5"/>
    <w:rPr>
      <w:b/>
      <w:bCs/>
    </w:rPr>
  </w:style>
  <w:style w:type="paragraph" w:customStyle="1" w:styleId="paragraph">
    <w:name w:val="paragraph"/>
    <w:basedOn w:val="Normal"/>
    <w:uiPriority w:val="99"/>
    <w:qFormat/>
    <w:rsid w:val="004969E5"/>
    <w:pPr>
      <w:autoSpaceDE/>
      <w:autoSpaceDN/>
      <w:adjustRightInd/>
      <w:snapToGrid/>
      <w:spacing w:before="100" w:beforeAutospacing="1" w:after="100" w:afterAutospacing="1"/>
      <w:jc w:val="left"/>
    </w:pPr>
    <w:rPr>
      <w:rFonts w:eastAsia="Times New Roman"/>
      <w:sz w:val="24"/>
      <w:szCs w:val="24"/>
      <w:lang w:val="sv-SE" w:eastAsia="zh-CN"/>
    </w:rPr>
  </w:style>
  <w:style w:type="paragraph" w:customStyle="1" w:styleId="Style1">
    <w:name w:val="Style1"/>
    <w:basedOn w:val="Normal"/>
    <w:link w:val="Style1Char"/>
    <w:qFormat/>
    <w:rsid w:val="00134B12"/>
    <w:pPr>
      <w:autoSpaceDE/>
      <w:autoSpaceDN/>
      <w:adjustRightInd/>
      <w:snapToGrid/>
      <w:spacing w:after="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134B12"/>
    <w:rPr>
      <w:rFonts w:eastAsia="Malgun Gothic" w:cs="Batang"/>
      <w:lang w:val="en-GB"/>
    </w:rPr>
  </w:style>
  <w:style w:type="character" w:customStyle="1" w:styleId="apple-converted-space">
    <w:name w:val="apple-converted-space"/>
    <w:qFormat/>
    <w:rsid w:val="003C5475"/>
  </w:style>
  <w:style w:type="character" w:customStyle="1" w:styleId="normaltextrun">
    <w:name w:val="normaltextrun"/>
    <w:basedOn w:val="DefaultParagraphFont"/>
    <w:qFormat/>
    <w:rsid w:val="003C54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625829">
      <w:bodyDiv w:val="1"/>
      <w:marLeft w:val="0"/>
      <w:marRight w:val="0"/>
      <w:marTop w:val="0"/>
      <w:marBottom w:val="0"/>
      <w:divBdr>
        <w:top w:val="none" w:sz="0" w:space="0" w:color="auto"/>
        <w:left w:val="none" w:sz="0" w:space="0" w:color="auto"/>
        <w:bottom w:val="none" w:sz="0" w:space="0" w:color="auto"/>
        <w:right w:val="none" w:sz="0" w:space="0" w:color="auto"/>
      </w:divBdr>
      <w:divsChild>
        <w:div w:id="1767074659">
          <w:marLeft w:val="360"/>
          <w:marRight w:val="0"/>
          <w:marTop w:val="200"/>
          <w:marBottom w:val="0"/>
          <w:divBdr>
            <w:top w:val="none" w:sz="0" w:space="0" w:color="auto"/>
            <w:left w:val="none" w:sz="0" w:space="0" w:color="auto"/>
            <w:bottom w:val="none" w:sz="0" w:space="0" w:color="auto"/>
            <w:right w:val="none" w:sz="0" w:space="0" w:color="auto"/>
          </w:divBdr>
        </w:div>
        <w:div w:id="547910528">
          <w:marLeft w:val="1080"/>
          <w:marRight w:val="0"/>
          <w:marTop w:val="100"/>
          <w:marBottom w:val="0"/>
          <w:divBdr>
            <w:top w:val="none" w:sz="0" w:space="0" w:color="auto"/>
            <w:left w:val="none" w:sz="0" w:space="0" w:color="auto"/>
            <w:bottom w:val="none" w:sz="0" w:space="0" w:color="auto"/>
            <w:right w:val="none" w:sz="0" w:space="0" w:color="auto"/>
          </w:divBdr>
        </w:div>
        <w:div w:id="1897206937">
          <w:marLeft w:val="1800"/>
          <w:marRight w:val="0"/>
          <w:marTop w:val="100"/>
          <w:marBottom w:val="0"/>
          <w:divBdr>
            <w:top w:val="none" w:sz="0" w:space="0" w:color="auto"/>
            <w:left w:val="none" w:sz="0" w:space="0" w:color="auto"/>
            <w:bottom w:val="none" w:sz="0" w:space="0" w:color="auto"/>
            <w:right w:val="none" w:sz="0" w:space="0" w:color="auto"/>
          </w:divBdr>
        </w:div>
        <w:div w:id="1042557985">
          <w:marLeft w:val="1080"/>
          <w:marRight w:val="0"/>
          <w:marTop w:val="100"/>
          <w:marBottom w:val="0"/>
          <w:divBdr>
            <w:top w:val="none" w:sz="0" w:space="0" w:color="auto"/>
            <w:left w:val="none" w:sz="0" w:space="0" w:color="auto"/>
            <w:bottom w:val="none" w:sz="0" w:space="0" w:color="auto"/>
            <w:right w:val="none" w:sz="0" w:space="0" w:color="auto"/>
          </w:divBdr>
        </w:div>
        <w:div w:id="1863862310">
          <w:marLeft w:val="1800"/>
          <w:marRight w:val="0"/>
          <w:marTop w:val="100"/>
          <w:marBottom w:val="0"/>
          <w:divBdr>
            <w:top w:val="none" w:sz="0" w:space="0" w:color="auto"/>
            <w:left w:val="none" w:sz="0" w:space="0" w:color="auto"/>
            <w:bottom w:val="none" w:sz="0" w:space="0" w:color="auto"/>
            <w:right w:val="none" w:sz="0" w:space="0" w:color="auto"/>
          </w:divBdr>
        </w:div>
        <w:div w:id="982735455">
          <w:marLeft w:val="360"/>
          <w:marRight w:val="0"/>
          <w:marTop w:val="200"/>
          <w:marBottom w:val="0"/>
          <w:divBdr>
            <w:top w:val="none" w:sz="0" w:space="0" w:color="auto"/>
            <w:left w:val="none" w:sz="0" w:space="0" w:color="auto"/>
            <w:bottom w:val="none" w:sz="0" w:space="0" w:color="auto"/>
            <w:right w:val="none" w:sz="0" w:space="0" w:color="auto"/>
          </w:divBdr>
        </w:div>
      </w:divsChild>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170459">
      <w:bodyDiv w:val="1"/>
      <w:marLeft w:val="0"/>
      <w:marRight w:val="0"/>
      <w:marTop w:val="0"/>
      <w:marBottom w:val="0"/>
      <w:divBdr>
        <w:top w:val="none" w:sz="0" w:space="0" w:color="auto"/>
        <w:left w:val="none" w:sz="0" w:space="0" w:color="auto"/>
        <w:bottom w:val="none" w:sz="0" w:space="0" w:color="auto"/>
        <w:right w:val="none" w:sz="0" w:space="0" w:color="auto"/>
      </w:divBdr>
    </w:div>
    <w:div w:id="635138174">
      <w:bodyDiv w:val="1"/>
      <w:marLeft w:val="0"/>
      <w:marRight w:val="0"/>
      <w:marTop w:val="0"/>
      <w:marBottom w:val="0"/>
      <w:divBdr>
        <w:top w:val="none" w:sz="0" w:space="0" w:color="auto"/>
        <w:left w:val="none" w:sz="0" w:space="0" w:color="auto"/>
        <w:bottom w:val="none" w:sz="0" w:space="0" w:color="auto"/>
        <w:right w:val="none" w:sz="0" w:space="0" w:color="auto"/>
      </w:divBdr>
    </w:div>
    <w:div w:id="675310296">
      <w:bodyDiv w:val="1"/>
      <w:marLeft w:val="0"/>
      <w:marRight w:val="0"/>
      <w:marTop w:val="0"/>
      <w:marBottom w:val="0"/>
      <w:divBdr>
        <w:top w:val="none" w:sz="0" w:space="0" w:color="auto"/>
        <w:left w:val="none" w:sz="0" w:space="0" w:color="auto"/>
        <w:bottom w:val="none" w:sz="0" w:space="0" w:color="auto"/>
        <w:right w:val="none" w:sz="0" w:space="0" w:color="auto"/>
      </w:divBdr>
      <w:divsChild>
        <w:div w:id="1687167868">
          <w:marLeft w:val="360"/>
          <w:marRight w:val="0"/>
          <w:marTop w:val="0"/>
          <w:marBottom w:val="0"/>
          <w:divBdr>
            <w:top w:val="none" w:sz="0" w:space="0" w:color="auto"/>
            <w:left w:val="none" w:sz="0" w:space="0" w:color="auto"/>
            <w:bottom w:val="none" w:sz="0" w:space="0" w:color="auto"/>
            <w:right w:val="none" w:sz="0" w:space="0" w:color="auto"/>
          </w:divBdr>
        </w:div>
        <w:div w:id="1265457493">
          <w:marLeft w:val="1080"/>
          <w:marRight w:val="0"/>
          <w:marTop w:val="0"/>
          <w:marBottom w:val="0"/>
          <w:divBdr>
            <w:top w:val="none" w:sz="0" w:space="0" w:color="auto"/>
            <w:left w:val="none" w:sz="0" w:space="0" w:color="auto"/>
            <w:bottom w:val="none" w:sz="0" w:space="0" w:color="auto"/>
            <w:right w:val="none" w:sz="0" w:space="0" w:color="auto"/>
          </w:divBdr>
        </w:div>
        <w:div w:id="1178423228">
          <w:marLeft w:val="1800"/>
          <w:marRight w:val="0"/>
          <w:marTop w:val="0"/>
          <w:marBottom w:val="0"/>
          <w:divBdr>
            <w:top w:val="none" w:sz="0" w:space="0" w:color="auto"/>
            <w:left w:val="none" w:sz="0" w:space="0" w:color="auto"/>
            <w:bottom w:val="none" w:sz="0" w:space="0" w:color="auto"/>
            <w:right w:val="none" w:sz="0" w:space="0" w:color="auto"/>
          </w:divBdr>
        </w:div>
        <w:div w:id="179705037">
          <w:marLeft w:val="2520"/>
          <w:marRight w:val="0"/>
          <w:marTop w:val="0"/>
          <w:marBottom w:val="0"/>
          <w:divBdr>
            <w:top w:val="none" w:sz="0" w:space="0" w:color="auto"/>
            <w:left w:val="none" w:sz="0" w:space="0" w:color="auto"/>
            <w:bottom w:val="none" w:sz="0" w:space="0" w:color="auto"/>
            <w:right w:val="none" w:sz="0" w:space="0" w:color="auto"/>
          </w:divBdr>
        </w:div>
        <w:div w:id="477382770">
          <w:marLeft w:val="2520"/>
          <w:marRight w:val="0"/>
          <w:marTop w:val="0"/>
          <w:marBottom w:val="0"/>
          <w:divBdr>
            <w:top w:val="none" w:sz="0" w:space="0" w:color="auto"/>
            <w:left w:val="none" w:sz="0" w:space="0" w:color="auto"/>
            <w:bottom w:val="none" w:sz="0" w:space="0" w:color="auto"/>
            <w:right w:val="none" w:sz="0" w:space="0" w:color="auto"/>
          </w:divBdr>
        </w:div>
        <w:div w:id="654142351">
          <w:marLeft w:val="1800"/>
          <w:marRight w:val="0"/>
          <w:marTop w:val="0"/>
          <w:marBottom w:val="0"/>
          <w:divBdr>
            <w:top w:val="none" w:sz="0" w:space="0" w:color="auto"/>
            <w:left w:val="none" w:sz="0" w:space="0" w:color="auto"/>
            <w:bottom w:val="none" w:sz="0" w:space="0" w:color="auto"/>
            <w:right w:val="none" w:sz="0" w:space="0" w:color="auto"/>
          </w:divBdr>
        </w:div>
        <w:div w:id="18051089">
          <w:marLeft w:val="2520"/>
          <w:marRight w:val="0"/>
          <w:marTop w:val="0"/>
          <w:marBottom w:val="0"/>
          <w:divBdr>
            <w:top w:val="none" w:sz="0" w:space="0" w:color="auto"/>
            <w:left w:val="none" w:sz="0" w:space="0" w:color="auto"/>
            <w:bottom w:val="none" w:sz="0" w:space="0" w:color="auto"/>
            <w:right w:val="none" w:sz="0" w:space="0" w:color="auto"/>
          </w:divBdr>
        </w:div>
        <w:div w:id="345985517">
          <w:marLeft w:val="2520"/>
          <w:marRight w:val="0"/>
          <w:marTop w:val="0"/>
          <w:marBottom w:val="0"/>
          <w:divBdr>
            <w:top w:val="none" w:sz="0" w:space="0" w:color="auto"/>
            <w:left w:val="none" w:sz="0" w:space="0" w:color="auto"/>
            <w:bottom w:val="none" w:sz="0" w:space="0" w:color="auto"/>
            <w:right w:val="none" w:sz="0" w:space="0" w:color="auto"/>
          </w:divBdr>
        </w:div>
        <w:div w:id="1925256525">
          <w:marLeft w:val="360"/>
          <w:marRight w:val="0"/>
          <w:marTop w:val="0"/>
          <w:marBottom w:val="0"/>
          <w:divBdr>
            <w:top w:val="none" w:sz="0" w:space="0" w:color="auto"/>
            <w:left w:val="none" w:sz="0" w:space="0" w:color="auto"/>
            <w:bottom w:val="none" w:sz="0" w:space="0" w:color="auto"/>
            <w:right w:val="none" w:sz="0" w:space="0" w:color="auto"/>
          </w:divBdr>
        </w:div>
        <w:div w:id="1730805926">
          <w:marLeft w:val="1440"/>
          <w:marRight w:val="0"/>
          <w:marTop w:val="0"/>
          <w:marBottom w:val="0"/>
          <w:divBdr>
            <w:top w:val="none" w:sz="0" w:space="0" w:color="auto"/>
            <w:left w:val="none" w:sz="0" w:space="0" w:color="auto"/>
            <w:bottom w:val="none" w:sz="0" w:space="0" w:color="auto"/>
            <w:right w:val="none" w:sz="0" w:space="0" w:color="auto"/>
          </w:divBdr>
        </w:div>
        <w:div w:id="464005819">
          <w:marLeft w:val="1440"/>
          <w:marRight w:val="0"/>
          <w:marTop w:val="0"/>
          <w:marBottom w:val="0"/>
          <w:divBdr>
            <w:top w:val="none" w:sz="0" w:space="0" w:color="auto"/>
            <w:left w:val="none" w:sz="0" w:space="0" w:color="auto"/>
            <w:bottom w:val="none" w:sz="0" w:space="0" w:color="auto"/>
            <w:right w:val="none" w:sz="0" w:space="0" w:color="auto"/>
          </w:divBdr>
        </w:div>
        <w:div w:id="105463446">
          <w:marLeft w:val="1800"/>
          <w:marRight w:val="0"/>
          <w:marTop w:val="0"/>
          <w:marBottom w:val="0"/>
          <w:divBdr>
            <w:top w:val="none" w:sz="0" w:space="0" w:color="auto"/>
            <w:left w:val="none" w:sz="0" w:space="0" w:color="auto"/>
            <w:bottom w:val="none" w:sz="0" w:space="0" w:color="auto"/>
            <w:right w:val="none" w:sz="0" w:space="0" w:color="auto"/>
          </w:divBdr>
        </w:div>
        <w:div w:id="567231240">
          <w:marLeft w:val="1440"/>
          <w:marRight w:val="0"/>
          <w:marTop w:val="0"/>
          <w:marBottom w:val="0"/>
          <w:divBdr>
            <w:top w:val="none" w:sz="0" w:space="0" w:color="auto"/>
            <w:left w:val="none" w:sz="0" w:space="0" w:color="auto"/>
            <w:bottom w:val="none" w:sz="0" w:space="0" w:color="auto"/>
            <w:right w:val="none" w:sz="0" w:space="0" w:color="auto"/>
          </w:divBdr>
        </w:div>
        <w:div w:id="1604260194">
          <w:marLeft w:val="1800"/>
          <w:marRight w:val="0"/>
          <w:marTop w:val="0"/>
          <w:marBottom w:val="0"/>
          <w:divBdr>
            <w:top w:val="none" w:sz="0" w:space="0" w:color="auto"/>
            <w:left w:val="none" w:sz="0" w:space="0" w:color="auto"/>
            <w:bottom w:val="none" w:sz="0" w:space="0" w:color="auto"/>
            <w:right w:val="none" w:sz="0" w:space="0" w:color="auto"/>
          </w:divBdr>
        </w:div>
        <w:div w:id="909384497">
          <w:marLeft w:val="360"/>
          <w:marRight w:val="0"/>
          <w:marTop w:val="0"/>
          <w:marBottom w:val="0"/>
          <w:divBdr>
            <w:top w:val="none" w:sz="0" w:space="0" w:color="auto"/>
            <w:left w:val="none" w:sz="0" w:space="0" w:color="auto"/>
            <w:bottom w:val="none" w:sz="0" w:space="0" w:color="auto"/>
            <w:right w:val="none" w:sz="0" w:space="0" w:color="auto"/>
          </w:divBdr>
        </w:div>
      </w:divsChild>
    </w:div>
    <w:div w:id="686062148">
      <w:bodyDiv w:val="1"/>
      <w:marLeft w:val="0"/>
      <w:marRight w:val="0"/>
      <w:marTop w:val="0"/>
      <w:marBottom w:val="0"/>
      <w:divBdr>
        <w:top w:val="none" w:sz="0" w:space="0" w:color="auto"/>
        <w:left w:val="none" w:sz="0" w:space="0" w:color="auto"/>
        <w:bottom w:val="none" w:sz="0" w:space="0" w:color="auto"/>
        <w:right w:val="none" w:sz="0" w:space="0" w:color="auto"/>
      </w:divBdr>
    </w:div>
    <w:div w:id="725832901">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6560418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33438626">
      <w:bodyDiv w:val="1"/>
      <w:marLeft w:val="0"/>
      <w:marRight w:val="0"/>
      <w:marTop w:val="0"/>
      <w:marBottom w:val="0"/>
      <w:divBdr>
        <w:top w:val="none" w:sz="0" w:space="0" w:color="auto"/>
        <w:left w:val="none" w:sz="0" w:space="0" w:color="auto"/>
        <w:bottom w:val="none" w:sz="0" w:space="0" w:color="auto"/>
        <w:right w:val="none" w:sz="0" w:space="0" w:color="auto"/>
      </w:divBdr>
    </w:div>
    <w:div w:id="952979608">
      <w:bodyDiv w:val="1"/>
      <w:marLeft w:val="0"/>
      <w:marRight w:val="0"/>
      <w:marTop w:val="0"/>
      <w:marBottom w:val="0"/>
      <w:divBdr>
        <w:top w:val="none" w:sz="0" w:space="0" w:color="auto"/>
        <w:left w:val="none" w:sz="0" w:space="0" w:color="auto"/>
        <w:bottom w:val="none" w:sz="0" w:space="0" w:color="auto"/>
        <w:right w:val="none" w:sz="0" w:space="0" w:color="auto"/>
      </w:divBdr>
      <w:divsChild>
        <w:div w:id="1130898671">
          <w:marLeft w:val="446"/>
          <w:marRight w:val="0"/>
          <w:marTop w:val="0"/>
          <w:marBottom w:val="0"/>
          <w:divBdr>
            <w:top w:val="none" w:sz="0" w:space="0" w:color="auto"/>
            <w:left w:val="none" w:sz="0" w:space="0" w:color="auto"/>
            <w:bottom w:val="none" w:sz="0" w:space="0" w:color="auto"/>
            <w:right w:val="none" w:sz="0" w:space="0" w:color="auto"/>
          </w:divBdr>
        </w:div>
        <w:div w:id="2007777791">
          <w:marLeft w:val="446"/>
          <w:marRight w:val="0"/>
          <w:marTop w:val="0"/>
          <w:marBottom w:val="0"/>
          <w:divBdr>
            <w:top w:val="none" w:sz="0" w:space="0" w:color="auto"/>
            <w:left w:val="none" w:sz="0" w:space="0" w:color="auto"/>
            <w:bottom w:val="none" w:sz="0" w:space="0" w:color="auto"/>
            <w:right w:val="none" w:sz="0" w:space="0" w:color="auto"/>
          </w:divBdr>
        </w:div>
        <w:div w:id="622612617">
          <w:marLeft w:val="1166"/>
          <w:marRight w:val="0"/>
          <w:marTop w:val="0"/>
          <w:marBottom w:val="0"/>
          <w:divBdr>
            <w:top w:val="none" w:sz="0" w:space="0" w:color="auto"/>
            <w:left w:val="none" w:sz="0" w:space="0" w:color="auto"/>
            <w:bottom w:val="none" w:sz="0" w:space="0" w:color="auto"/>
            <w:right w:val="none" w:sz="0" w:space="0" w:color="auto"/>
          </w:divBdr>
        </w:div>
        <w:div w:id="1991903614">
          <w:marLeft w:val="1166"/>
          <w:marRight w:val="0"/>
          <w:marTop w:val="0"/>
          <w:marBottom w:val="0"/>
          <w:divBdr>
            <w:top w:val="none" w:sz="0" w:space="0" w:color="auto"/>
            <w:left w:val="none" w:sz="0" w:space="0" w:color="auto"/>
            <w:bottom w:val="none" w:sz="0" w:space="0" w:color="auto"/>
            <w:right w:val="none" w:sz="0" w:space="0" w:color="auto"/>
          </w:divBdr>
        </w:div>
      </w:divsChild>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5738750">
      <w:bodyDiv w:val="1"/>
      <w:marLeft w:val="0"/>
      <w:marRight w:val="0"/>
      <w:marTop w:val="0"/>
      <w:marBottom w:val="0"/>
      <w:divBdr>
        <w:top w:val="none" w:sz="0" w:space="0" w:color="auto"/>
        <w:left w:val="none" w:sz="0" w:space="0" w:color="auto"/>
        <w:bottom w:val="none" w:sz="0" w:space="0" w:color="auto"/>
        <w:right w:val="none" w:sz="0" w:space="0" w:color="auto"/>
      </w:divBdr>
      <w:divsChild>
        <w:div w:id="1087189891">
          <w:marLeft w:val="446"/>
          <w:marRight w:val="0"/>
          <w:marTop w:val="120"/>
          <w:marBottom w:val="120"/>
          <w:divBdr>
            <w:top w:val="none" w:sz="0" w:space="0" w:color="auto"/>
            <w:left w:val="none" w:sz="0" w:space="0" w:color="auto"/>
            <w:bottom w:val="none" w:sz="0" w:space="0" w:color="auto"/>
            <w:right w:val="none" w:sz="0" w:space="0" w:color="auto"/>
          </w:divBdr>
        </w:div>
      </w:divsChild>
    </w:div>
    <w:div w:id="106865386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485586277">
      <w:bodyDiv w:val="1"/>
      <w:marLeft w:val="0"/>
      <w:marRight w:val="0"/>
      <w:marTop w:val="0"/>
      <w:marBottom w:val="0"/>
      <w:divBdr>
        <w:top w:val="none" w:sz="0" w:space="0" w:color="auto"/>
        <w:left w:val="none" w:sz="0" w:space="0" w:color="auto"/>
        <w:bottom w:val="none" w:sz="0" w:space="0" w:color="auto"/>
        <w:right w:val="none" w:sz="0" w:space="0" w:color="auto"/>
      </w:divBdr>
    </w:div>
    <w:div w:id="1548760839">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3029885">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814494">
      <w:bodyDiv w:val="1"/>
      <w:marLeft w:val="0"/>
      <w:marRight w:val="0"/>
      <w:marTop w:val="0"/>
      <w:marBottom w:val="0"/>
      <w:divBdr>
        <w:top w:val="none" w:sz="0" w:space="0" w:color="auto"/>
        <w:left w:val="none" w:sz="0" w:space="0" w:color="auto"/>
        <w:bottom w:val="none" w:sz="0" w:space="0" w:color="auto"/>
        <w:right w:val="none" w:sz="0" w:space="0" w:color="auto"/>
      </w:divBdr>
    </w:div>
    <w:div w:id="1965844832">
      <w:bodyDiv w:val="1"/>
      <w:marLeft w:val="0"/>
      <w:marRight w:val="0"/>
      <w:marTop w:val="0"/>
      <w:marBottom w:val="0"/>
      <w:divBdr>
        <w:top w:val="none" w:sz="0" w:space="0" w:color="auto"/>
        <w:left w:val="none" w:sz="0" w:space="0" w:color="auto"/>
        <w:bottom w:val="none" w:sz="0" w:space="0" w:color="auto"/>
        <w:right w:val="none" w:sz="0" w:space="0" w:color="auto"/>
      </w:divBdr>
    </w:div>
    <w:div w:id="1985353356">
      <w:bodyDiv w:val="1"/>
      <w:marLeft w:val="0"/>
      <w:marRight w:val="0"/>
      <w:marTop w:val="0"/>
      <w:marBottom w:val="0"/>
      <w:divBdr>
        <w:top w:val="none" w:sz="0" w:space="0" w:color="auto"/>
        <w:left w:val="none" w:sz="0" w:space="0" w:color="auto"/>
        <w:bottom w:val="none" w:sz="0" w:space="0" w:color="auto"/>
        <w:right w:val="none" w:sz="0" w:space="0" w:color="auto"/>
      </w:divBdr>
    </w:div>
    <w:div w:id="210438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F3759961-D183-409F-9EC8-8E09CC38A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1874</Words>
  <Characters>10687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JL</cp:lastModifiedBy>
  <cp:revision>6</cp:revision>
  <cp:lastPrinted>2007-06-18T23:08:00Z</cp:lastPrinted>
  <dcterms:created xsi:type="dcterms:W3CDTF">2021-11-05T14:56:00Z</dcterms:created>
  <dcterms:modified xsi:type="dcterms:W3CDTF">2021-11-05T15:01:00Z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