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2AB42E" w14:textId="77777777" w:rsidR="0098092C" w:rsidRDefault="0030498B">
      <w:pPr>
        <w:tabs>
          <w:tab w:val="right" w:pos="9216"/>
        </w:tabs>
        <w:spacing w:after="0"/>
        <w:jc w:val="left"/>
        <w:rPr>
          <w:b/>
          <w:lang w:eastAsia="zh-CN"/>
        </w:rPr>
      </w:pPr>
      <w:r>
        <w:rPr>
          <w:b/>
          <w:noProof/>
          <w:lang w:eastAsia="zh-CN"/>
        </w:rPr>
        <mc:AlternateContent>
          <mc:Choice Requires="wps">
            <w:drawing>
              <wp:anchor distT="0" distB="0" distL="114300" distR="114300" simplePos="0" relativeHeight="251659264" behindDoc="0" locked="1" layoutInCell="0" hidden="1" allowOverlap="1" wp14:anchorId="09EFAE08" wp14:editId="4AF42E84">
                <wp:simplePos x="0" y="0"/>
                <wp:positionH relativeFrom="page">
                  <wp:posOffset>0</wp:posOffset>
                </wp:positionH>
                <wp:positionV relativeFrom="page">
                  <wp:posOffset>0</wp:posOffset>
                </wp:positionV>
                <wp:extent cx="635" cy="635"/>
                <wp:effectExtent l="9525" t="9525" r="8890" b="8890"/>
                <wp:wrapNone/>
                <wp:docPr id="2"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任意多边形 3"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59264;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lang w:eastAsia="zh-CN"/>
        </w:rPr>
        <w:t>3GPP TSG RAN WG1 Meeting #106bis-e</w:t>
      </w:r>
      <w:r>
        <w:rPr>
          <w:b/>
          <w:lang w:eastAsia="zh-CN"/>
        </w:rPr>
        <w:tab/>
        <w:t>R1-21xxxxx</w:t>
      </w:r>
    </w:p>
    <w:p w14:paraId="3F4F391B" w14:textId="77777777" w:rsidR="0098092C" w:rsidRDefault="0030498B">
      <w:pPr>
        <w:jc w:val="left"/>
        <w:rPr>
          <w:b/>
          <w:lang w:eastAsia="zh-CN"/>
        </w:rPr>
      </w:pPr>
      <w:bookmarkStart w:id="0" w:name="OLE_LINK7"/>
      <w:r>
        <w:rPr>
          <w:b/>
          <w:lang w:eastAsia="zh-CN"/>
        </w:rPr>
        <w:t xml:space="preserve">e-Meeting, October </w:t>
      </w:r>
      <w:r>
        <w:rPr>
          <w:b/>
        </w:rPr>
        <w:t>11</w:t>
      </w:r>
      <w:r>
        <w:rPr>
          <w:b/>
          <w:vertAlign w:val="superscript"/>
        </w:rPr>
        <w:t>th</w:t>
      </w:r>
      <w:r>
        <w:rPr>
          <w:b/>
        </w:rPr>
        <w:t xml:space="preserve"> </w:t>
      </w:r>
      <w:r>
        <w:rPr>
          <w:b/>
          <w:lang w:eastAsia="zh-CN"/>
        </w:rPr>
        <w:t xml:space="preserve">– October </w:t>
      </w:r>
      <w:r>
        <w:rPr>
          <w:b/>
        </w:rPr>
        <w:t>19</w:t>
      </w:r>
      <w:r>
        <w:rPr>
          <w:b/>
          <w:vertAlign w:val="superscript"/>
        </w:rPr>
        <w:t>th</w:t>
      </w:r>
      <w:r>
        <w:rPr>
          <w:b/>
          <w:lang w:eastAsia="zh-CN"/>
        </w:rPr>
        <w:t>, 202</w:t>
      </w:r>
      <w:bookmarkEnd w:id="0"/>
      <w:r>
        <w:rPr>
          <w:b/>
          <w:lang w:eastAsia="zh-CN"/>
        </w:rPr>
        <w:t>1</w:t>
      </w:r>
    </w:p>
    <w:p w14:paraId="5D4E85F7" w14:textId="77777777" w:rsidR="0098092C" w:rsidRDefault="0098092C">
      <w:pPr>
        <w:pBdr>
          <w:top w:val="single" w:sz="4" w:space="1" w:color="auto"/>
        </w:pBdr>
        <w:spacing w:after="0"/>
        <w:jc w:val="left"/>
        <w:rPr>
          <w:b/>
          <w:kern w:val="2"/>
          <w:lang w:eastAsia="zh-CN"/>
        </w:rPr>
      </w:pPr>
    </w:p>
    <w:p w14:paraId="287647AC" w14:textId="77777777" w:rsidR="0098092C" w:rsidRDefault="0030498B">
      <w:pPr>
        <w:spacing w:after="60"/>
        <w:ind w:left="1555" w:hanging="1555"/>
        <w:jc w:val="left"/>
        <w:rPr>
          <w:b/>
          <w:lang w:eastAsia="zh-CN"/>
        </w:rPr>
      </w:pPr>
      <w:r>
        <w:rPr>
          <w:b/>
          <w:lang w:eastAsia="zh-CN"/>
        </w:rPr>
        <w:t>Agenda Item:</w:t>
      </w:r>
      <w:r>
        <w:rPr>
          <w:b/>
          <w:lang w:eastAsia="zh-CN"/>
        </w:rPr>
        <w:tab/>
        <w:t>8.9.1</w:t>
      </w:r>
    </w:p>
    <w:p w14:paraId="5CA85D63" w14:textId="77777777" w:rsidR="0098092C" w:rsidRDefault="0030498B">
      <w:pPr>
        <w:spacing w:after="60"/>
        <w:ind w:left="1555" w:hanging="1555"/>
        <w:jc w:val="left"/>
        <w:rPr>
          <w:b/>
          <w:lang w:eastAsia="zh-CN"/>
        </w:rPr>
      </w:pPr>
      <w:r>
        <w:rPr>
          <w:b/>
          <w:lang w:eastAsia="zh-CN"/>
        </w:rPr>
        <w:t>Source:</w:t>
      </w:r>
      <w:r>
        <w:rPr>
          <w:b/>
          <w:lang w:eastAsia="zh-CN"/>
        </w:rPr>
        <w:tab/>
        <w:t>Moderator (Huawei)</w:t>
      </w:r>
    </w:p>
    <w:p w14:paraId="421378E1" w14:textId="77777777" w:rsidR="0098092C" w:rsidRDefault="0030498B">
      <w:pPr>
        <w:spacing w:after="60"/>
        <w:ind w:left="1555" w:hanging="1555"/>
        <w:jc w:val="left"/>
        <w:rPr>
          <w:b/>
          <w:lang w:eastAsia="zh-CN"/>
        </w:rPr>
      </w:pPr>
      <w:r>
        <w:rPr>
          <w:b/>
          <w:kern w:val="2"/>
          <w:lang w:eastAsia="zh-CN"/>
        </w:rPr>
        <w:t>Title:</w:t>
      </w:r>
      <w:r>
        <w:rPr>
          <w:b/>
          <w:kern w:val="2"/>
          <w:lang w:eastAsia="zh-CN"/>
        </w:rPr>
        <w:tab/>
      </w:r>
      <w:r>
        <w:rPr>
          <w:b/>
          <w:lang w:eastAsia="zh-CN"/>
        </w:rPr>
        <w:t>Feature lead summary #1 on 106bis-e-LTE-Rel17-NB-IoT-eMTC-01</w:t>
      </w:r>
    </w:p>
    <w:p w14:paraId="00112862" w14:textId="77777777" w:rsidR="0098092C" w:rsidRDefault="0030498B">
      <w:pPr>
        <w:spacing w:after="60"/>
        <w:ind w:left="1555" w:hanging="1555"/>
        <w:jc w:val="left"/>
        <w:rPr>
          <w:b/>
          <w:kern w:val="2"/>
          <w:lang w:eastAsia="zh-CN"/>
        </w:rPr>
      </w:pPr>
      <w:r>
        <w:rPr>
          <w:b/>
          <w:kern w:val="2"/>
          <w:lang w:eastAsia="zh-CN"/>
        </w:rPr>
        <w:t>Document for:</w:t>
      </w:r>
      <w:r>
        <w:rPr>
          <w:b/>
          <w:kern w:val="2"/>
          <w:lang w:eastAsia="zh-CN"/>
        </w:rPr>
        <w:tab/>
        <w:t>Discussion and Decision</w:t>
      </w:r>
    </w:p>
    <w:p w14:paraId="2D46E682" w14:textId="77777777" w:rsidR="0098092C" w:rsidRDefault="0098092C">
      <w:pPr>
        <w:pBdr>
          <w:bottom w:val="single" w:sz="4" w:space="1" w:color="auto"/>
        </w:pBdr>
        <w:spacing w:after="0"/>
        <w:jc w:val="left"/>
        <w:rPr>
          <w:b/>
          <w:sz w:val="16"/>
          <w:szCs w:val="16"/>
        </w:rPr>
      </w:pPr>
    </w:p>
    <w:p w14:paraId="1405D7D5" w14:textId="77777777" w:rsidR="0098092C" w:rsidRDefault="0030498B">
      <w:pPr>
        <w:pStyle w:val="Heading1"/>
        <w:ind w:left="431" w:hanging="431"/>
        <w:rPr>
          <w:lang w:eastAsia="zh-CN"/>
        </w:rPr>
      </w:pPr>
      <w:bookmarkStart w:id="1" w:name="_Ref129681862"/>
      <w:bookmarkStart w:id="2" w:name="_Ref124589705"/>
      <w:r>
        <w:t>Introduction</w:t>
      </w:r>
      <w:bookmarkEnd w:id="1"/>
      <w:bookmarkEnd w:id="2"/>
    </w:p>
    <w:p w14:paraId="3F35B5E2" w14:textId="77777777" w:rsidR="0098092C" w:rsidRDefault="0030498B">
      <w:pPr>
        <w:rPr>
          <w:lang w:eastAsia="zh-CN"/>
        </w:rPr>
      </w:pPr>
      <w:r>
        <w:rPr>
          <w:lang w:eastAsia="zh-CN"/>
        </w:rPr>
        <w:t>The WID for Rel-17 enhancements for NB-IoT and LTE-MTC [1] includes an objective to support 16-QAM for unicast in UL and DL in NB-IoT.</w:t>
      </w:r>
    </w:p>
    <w:p w14:paraId="0A8F7F17" w14:textId="77777777" w:rsidR="0098092C" w:rsidRDefault="0030498B">
      <w:pPr>
        <w:widowControl w:val="0"/>
        <w:numPr>
          <w:ilvl w:val="0"/>
          <w:numId w:val="11"/>
        </w:numPr>
        <w:autoSpaceDE/>
        <w:autoSpaceDN/>
        <w:adjustRightInd/>
        <w:snapToGrid/>
        <w:spacing w:after="0" w:line="360" w:lineRule="auto"/>
        <w:contextualSpacing/>
        <w:rPr>
          <w:rFonts w:eastAsia="DengXian"/>
          <w:i/>
          <w:lang w:eastAsia="zh-CN"/>
        </w:rPr>
      </w:pPr>
      <w:r>
        <w:rPr>
          <w:rFonts w:eastAsia="DengXian"/>
          <w:i/>
          <w:lang w:eastAsia="zh-CN"/>
        </w:rPr>
        <w:t xml:space="preserve">Specify 16-QAM for unicast in UL and DL, including necessary changes to DL power allocation for NPDSCH and DL TBS. This is to be specified without a new NB-IoT UE category. For DL, </w:t>
      </w:r>
      <w:r>
        <w:rPr>
          <w:i/>
          <w:lang w:eastAsia="zh-CN"/>
        </w:rPr>
        <w:t>increase in maximum TBS of e.g. 2x the Rel-16 maximum, and soft buffer size will be specified by modifying at least existing Category NB2. For UL, the maximum TBS is not increased.</w:t>
      </w:r>
      <w:r>
        <w:rPr>
          <w:rFonts w:eastAsia="DengXian"/>
          <w:i/>
          <w:lang w:eastAsia="zh-CN"/>
        </w:rPr>
        <w:t xml:space="preserve"> [NB-IoT] [RAN1, RAN4]</w:t>
      </w:r>
    </w:p>
    <w:p w14:paraId="3E0B3C9E" w14:textId="77777777" w:rsidR="0098092C" w:rsidRDefault="0030498B">
      <w:pPr>
        <w:widowControl w:val="0"/>
        <w:numPr>
          <w:ilvl w:val="1"/>
          <w:numId w:val="11"/>
        </w:numPr>
        <w:autoSpaceDE/>
        <w:autoSpaceDN/>
        <w:adjustRightInd/>
        <w:snapToGrid/>
        <w:spacing w:after="0" w:line="360" w:lineRule="auto"/>
        <w:contextualSpacing/>
        <w:rPr>
          <w:rFonts w:eastAsia="DengXian"/>
          <w:i/>
          <w:lang w:eastAsia="zh-CN"/>
        </w:rPr>
      </w:pPr>
      <w:r>
        <w:rPr>
          <w:rFonts w:eastAsia="DengXian"/>
          <w:i/>
          <w:lang w:eastAsia="zh-CN"/>
        </w:rPr>
        <w:t xml:space="preserve">Extend the NB-IoT channel quality reporting based on the framework of Rel-14—16, to support 16-QAM in DL. [NB-IoT] [RAN2, RAN1, RAN4] </w:t>
      </w:r>
    </w:p>
    <w:p w14:paraId="50215A21" w14:textId="77777777" w:rsidR="0098092C" w:rsidRDefault="0030498B">
      <w:pPr>
        <w:rPr>
          <w:lang w:eastAsia="zh-CN"/>
        </w:rPr>
      </w:pPr>
      <w:r>
        <w:rPr>
          <w:rFonts w:hint="eastAsia"/>
          <w:lang w:eastAsia="zh-CN"/>
        </w:rPr>
        <w:t xml:space="preserve">This documents provides the proposals and summary of discussions of the </w:t>
      </w:r>
      <w:r>
        <w:rPr>
          <w:lang w:eastAsia="zh-CN"/>
        </w:rPr>
        <w:t>corresponding email discussion according to the inputs [2-9].</w:t>
      </w:r>
    </w:p>
    <w:p w14:paraId="2A8B90F0" w14:textId="77777777" w:rsidR="0098092C" w:rsidRDefault="0030498B">
      <w:pPr>
        <w:ind w:leftChars="200" w:left="440"/>
        <w:rPr>
          <w:lang w:eastAsia="zh-CN"/>
        </w:rPr>
      </w:pPr>
      <w:r>
        <w:rPr>
          <w:highlight w:val="cyan"/>
          <w:lang w:eastAsia="zh-CN"/>
        </w:rPr>
        <w:t xml:space="preserve">[106bis-e-LTE-Rel17-NB-IoT-eMTC-01] Email discussion on support of 16-QAM for unicast in UL and DL for NB-IoT </w:t>
      </w:r>
      <w:r>
        <w:rPr>
          <w:highlight w:val="cyan"/>
        </w:rPr>
        <w:t>– Yubo (Huawei)</w:t>
      </w:r>
    </w:p>
    <w:p w14:paraId="4743FEB6" w14:textId="77777777" w:rsidR="0098092C" w:rsidRDefault="0098092C">
      <w:pPr>
        <w:rPr>
          <w:lang w:eastAsia="zh-CN"/>
        </w:rPr>
      </w:pPr>
    </w:p>
    <w:p w14:paraId="168F5673" w14:textId="77777777" w:rsidR="0098092C" w:rsidRDefault="0030498B">
      <w:pPr>
        <w:pStyle w:val="Heading1"/>
        <w:rPr>
          <w:lang w:eastAsia="zh-CN"/>
        </w:rPr>
      </w:pPr>
      <w:r>
        <w:rPr>
          <w:lang w:eastAsia="zh-CN"/>
        </w:rPr>
        <w:t xml:space="preserve">Round 2 </w:t>
      </w:r>
      <w:r>
        <w:rPr>
          <w:rFonts w:hint="eastAsia"/>
          <w:lang w:eastAsia="zh-CN"/>
        </w:rPr>
        <w:t>Discussion</w:t>
      </w:r>
    </w:p>
    <w:p w14:paraId="13F43473" w14:textId="77777777" w:rsidR="0098092C" w:rsidRDefault="0030498B">
      <w:pPr>
        <w:pStyle w:val="Heading2"/>
        <w:rPr>
          <w:lang w:eastAsia="zh-CN"/>
        </w:rPr>
      </w:pPr>
      <w:r>
        <w:rPr>
          <w:lang w:eastAsia="zh-CN"/>
        </w:rPr>
        <w:t>Stable agreements</w:t>
      </w:r>
    </w:p>
    <w:p w14:paraId="1A8CDBDF" w14:textId="77777777" w:rsidR="0098092C" w:rsidRDefault="0030498B">
      <w:pPr>
        <w:rPr>
          <w:lang w:eastAsia="zh-CN"/>
        </w:rPr>
      </w:pPr>
      <w:r>
        <w:rPr>
          <w:rFonts w:hint="eastAsia"/>
          <w:lang w:eastAsia="zh-CN"/>
        </w:rPr>
        <w:t xml:space="preserve">From the comments, it seems the following proposal can be </w:t>
      </w:r>
    </w:p>
    <w:p w14:paraId="28DBC76A" w14:textId="77777777" w:rsidR="0098092C" w:rsidRDefault="0030498B">
      <w:pPr>
        <w:pStyle w:val="Caption"/>
        <w:jc w:val="left"/>
        <w:rPr>
          <w:sz w:val="22"/>
        </w:rPr>
      </w:pPr>
      <w:r>
        <w:t xml:space="preserve">Proposal 1: </w:t>
      </w:r>
      <w:r>
        <w:rPr>
          <w:sz w:val="22"/>
        </w:rPr>
        <w:t>Support 16-QAM for NPDSCH in PUR procedure</w:t>
      </w:r>
    </w:p>
    <w:p w14:paraId="127DF957" w14:textId="77777777" w:rsidR="0098092C" w:rsidRDefault="0030498B">
      <w:pPr>
        <w:pStyle w:val="Caption"/>
        <w:numPr>
          <w:ilvl w:val="0"/>
          <w:numId w:val="12"/>
        </w:numPr>
        <w:jc w:val="left"/>
        <w:rPr>
          <w:sz w:val="22"/>
        </w:rPr>
      </w:pPr>
      <w:r>
        <w:rPr>
          <w:sz w:val="22"/>
        </w:rPr>
        <w:t>CSI report is not supported/expected during PUR procedure.</w:t>
      </w:r>
    </w:p>
    <w:p w14:paraId="05D32B31" w14:textId="77777777" w:rsidR="0098092C" w:rsidRDefault="0030498B">
      <w:r>
        <w:rPr>
          <w:b/>
          <w:bCs/>
        </w:rPr>
        <w:t>Proposal 1A: To support 16-QAM for NPDSCH and NPUSCH in PUR procedure,</w:t>
      </w:r>
    </w:p>
    <w:p w14:paraId="112CAD34" w14:textId="77777777" w:rsidR="0098092C" w:rsidRDefault="0030498B">
      <w:pPr>
        <w:pStyle w:val="Caption"/>
        <w:numPr>
          <w:ilvl w:val="0"/>
          <w:numId w:val="12"/>
        </w:numPr>
        <w:jc w:val="left"/>
        <w:rPr>
          <w:sz w:val="22"/>
        </w:rPr>
      </w:pPr>
      <w:r>
        <w:rPr>
          <w:sz w:val="22"/>
        </w:rPr>
        <w:t xml:space="preserve">16-QAM can be enabled/disabled by UE specific RRC signaling for NPDSCH and NPUSCH separately </w:t>
      </w:r>
    </w:p>
    <w:p w14:paraId="79FD526B" w14:textId="77777777" w:rsidR="0098092C" w:rsidRDefault="0030498B">
      <w:pPr>
        <w:pStyle w:val="Caption"/>
        <w:numPr>
          <w:ilvl w:val="1"/>
          <w:numId w:val="12"/>
        </w:numPr>
        <w:jc w:val="left"/>
      </w:pPr>
      <w:r>
        <w:rPr>
          <w:sz w:val="22"/>
        </w:rPr>
        <w:t>The corresponding configurations and signaling details are up to RAN2</w:t>
      </w:r>
    </w:p>
    <w:p w14:paraId="064FCB5C" w14:textId="77777777" w:rsidR="0098092C" w:rsidRDefault="0030498B">
      <w:r>
        <w:rPr>
          <w:b/>
          <w:lang w:eastAsia="zh-CN"/>
        </w:rPr>
        <w:t>Proposal 2: The reserved state to indicate the use of 16QAM in DCI format N0 and DCI format N1 should be “1111”.</w:t>
      </w:r>
    </w:p>
    <w:p w14:paraId="3E393EE5" w14:textId="77777777" w:rsidR="0098092C" w:rsidRDefault="0030498B">
      <w:pPr>
        <w:autoSpaceDE/>
        <w:autoSpaceDN/>
        <w:adjustRightInd/>
        <w:snapToGrid/>
        <w:spacing w:line="240" w:lineRule="auto"/>
        <w:jc w:val="left"/>
        <w:rPr>
          <w:rFonts w:ascii="Times" w:eastAsia="MS Mincho" w:hAnsi="Times" w:cs="Times"/>
          <w:b/>
          <w:lang w:val="en-GB" w:eastAsia="ja-JP"/>
        </w:rPr>
      </w:pPr>
      <w:r>
        <w:rPr>
          <w:rFonts w:ascii="Times" w:eastAsia="MS Mincho" w:hAnsi="Times" w:cs="Times"/>
          <w:b/>
          <w:lang w:val="en-GB" w:eastAsia="ja-JP"/>
        </w:rPr>
        <w:t>Proposal 3: confirm the following working assumption:</w:t>
      </w:r>
    </w:p>
    <w:p w14:paraId="352EB30E" w14:textId="77777777" w:rsidR="0098092C" w:rsidRDefault="0030498B">
      <w:pPr>
        <w:shd w:val="clear" w:color="auto" w:fill="FFFFFF"/>
        <w:ind w:leftChars="200" w:left="440"/>
        <w:rPr>
          <w:b/>
          <w:highlight w:val="darkYellow"/>
          <w:lang w:eastAsia="zh-CN"/>
        </w:rPr>
      </w:pPr>
      <w:r>
        <w:rPr>
          <w:b/>
          <w:highlight w:val="darkYellow"/>
          <w:lang w:eastAsia="zh-CN"/>
        </w:rPr>
        <w:t xml:space="preserve">Working Assumption </w:t>
      </w:r>
    </w:p>
    <w:p w14:paraId="5B97EE16" w14:textId="77777777" w:rsidR="0098092C" w:rsidRDefault="0030498B">
      <w:pPr>
        <w:shd w:val="clear" w:color="auto" w:fill="FFFFFF"/>
        <w:ind w:leftChars="200" w:left="440"/>
        <w:rPr>
          <w:rFonts w:cs="Times"/>
          <w:b/>
          <w:lang w:eastAsia="ja-JP"/>
        </w:rPr>
      </w:pPr>
      <w:r>
        <w:rPr>
          <w:rFonts w:cs="Times"/>
          <w:b/>
          <w:lang w:eastAsia="ja-JP"/>
        </w:rPr>
        <w:t>For downlink power allocation to support 16QAM:</w:t>
      </w:r>
    </w:p>
    <w:p w14:paraId="6E959F33" w14:textId="77777777" w:rsidR="0098092C" w:rsidRDefault="0030498B">
      <w:pPr>
        <w:numPr>
          <w:ilvl w:val="0"/>
          <w:numId w:val="13"/>
        </w:numPr>
        <w:autoSpaceDE/>
        <w:autoSpaceDN/>
        <w:adjustRightInd/>
        <w:snapToGrid/>
        <w:spacing w:after="0" w:line="240" w:lineRule="auto"/>
        <w:ind w:leftChars="364" w:left="1161"/>
        <w:jc w:val="left"/>
        <w:rPr>
          <w:rFonts w:cs="Times"/>
          <w:b/>
          <w:lang w:eastAsia="ja-JP"/>
        </w:rPr>
      </w:pPr>
      <w:r>
        <w:rPr>
          <w:rFonts w:cs="Times"/>
          <w:b/>
          <w:lang w:eastAsia="ja-JP"/>
        </w:rPr>
        <w:t xml:space="preserve">For inband deployments, a power ratio is signaled in addition to the signalling for standalone and guard-band deployments which in this case applies to “symbols with NRS” and “symbols without NRS nor CRS”. </w:t>
      </w:r>
    </w:p>
    <w:p w14:paraId="7D09663A" w14:textId="77777777" w:rsidR="0098092C" w:rsidRDefault="0030498B">
      <w:pPr>
        <w:numPr>
          <w:ilvl w:val="1"/>
          <w:numId w:val="14"/>
        </w:numPr>
        <w:autoSpaceDE/>
        <w:autoSpaceDN/>
        <w:adjustRightInd/>
        <w:snapToGrid/>
        <w:spacing w:after="0" w:line="240" w:lineRule="auto"/>
        <w:ind w:leftChars="691" w:left="1880"/>
        <w:jc w:val="left"/>
        <w:rPr>
          <w:rFonts w:cs="Times"/>
          <w:b/>
          <w:lang w:eastAsia="ja-JP"/>
        </w:rPr>
      </w:pPr>
      <w:r>
        <w:rPr>
          <w:rFonts w:cs="Times"/>
          <w:b/>
          <w:lang w:eastAsia="ja-JP"/>
        </w:rPr>
        <w:lastRenderedPageBreak/>
        <w:t>the power ratio between NPDSCH EPRE and NRS EPRE in symbols with CRS is signalled</w:t>
      </w:r>
    </w:p>
    <w:p w14:paraId="6CA3C544" w14:textId="77777777" w:rsidR="0098092C" w:rsidRDefault="0030498B">
      <w:pPr>
        <w:numPr>
          <w:ilvl w:val="1"/>
          <w:numId w:val="14"/>
        </w:numPr>
        <w:autoSpaceDE/>
        <w:autoSpaceDN/>
        <w:adjustRightInd/>
        <w:snapToGrid/>
        <w:spacing w:after="0" w:line="240" w:lineRule="auto"/>
        <w:ind w:leftChars="691" w:left="1880"/>
        <w:jc w:val="left"/>
        <w:rPr>
          <w:rFonts w:cs="Times"/>
          <w:b/>
          <w:lang w:eastAsia="ja-JP"/>
        </w:rPr>
      </w:pPr>
      <w:r>
        <w:rPr>
          <w:rFonts w:cs="Times"/>
          <w:b/>
          <w:lang w:eastAsia="ja-JP"/>
        </w:rPr>
        <w:t>the signalling is UE specific</w:t>
      </w:r>
    </w:p>
    <w:p w14:paraId="61D3A7D4" w14:textId="77777777" w:rsidR="0098092C" w:rsidRDefault="0030498B">
      <w:pPr>
        <w:spacing w:line="240" w:lineRule="auto"/>
        <w:ind w:leftChars="200" w:left="440"/>
        <w:rPr>
          <w:b/>
        </w:rPr>
      </w:pPr>
      <w:r>
        <w:rPr>
          <w:rFonts w:hint="cs"/>
          <w:b/>
          <w:lang w:eastAsia="ar-SA"/>
        </w:rPr>
        <w:t>N</w:t>
      </w:r>
      <w:r>
        <w:rPr>
          <w:b/>
          <w:lang w:eastAsia="ar-SA"/>
        </w:rPr>
        <w:t xml:space="preserve">ote: </w:t>
      </w:r>
      <w:r>
        <w:rPr>
          <w:rFonts w:cs="Times"/>
          <w:b/>
          <w:lang w:eastAsia="ja-JP"/>
        </w:rPr>
        <w:t>“symbols with NRS” and “symbols without NRS nor CRS” have the same power.</w:t>
      </w:r>
    </w:p>
    <w:p w14:paraId="0FDA6009" w14:textId="77777777" w:rsidR="0098092C" w:rsidRDefault="0030498B">
      <w:pPr>
        <w:autoSpaceDE/>
        <w:autoSpaceDN/>
        <w:adjustRightInd/>
        <w:snapToGrid/>
        <w:spacing w:line="240" w:lineRule="auto"/>
        <w:jc w:val="left"/>
        <w:rPr>
          <w:lang w:eastAsia="zh-CN"/>
        </w:rPr>
      </w:pPr>
      <w:r>
        <w:rPr>
          <w:b/>
          <w:bCs/>
          <w:lang w:eastAsia="zh-CN"/>
        </w:rPr>
        <w:t>Proposal 8: the agreement below is updated as</w:t>
      </w:r>
    </w:p>
    <w:p w14:paraId="47A301F3" w14:textId="77777777" w:rsidR="0098092C" w:rsidRDefault="0030498B">
      <w:pPr>
        <w:autoSpaceDE/>
        <w:autoSpaceDN/>
        <w:adjustRightInd/>
        <w:snapToGrid/>
        <w:spacing w:line="240" w:lineRule="auto"/>
        <w:ind w:leftChars="200" w:left="440"/>
        <w:jc w:val="left"/>
        <w:rPr>
          <w:lang w:eastAsia="zh-CN"/>
        </w:rPr>
      </w:pPr>
      <w:r>
        <w:rPr>
          <w:highlight w:val="green"/>
          <w:lang w:eastAsia="zh-CN"/>
        </w:rPr>
        <w:t>Agreement</w:t>
      </w:r>
    </w:p>
    <w:p w14:paraId="538EA875" w14:textId="77777777" w:rsidR="0098092C" w:rsidRDefault="0030498B">
      <w:pPr>
        <w:rPr>
          <w:b/>
        </w:rPr>
      </w:pPr>
      <w:r>
        <w:rPr>
          <w:b/>
          <w:bCs/>
          <w:lang w:eastAsia="zh-CN"/>
        </w:rPr>
        <w:t xml:space="preserve">For the UE configured with 16-QAM for NPDSCH, the deployment of the carrier is signaled by </w:t>
      </w:r>
      <w:r>
        <w:rPr>
          <w:b/>
          <w:bCs/>
          <w:i/>
          <w:iCs/>
          <w:lang w:eastAsia="zh-CN"/>
        </w:rPr>
        <w:t>operationModeInfo</w:t>
      </w:r>
      <w:r>
        <w:rPr>
          <w:b/>
          <w:bCs/>
          <w:lang w:eastAsia="zh-CN"/>
        </w:rPr>
        <w:t xml:space="preserve"> in MIB or </w:t>
      </w:r>
      <w:r>
        <w:rPr>
          <w:b/>
          <w:bCs/>
          <w:i/>
          <w:iCs/>
          <w:lang w:eastAsia="zh-CN"/>
        </w:rPr>
        <w:t>inbandCarrierInfo</w:t>
      </w:r>
      <w:r>
        <w:rPr>
          <w:b/>
          <w:bCs/>
          <w:lang w:eastAsia="zh-CN"/>
        </w:rPr>
        <w:t xml:space="preserve"> in SIB</w:t>
      </w:r>
      <w:r>
        <w:rPr>
          <w:b/>
          <w:bCs/>
          <w:color w:val="FF0000"/>
          <w:lang w:eastAsia="zh-CN"/>
        </w:rPr>
        <w:t>/UE specific signaling</w:t>
      </w:r>
      <w:r>
        <w:rPr>
          <w:b/>
          <w:bCs/>
          <w:lang w:eastAsia="zh-CN"/>
        </w:rPr>
        <w:t>.</w:t>
      </w:r>
    </w:p>
    <w:p w14:paraId="22E180E6" w14:textId="77777777" w:rsidR="0098092C" w:rsidRDefault="0098092C">
      <w:pPr>
        <w:rPr>
          <w:lang w:eastAsia="zh-CN"/>
        </w:rPr>
      </w:pPr>
    </w:p>
    <w:p w14:paraId="401ABCB7" w14:textId="77777777" w:rsidR="0098092C" w:rsidRDefault="0030498B">
      <w:pPr>
        <w:pStyle w:val="Heading2"/>
        <w:rPr>
          <w:lang w:eastAsia="zh-CN"/>
        </w:rPr>
      </w:pPr>
      <w:r>
        <w:rPr>
          <w:lang w:eastAsia="zh-CN"/>
        </w:rPr>
        <w:t>Further discussion</w:t>
      </w:r>
    </w:p>
    <w:p w14:paraId="5CC6850E" w14:textId="77777777" w:rsidR="0098092C" w:rsidRDefault="0030498B">
      <w:pPr>
        <w:pStyle w:val="Heading3"/>
      </w:pPr>
      <w:r>
        <w:rPr>
          <w:lang w:eastAsia="zh-CN"/>
        </w:rPr>
        <w:t>Issue 4: uplink power control</w:t>
      </w:r>
    </w:p>
    <w:p w14:paraId="46EB5C5A" w14:textId="77777777" w:rsidR="0098092C" w:rsidRDefault="0098092C">
      <w:pPr>
        <w:rPr>
          <w:lang w:eastAsia="zh-CN"/>
        </w:rPr>
      </w:pPr>
    </w:p>
    <w:tbl>
      <w:tblPr>
        <w:tblStyle w:val="TableGrid"/>
        <w:tblW w:w="0" w:type="auto"/>
        <w:tblLook w:val="04A0" w:firstRow="1" w:lastRow="0" w:firstColumn="1" w:lastColumn="0" w:noHBand="0" w:noVBand="1"/>
      </w:tblPr>
      <w:tblGrid>
        <w:gridCol w:w="1838"/>
        <w:gridCol w:w="7469"/>
      </w:tblGrid>
      <w:tr w:rsidR="0098092C" w14:paraId="6D43C54E" w14:textId="77777777">
        <w:tc>
          <w:tcPr>
            <w:tcW w:w="1838" w:type="dxa"/>
          </w:tcPr>
          <w:p w14:paraId="4E42C29C" w14:textId="77777777" w:rsidR="0098092C" w:rsidRDefault="0030498B">
            <w:pPr>
              <w:rPr>
                <w:szCs w:val="20"/>
                <w:lang w:eastAsia="zh-CN"/>
              </w:rPr>
            </w:pPr>
            <w:r>
              <w:rPr>
                <w:rFonts w:hint="eastAsia"/>
                <w:szCs w:val="20"/>
                <w:lang w:eastAsia="zh-CN"/>
              </w:rPr>
              <w:t>Moderator (Huawei)</w:t>
            </w:r>
          </w:p>
        </w:tc>
        <w:tc>
          <w:tcPr>
            <w:tcW w:w="7469" w:type="dxa"/>
          </w:tcPr>
          <w:p w14:paraId="7230B34F" w14:textId="77777777" w:rsidR="0098092C" w:rsidRDefault="0030498B">
            <w:pPr>
              <w:rPr>
                <w:szCs w:val="20"/>
                <w:lang w:eastAsia="zh-CN"/>
              </w:rPr>
            </w:pPr>
            <w:r>
              <w:rPr>
                <w:rFonts w:hint="eastAsia"/>
                <w:szCs w:val="20"/>
                <w:lang w:eastAsia="zh-CN"/>
              </w:rPr>
              <w:t>The following has been achieved in online discussion, please share your comments regarding the FFS part.</w:t>
            </w:r>
          </w:p>
          <w:p w14:paraId="515BD955" w14:textId="77777777" w:rsidR="0098092C" w:rsidRDefault="0030498B">
            <w:pPr>
              <w:autoSpaceDE/>
              <w:autoSpaceDN/>
              <w:adjustRightInd/>
              <w:snapToGrid/>
              <w:spacing w:after="0" w:line="240" w:lineRule="auto"/>
              <w:jc w:val="left"/>
              <w:rPr>
                <w:rFonts w:ascii="Times" w:hAnsi="Times"/>
                <w:b/>
                <w:sz w:val="20"/>
                <w:szCs w:val="24"/>
                <w:highlight w:val="green"/>
                <w:lang w:val="en-GB"/>
              </w:rPr>
            </w:pPr>
            <w:r>
              <w:rPr>
                <w:rFonts w:ascii="Times" w:hAnsi="Times"/>
                <w:b/>
                <w:sz w:val="20"/>
                <w:szCs w:val="24"/>
                <w:highlight w:val="green"/>
                <w:lang w:val="en-GB"/>
              </w:rPr>
              <w:t>Working Assumption</w:t>
            </w:r>
          </w:p>
          <w:p w14:paraId="4BAD60A1" w14:textId="77777777" w:rsidR="0098092C" w:rsidRDefault="0030498B">
            <w:pPr>
              <w:autoSpaceDE/>
              <w:autoSpaceDN/>
              <w:adjustRightInd/>
              <w:snapToGrid/>
              <w:spacing w:after="0" w:line="240" w:lineRule="auto"/>
              <w:jc w:val="left"/>
              <w:rPr>
                <w:rFonts w:ascii="Times" w:hAnsi="Times"/>
                <w:b/>
                <w:sz w:val="20"/>
                <w:szCs w:val="24"/>
                <w:lang w:val="en-GB"/>
              </w:rPr>
            </w:pPr>
            <w:r>
              <w:rPr>
                <w:rFonts w:ascii="Times" w:hAnsi="Times"/>
                <w:b/>
                <w:sz w:val="20"/>
                <w:szCs w:val="24"/>
                <w:lang w:val="en-GB"/>
              </w:rPr>
              <w:t xml:space="preserve">For the new term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rPr>
                <w:rFonts w:ascii="Times" w:hAnsi="Times" w:hint="eastAsia"/>
                <w:sz w:val="20"/>
                <w:szCs w:val="24"/>
                <w:lang w:val="en-GB"/>
              </w:rPr>
              <w:t xml:space="preserve"> </w:t>
            </w:r>
            <w:r>
              <w:rPr>
                <w:rFonts w:ascii="Times" w:hAnsi="Times"/>
                <w:b/>
                <w:sz w:val="20"/>
                <w:szCs w:val="24"/>
                <w:lang w:val="en-GB"/>
              </w:rPr>
              <w:t>introduced for power control of NPUSCH,</w:t>
            </w:r>
          </w:p>
          <w:p w14:paraId="5560D6A8" w14:textId="77777777" w:rsidR="0098092C" w:rsidRDefault="0030498B">
            <w:pPr>
              <w:numPr>
                <w:ilvl w:val="0"/>
                <w:numId w:val="15"/>
              </w:numPr>
              <w:autoSpaceDE/>
              <w:autoSpaceDN/>
              <w:adjustRightInd/>
              <w:snapToGrid/>
              <w:spacing w:after="0" w:line="240" w:lineRule="auto"/>
              <w:jc w:val="left"/>
              <w:rPr>
                <w:rFonts w:ascii="Times" w:hAnsi="Times"/>
                <w:lang w:val="en-GB"/>
              </w:rPr>
            </w:pPr>
            <w:r>
              <w:rPr>
                <w:lang w:val="en-GB"/>
              </w:rPr>
              <w:t xml:space="preserve">Reuse the LTE definition simplified for NB-IoT: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r>
                <m:rPr>
                  <m:sty m:val="p"/>
                </m:rPr>
                <w:rPr>
                  <w:rFonts w:ascii="Cambria Math" w:hAnsi="Cambria Math"/>
                </w:rPr>
                <m:t>=10</m:t>
              </m:r>
              <m:sSub>
                <m:sSubPr>
                  <m:ctrlPr>
                    <w:rPr>
                      <w:rFonts w:ascii="Cambria Math" w:hAnsi="Cambria Math"/>
                    </w:rPr>
                  </m:ctrlPr>
                </m:sSubPr>
                <m:e>
                  <m:r>
                    <m:rPr>
                      <m:sty m:val="p"/>
                    </m:rPr>
                    <w:rPr>
                      <w:rFonts w:ascii="Cambria Math" w:hAnsi="Cambria Math"/>
                    </w:rPr>
                    <m:t>log</m:t>
                  </m:r>
                </m:e>
                <m:sub>
                  <m:r>
                    <m:rPr>
                      <m:sty m:val="p"/>
                    </m:rPr>
                    <w:rPr>
                      <w:rFonts w:ascii="Cambria Math" w:hAnsi="Cambria Math"/>
                    </w:rPr>
                    <m:t>10</m:t>
                  </m:r>
                </m:sub>
              </m:sSub>
              <m:d>
                <m:dPr>
                  <m:ctrlPr>
                    <w:rPr>
                      <w:rFonts w:ascii="Cambria Math" w:hAnsi="Cambria Math"/>
                    </w:rPr>
                  </m:ctrlPr>
                </m:dPr>
                <m:e>
                  <m:d>
                    <m:dPr>
                      <m:ctrlPr>
                        <w:rPr>
                          <w:rFonts w:ascii="Cambria Math" w:hAnsi="Cambria Math"/>
                        </w:rPr>
                      </m:ctrlPr>
                    </m:dPr>
                    <m:e>
                      <m:sSup>
                        <m:sSupPr>
                          <m:ctrlPr>
                            <w:rPr>
                              <w:rFonts w:ascii="Cambria Math" w:hAnsi="Cambria Math"/>
                            </w:rPr>
                          </m:ctrlPr>
                        </m:sSupPr>
                        <m:e>
                          <m:r>
                            <m:rPr>
                              <m:sty m:val="p"/>
                            </m:rPr>
                            <w:rPr>
                              <w:rFonts w:ascii="Cambria Math" w:hAnsi="Cambria Math"/>
                            </w:rPr>
                            <m:t>2</m:t>
                          </m:r>
                        </m:e>
                        <m:sup>
                          <m:r>
                            <w:rPr>
                              <w:rFonts w:ascii="Cambria Math" w:hAnsi="Cambria Math"/>
                            </w:rPr>
                            <m:t>BPRE</m:t>
                          </m:r>
                          <m:r>
                            <m:rPr>
                              <m:sty m:val="p"/>
                            </m:rP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s</m:t>
                              </m:r>
                            </m:sub>
                          </m:sSub>
                        </m:sup>
                      </m:sSup>
                      <m:r>
                        <m:rPr>
                          <m:sty m:val="p"/>
                        </m:rPr>
                        <w:rPr>
                          <w:rFonts w:ascii="Cambria Math" w:hAnsi="Cambria Math"/>
                        </w:rPr>
                        <m:t>-1</m:t>
                      </m:r>
                    </m:e>
                  </m:d>
                </m:e>
              </m:d>
            </m:oMath>
            <w:r>
              <w:rPr>
                <w:rFonts w:ascii="Times" w:hAnsi="Times" w:hint="eastAsia"/>
                <w:lang w:val="en-GB"/>
              </w:rPr>
              <w:t xml:space="preserve"> </w:t>
            </w:r>
            <w:r>
              <w:rPr>
                <w:lang w:val="en-GB"/>
              </w:rPr>
              <w:t xml:space="preserve">for </w:t>
            </w:r>
            <m:oMath>
              <m:sSub>
                <m:sSubPr>
                  <m:ctrlPr>
                    <w:rPr>
                      <w:rFonts w:ascii="Cambria Math" w:hAnsi="Cambria Math"/>
                    </w:rPr>
                  </m:ctrlPr>
                </m:sSubPr>
                <m:e>
                  <m:r>
                    <w:rPr>
                      <w:rFonts w:ascii="Cambria Math" w:hAnsi="Cambria Math"/>
                    </w:rPr>
                    <m:t>K</m:t>
                  </m:r>
                </m:e>
                <m:sub>
                  <m:r>
                    <w:rPr>
                      <w:rFonts w:ascii="Cambria Math" w:hAnsi="Cambria Math"/>
                    </w:rPr>
                    <m:t>s</m:t>
                  </m:r>
                </m:sub>
              </m:sSub>
              <m:r>
                <w:rPr>
                  <w:rFonts w:ascii="Cambria Math" w:hAnsi="Cambria Math"/>
                </w:rPr>
                <m:t>=1.25</m:t>
              </m:r>
            </m:oMath>
            <w:r>
              <w:rPr>
                <w:rFonts w:hint="eastAsia"/>
                <w:lang w:val="en-GB"/>
              </w:rPr>
              <w:t xml:space="preserve"> and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r>
                <w:rPr>
                  <w:rFonts w:ascii="Cambria Math" w:hAnsi="Cambria Math"/>
                </w:rPr>
                <m:t>=0</m:t>
              </m:r>
            </m:oMath>
            <w:r>
              <w:rPr>
                <w:rFonts w:hint="eastAsia"/>
                <w:lang w:val="en-GB"/>
              </w:rPr>
              <w:t xml:space="preserve"> </w:t>
            </w:r>
            <w:r>
              <w:rPr>
                <w:lang w:val="en-GB"/>
              </w:rPr>
              <w:t xml:space="preserve">for </w:t>
            </w:r>
            <m:oMath>
              <m:sSub>
                <m:sSubPr>
                  <m:ctrlPr>
                    <w:rPr>
                      <w:rFonts w:ascii="Cambria Math" w:hAnsi="Cambria Math"/>
                    </w:rPr>
                  </m:ctrlPr>
                </m:sSubPr>
                <m:e>
                  <m:r>
                    <w:rPr>
                      <w:rFonts w:ascii="Cambria Math" w:hAnsi="Cambria Math"/>
                    </w:rPr>
                    <m:t>K</m:t>
                  </m:r>
                </m:e>
                <m:sub>
                  <m:r>
                    <w:rPr>
                      <w:rFonts w:ascii="Cambria Math" w:hAnsi="Cambria Math"/>
                    </w:rPr>
                    <m:t>s</m:t>
                  </m:r>
                </m:sub>
              </m:sSub>
              <m:r>
                <w:rPr>
                  <w:rFonts w:ascii="Cambria Math" w:hAnsi="Cambria Math"/>
                </w:rPr>
                <m:t>=0</m:t>
              </m:r>
            </m:oMath>
            <w:r>
              <w:rPr>
                <w:rFonts w:hint="eastAsia"/>
                <w:lang w:val="en-GB"/>
              </w:rPr>
              <w:t xml:space="preserve">, where </w:t>
            </w:r>
            <m:oMath>
              <m:sSub>
                <m:sSubPr>
                  <m:ctrlPr>
                    <w:rPr>
                      <w:rFonts w:ascii="Cambria Math" w:hAnsi="Cambria Math"/>
                    </w:rPr>
                  </m:ctrlPr>
                </m:sSubPr>
                <m:e>
                  <m:r>
                    <w:rPr>
                      <w:rFonts w:ascii="Cambria Math" w:hAnsi="Cambria Math"/>
                    </w:rPr>
                    <m:t>K</m:t>
                  </m:r>
                </m:e>
                <m:sub>
                  <m:r>
                    <w:rPr>
                      <w:rFonts w:ascii="Cambria Math" w:hAnsi="Cambria Math"/>
                    </w:rPr>
                    <m:t>s</m:t>
                  </m:r>
                </m:sub>
              </m:sSub>
            </m:oMath>
            <w:r>
              <w:rPr>
                <w:rFonts w:hint="eastAsia"/>
                <w:lang w:val="en-GB"/>
              </w:rPr>
              <w:t xml:space="preserve"> is given by higher layer parameter </w:t>
            </w:r>
            <w:r>
              <w:rPr>
                <w:i/>
                <w:lang w:val="en-GB"/>
              </w:rPr>
              <w:t>deltaMCS-Enabled</w:t>
            </w:r>
            <w:r>
              <w:rPr>
                <w:lang w:val="en-GB"/>
              </w:rPr>
              <w:t xml:space="preserve">, and </w:t>
            </w:r>
            <m:oMath>
              <m:r>
                <w:rPr>
                  <w:rFonts w:ascii="Cambria Math" w:hAnsi="Cambria Math"/>
                </w:rPr>
                <m:t>BPRE=</m:t>
              </m:r>
              <m:f>
                <m:fPr>
                  <m:ctrlPr>
                    <w:rPr>
                      <w:rFonts w:ascii="Cambria Math" w:hAnsi="Cambria Math"/>
                      <w:i/>
                    </w:rPr>
                  </m:ctrlPr>
                </m:fPr>
                <m:num>
                  <m:r>
                    <w:rPr>
                      <w:rFonts w:ascii="Cambria Math" w:hAnsi="Cambria Math"/>
                    </w:rPr>
                    <m:t>K</m:t>
                  </m:r>
                </m:num>
                <m:den>
                  <m:sSub>
                    <m:sSubPr>
                      <m:ctrlPr>
                        <w:rPr>
                          <w:rFonts w:ascii="Cambria Math" w:hAnsi="Cambria Math"/>
                          <w:i/>
                        </w:rPr>
                      </m:ctrlPr>
                    </m:sSubPr>
                    <m:e>
                      <m:r>
                        <w:rPr>
                          <w:rFonts w:ascii="Cambria Math" w:hAnsi="Cambria Math"/>
                        </w:rPr>
                        <m:t>N</m:t>
                      </m:r>
                    </m:e>
                    <m:sub>
                      <m:r>
                        <w:rPr>
                          <w:rFonts w:ascii="Cambria Math" w:hAnsi="Cambria Math"/>
                        </w:rPr>
                        <m:t>RE</m:t>
                      </m:r>
                    </m:sub>
                  </m:sSub>
                </m:den>
              </m:f>
            </m:oMath>
            <w:r>
              <w:rPr>
                <w:rFonts w:ascii="Times" w:hAnsi="Times"/>
                <w:lang w:val="en-GB"/>
              </w:rPr>
              <w:t xml:space="preserve"> </w:t>
            </w:r>
            <w:r>
              <w:rPr>
                <w:lang w:val="en-GB"/>
              </w:rPr>
              <w:t>where K is the code block size.</w:t>
            </w:r>
          </w:p>
          <w:p w14:paraId="7F17C085" w14:textId="77777777" w:rsidR="0098092C" w:rsidRDefault="0030498B">
            <w:pPr>
              <w:numPr>
                <w:ilvl w:val="0"/>
                <w:numId w:val="15"/>
              </w:numPr>
              <w:autoSpaceDE/>
              <w:autoSpaceDN/>
              <w:adjustRightInd/>
              <w:snapToGrid/>
              <w:spacing w:after="0" w:line="240" w:lineRule="auto"/>
              <w:jc w:val="left"/>
              <w:rPr>
                <w:rFonts w:ascii="Times" w:hAnsi="Times"/>
                <w:lang w:val="en-GB"/>
              </w:rPr>
            </w:pPr>
            <w:r>
              <w:rPr>
                <w:rFonts w:hint="eastAsia"/>
                <w:lang w:val="en-GB" w:eastAsia="zh-CN"/>
              </w:rPr>
              <w:t>F</w:t>
            </w:r>
            <w:r>
              <w:rPr>
                <w:lang w:val="en-GB" w:eastAsia="zh-CN"/>
              </w:rPr>
              <w:t>FS: whether the new term applies to QPSK when configured with 16QAM, if it does not, whether an additional term is introduced to avoid jump between QPSK and 16</w:t>
            </w:r>
            <w:r>
              <w:rPr>
                <w:rFonts w:hint="eastAsia"/>
                <w:lang w:val="en-GB" w:eastAsia="zh-CN"/>
              </w:rPr>
              <w:t>QAM</w:t>
            </w:r>
            <w:r>
              <w:rPr>
                <w:lang w:val="en-GB" w:eastAsia="zh-CN"/>
              </w:rPr>
              <w:t xml:space="preserve"> </w:t>
            </w:r>
          </w:p>
          <w:p w14:paraId="4D41B82F" w14:textId="77777777" w:rsidR="0098092C" w:rsidRDefault="0098092C">
            <w:pPr>
              <w:rPr>
                <w:szCs w:val="20"/>
                <w:lang w:val="en-GB" w:eastAsia="zh-CN"/>
              </w:rPr>
            </w:pPr>
          </w:p>
        </w:tc>
      </w:tr>
      <w:tr w:rsidR="0098092C" w14:paraId="5ACEBCD8" w14:textId="77777777">
        <w:trPr>
          <w:trHeight w:val="371"/>
        </w:trPr>
        <w:tc>
          <w:tcPr>
            <w:tcW w:w="1838" w:type="dxa"/>
          </w:tcPr>
          <w:p w14:paraId="5BF52032" w14:textId="77777777" w:rsidR="0098092C" w:rsidRDefault="0030498B">
            <w:pPr>
              <w:rPr>
                <w:szCs w:val="20"/>
                <w:lang w:eastAsia="zh-CN"/>
              </w:rPr>
            </w:pPr>
            <w:r>
              <w:rPr>
                <w:rFonts w:hint="eastAsia"/>
                <w:szCs w:val="20"/>
                <w:lang w:eastAsia="zh-CN"/>
              </w:rPr>
              <w:t>ZTE, Sanechips</w:t>
            </w:r>
          </w:p>
        </w:tc>
        <w:tc>
          <w:tcPr>
            <w:tcW w:w="7469" w:type="dxa"/>
          </w:tcPr>
          <w:p w14:paraId="65E0F681" w14:textId="77777777" w:rsidR="0098092C" w:rsidRDefault="0030498B">
            <w:pPr>
              <w:rPr>
                <w:lang w:eastAsia="zh-CN"/>
              </w:rPr>
            </w:pPr>
            <w:r>
              <w:rPr>
                <w:rFonts w:hint="eastAsia"/>
                <w:szCs w:val="20"/>
                <w:lang w:eastAsia="zh-CN"/>
              </w:rPr>
              <w:t xml:space="preserve">We think the QPSK enhancement is out of the WID scope. Therefore, it is not supported that </w:t>
            </w:r>
            <w:r>
              <w:rPr>
                <w:lang w:val="en-GB" w:eastAsia="zh-CN"/>
              </w:rPr>
              <w:t>the new term applies to QPSK</w:t>
            </w:r>
            <w:r>
              <w:rPr>
                <w:rFonts w:hint="eastAsia"/>
                <w:lang w:eastAsia="zh-CN"/>
              </w:rPr>
              <w:t xml:space="preserve"> and an additional new term can be introduced to compensate the performance gap </w:t>
            </w:r>
            <w:r>
              <w:rPr>
                <w:lang w:val="en-GB" w:eastAsia="zh-CN"/>
              </w:rPr>
              <w:t>between QPSK and 16</w:t>
            </w:r>
            <w:r>
              <w:rPr>
                <w:rFonts w:hint="eastAsia"/>
                <w:lang w:val="en-GB" w:eastAsia="zh-CN"/>
              </w:rPr>
              <w:t>QAM</w:t>
            </w:r>
            <w:r>
              <w:rPr>
                <w:rFonts w:hint="eastAsia"/>
                <w:lang w:eastAsia="zh-CN"/>
              </w:rPr>
              <w:t xml:space="preserve">, e.g., </w:t>
            </w:r>
          </w:p>
          <w:p w14:paraId="025D92A0" w14:textId="77777777" w:rsidR="0098092C" w:rsidRDefault="0030498B">
            <w:pPr>
              <w:rPr>
                <w:lang w:eastAsia="zh-CN"/>
              </w:rPr>
            </w:pPr>
            <w:r>
              <w:rPr>
                <w:rFonts w:hint="eastAsia"/>
                <w:lang w:eastAsia="zh-CN"/>
              </w:rPr>
              <w:t>this additional new term can be configured by RRC signalling.</w:t>
            </w:r>
          </w:p>
        </w:tc>
      </w:tr>
      <w:tr w:rsidR="0098092C" w14:paraId="11E5881A" w14:textId="77777777">
        <w:tc>
          <w:tcPr>
            <w:tcW w:w="1838" w:type="dxa"/>
          </w:tcPr>
          <w:p w14:paraId="482F9791" w14:textId="77777777" w:rsidR="0098092C" w:rsidRDefault="0030498B">
            <w:pPr>
              <w:rPr>
                <w:szCs w:val="20"/>
                <w:lang w:eastAsia="zh-CN"/>
              </w:rPr>
            </w:pPr>
            <w:r>
              <w:rPr>
                <w:szCs w:val="20"/>
                <w:lang w:eastAsia="zh-CN"/>
              </w:rPr>
              <w:t>Qualcomm</w:t>
            </w:r>
          </w:p>
        </w:tc>
        <w:tc>
          <w:tcPr>
            <w:tcW w:w="7469" w:type="dxa"/>
          </w:tcPr>
          <w:p w14:paraId="64D67223" w14:textId="77777777" w:rsidR="0098092C" w:rsidRDefault="0030498B">
            <w:pPr>
              <w:rPr>
                <w:szCs w:val="20"/>
                <w:lang w:eastAsia="zh-CN"/>
              </w:rPr>
            </w:pPr>
            <w:r>
              <w:rPr>
                <w:szCs w:val="20"/>
                <w:lang w:eastAsia="zh-CN"/>
              </w:rPr>
              <w:t>After the discussion online, maybe we can add an offset to compensate the maximum QPSK. We do not think we need to configure this value, it can be derived from the MCS table.</w:t>
            </w:r>
          </w:p>
        </w:tc>
      </w:tr>
      <w:tr w:rsidR="0098092C" w14:paraId="34C0E761" w14:textId="77777777">
        <w:tc>
          <w:tcPr>
            <w:tcW w:w="1838" w:type="dxa"/>
          </w:tcPr>
          <w:p w14:paraId="2DA309B0" w14:textId="77777777" w:rsidR="0098092C" w:rsidRDefault="0030498B">
            <w:pPr>
              <w:rPr>
                <w:szCs w:val="20"/>
                <w:lang w:eastAsia="zh-CN"/>
              </w:rPr>
            </w:pPr>
            <w:r>
              <w:rPr>
                <w:szCs w:val="20"/>
                <w:lang w:eastAsia="zh-CN"/>
              </w:rPr>
              <w:t>Nokia, NSB</w:t>
            </w:r>
          </w:p>
        </w:tc>
        <w:tc>
          <w:tcPr>
            <w:tcW w:w="7469" w:type="dxa"/>
          </w:tcPr>
          <w:p w14:paraId="62B78046" w14:textId="77777777" w:rsidR="0098092C" w:rsidRDefault="0030498B">
            <w:pPr>
              <w:rPr>
                <w:szCs w:val="20"/>
                <w:lang w:eastAsia="zh-CN"/>
              </w:rPr>
            </w:pPr>
            <w:r>
              <w:rPr>
                <w:szCs w:val="20"/>
                <w:lang w:eastAsia="zh-CN"/>
              </w:rPr>
              <w:t xml:space="preserve">For the FFS, our preference is to apply the term to QPSK also.  </w:t>
            </w:r>
          </w:p>
        </w:tc>
      </w:tr>
      <w:tr w:rsidR="0098092C" w14:paraId="41CEA4B5" w14:textId="77777777">
        <w:tc>
          <w:tcPr>
            <w:tcW w:w="1838" w:type="dxa"/>
          </w:tcPr>
          <w:p w14:paraId="677947EE" w14:textId="77777777" w:rsidR="0098092C" w:rsidRDefault="0030498B">
            <w:pPr>
              <w:rPr>
                <w:szCs w:val="20"/>
                <w:lang w:eastAsia="zh-CN"/>
              </w:rPr>
            </w:pPr>
            <w:r>
              <w:rPr>
                <w:szCs w:val="20"/>
                <w:lang w:eastAsia="zh-CN"/>
              </w:rPr>
              <w:t>Ericsson v011</w:t>
            </w:r>
          </w:p>
        </w:tc>
        <w:tc>
          <w:tcPr>
            <w:tcW w:w="7469" w:type="dxa"/>
          </w:tcPr>
          <w:p w14:paraId="32C9718B" w14:textId="77777777" w:rsidR="0098092C" w:rsidRDefault="0030498B">
            <w:pPr>
              <w:rPr>
                <w:szCs w:val="20"/>
                <w:lang w:eastAsia="zh-CN"/>
              </w:rPr>
            </w:pPr>
            <w:r>
              <w:rPr>
                <w:szCs w:val="20"/>
                <w:lang w:eastAsia="zh-CN"/>
              </w:rPr>
              <w:t xml:space="preserve">To avoid a large “jump between QPSK and 16-QAM”, since some companies seems to have a concern in applying the option-1’s formula to QPSK, perhaps the offset can be applied on the estimated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rPr>
                <w:szCs w:val="20"/>
                <w:lang w:eastAsia="zh-CN"/>
              </w:rPr>
              <w:t>.</w:t>
            </w:r>
          </w:p>
          <w:p w14:paraId="7515B38A" w14:textId="77777777" w:rsidR="0098092C" w:rsidRDefault="0030498B">
            <w:pPr>
              <w:rPr>
                <w:szCs w:val="20"/>
                <w:lang w:eastAsia="zh-CN"/>
              </w:rPr>
            </w:pPr>
            <w:r>
              <w:rPr>
                <w:szCs w:val="20"/>
                <w:lang w:eastAsia="zh-CN"/>
              </w:rPr>
              <w:t>I will try to illustrate it below:</w:t>
            </w:r>
          </w:p>
          <w:tbl>
            <w:tblPr>
              <w:tblStyle w:val="TableGrid"/>
              <w:tblW w:w="0" w:type="auto"/>
              <w:tblLook w:val="04A0" w:firstRow="1" w:lastRow="0" w:firstColumn="1" w:lastColumn="0" w:noHBand="0" w:noVBand="1"/>
            </w:tblPr>
            <w:tblGrid>
              <w:gridCol w:w="3621"/>
              <w:gridCol w:w="3622"/>
            </w:tblGrid>
            <w:tr w:rsidR="0098092C" w14:paraId="32DC3EEF" w14:textId="77777777">
              <w:tc>
                <w:tcPr>
                  <w:tcW w:w="3621" w:type="dxa"/>
                </w:tcPr>
                <w:p w14:paraId="5C95B15D" w14:textId="77777777" w:rsidR="0098092C" w:rsidRDefault="0030498B">
                  <w:pPr>
                    <w:rPr>
                      <w:szCs w:val="20"/>
                      <w:lang w:eastAsia="zh-CN"/>
                    </w:rPr>
                  </w:pPr>
                  <w:r>
                    <w:rPr>
                      <w:szCs w:val="20"/>
                      <w:lang w:eastAsia="zh-CN"/>
                    </w:rPr>
                    <w:t>large “jump between QPSK and 16-QAM”</w:t>
                  </w:r>
                </w:p>
              </w:tc>
              <w:tc>
                <w:tcPr>
                  <w:tcW w:w="3622" w:type="dxa"/>
                </w:tcPr>
                <w:p w14:paraId="75C21CEA" w14:textId="77777777" w:rsidR="0098092C" w:rsidRDefault="0030498B">
                  <w:pPr>
                    <w:rPr>
                      <w:szCs w:val="20"/>
                      <w:lang w:eastAsia="zh-CN"/>
                    </w:rPr>
                  </w:pPr>
                  <w:r>
                    <w:rPr>
                      <w:szCs w:val="20"/>
                      <w:lang w:eastAsia="zh-CN"/>
                    </w:rPr>
                    <w:t>Offset to compensate for the large “jump between QPSK and 16-QAM”</w:t>
                  </w:r>
                </w:p>
              </w:tc>
            </w:tr>
            <w:tr w:rsidR="0098092C" w14:paraId="001E7368" w14:textId="77777777">
              <w:tc>
                <w:tcPr>
                  <w:tcW w:w="3621" w:type="dxa"/>
                </w:tcPr>
                <w:p w14:paraId="46672F77" w14:textId="77777777" w:rsidR="0098092C" w:rsidRDefault="0030498B">
                  <w:pPr>
                    <w:rPr>
                      <w:szCs w:val="20"/>
                      <w:lang w:eastAsia="zh-CN"/>
                    </w:rPr>
                  </w:pPr>
                  <w:r>
                    <w:rPr>
                      <w:szCs w:val="20"/>
                      <w:lang w:eastAsia="zh-CN"/>
                    </w:rPr>
                    <w:t>Estimation of option-1 as per [R1-2109314]:</w:t>
                  </w:r>
                </w:p>
                <w:p w14:paraId="7F94BD7F" w14:textId="77777777" w:rsidR="0098092C" w:rsidRDefault="0098092C">
                  <w:pPr>
                    <w:rPr>
                      <w:szCs w:val="20"/>
                      <w:lang w:eastAsia="zh-CN"/>
                    </w:rPr>
                  </w:pPr>
                </w:p>
                <w:tbl>
                  <w:tblPr>
                    <w:tblStyle w:val="TableGrid"/>
                    <w:tblW w:w="0" w:type="auto"/>
                    <w:jc w:val="center"/>
                    <w:tblLook w:val="04A0" w:firstRow="1" w:lastRow="0" w:firstColumn="1" w:lastColumn="0" w:noHBand="0" w:noVBand="1"/>
                  </w:tblPr>
                  <w:tblGrid>
                    <w:gridCol w:w="1698"/>
                    <w:gridCol w:w="1697"/>
                  </w:tblGrid>
                  <w:tr w:rsidR="0098092C" w14:paraId="0F5CD975" w14:textId="77777777">
                    <w:trPr>
                      <w:trHeight w:val="410"/>
                      <w:jc w:val="center"/>
                    </w:trPr>
                    <w:tc>
                      <w:tcPr>
                        <w:tcW w:w="1698" w:type="dxa"/>
                        <w:shd w:val="clear" w:color="auto" w:fill="D9D9D9" w:themeFill="background1" w:themeFillShade="D9"/>
                        <w:vAlign w:val="center"/>
                      </w:tcPr>
                      <w:p w14:paraId="0836A61B" w14:textId="77777777" w:rsidR="0098092C" w:rsidRDefault="0030498B">
                        <w:pPr>
                          <w:pStyle w:val="ListParagraph"/>
                          <w:ind w:left="0"/>
                          <w:jc w:val="center"/>
                          <w:rPr>
                            <w:rFonts w:cs="Arial"/>
                            <w:sz w:val="18"/>
                            <w:szCs w:val="18"/>
                          </w:rPr>
                        </w:pPr>
                        <w:r>
                          <w:rPr>
                            <w:rFonts w:cs="Arial"/>
                            <w:sz w:val="18"/>
                            <w:szCs w:val="18"/>
                          </w:rPr>
                          <w:lastRenderedPageBreak/>
                          <w:t>MCS</w:t>
                        </w:r>
                      </w:p>
                    </w:tc>
                    <w:tc>
                      <w:tcPr>
                        <w:tcW w:w="1697" w:type="dxa"/>
                        <w:shd w:val="clear" w:color="auto" w:fill="D9D9D9" w:themeFill="background1" w:themeFillShade="D9"/>
                        <w:vAlign w:val="center"/>
                      </w:tcPr>
                      <w:p w14:paraId="338EFBC1" w14:textId="77777777" w:rsidR="0098092C" w:rsidRDefault="00A15C9A">
                        <w:pPr>
                          <w:pStyle w:val="ListParagraph"/>
                          <w:ind w:left="0"/>
                          <w:jc w:val="center"/>
                          <w:rPr>
                            <w:rFonts w:cs="Arial"/>
                            <w:sz w:val="18"/>
                            <w:szCs w:val="18"/>
                          </w:rPr>
                        </w:pPr>
                        <m:oMathPara>
                          <m:oMath>
                            <m:sSub>
                              <m:sSubPr>
                                <m:ctrlPr>
                                  <w:rPr>
                                    <w:rFonts w:ascii="Cambria Math" w:hAnsi="Cambria Math"/>
                                    <w:i/>
                                    <w:iCs/>
                                    <w:sz w:val="18"/>
                                    <w:szCs w:val="18"/>
                                  </w:rPr>
                                </m:ctrlPr>
                              </m:sSubPr>
                              <m:e>
                                <m:r>
                                  <w:rPr>
                                    <w:rFonts w:ascii="Cambria Math" w:hAnsi="Cambria Math"/>
                                    <w:sz w:val="18"/>
                                    <w:szCs w:val="18"/>
                                  </w:rPr>
                                  <m:t>∆</m:t>
                                </m:r>
                              </m:e>
                              <m:sub>
                                <m:r>
                                  <w:rPr>
                                    <w:rFonts w:ascii="Cambria Math" w:hAnsi="Cambria Math"/>
                                    <w:sz w:val="18"/>
                                    <w:szCs w:val="18"/>
                                  </w:rPr>
                                  <m:t>TF</m:t>
                                </m:r>
                              </m:sub>
                            </m:sSub>
                          </m:oMath>
                        </m:oMathPara>
                      </w:p>
                    </w:tc>
                  </w:tr>
                  <w:tr w:rsidR="0098092C" w14:paraId="5D11AA19" w14:textId="77777777">
                    <w:trPr>
                      <w:jc w:val="center"/>
                    </w:trPr>
                    <w:tc>
                      <w:tcPr>
                        <w:tcW w:w="1698" w:type="dxa"/>
                        <w:vAlign w:val="center"/>
                      </w:tcPr>
                      <w:p w14:paraId="780F15C6" w14:textId="77777777" w:rsidR="0098092C" w:rsidRDefault="0030498B">
                        <w:pPr>
                          <w:pStyle w:val="ListParagraph"/>
                          <w:ind w:left="0"/>
                          <w:jc w:val="center"/>
                          <w:rPr>
                            <w:rFonts w:cs="Arial"/>
                            <w:sz w:val="18"/>
                            <w:szCs w:val="18"/>
                          </w:rPr>
                        </w:pPr>
                        <w:r>
                          <w:rPr>
                            <w:rFonts w:cs="Arial"/>
                            <w:sz w:val="18"/>
                            <w:szCs w:val="18"/>
                          </w:rPr>
                          <w:t>0 – 13</w:t>
                        </w:r>
                      </w:p>
                    </w:tc>
                    <w:tc>
                      <w:tcPr>
                        <w:tcW w:w="1697" w:type="dxa"/>
                      </w:tcPr>
                      <w:p w14:paraId="75C33693" w14:textId="77777777" w:rsidR="0098092C" w:rsidRDefault="0030498B">
                        <w:pPr>
                          <w:pStyle w:val="ListParagraph"/>
                          <w:ind w:left="0"/>
                          <w:jc w:val="center"/>
                          <w:rPr>
                            <w:rFonts w:cs="Arial"/>
                            <w:sz w:val="18"/>
                            <w:szCs w:val="18"/>
                          </w:rPr>
                        </w:pPr>
                        <w:r>
                          <w:rPr>
                            <w:rFonts w:cs="Arial"/>
                            <w:sz w:val="18"/>
                            <w:szCs w:val="18"/>
                          </w:rPr>
                          <w:t>0</w:t>
                        </w:r>
                      </w:p>
                    </w:tc>
                  </w:tr>
                  <w:tr w:rsidR="0098092C" w14:paraId="67D0C5AF" w14:textId="77777777">
                    <w:trPr>
                      <w:jc w:val="center"/>
                    </w:trPr>
                    <w:tc>
                      <w:tcPr>
                        <w:tcW w:w="1698" w:type="dxa"/>
                        <w:vAlign w:val="center"/>
                      </w:tcPr>
                      <w:p w14:paraId="09B7754D" w14:textId="77777777" w:rsidR="0098092C" w:rsidRDefault="0030498B">
                        <w:pPr>
                          <w:pStyle w:val="ListParagraph"/>
                          <w:ind w:left="0"/>
                          <w:jc w:val="center"/>
                          <w:rPr>
                            <w:rFonts w:cs="Arial"/>
                            <w:sz w:val="18"/>
                            <w:szCs w:val="18"/>
                          </w:rPr>
                        </w:pPr>
                        <w:r>
                          <w:rPr>
                            <w:rFonts w:cs="Arial"/>
                            <w:sz w:val="18"/>
                            <w:szCs w:val="18"/>
                          </w:rPr>
                          <w:t>14</w:t>
                        </w:r>
                      </w:p>
                    </w:tc>
                    <w:tc>
                      <w:tcPr>
                        <w:tcW w:w="1697" w:type="dxa"/>
                      </w:tcPr>
                      <w:p w14:paraId="5E1BB3E2" w14:textId="77777777" w:rsidR="0098092C" w:rsidRDefault="0030498B">
                        <w:pPr>
                          <w:pStyle w:val="ListParagraph"/>
                          <w:ind w:left="0"/>
                          <w:jc w:val="center"/>
                          <w:rPr>
                            <w:rFonts w:cs="Arial"/>
                            <w:sz w:val="18"/>
                            <w:szCs w:val="18"/>
                          </w:rPr>
                        </w:pPr>
                        <w:r>
                          <w:rPr>
                            <w:sz w:val="18"/>
                            <w:szCs w:val="18"/>
                          </w:rPr>
                          <w:t>6.4</w:t>
                        </w:r>
                      </w:p>
                    </w:tc>
                  </w:tr>
                  <w:tr w:rsidR="0098092C" w14:paraId="47E4708E" w14:textId="77777777">
                    <w:trPr>
                      <w:jc w:val="center"/>
                    </w:trPr>
                    <w:tc>
                      <w:tcPr>
                        <w:tcW w:w="1698" w:type="dxa"/>
                        <w:vAlign w:val="center"/>
                      </w:tcPr>
                      <w:p w14:paraId="4F3CA995" w14:textId="77777777" w:rsidR="0098092C" w:rsidRDefault="0030498B">
                        <w:pPr>
                          <w:pStyle w:val="ListParagraph"/>
                          <w:ind w:left="0"/>
                          <w:jc w:val="center"/>
                          <w:rPr>
                            <w:rFonts w:cs="Arial"/>
                            <w:sz w:val="18"/>
                            <w:szCs w:val="18"/>
                          </w:rPr>
                        </w:pPr>
                        <w:r>
                          <w:rPr>
                            <w:rFonts w:cs="Arial"/>
                            <w:sz w:val="18"/>
                            <w:szCs w:val="18"/>
                          </w:rPr>
                          <w:t>15</w:t>
                        </w:r>
                      </w:p>
                    </w:tc>
                    <w:tc>
                      <w:tcPr>
                        <w:tcW w:w="1697" w:type="dxa"/>
                      </w:tcPr>
                      <w:p w14:paraId="65429F41" w14:textId="77777777" w:rsidR="0098092C" w:rsidRDefault="0030498B">
                        <w:pPr>
                          <w:pStyle w:val="ListParagraph"/>
                          <w:ind w:left="0"/>
                          <w:jc w:val="center"/>
                          <w:rPr>
                            <w:rFonts w:cs="Arial"/>
                            <w:sz w:val="18"/>
                            <w:szCs w:val="18"/>
                          </w:rPr>
                        </w:pPr>
                        <w:r>
                          <w:rPr>
                            <w:sz w:val="18"/>
                            <w:szCs w:val="18"/>
                          </w:rPr>
                          <w:t>7.1</w:t>
                        </w:r>
                      </w:p>
                    </w:tc>
                  </w:tr>
                  <w:tr w:rsidR="0098092C" w14:paraId="6EDA0BAE" w14:textId="77777777">
                    <w:trPr>
                      <w:jc w:val="center"/>
                    </w:trPr>
                    <w:tc>
                      <w:tcPr>
                        <w:tcW w:w="1698" w:type="dxa"/>
                        <w:vAlign w:val="center"/>
                      </w:tcPr>
                      <w:p w14:paraId="21BEDFAA" w14:textId="77777777" w:rsidR="0098092C" w:rsidRDefault="0030498B">
                        <w:pPr>
                          <w:pStyle w:val="ListParagraph"/>
                          <w:ind w:left="0"/>
                          <w:jc w:val="center"/>
                          <w:rPr>
                            <w:rFonts w:cs="Arial"/>
                            <w:sz w:val="18"/>
                            <w:szCs w:val="18"/>
                          </w:rPr>
                        </w:pPr>
                        <w:r>
                          <w:rPr>
                            <w:rFonts w:cs="Arial"/>
                            <w:sz w:val="18"/>
                            <w:szCs w:val="18"/>
                          </w:rPr>
                          <w:t>16</w:t>
                        </w:r>
                      </w:p>
                    </w:tc>
                    <w:tc>
                      <w:tcPr>
                        <w:tcW w:w="1697" w:type="dxa"/>
                      </w:tcPr>
                      <w:p w14:paraId="32973BB3" w14:textId="77777777" w:rsidR="0098092C" w:rsidRDefault="0030498B">
                        <w:pPr>
                          <w:pStyle w:val="ListParagraph"/>
                          <w:ind w:left="0"/>
                          <w:jc w:val="center"/>
                          <w:rPr>
                            <w:rFonts w:cs="Arial"/>
                            <w:sz w:val="18"/>
                            <w:szCs w:val="18"/>
                          </w:rPr>
                        </w:pPr>
                        <w:r>
                          <w:rPr>
                            <w:sz w:val="18"/>
                            <w:szCs w:val="18"/>
                          </w:rPr>
                          <w:t>7.7</w:t>
                        </w:r>
                      </w:p>
                    </w:tc>
                  </w:tr>
                  <w:tr w:rsidR="0098092C" w14:paraId="7DD14AE0" w14:textId="77777777">
                    <w:trPr>
                      <w:jc w:val="center"/>
                    </w:trPr>
                    <w:tc>
                      <w:tcPr>
                        <w:tcW w:w="1698" w:type="dxa"/>
                        <w:vAlign w:val="center"/>
                      </w:tcPr>
                      <w:p w14:paraId="3DFF0141" w14:textId="77777777" w:rsidR="0098092C" w:rsidRDefault="0030498B">
                        <w:pPr>
                          <w:pStyle w:val="ListParagraph"/>
                          <w:ind w:left="0"/>
                          <w:jc w:val="center"/>
                          <w:rPr>
                            <w:rFonts w:cs="Arial"/>
                            <w:sz w:val="18"/>
                            <w:szCs w:val="18"/>
                          </w:rPr>
                        </w:pPr>
                        <w:r>
                          <w:rPr>
                            <w:rFonts w:cs="Arial"/>
                            <w:sz w:val="18"/>
                            <w:szCs w:val="18"/>
                          </w:rPr>
                          <w:t>17</w:t>
                        </w:r>
                      </w:p>
                    </w:tc>
                    <w:tc>
                      <w:tcPr>
                        <w:tcW w:w="1697" w:type="dxa"/>
                      </w:tcPr>
                      <w:p w14:paraId="7ADFFBF1" w14:textId="77777777" w:rsidR="0098092C" w:rsidRDefault="0030498B">
                        <w:pPr>
                          <w:pStyle w:val="ListParagraph"/>
                          <w:ind w:left="0"/>
                          <w:jc w:val="center"/>
                          <w:rPr>
                            <w:rFonts w:cs="Arial"/>
                            <w:sz w:val="18"/>
                            <w:szCs w:val="18"/>
                          </w:rPr>
                        </w:pPr>
                        <w:r>
                          <w:rPr>
                            <w:sz w:val="18"/>
                            <w:szCs w:val="18"/>
                          </w:rPr>
                          <w:t>8.6</w:t>
                        </w:r>
                      </w:p>
                    </w:tc>
                  </w:tr>
                  <w:tr w:rsidR="0098092C" w14:paraId="286961F4" w14:textId="77777777">
                    <w:trPr>
                      <w:jc w:val="center"/>
                    </w:trPr>
                    <w:tc>
                      <w:tcPr>
                        <w:tcW w:w="1698" w:type="dxa"/>
                        <w:vAlign w:val="center"/>
                      </w:tcPr>
                      <w:p w14:paraId="61327D2B" w14:textId="77777777" w:rsidR="0098092C" w:rsidRDefault="0030498B">
                        <w:pPr>
                          <w:pStyle w:val="ListParagraph"/>
                          <w:ind w:left="0"/>
                          <w:jc w:val="center"/>
                          <w:rPr>
                            <w:rFonts w:cs="Arial"/>
                            <w:sz w:val="18"/>
                            <w:szCs w:val="18"/>
                          </w:rPr>
                        </w:pPr>
                        <w:r>
                          <w:rPr>
                            <w:rFonts w:cs="Arial"/>
                            <w:sz w:val="18"/>
                            <w:szCs w:val="18"/>
                          </w:rPr>
                          <w:t>18</w:t>
                        </w:r>
                      </w:p>
                    </w:tc>
                    <w:tc>
                      <w:tcPr>
                        <w:tcW w:w="1697" w:type="dxa"/>
                      </w:tcPr>
                      <w:p w14:paraId="68F8B5F5" w14:textId="77777777" w:rsidR="0098092C" w:rsidRDefault="0030498B">
                        <w:pPr>
                          <w:pStyle w:val="ListParagraph"/>
                          <w:ind w:left="0"/>
                          <w:jc w:val="center"/>
                          <w:rPr>
                            <w:rFonts w:cs="Arial"/>
                            <w:sz w:val="18"/>
                            <w:szCs w:val="18"/>
                          </w:rPr>
                        </w:pPr>
                        <w:r>
                          <w:rPr>
                            <w:sz w:val="18"/>
                            <w:szCs w:val="18"/>
                          </w:rPr>
                          <w:t>9.7</w:t>
                        </w:r>
                      </w:p>
                    </w:tc>
                  </w:tr>
                  <w:tr w:rsidR="0098092C" w14:paraId="424BF06A" w14:textId="77777777">
                    <w:trPr>
                      <w:jc w:val="center"/>
                    </w:trPr>
                    <w:tc>
                      <w:tcPr>
                        <w:tcW w:w="1698" w:type="dxa"/>
                        <w:vAlign w:val="center"/>
                      </w:tcPr>
                      <w:p w14:paraId="6DDFA155" w14:textId="77777777" w:rsidR="0098092C" w:rsidRDefault="0030498B">
                        <w:pPr>
                          <w:pStyle w:val="ListParagraph"/>
                          <w:ind w:left="0"/>
                          <w:jc w:val="center"/>
                          <w:rPr>
                            <w:rFonts w:cs="Arial"/>
                            <w:sz w:val="18"/>
                            <w:szCs w:val="18"/>
                          </w:rPr>
                        </w:pPr>
                        <w:r>
                          <w:rPr>
                            <w:rFonts w:cs="Arial"/>
                            <w:sz w:val="18"/>
                            <w:szCs w:val="18"/>
                          </w:rPr>
                          <w:t>19</w:t>
                        </w:r>
                      </w:p>
                    </w:tc>
                    <w:tc>
                      <w:tcPr>
                        <w:tcW w:w="1697" w:type="dxa"/>
                      </w:tcPr>
                      <w:p w14:paraId="373D35F6" w14:textId="77777777" w:rsidR="0098092C" w:rsidRDefault="0030498B">
                        <w:pPr>
                          <w:pStyle w:val="ListParagraph"/>
                          <w:ind w:left="0"/>
                          <w:jc w:val="center"/>
                          <w:rPr>
                            <w:rFonts w:cs="Arial"/>
                            <w:sz w:val="18"/>
                            <w:szCs w:val="18"/>
                          </w:rPr>
                        </w:pPr>
                        <w:r>
                          <w:rPr>
                            <w:sz w:val="18"/>
                            <w:szCs w:val="18"/>
                          </w:rPr>
                          <w:t>10.7</w:t>
                        </w:r>
                      </w:p>
                    </w:tc>
                  </w:tr>
                  <w:tr w:rsidR="0098092C" w14:paraId="3440E7A0" w14:textId="77777777">
                    <w:trPr>
                      <w:jc w:val="center"/>
                    </w:trPr>
                    <w:tc>
                      <w:tcPr>
                        <w:tcW w:w="1698" w:type="dxa"/>
                        <w:vAlign w:val="center"/>
                      </w:tcPr>
                      <w:p w14:paraId="7652E85F" w14:textId="77777777" w:rsidR="0098092C" w:rsidRDefault="0030498B">
                        <w:pPr>
                          <w:pStyle w:val="ListParagraph"/>
                          <w:ind w:left="0"/>
                          <w:jc w:val="center"/>
                          <w:rPr>
                            <w:rFonts w:cs="Arial"/>
                            <w:sz w:val="18"/>
                            <w:szCs w:val="18"/>
                          </w:rPr>
                        </w:pPr>
                        <w:r>
                          <w:rPr>
                            <w:rFonts w:cs="Arial"/>
                            <w:sz w:val="18"/>
                            <w:szCs w:val="18"/>
                          </w:rPr>
                          <w:t>20</w:t>
                        </w:r>
                      </w:p>
                    </w:tc>
                    <w:tc>
                      <w:tcPr>
                        <w:tcW w:w="1697" w:type="dxa"/>
                      </w:tcPr>
                      <w:p w14:paraId="65A98ADB" w14:textId="77777777" w:rsidR="0098092C" w:rsidRDefault="0030498B">
                        <w:pPr>
                          <w:pStyle w:val="ListParagraph"/>
                          <w:ind w:left="0"/>
                          <w:jc w:val="center"/>
                          <w:rPr>
                            <w:rFonts w:cs="Arial"/>
                            <w:sz w:val="18"/>
                            <w:szCs w:val="18"/>
                          </w:rPr>
                        </w:pPr>
                        <w:r>
                          <w:rPr>
                            <w:sz w:val="18"/>
                            <w:szCs w:val="18"/>
                          </w:rPr>
                          <w:t>11.7</w:t>
                        </w:r>
                      </w:p>
                    </w:tc>
                  </w:tr>
                  <w:tr w:rsidR="0098092C" w14:paraId="11509590" w14:textId="77777777">
                    <w:trPr>
                      <w:jc w:val="center"/>
                    </w:trPr>
                    <w:tc>
                      <w:tcPr>
                        <w:tcW w:w="1698" w:type="dxa"/>
                        <w:vAlign w:val="center"/>
                      </w:tcPr>
                      <w:p w14:paraId="3902A677" w14:textId="77777777" w:rsidR="0098092C" w:rsidRDefault="0030498B">
                        <w:pPr>
                          <w:pStyle w:val="ListParagraph"/>
                          <w:ind w:left="0"/>
                          <w:jc w:val="center"/>
                          <w:rPr>
                            <w:rFonts w:cs="Arial"/>
                            <w:sz w:val="18"/>
                            <w:szCs w:val="18"/>
                          </w:rPr>
                        </w:pPr>
                        <w:r>
                          <w:rPr>
                            <w:rFonts w:cs="Arial"/>
                            <w:sz w:val="18"/>
                            <w:szCs w:val="18"/>
                          </w:rPr>
                          <w:t>21</w:t>
                        </w:r>
                      </w:p>
                    </w:tc>
                    <w:tc>
                      <w:tcPr>
                        <w:tcW w:w="1697" w:type="dxa"/>
                      </w:tcPr>
                      <w:p w14:paraId="35B8E5B1" w14:textId="77777777" w:rsidR="0098092C" w:rsidRDefault="0030498B">
                        <w:pPr>
                          <w:pStyle w:val="ListParagraph"/>
                          <w:ind w:left="0"/>
                          <w:jc w:val="center"/>
                          <w:rPr>
                            <w:rFonts w:cs="Arial"/>
                            <w:sz w:val="18"/>
                            <w:szCs w:val="18"/>
                          </w:rPr>
                        </w:pPr>
                        <w:r>
                          <w:rPr>
                            <w:sz w:val="18"/>
                            <w:szCs w:val="18"/>
                          </w:rPr>
                          <w:t>12.8</w:t>
                        </w:r>
                      </w:p>
                    </w:tc>
                  </w:tr>
                </w:tbl>
                <w:p w14:paraId="5B867C1E" w14:textId="77777777" w:rsidR="0098092C" w:rsidRDefault="0098092C">
                  <w:pPr>
                    <w:rPr>
                      <w:szCs w:val="20"/>
                      <w:lang w:eastAsia="zh-CN"/>
                    </w:rPr>
                  </w:pPr>
                </w:p>
              </w:tc>
              <w:tc>
                <w:tcPr>
                  <w:tcW w:w="3622" w:type="dxa"/>
                </w:tcPr>
                <w:p w14:paraId="51547DB0" w14:textId="77777777" w:rsidR="0098092C" w:rsidRDefault="0030498B">
                  <w:pPr>
                    <w:rPr>
                      <w:szCs w:val="20"/>
                      <w:lang w:eastAsia="zh-CN"/>
                    </w:rPr>
                  </w:pPr>
                  <w:r>
                    <w:rPr>
                      <w:szCs w:val="20"/>
                      <w:lang w:eastAsia="zh-CN"/>
                    </w:rPr>
                    <w:lastRenderedPageBreak/>
                    <w:t>Estimation of option-1 as per [R1-2109314], after applying the offset:</w:t>
                  </w:r>
                </w:p>
                <w:p w14:paraId="3166AD45" w14:textId="77777777" w:rsidR="0098092C" w:rsidRDefault="0098092C">
                  <w:pPr>
                    <w:rPr>
                      <w:szCs w:val="20"/>
                      <w:lang w:eastAsia="zh-CN"/>
                    </w:rPr>
                  </w:pPr>
                </w:p>
                <w:tbl>
                  <w:tblPr>
                    <w:tblStyle w:val="TableGrid"/>
                    <w:tblW w:w="0" w:type="auto"/>
                    <w:jc w:val="center"/>
                    <w:tblLook w:val="04A0" w:firstRow="1" w:lastRow="0" w:firstColumn="1" w:lastColumn="0" w:noHBand="0" w:noVBand="1"/>
                  </w:tblPr>
                  <w:tblGrid>
                    <w:gridCol w:w="1693"/>
                    <w:gridCol w:w="1703"/>
                  </w:tblGrid>
                  <w:tr w:rsidR="0098092C" w14:paraId="481ABDE0" w14:textId="77777777">
                    <w:trPr>
                      <w:trHeight w:val="410"/>
                      <w:jc w:val="center"/>
                    </w:trPr>
                    <w:tc>
                      <w:tcPr>
                        <w:tcW w:w="1842" w:type="dxa"/>
                        <w:shd w:val="clear" w:color="auto" w:fill="D9D9D9" w:themeFill="background1" w:themeFillShade="D9"/>
                        <w:vAlign w:val="center"/>
                      </w:tcPr>
                      <w:p w14:paraId="4B11EBDC" w14:textId="77777777" w:rsidR="0098092C" w:rsidRDefault="0030498B">
                        <w:pPr>
                          <w:pStyle w:val="ListParagraph"/>
                          <w:ind w:left="0"/>
                          <w:jc w:val="center"/>
                          <w:rPr>
                            <w:rFonts w:cs="Arial"/>
                            <w:sz w:val="18"/>
                            <w:szCs w:val="18"/>
                          </w:rPr>
                        </w:pPr>
                        <w:r>
                          <w:rPr>
                            <w:rFonts w:cs="Arial"/>
                            <w:sz w:val="18"/>
                            <w:szCs w:val="18"/>
                          </w:rPr>
                          <w:lastRenderedPageBreak/>
                          <w:t>MCS</w:t>
                        </w:r>
                      </w:p>
                    </w:tc>
                    <w:tc>
                      <w:tcPr>
                        <w:tcW w:w="1842" w:type="dxa"/>
                        <w:shd w:val="clear" w:color="auto" w:fill="D9D9D9" w:themeFill="background1" w:themeFillShade="D9"/>
                        <w:vAlign w:val="center"/>
                      </w:tcPr>
                      <w:p w14:paraId="09922ED1" w14:textId="77777777" w:rsidR="0098092C" w:rsidRDefault="00A15C9A">
                        <w:pPr>
                          <w:pStyle w:val="ListParagraph"/>
                          <w:ind w:left="0"/>
                          <w:jc w:val="center"/>
                          <w:rPr>
                            <w:rFonts w:cs="Arial"/>
                            <w:sz w:val="18"/>
                            <w:szCs w:val="18"/>
                          </w:rPr>
                        </w:pPr>
                        <m:oMathPara>
                          <m:oMath>
                            <m:sSub>
                              <m:sSubPr>
                                <m:ctrlPr>
                                  <w:rPr>
                                    <w:rFonts w:ascii="Cambria Math" w:hAnsi="Cambria Math"/>
                                    <w:i/>
                                    <w:iCs/>
                                    <w:sz w:val="18"/>
                                    <w:szCs w:val="18"/>
                                  </w:rPr>
                                </m:ctrlPr>
                              </m:sSubPr>
                              <m:e>
                                <m:r>
                                  <w:rPr>
                                    <w:rFonts w:ascii="Cambria Math" w:hAnsi="Cambria Math"/>
                                    <w:sz w:val="18"/>
                                    <w:szCs w:val="18"/>
                                  </w:rPr>
                                  <m:t>∆</m:t>
                                </m:r>
                              </m:e>
                              <m:sub>
                                <m:r>
                                  <w:rPr>
                                    <w:rFonts w:ascii="Cambria Math" w:hAnsi="Cambria Math"/>
                                    <w:sz w:val="18"/>
                                    <w:szCs w:val="18"/>
                                  </w:rPr>
                                  <m:t>TF</m:t>
                                </m:r>
                              </m:sub>
                            </m:sSub>
                          </m:oMath>
                        </m:oMathPara>
                      </w:p>
                    </w:tc>
                  </w:tr>
                  <w:tr w:rsidR="0098092C" w14:paraId="57D6B34D" w14:textId="77777777">
                    <w:trPr>
                      <w:jc w:val="center"/>
                    </w:trPr>
                    <w:tc>
                      <w:tcPr>
                        <w:tcW w:w="1842" w:type="dxa"/>
                        <w:vAlign w:val="center"/>
                      </w:tcPr>
                      <w:p w14:paraId="44F30BD2" w14:textId="77777777" w:rsidR="0098092C" w:rsidRDefault="0030498B">
                        <w:pPr>
                          <w:pStyle w:val="ListParagraph"/>
                          <w:ind w:left="0"/>
                          <w:jc w:val="center"/>
                          <w:rPr>
                            <w:rFonts w:cs="Arial"/>
                            <w:sz w:val="18"/>
                            <w:szCs w:val="18"/>
                          </w:rPr>
                        </w:pPr>
                        <w:r>
                          <w:rPr>
                            <w:rFonts w:cs="Arial"/>
                            <w:sz w:val="18"/>
                            <w:szCs w:val="18"/>
                          </w:rPr>
                          <w:t>0 – 13</w:t>
                        </w:r>
                      </w:p>
                    </w:tc>
                    <w:tc>
                      <w:tcPr>
                        <w:tcW w:w="1842" w:type="dxa"/>
                      </w:tcPr>
                      <w:p w14:paraId="3B196223" w14:textId="77777777" w:rsidR="0098092C" w:rsidRDefault="0030498B">
                        <w:pPr>
                          <w:pStyle w:val="ListParagraph"/>
                          <w:ind w:left="0"/>
                          <w:jc w:val="center"/>
                          <w:rPr>
                            <w:rFonts w:cs="Arial"/>
                            <w:sz w:val="18"/>
                            <w:szCs w:val="18"/>
                          </w:rPr>
                        </w:pPr>
                        <w:r>
                          <w:rPr>
                            <w:rFonts w:cs="Arial"/>
                            <w:sz w:val="18"/>
                            <w:szCs w:val="18"/>
                          </w:rPr>
                          <w:t>0</w:t>
                        </w:r>
                      </w:p>
                    </w:tc>
                  </w:tr>
                  <w:tr w:rsidR="0098092C" w14:paraId="3CE2CA67" w14:textId="77777777">
                    <w:trPr>
                      <w:jc w:val="center"/>
                    </w:trPr>
                    <w:tc>
                      <w:tcPr>
                        <w:tcW w:w="1842" w:type="dxa"/>
                        <w:vAlign w:val="center"/>
                      </w:tcPr>
                      <w:p w14:paraId="62A981F6" w14:textId="77777777" w:rsidR="0098092C" w:rsidRDefault="0030498B">
                        <w:pPr>
                          <w:pStyle w:val="ListParagraph"/>
                          <w:ind w:left="0"/>
                          <w:jc w:val="center"/>
                          <w:rPr>
                            <w:rFonts w:cs="Arial"/>
                            <w:sz w:val="18"/>
                            <w:szCs w:val="18"/>
                          </w:rPr>
                        </w:pPr>
                        <w:r>
                          <w:rPr>
                            <w:rFonts w:cs="Arial"/>
                            <w:sz w:val="18"/>
                            <w:szCs w:val="18"/>
                          </w:rPr>
                          <w:t>14</w:t>
                        </w:r>
                      </w:p>
                    </w:tc>
                    <w:tc>
                      <w:tcPr>
                        <w:tcW w:w="1842" w:type="dxa"/>
                      </w:tcPr>
                      <w:p w14:paraId="1BEBB746" w14:textId="77777777" w:rsidR="0098092C" w:rsidRDefault="0030498B">
                        <w:pPr>
                          <w:pStyle w:val="ListParagraph"/>
                          <w:ind w:left="0"/>
                          <w:jc w:val="center"/>
                          <w:rPr>
                            <w:rFonts w:cs="Arial"/>
                            <w:sz w:val="18"/>
                            <w:szCs w:val="18"/>
                          </w:rPr>
                        </w:pPr>
                        <w:r>
                          <w:rPr>
                            <w:sz w:val="18"/>
                            <w:szCs w:val="18"/>
                          </w:rPr>
                          <w:t>6.4 – offset = 0.5</w:t>
                        </w:r>
                      </w:p>
                    </w:tc>
                  </w:tr>
                  <w:tr w:rsidR="0098092C" w14:paraId="6B7359A8" w14:textId="77777777">
                    <w:trPr>
                      <w:jc w:val="center"/>
                    </w:trPr>
                    <w:tc>
                      <w:tcPr>
                        <w:tcW w:w="1842" w:type="dxa"/>
                        <w:vAlign w:val="center"/>
                      </w:tcPr>
                      <w:p w14:paraId="637BA051" w14:textId="77777777" w:rsidR="0098092C" w:rsidRDefault="0030498B">
                        <w:pPr>
                          <w:pStyle w:val="ListParagraph"/>
                          <w:ind w:left="0"/>
                          <w:jc w:val="center"/>
                          <w:rPr>
                            <w:rFonts w:cs="Arial"/>
                            <w:sz w:val="18"/>
                            <w:szCs w:val="18"/>
                          </w:rPr>
                        </w:pPr>
                        <w:r>
                          <w:rPr>
                            <w:rFonts w:cs="Arial"/>
                            <w:sz w:val="18"/>
                            <w:szCs w:val="18"/>
                          </w:rPr>
                          <w:t>15</w:t>
                        </w:r>
                      </w:p>
                    </w:tc>
                    <w:tc>
                      <w:tcPr>
                        <w:tcW w:w="1842" w:type="dxa"/>
                      </w:tcPr>
                      <w:p w14:paraId="18C22788" w14:textId="77777777" w:rsidR="0098092C" w:rsidRDefault="0030498B">
                        <w:pPr>
                          <w:pStyle w:val="ListParagraph"/>
                          <w:ind w:left="0"/>
                          <w:jc w:val="center"/>
                          <w:rPr>
                            <w:rFonts w:cs="Arial"/>
                            <w:sz w:val="18"/>
                            <w:szCs w:val="18"/>
                          </w:rPr>
                        </w:pPr>
                        <w:r>
                          <w:rPr>
                            <w:sz w:val="18"/>
                            <w:szCs w:val="18"/>
                          </w:rPr>
                          <w:t>7.1 – offset = 1.2</w:t>
                        </w:r>
                      </w:p>
                    </w:tc>
                  </w:tr>
                  <w:tr w:rsidR="0098092C" w14:paraId="272D9082" w14:textId="77777777">
                    <w:trPr>
                      <w:jc w:val="center"/>
                    </w:trPr>
                    <w:tc>
                      <w:tcPr>
                        <w:tcW w:w="1842" w:type="dxa"/>
                        <w:vAlign w:val="center"/>
                      </w:tcPr>
                      <w:p w14:paraId="43436649" w14:textId="77777777" w:rsidR="0098092C" w:rsidRDefault="0030498B">
                        <w:pPr>
                          <w:pStyle w:val="ListParagraph"/>
                          <w:ind w:left="0"/>
                          <w:jc w:val="center"/>
                          <w:rPr>
                            <w:rFonts w:cs="Arial"/>
                            <w:sz w:val="18"/>
                            <w:szCs w:val="18"/>
                          </w:rPr>
                        </w:pPr>
                        <w:r>
                          <w:rPr>
                            <w:rFonts w:cs="Arial"/>
                            <w:sz w:val="18"/>
                            <w:szCs w:val="18"/>
                          </w:rPr>
                          <w:t>16</w:t>
                        </w:r>
                      </w:p>
                    </w:tc>
                    <w:tc>
                      <w:tcPr>
                        <w:tcW w:w="1842" w:type="dxa"/>
                      </w:tcPr>
                      <w:p w14:paraId="0BB7D9DC" w14:textId="77777777" w:rsidR="0098092C" w:rsidRDefault="0030498B">
                        <w:pPr>
                          <w:pStyle w:val="ListParagraph"/>
                          <w:ind w:left="0"/>
                          <w:jc w:val="center"/>
                          <w:rPr>
                            <w:rFonts w:cs="Arial"/>
                            <w:sz w:val="18"/>
                            <w:szCs w:val="18"/>
                          </w:rPr>
                        </w:pPr>
                        <w:r>
                          <w:rPr>
                            <w:sz w:val="18"/>
                            <w:szCs w:val="18"/>
                          </w:rPr>
                          <w:t>7.7 – offset = 1.8</w:t>
                        </w:r>
                      </w:p>
                    </w:tc>
                  </w:tr>
                  <w:tr w:rsidR="0098092C" w14:paraId="0789C931" w14:textId="77777777">
                    <w:trPr>
                      <w:jc w:val="center"/>
                    </w:trPr>
                    <w:tc>
                      <w:tcPr>
                        <w:tcW w:w="1842" w:type="dxa"/>
                        <w:vAlign w:val="center"/>
                      </w:tcPr>
                      <w:p w14:paraId="1A0D9EED" w14:textId="77777777" w:rsidR="0098092C" w:rsidRDefault="0030498B">
                        <w:pPr>
                          <w:pStyle w:val="ListParagraph"/>
                          <w:ind w:left="0"/>
                          <w:jc w:val="center"/>
                          <w:rPr>
                            <w:rFonts w:cs="Arial"/>
                            <w:sz w:val="18"/>
                            <w:szCs w:val="18"/>
                          </w:rPr>
                        </w:pPr>
                        <w:r>
                          <w:rPr>
                            <w:rFonts w:cs="Arial"/>
                            <w:sz w:val="18"/>
                            <w:szCs w:val="18"/>
                          </w:rPr>
                          <w:t>17</w:t>
                        </w:r>
                      </w:p>
                    </w:tc>
                    <w:tc>
                      <w:tcPr>
                        <w:tcW w:w="1842" w:type="dxa"/>
                      </w:tcPr>
                      <w:p w14:paraId="17969975" w14:textId="77777777" w:rsidR="0098092C" w:rsidRDefault="0030498B">
                        <w:pPr>
                          <w:pStyle w:val="ListParagraph"/>
                          <w:ind w:left="0"/>
                          <w:jc w:val="center"/>
                          <w:rPr>
                            <w:rFonts w:cs="Arial"/>
                            <w:sz w:val="18"/>
                            <w:szCs w:val="18"/>
                          </w:rPr>
                        </w:pPr>
                        <w:r>
                          <w:rPr>
                            <w:sz w:val="18"/>
                            <w:szCs w:val="18"/>
                          </w:rPr>
                          <w:t>8.6 – offset = 2.7</w:t>
                        </w:r>
                      </w:p>
                    </w:tc>
                  </w:tr>
                  <w:tr w:rsidR="0098092C" w14:paraId="5302D36A" w14:textId="77777777">
                    <w:trPr>
                      <w:jc w:val="center"/>
                    </w:trPr>
                    <w:tc>
                      <w:tcPr>
                        <w:tcW w:w="1842" w:type="dxa"/>
                        <w:vAlign w:val="center"/>
                      </w:tcPr>
                      <w:p w14:paraId="4BF80C4E" w14:textId="77777777" w:rsidR="0098092C" w:rsidRDefault="0030498B">
                        <w:pPr>
                          <w:pStyle w:val="ListParagraph"/>
                          <w:ind w:left="0"/>
                          <w:jc w:val="center"/>
                          <w:rPr>
                            <w:rFonts w:cs="Arial"/>
                            <w:sz w:val="18"/>
                            <w:szCs w:val="18"/>
                          </w:rPr>
                        </w:pPr>
                        <w:r>
                          <w:rPr>
                            <w:rFonts w:cs="Arial"/>
                            <w:sz w:val="18"/>
                            <w:szCs w:val="18"/>
                          </w:rPr>
                          <w:t>18</w:t>
                        </w:r>
                      </w:p>
                    </w:tc>
                    <w:tc>
                      <w:tcPr>
                        <w:tcW w:w="1842" w:type="dxa"/>
                      </w:tcPr>
                      <w:p w14:paraId="05FCEC53" w14:textId="77777777" w:rsidR="0098092C" w:rsidRDefault="0030498B">
                        <w:pPr>
                          <w:pStyle w:val="ListParagraph"/>
                          <w:ind w:left="0"/>
                          <w:jc w:val="center"/>
                          <w:rPr>
                            <w:rFonts w:cs="Arial"/>
                            <w:sz w:val="18"/>
                            <w:szCs w:val="18"/>
                          </w:rPr>
                        </w:pPr>
                        <w:r>
                          <w:rPr>
                            <w:sz w:val="18"/>
                            <w:szCs w:val="18"/>
                          </w:rPr>
                          <w:t>9.7 – offset = 3.8</w:t>
                        </w:r>
                      </w:p>
                    </w:tc>
                  </w:tr>
                  <w:tr w:rsidR="0098092C" w14:paraId="780D50B1" w14:textId="77777777">
                    <w:trPr>
                      <w:jc w:val="center"/>
                    </w:trPr>
                    <w:tc>
                      <w:tcPr>
                        <w:tcW w:w="1842" w:type="dxa"/>
                        <w:vAlign w:val="center"/>
                      </w:tcPr>
                      <w:p w14:paraId="2E756A3E" w14:textId="77777777" w:rsidR="0098092C" w:rsidRDefault="0030498B">
                        <w:pPr>
                          <w:pStyle w:val="ListParagraph"/>
                          <w:ind w:left="0"/>
                          <w:jc w:val="center"/>
                          <w:rPr>
                            <w:rFonts w:cs="Arial"/>
                            <w:sz w:val="18"/>
                            <w:szCs w:val="18"/>
                          </w:rPr>
                        </w:pPr>
                        <w:r>
                          <w:rPr>
                            <w:rFonts w:cs="Arial"/>
                            <w:sz w:val="18"/>
                            <w:szCs w:val="18"/>
                          </w:rPr>
                          <w:t>19</w:t>
                        </w:r>
                      </w:p>
                    </w:tc>
                    <w:tc>
                      <w:tcPr>
                        <w:tcW w:w="1842" w:type="dxa"/>
                      </w:tcPr>
                      <w:p w14:paraId="6979931B" w14:textId="77777777" w:rsidR="0098092C" w:rsidRDefault="0030498B">
                        <w:pPr>
                          <w:pStyle w:val="ListParagraph"/>
                          <w:ind w:left="0"/>
                          <w:jc w:val="center"/>
                          <w:rPr>
                            <w:rFonts w:cs="Arial"/>
                            <w:sz w:val="18"/>
                            <w:szCs w:val="18"/>
                          </w:rPr>
                        </w:pPr>
                        <w:r>
                          <w:rPr>
                            <w:sz w:val="18"/>
                            <w:szCs w:val="18"/>
                          </w:rPr>
                          <w:t>10.7 – offset = 4.8</w:t>
                        </w:r>
                      </w:p>
                    </w:tc>
                  </w:tr>
                  <w:tr w:rsidR="0098092C" w14:paraId="393C55CB" w14:textId="77777777">
                    <w:trPr>
                      <w:jc w:val="center"/>
                    </w:trPr>
                    <w:tc>
                      <w:tcPr>
                        <w:tcW w:w="1842" w:type="dxa"/>
                        <w:vAlign w:val="center"/>
                      </w:tcPr>
                      <w:p w14:paraId="31DD86FE" w14:textId="77777777" w:rsidR="0098092C" w:rsidRDefault="0030498B">
                        <w:pPr>
                          <w:pStyle w:val="ListParagraph"/>
                          <w:ind w:left="0"/>
                          <w:jc w:val="center"/>
                          <w:rPr>
                            <w:rFonts w:cs="Arial"/>
                            <w:sz w:val="18"/>
                            <w:szCs w:val="18"/>
                          </w:rPr>
                        </w:pPr>
                        <w:r>
                          <w:rPr>
                            <w:rFonts w:cs="Arial"/>
                            <w:sz w:val="18"/>
                            <w:szCs w:val="18"/>
                          </w:rPr>
                          <w:t>20</w:t>
                        </w:r>
                      </w:p>
                    </w:tc>
                    <w:tc>
                      <w:tcPr>
                        <w:tcW w:w="1842" w:type="dxa"/>
                      </w:tcPr>
                      <w:p w14:paraId="1A909F4F" w14:textId="77777777" w:rsidR="0098092C" w:rsidRDefault="0030498B">
                        <w:pPr>
                          <w:pStyle w:val="ListParagraph"/>
                          <w:ind w:left="0"/>
                          <w:jc w:val="center"/>
                          <w:rPr>
                            <w:rFonts w:cs="Arial"/>
                            <w:sz w:val="18"/>
                            <w:szCs w:val="18"/>
                          </w:rPr>
                        </w:pPr>
                        <w:r>
                          <w:rPr>
                            <w:sz w:val="18"/>
                            <w:szCs w:val="18"/>
                          </w:rPr>
                          <w:t>11.7 – offset = 5.8</w:t>
                        </w:r>
                      </w:p>
                    </w:tc>
                  </w:tr>
                  <w:tr w:rsidR="0098092C" w14:paraId="4404ECCC" w14:textId="77777777">
                    <w:trPr>
                      <w:jc w:val="center"/>
                    </w:trPr>
                    <w:tc>
                      <w:tcPr>
                        <w:tcW w:w="1842" w:type="dxa"/>
                        <w:vAlign w:val="center"/>
                      </w:tcPr>
                      <w:p w14:paraId="5AB41A25" w14:textId="77777777" w:rsidR="0098092C" w:rsidRDefault="0030498B">
                        <w:pPr>
                          <w:pStyle w:val="ListParagraph"/>
                          <w:ind w:left="0"/>
                          <w:jc w:val="center"/>
                          <w:rPr>
                            <w:rFonts w:cs="Arial"/>
                            <w:sz w:val="18"/>
                            <w:szCs w:val="18"/>
                          </w:rPr>
                        </w:pPr>
                        <w:r>
                          <w:rPr>
                            <w:rFonts w:cs="Arial"/>
                            <w:sz w:val="18"/>
                            <w:szCs w:val="18"/>
                          </w:rPr>
                          <w:t>21</w:t>
                        </w:r>
                      </w:p>
                    </w:tc>
                    <w:tc>
                      <w:tcPr>
                        <w:tcW w:w="1842" w:type="dxa"/>
                      </w:tcPr>
                      <w:p w14:paraId="4A5BEFA2" w14:textId="77777777" w:rsidR="0098092C" w:rsidRDefault="0030498B">
                        <w:pPr>
                          <w:pStyle w:val="ListParagraph"/>
                          <w:ind w:left="0"/>
                          <w:jc w:val="center"/>
                          <w:rPr>
                            <w:rFonts w:cs="Arial"/>
                            <w:sz w:val="18"/>
                            <w:szCs w:val="18"/>
                          </w:rPr>
                        </w:pPr>
                        <w:r>
                          <w:rPr>
                            <w:sz w:val="18"/>
                            <w:szCs w:val="18"/>
                          </w:rPr>
                          <w:t>12.8 – offset = 6.9</w:t>
                        </w:r>
                      </w:p>
                    </w:tc>
                  </w:tr>
                </w:tbl>
                <w:p w14:paraId="0BFD2AE0" w14:textId="77777777" w:rsidR="0098092C" w:rsidRDefault="0098092C">
                  <w:pPr>
                    <w:rPr>
                      <w:szCs w:val="20"/>
                      <w:lang w:eastAsia="zh-CN"/>
                    </w:rPr>
                  </w:pPr>
                </w:p>
                <w:p w14:paraId="0A6281E9" w14:textId="77777777" w:rsidR="0098092C" w:rsidRDefault="0030498B">
                  <w:pPr>
                    <w:rPr>
                      <w:szCs w:val="20"/>
                      <w:lang w:eastAsia="zh-CN"/>
                    </w:rPr>
                  </w:pPr>
                  <w:r>
                    <w:rPr>
                      <w:szCs w:val="20"/>
                      <w:lang w:eastAsia="zh-CN"/>
                    </w:rPr>
                    <w:t xml:space="preserve">The offset is obtained accounting for where the jump occurs, to obtain it </w:t>
                  </w:r>
                  <m:oMath>
                    <m:r>
                      <m:rPr>
                        <m:sty m:val="p"/>
                      </m:rPr>
                      <w:rPr>
                        <w:rFonts w:ascii="Cambria Math" w:hAnsi="Cambria Math"/>
                        <w:sz w:val="18"/>
                        <w:szCs w:val="18"/>
                      </w:rPr>
                      <w:br/>
                    </m:r>
                    <m:sSub>
                      <m:sSubPr>
                        <m:ctrlPr>
                          <w:rPr>
                            <w:rFonts w:ascii="Cambria Math" w:hAnsi="Cambria Math"/>
                            <w:i/>
                            <w:iCs/>
                            <w:sz w:val="18"/>
                            <w:szCs w:val="18"/>
                          </w:rPr>
                        </m:ctrlPr>
                      </m:sSubPr>
                      <m:e>
                        <m:r>
                          <w:rPr>
                            <w:rFonts w:ascii="Cambria Math" w:hAnsi="Cambria Math"/>
                            <w:sz w:val="18"/>
                            <w:szCs w:val="18"/>
                          </w:rPr>
                          <m:t>∆</m:t>
                        </m:r>
                      </m:e>
                      <m:sub>
                        <m:r>
                          <w:rPr>
                            <w:rFonts w:ascii="Cambria Math" w:hAnsi="Cambria Math"/>
                            <w:sz w:val="18"/>
                            <w:szCs w:val="18"/>
                          </w:rPr>
                          <m:t>TF</m:t>
                        </m:r>
                      </m:sub>
                    </m:sSub>
                  </m:oMath>
                  <w:r>
                    <w:rPr>
                      <w:iCs/>
                      <w:sz w:val="18"/>
                      <w:szCs w:val="18"/>
                    </w:rPr>
                    <w:t xml:space="preserve"> </w:t>
                  </w:r>
                  <w:r>
                    <w:rPr>
                      <w:szCs w:val="20"/>
                      <w:lang w:eastAsia="zh-CN"/>
                    </w:rPr>
                    <w:t>can be calculated on the last I</w:t>
                  </w:r>
                  <w:r>
                    <w:rPr>
                      <w:szCs w:val="20"/>
                      <w:vertAlign w:val="subscript"/>
                      <w:lang w:eastAsia="zh-CN"/>
                    </w:rPr>
                    <w:t>TBS</w:t>
                  </w:r>
                  <w:r>
                    <w:rPr>
                      <w:szCs w:val="20"/>
                      <w:lang w:eastAsia="zh-CN"/>
                    </w:rPr>
                    <w:t xml:space="preserve"> of QPSK, which produces an offset </w:t>
                  </w:r>
                  <w:r>
                    <w:rPr>
                      <w:sz w:val="24"/>
                      <w:lang w:eastAsia="zh-CN"/>
                    </w:rPr>
                    <w:t>⁓</w:t>
                  </w:r>
                  <w:r>
                    <w:rPr>
                      <w:szCs w:val="20"/>
                      <w:lang w:eastAsia="zh-CN"/>
                    </w:rPr>
                    <w:t xml:space="preserve"> 5.9 dB, which alleviates the “jump between QPSK and 16-QAM”.</w:t>
                  </w:r>
                </w:p>
              </w:tc>
            </w:tr>
          </w:tbl>
          <w:p w14:paraId="2B3E1341" w14:textId="77777777" w:rsidR="0098092C" w:rsidRDefault="0098092C">
            <w:pPr>
              <w:rPr>
                <w:szCs w:val="20"/>
                <w:lang w:eastAsia="zh-CN"/>
              </w:rPr>
            </w:pPr>
          </w:p>
          <w:p w14:paraId="0775807B" w14:textId="77777777" w:rsidR="0098092C" w:rsidRDefault="0098092C">
            <w:pPr>
              <w:rPr>
                <w:szCs w:val="20"/>
                <w:lang w:eastAsia="zh-CN"/>
              </w:rPr>
            </w:pPr>
          </w:p>
        </w:tc>
      </w:tr>
      <w:tr w:rsidR="0098092C" w14:paraId="1041CBDF" w14:textId="77777777">
        <w:tc>
          <w:tcPr>
            <w:tcW w:w="1838" w:type="dxa"/>
          </w:tcPr>
          <w:p w14:paraId="2F918C2C" w14:textId="77777777" w:rsidR="0098092C" w:rsidRDefault="0030498B">
            <w:pPr>
              <w:rPr>
                <w:szCs w:val="20"/>
                <w:lang w:eastAsia="zh-CN"/>
              </w:rPr>
            </w:pPr>
            <w:r>
              <w:rPr>
                <w:rFonts w:hint="eastAsia"/>
                <w:szCs w:val="20"/>
                <w:lang w:eastAsia="zh-CN"/>
              </w:rPr>
              <w:lastRenderedPageBreak/>
              <w:t>L</w:t>
            </w:r>
            <w:r>
              <w:rPr>
                <w:szCs w:val="20"/>
                <w:lang w:eastAsia="zh-CN"/>
              </w:rPr>
              <w:t>enovo, MotoM</w:t>
            </w:r>
          </w:p>
          <w:p w14:paraId="7DBB3458" w14:textId="77777777" w:rsidR="0098092C" w:rsidRDefault="0098092C">
            <w:pPr>
              <w:rPr>
                <w:szCs w:val="20"/>
                <w:lang w:eastAsia="zh-CN"/>
              </w:rPr>
            </w:pPr>
          </w:p>
        </w:tc>
        <w:tc>
          <w:tcPr>
            <w:tcW w:w="7469" w:type="dxa"/>
          </w:tcPr>
          <w:p w14:paraId="11D4154C" w14:textId="77777777" w:rsidR="0098092C" w:rsidRDefault="0030498B">
            <w:pPr>
              <w:rPr>
                <w:szCs w:val="20"/>
                <w:lang w:eastAsia="zh-CN"/>
              </w:rPr>
            </w:pPr>
            <w:r>
              <w:rPr>
                <w:rFonts w:hint="eastAsia"/>
                <w:szCs w:val="20"/>
                <w:lang w:eastAsia="zh-CN"/>
              </w:rPr>
              <w:t>For</w:t>
            </w:r>
            <w:r>
              <w:rPr>
                <w:szCs w:val="20"/>
                <w:lang w:eastAsia="zh-CN"/>
              </w:rPr>
              <w:t xml:space="preserve"> the FFS part, we share the similar view as Nokia. If we introduce the new term as LTE, we should follow the same principal, use the term for all modulation type not only for 16QAM, otherwise we don’t think we need to introduce the new term at all (the UL power control enhancement is an optimization and is not noted in WID).</w:t>
            </w:r>
          </w:p>
        </w:tc>
      </w:tr>
      <w:tr w:rsidR="0098092C" w14:paraId="281BB990" w14:textId="77777777">
        <w:tc>
          <w:tcPr>
            <w:tcW w:w="1838" w:type="dxa"/>
          </w:tcPr>
          <w:p w14:paraId="4736D386" w14:textId="77777777" w:rsidR="0098092C" w:rsidRDefault="0030498B">
            <w:pPr>
              <w:rPr>
                <w:szCs w:val="20"/>
                <w:lang w:eastAsia="zh-CN"/>
              </w:rPr>
            </w:pPr>
            <w:r>
              <w:rPr>
                <w:szCs w:val="20"/>
                <w:lang w:eastAsia="zh-CN"/>
              </w:rPr>
              <w:t>MTK</w:t>
            </w:r>
          </w:p>
        </w:tc>
        <w:tc>
          <w:tcPr>
            <w:tcW w:w="7469" w:type="dxa"/>
          </w:tcPr>
          <w:p w14:paraId="1D5D8749" w14:textId="77777777" w:rsidR="0098092C" w:rsidRDefault="0030498B">
            <w:pPr>
              <w:rPr>
                <w:szCs w:val="20"/>
                <w:lang w:eastAsia="zh-CN"/>
              </w:rPr>
            </w:pPr>
            <w:r>
              <w:rPr>
                <w:szCs w:val="20"/>
                <w:lang w:eastAsia="zh-CN"/>
              </w:rPr>
              <w:t xml:space="preserve">Regarding the FFS part, we share the same view as Nokia and Lenovo. Actually, if we introduce an offset as proposed above, the enhancement from </w:t>
            </w:r>
            <m:oMath>
              <m:sSub>
                <m:sSubPr>
                  <m:ctrlPr>
                    <w:rPr>
                      <w:rFonts w:ascii="Cambria Math" w:hAnsi="Cambria Math"/>
                      <w:i/>
                      <w:iCs/>
                      <w:sz w:val="18"/>
                      <w:szCs w:val="18"/>
                    </w:rPr>
                  </m:ctrlPr>
                </m:sSubPr>
                <m:e>
                  <m:r>
                    <w:rPr>
                      <w:rFonts w:ascii="Cambria Math" w:hAnsi="Cambria Math"/>
                      <w:sz w:val="18"/>
                      <w:szCs w:val="18"/>
                    </w:rPr>
                    <m:t>∆</m:t>
                  </m:r>
                </m:e>
                <m:sub>
                  <m:r>
                    <w:rPr>
                      <w:rFonts w:ascii="Cambria Math" w:hAnsi="Cambria Math"/>
                      <w:sz w:val="18"/>
                      <w:szCs w:val="18"/>
                    </w:rPr>
                    <m:t>TF</m:t>
                  </m:r>
                </m:sub>
              </m:sSub>
            </m:oMath>
            <w:r>
              <w:rPr>
                <w:iCs/>
                <w:sz w:val="18"/>
                <w:szCs w:val="18"/>
              </w:rPr>
              <w:t xml:space="preserve"> </w:t>
            </w:r>
            <w:r>
              <w:rPr>
                <w:szCs w:val="20"/>
                <w:lang w:eastAsia="zh-CN"/>
              </w:rPr>
              <w:t>compensation will dramatically decreases, this violets the intention of introducing power control.</w:t>
            </w:r>
          </w:p>
        </w:tc>
      </w:tr>
      <w:tr w:rsidR="0098092C" w14:paraId="642514E3" w14:textId="77777777">
        <w:tc>
          <w:tcPr>
            <w:tcW w:w="1838" w:type="dxa"/>
          </w:tcPr>
          <w:p w14:paraId="4AAA8C13" w14:textId="77777777" w:rsidR="0098092C" w:rsidRDefault="0030498B">
            <w:pPr>
              <w:rPr>
                <w:szCs w:val="20"/>
                <w:lang w:eastAsia="zh-CN"/>
              </w:rPr>
            </w:pPr>
            <w:r>
              <w:rPr>
                <w:rFonts w:hint="eastAsia"/>
                <w:szCs w:val="20"/>
                <w:lang w:eastAsia="zh-CN"/>
              </w:rPr>
              <w:t>Moderator (Huawei)</w:t>
            </w:r>
          </w:p>
        </w:tc>
        <w:tc>
          <w:tcPr>
            <w:tcW w:w="7469" w:type="dxa"/>
          </w:tcPr>
          <w:p w14:paraId="0BCC88AD" w14:textId="77777777" w:rsidR="0098092C" w:rsidRDefault="0030498B">
            <w:pPr>
              <w:rPr>
                <w:szCs w:val="20"/>
                <w:lang w:eastAsia="zh-CN"/>
              </w:rPr>
            </w:pPr>
            <w:r>
              <w:rPr>
                <w:rFonts w:hint="eastAsia"/>
                <w:szCs w:val="20"/>
                <w:lang w:eastAsia="zh-CN"/>
              </w:rPr>
              <w:t xml:space="preserve">@ ZTE, </w:t>
            </w:r>
            <w:r>
              <w:rPr>
                <w:szCs w:val="20"/>
                <w:lang w:eastAsia="zh-CN"/>
              </w:rPr>
              <w:t>such an explanation on WID seems to be very rigorous, with the support of 16-QAM, the QPSK is still in the system, it can still be used, and we need to consider the situations still including QPSK and 16QAM within the network.</w:t>
            </w:r>
          </w:p>
          <w:p w14:paraId="40A40B2C" w14:textId="77777777" w:rsidR="0098092C" w:rsidRDefault="0030498B">
            <w:pPr>
              <w:rPr>
                <w:szCs w:val="20"/>
                <w:lang w:eastAsia="zh-CN"/>
              </w:rPr>
            </w:pPr>
            <w:r>
              <w:rPr>
                <w:szCs w:val="20"/>
                <w:lang w:eastAsia="zh-CN"/>
              </w:rPr>
              <w:t>From the comments, my understanding is that both applying to QPSK and introducing a new term are able to compensate the big jump. A further benefit, although not so essential, of applying to QPSK is that it follows the legacy LTE principal, which has been used for years and no need to introduce any new thing.</w:t>
            </w:r>
          </w:p>
          <w:p w14:paraId="704D64E8" w14:textId="77777777" w:rsidR="0098092C" w:rsidRDefault="0030498B">
            <w:pPr>
              <w:rPr>
                <w:szCs w:val="20"/>
                <w:lang w:eastAsia="zh-CN"/>
              </w:rPr>
            </w:pPr>
            <w:r>
              <w:rPr>
                <w:szCs w:val="20"/>
                <w:lang w:eastAsia="zh-CN"/>
              </w:rPr>
              <w:t xml:space="preserve">Therefore, to move forward, I would like to ask companies whether you can accept to re-use the LTE term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szCs w:val="20"/>
                <w:lang w:eastAsia="zh-CN"/>
              </w:rPr>
              <w:t xml:space="preserve"> to apply to QPSK?</w:t>
            </w:r>
          </w:p>
        </w:tc>
      </w:tr>
      <w:tr w:rsidR="0098092C" w14:paraId="0220DE2B" w14:textId="77777777">
        <w:tc>
          <w:tcPr>
            <w:tcW w:w="1838" w:type="dxa"/>
          </w:tcPr>
          <w:p w14:paraId="7D9F24FF" w14:textId="77777777" w:rsidR="0098092C" w:rsidRDefault="0030498B">
            <w:pPr>
              <w:rPr>
                <w:szCs w:val="20"/>
                <w:lang w:eastAsia="zh-CN"/>
              </w:rPr>
            </w:pPr>
            <w:r>
              <w:rPr>
                <w:rFonts w:hint="eastAsia"/>
                <w:szCs w:val="20"/>
                <w:lang w:eastAsia="zh-CN"/>
              </w:rPr>
              <w:t>Lenovo</w:t>
            </w:r>
            <w:r>
              <w:rPr>
                <w:szCs w:val="20"/>
                <w:lang w:eastAsia="zh-CN"/>
              </w:rPr>
              <w:t>, MotoM</w:t>
            </w:r>
          </w:p>
        </w:tc>
        <w:tc>
          <w:tcPr>
            <w:tcW w:w="7469" w:type="dxa"/>
          </w:tcPr>
          <w:p w14:paraId="5D5B575A" w14:textId="77777777" w:rsidR="0098092C" w:rsidRDefault="0030498B">
            <w:pPr>
              <w:rPr>
                <w:szCs w:val="20"/>
                <w:lang w:eastAsia="zh-CN"/>
              </w:rPr>
            </w:pPr>
            <w:r>
              <w:rPr>
                <w:szCs w:val="20"/>
                <w:lang w:eastAsia="zh-CN"/>
              </w:rPr>
              <w:t>We are fine with the proposal as Moderator.</w:t>
            </w:r>
          </w:p>
          <w:p w14:paraId="1432F655" w14:textId="77777777" w:rsidR="0098092C" w:rsidRDefault="0030498B">
            <w:pPr>
              <w:pStyle w:val="ListParagraph"/>
              <w:numPr>
                <w:ilvl w:val="0"/>
                <w:numId w:val="16"/>
              </w:numPr>
              <w:rPr>
                <w:szCs w:val="20"/>
              </w:rPr>
            </w:pPr>
            <w:r>
              <w:rPr>
                <w:rFonts w:ascii="Times" w:hAnsi="Times"/>
                <w:b/>
                <w:sz w:val="20"/>
                <w:szCs w:val="24"/>
                <w:lang w:val="en-GB"/>
              </w:rPr>
              <w:t xml:space="preserve">The new term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rPr>
                <w:rFonts w:ascii="Times" w:hAnsi="Times" w:hint="eastAsia"/>
                <w:sz w:val="20"/>
                <w:szCs w:val="24"/>
                <w:lang w:val="en-GB"/>
              </w:rPr>
              <w:t xml:space="preserve"> </w:t>
            </w:r>
            <w:r>
              <w:rPr>
                <w:rFonts w:ascii="Times" w:hAnsi="Times"/>
                <w:b/>
                <w:sz w:val="20"/>
                <w:szCs w:val="24"/>
                <w:lang w:val="en-GB"/>
              </w:rPr>
              <w:t>introduced for power control of NPUSCH applies to QPSK and 16QAM when configured with 16QAM.</w:t>
            </w:r>
          </w:p>
        </w:tc>
      </w:tr>
      <w:tr w:rsidR="0098092C" w14:paraId="2896ADF9" w14:textId="77777777">
        <w:tc>
          <w:tcPr>
            <w:tcW w:w="1838" w:type="dxa"/>
          </w:tcPr>
          <w:p w14:paraId="41F7CF71" w14:textId="77777777" w:rsidR="0098092C" w:rsidRDefault="0030498B">
            <w:pPr>
              <w:rPr>
                <w:szCs w:val="20"/>
                <w:lang w:eastAsia="zh-CN"/>
              </w:rPr>
            </w:pPr>
            <w:r>
              <w:rPr>
                <w:szCs w:val="20"/>
                <w:lang w:eastAsia="zh-CN"/>
              </w:rPr>
              <w:t>Ericsson v016</w:t>
            </w:r>
          </w:p>
        </w:tc>
        <w:tc>
          <w:tcPr>
            <w:tcW w:w="7469" w:type="dxa"/>
          </w:tcPr>
          <w:p w14:paraId="5ADE0841" w14:textId="77777777" w:rsidR="0098092C" w:rsidRDefault="0030498B">
            <w:pPr>
              <w:rPr>
                <w:szCs w:val="20"/>
                <w:lang w:eastAsia="zh-CN"/>
              </w:rPr>
            </w:pPr>
            <w:r>
              <w:rPr>
                <w:szCs w:val="20"/>
                <w:lang w:eastAsia="zh-CN"/>
              </w:rPr>
              <w:t>It is not the WID in this case, I think ZTE’s point is that the agreement on the “new term” was meant to be for 16-QAM.</w:t>
            </w:r>
          </w:p>
          <w:p w14:paraId="12EF8D2B" w14:textId="77777777" w:rsidR="0098092C" w:rsidRDefault="0030498B">
            <w:pPr>
              <w:suppressAutoHyphens/>
              <w:overflowPunct w:val="0"/>
              <w:textAlignment w:val="baseline"/>
              <w:rPr>
                <w:rFonts w:eastAsia="Times New Roman" w:cs="Times"/>
                <w:b/>
                <w:szCs w:val="20"/>
                <w:highlight w:val="green"/>
                <w:lang w:eastAsia="ar-SA"/>
              </w:rPr>
            </w:pPr>
            <w:r>
              <w:rPr>
                <w:rFonts w:eastAsia="Times New Roman" w:cs="Times"/>
                <w:b/>
                <w:szCs w:val="20"/>
                <w:highlight w:val="green"/>
                <w:lang w:eastAsia="ar-SA"/>
              </w:rPr>
              <w:t xml:space="preserve">Agreement </w:t>
            </w:r>
          </w:p>
          <w:p w14:paraId="0B075F26" w14:textId="77777777" w:rsidR="0098092C" w:rsidRDefault="0030498B">
            <w:pPr>
              <w:suppressAutoHyphens/>
              <w:overflowPunct w:val="0"/>
              <w:textAlignment w:val="baseline"/>
              <w:rPr>
                <w:rFonts w:eastAsia="Times New Roman" w:cs="Times"/>
                <w:bCs/>
                <w:szCs w:val="20"/>
                <w:lang w:eastAsia="ar-SA"/>
              </w:rPr>
            </w:pPr>
            <w:r>
              <w:rPr>
                <w:rFonts w:eastAsia="Times New Roman" w:cs="Times"/>
                <w:bCs/>
                <w:szCs w:val="20"/>
                <w:lang w:eastAsia="ar-SA"/>
              </w:rPr>
              <w:t>Introduce a new term in uplink power control of NPUSCH using 16-QAM. FFS on the details.</w:t>
            </w:r>
          </w:p>
          <w:p w14:paraId="34D9F4F2" w14:textId="77777777" w:rsidR="0098092C" w:rsidRDefault="0030498B">
            <w:pPr>
              <w:rPr>
                <w:szCs w:val="20"/>
                <w:lang w:eastAsia="zh-CN"/>
              </w:rPr>
            </w:pPr>
            <w:r>
              <w:rPr>
                <w:szCs w:val="20"/>
                <w:lang w:eastAsia="zh-CN"/>
              </w:rPr>
              <w:lastRenderedPageBreak/>
              <w:t xml:space="preserve">If ZTE and other companies still have a concern, the offset plays the same role (indeed calculated using </w:t>
            </w:r>
            <m:oMath>
              <m:sSub>
                <m:sSubPr>
                  <m:ctrlPr>
                    <w:rPr>
                      <w:rFonts w:ascii="Cambria Math" w:hAnsi="Cambria Math"/>
                      <w:i/>
                      <w:iCs/>
                      <w:sz w:val="18"/>
                      <w:szCs w:val="18"/>
                    </w:rPr>
                  </m:ctrlPr>
                </m:sSubPr>
                <m:e>
                  <m:r>
                    <w:rPr>
                      <w:rFonts w:ascii="Cambria Math" w:hAnsi="Cambria Math"/>
                      <w:sz w:val="18"/>
                      <w:szCs w:val="18"/>
                    </w:rPr>
                    <m:t>∆</m:t>
                  </m:r>
                </m:e>
                <m:sub>
                  <m:r>
                    <w:rPr>
                      <w:rFonts w:ascii="Cambria Math" w:hAnsi="Cambria Math"/>
                      <w:sz w:val="18"/>
                      <w:szCs w:val="18"/>
                    </w:rPr>
                    <m:t>TF</m:t>
                  </m:r>
                </m:sub>
              </m:sSub>
            </m:oMath>
            <w:r>
              <w:rPr>
                <w:iCs/>
                <w:sz w:val="18"/>
                <w:szCs w:val="18"/>
              </w:rPr>
              <w:t xml:space="preserve">’s </w:t>
            </w:r>
            <w:r>
              <w:rPr>
                <w:szCs w:val="20"/>
                <w:lang w:eastAsia="zh-CN"/>
              </w:rPr>
              <w:t>equation) but without touching QPSK. The most important thing is to avoid the “jump between QPSK and 16-QAM”.</w:t>
            </w:r>
          </w:p>
        </w:tc>
      </w:tr>
      <w:tr w:rsidR="0098092C" w14:paraId="3FDE16D7" w14:textId="77777777">
        <w:tc>
          <w:tcPr>
            <w:tcW w:w="1838" w:type="dxa"/>
          </w:tcPr>
          <w:p w14:paraId="379CFCEE" w14:textId="77777777" w:rsidR="0098092C" w:rsidRDefault="0030498B">
            <w:pPr>
              <w:rPr>
                <w:szCs w:val="20"/>
                <w:lang w:eastAsia="zh-CN"/>
              </w:rPr>
            </w:pPr>
            <w:r>
              <w:rPr>
                <w:rFonts w:hint="eastAsia"/>
                <w:szCs w:val="20"/>
                <w:lang w:eastAsia="zh-CN"/>
              </w:rPr>
              <w:lastRenderedPageBreak/>
              <w:t>ZTE, Sanechips</w:t>
            </w:r>
          </w:p>
        </w:tc>
        <w:tc>
          <w:tcPr>
            <w:tcW w:w="7469" w:type="dxa"/>
          </w:tcPr>
          <w:p w14:paraId="1C9FF747" w14:textId="77777777" w:rsidR="0098092C" w:rsidRDefault="0030498B">
            <w:pPr>
              <w:rPr>
                <w:szCs w:val="20"/>
                <w:lang w:eastAsia="zh-CN"/>
              </w:rPr>
            </w:pPr>
            <w:r>
              <w:rPr>
                <w:rFonts w:hint="eastAsia"/>
                <w:szCs w:val="20"/>
                <w:lang w:eastAsia="zh-CN"/>
              </w:rPr>
              <w:t xml:space="preserve">If the power control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rPr>
                <w:rFonts w:ascii="Cambria Math" w:hAnsi="Cambria Math" w:hint="eastAsia"/>
                <w:lang w:eastAsia="zh-CN"/>
              </w:rPr>
              <w:t xml:space="preserve"> </w:t>
            </w:r>
            <w:r>
              <w:rPr>
                <w:rFonts w:hint="eastAsia"/>
                <w:szCs w:val="20"/>
                <w:lang w:eastAsia="zh-CN"/>
              </w:rPr>
              <w:t xml:space="preserve">is applied for QPSK, it reverts the agreement. So from our understanding, </w:t>
            </w:r>
            <w:r>
              <w:rPr>
                <w:szCs w:val="20"/>
                <w:lang w:eastAsia="zh-CN"/>
              </w:rPr>
              <w:t>a</w:t>
            </w:r>
            <w:r>
              <w:rPr>
                <w:rFonts w:hint="eastAsia"/>
                <w:szCs w:val="20"/>
                <w:lang w:eastAsia="zh-CN"/>
              </w:rPr>
              <w:t>n</w:t>
            </w:r>
            <w:r>
              <w:rPr>
                <w:szCs w:val="20"/>
                <w:lang w:eastAsia="zh-CN"/>
              </w:rPr>
              <w:t xml:space="preserve"> </w:t>
            </w:r>
            <w:r>
              <w:rPr>
                <w:rFonts w:hint="eastAsia"/>
                <w:szCs w:val="20"/>
                <w:lang w:eastAsia="zh-CN"/>
              </w:rPr>
              <w:t xml:space="preserve">additional </w:t>
            </w:r>
            <w:r>
              <w:rPr>
                <w:szCs w:val="20"/>
                <w:lang w:eastAsia="zh-CN"/>
              </w:rPr>
              <w:t xml:space="preserve">new term </w:t>
            </w:r>
            <w:r>
              <w:rPr>
                <w:rFonts w:hint="eastAsia"/>
                <w:szCs w:val="20"/>
                <w:lang w:eastAsia="zh-CN"/>
              </w:rPr>
              <w:t xml:space="preserve">can be considered to </w:t>
            </w:r>
            <w:r>
              <w:rPr>
                <w:szCs w:val="20"/>
                <w:lang w:eastAsia="zh-CN"/>
              </w:rPr>
              <w:t xml:space="preserve">compensate the </w:t>
            </w:r>
            <w:r>
              <w:rPr>
                <w:rFonts w:hint="eastAsia"/>
                <w:szCs w:val="20"/>
                <w:lang w:eastAsia="zh-CN"/>
              </w:rPr>
              <w:t xml:space="preserve">performance </w:t>
            </w:r>
            <w:r>
              <w:rPr>
                <w:szCs w:val="20"/>
                <w:lang w:eastAsia="zh-CN"/>
              </w:rPr>
              <w:t>jump</w:t>
            </w:r>
            <w:r>
              <w:rPr>
                <w:rFonts w:hint="eastAsia"/>
                <w:szCs w:val="20"/>
                <w:lang w:eastAsia="zh-CN"/>
              </w:rPr>
              <w:t xml:space="preserve"> between QPSK and 16-QM.</w:t>
            </w:r>
          </w:p>
        </w:tc>
      </w:tr>
      <w:tr w:rsidR="00C02DFA" w14:paraId="0F46EA54" w14:textId="77777777">
        <w:tc>
          <w:tcPr>
            <w:tcW w:w="1838" w:type="dxa"/>
          </w:tcPr>
          <w:p w14:paraId="44365306" w14:textId="2E985E93" w:rsidR="00C02DFA" w:rsidRDefault="00C02DFA">
            <w:pPr>
              <w:rPr>
                <w:szCs w:val="20"/>
                <w:lang w:eastAsia="zh-CN"/>
              </w:rPr>
            </w:pPr>
            <w:r>
              <w:rPr>
                <w:rFonts w:hint="eastAsia"/>
                <w:szCs w:val="20"/>
                <w:lang w:eastAsia="zh-CN"/>
              </w:rPr>
              <w:t>Moderator (Huawei)</w:t>
            </w:r>
          </w:p>
        </w:tc>
        <w:tc>
          <w:tcPr>
            <w:tcW w:w="7469" w:type="dxa"/>
          </w:tcPr>
          <w:p w14:paraId="577A2593" w14:textId="35CD8DF2" w:rsidR="00C02DFA" w:rsidRDefault="0079431A">
            <w:pPr>
              <w:rPr>
                <w:szCs w:val="20"/>
                <w:lang w:eastAsia="zh-CN"/>
              </w:rPr>
            </w:pPr>
            <w:r>
              <w:rPr>
                <w:rFonts w:hint="eastAsia"/>
                <w:szCs w:val="20"/>
                <w:lang w:eastAsia="zh-CN"/>
              </w:rPr>
              <w:t xml:space="preserve">@Ericsson, @ZTE, I think the </w:t>
            </w:r>
            <w:r>
              <w:rPr>
                <w:szCs w:val="20"/>
                <w:lang w:eastAsia="zh-CN"/>
              </w:rPr>
              <w:t>proponents of applying to QPSK is to have a new agreement in addition the one you mentioned.</w:t>
            </w:r>
          </w:p>
          <w:p w14:paraId="731BDF00" w14:textId="504997EE" w:rsidR="0079431A" w:rsidRDefault="0079431A">
            <w:pPr>
              <w:rPr>
                <w:szCs w:val="20"/>
                <w:lang w:eastAsia="zh-CN"/>
              </w:rPr>
            </w:pPr>
            <w:r>
              <w:rPr>
                <w:szCs w:val="20"/>
                <w:lang w:eastAsia="zh-CN"/>
              </w:rPr>
              <w:t xml:space="preserve">Regarding that some companies don’t support to apply the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rPr>
                <w:rFonts w:hint="eastAsia"/>
              </w:rPr>
              <w:t xml:space="preserve"> to QPSK, and some companies support to follow LTE principal instead of introduction of a new thing.</w:t>
            </w:r>
            <w:r>
              <w:t xml:space="preserve"> Would it be possible to have P0 configured for 16-QAM? Then eNB can configure a proper P0 for 16-QAM to compensate the gap introduced by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rPr>
                <w:rFonts w:hint="eastAsia"/>
              </w:rPr>
              <w:t>, while there</w:t>
            </w:r>
            <w:r>
              <w:t>’s no new thing is introduced compared with legacy. It seems it can address all the above concerns.</w:t>
            </w:r>
          </w:p>
        </w:tc>
      </w:tr>
      <w:tr w:rsidR="0079431A" w14:paraId="01FC3253" w14:textId="77777777">
        <w:tc>
          <w:tcPr>
            <w:tcW w:w="1838" w:type="dxa"/>
          </w:tcPr>
          <w:p w14:paraId="322BA957" w14:textId="6BBE0879" w:rsidR="0079431A" w:rsidRDefault="004E6A09">
            <w:pPr>
              <w:rPr>
                <w:szCs w:val="20"/>
                <w:lang w:eastAsia="zh-CN"/>
              </w:rPr>
            </w:pPr>
            <w:r>
              <w:rPr>
                <w:szCs w:val="20"/>
                <w:lang w:eastAsia="zh-CN"/>
              </w:rPr>
              <w:t>Nokia, NSB</w:t>
            </w:r>
          </w:p>
        </w:tc>
        <w:tc>
          <w:tcPr>
            <w:tcW w:w="7469" w:type="dxa"/>
          </w:tcPr>
          <w:p w14:paraId="500C4692" w14:textId="5958844D" w:rsidR="00E1022F" w:rsidRDefault="004E6A09">
            <w:pPr>
              <w:rPr>
                <w:szCs w:val="20"/>
                <w:lang w:eastAsia="zh-CN"/>
              </w:rPr>
            </w:pPr>
            <w:r>
              <w:rPr>
                <w:szCs w:val="20"/>
                <w:lang w:eastAsia="zh-CN"/>
              </w:rPr>
              <w:t xml:space="preserve">We agree with the </w:t>
            </w:r>
            <w:r w:rsidR="00E1022F">
              <w:rPr>
                <w:szCs w:val="20"/>
                <w:lang w:eastAsia="zh-CN"/>
              </w:rPr>
              <w:t>moderator that applying the new power control term also to QPSK is a potential new agreement, not reverting previous agreement.</w:t>
            </w:r>
          </w:p>
        </w:tc>
      </w:tr>
      <w:tr w:rsidR="0079431A" w14:paraId="2C86F3F4" w14:textId="77777777">
        <w:tc>
          <w:tcPr>
            <w:tcW w:w="1838" w:type="dxa"/>
          </w:tcPr>
          <w:p w14:paraId="3D0C608C" w14:textId="77777777" w:rsidR="0079431A" w:rsidRDefault="0079431A">
            <w:pPr>
              <w:rPr>
                <w:szCs w:val="20"/>
                <w:lang w:eastAsia="zh-CN"/>
              </w:rPr>
            </w:pPr>
          </w:p>
        </w:tc>
        <w:tc>
          <w:tcPr>
            <w:tcW w:w="7469" w:type="dxa"/>
          </w:tcPr>
          <w:p w14:paraId="1EE0AE2F" w14:textId="77777777" w:rsidR="0079431A" w:rsidRDefault="0079431A">
            <w:pPr>
              <w:rPr>
                <w:szCs w:val="20"/>
                <w:lang w:eastAsia="zh-CN"/>
              </w:rPr>
            </w:pPr>
          </w:p>
        </w:tc>
      </w:tr>
    </w:tbl>
    <w:p w14:paraId="461F0AD9" w14:textId="0400522C" w:rsidR="0098092C" w:rsidRDefault="0098092C">
      <w:pPr>
        <w:rPr>
          <w:lang w:eastAsia="zh-CN"/>
        </w:rPr>
      </w:pPr>
    </w:p>
    <w:p w14:paraId="2FF01162" w14:textId="77777777" w:rsidR="0098092C" w:rsidRDefault="0030498B">
      <w:pPr>
        <w:pStyle w:val="Heading3"/>
      </w:pPr>
      <w:r>
        <w:rPr>
          <w:lang w:eastAsia="zh-CN"/>
        </w:rPr>
        <w:t>Issue 5: Channel quality reporting</w:t>
      </w:r>
    </w:p>
    <w:p w14:paraId="27D79B51" w14:textId="77777777" w:rsidR="0098092C" w:rsidRDefault="0030498B">
      <w:pPr>
        <w:rPr>
          <w:lang w:eastAsia="zh-CN"/>
        </w:rPr>
      </w:pPr>
      <w:r>
        <w:rPr>
          <w:rFonts w:hint="eastAsia"/>
          <w:lang w:eastAsia="zh-CN"/>
        </w:rPr>
        <w:t xml:space="preserve">The baseline for the discussion of several options can be </w:t>
      </w:r>
      <w:r>
        <w:rPr>
          <w:lang w:eastAsia="zh-CN"/>
        </w:rPr>
        <w:t>exemplified</w:t>
      </w:r>
      <w:r>
        <w:rPr>
          <w:rFonts w:hint="eastAsia"/>
          <w:lang w:eastAsia="zh-CN"/>
        </w:rPr>
        <w:t xml:space="preserve"> as below:</w:t>
      </w:r>
    </w:p>
    <w:p w14:paraId="156E4D8B" w14:textId="77777777" w:rsidR="0098092C" w:rsidRDefault="0030498B">
      <w:pPr>
        <w:rPr>
          <w:b/>
          <w:i/>
          <w:u w:val="single"/>
          <w:lang w:eastAsia="zh-CN"/>
        </w:rPr>
      </w:pPr>
      <w:r>
        <w:rPr>
          <w:b/>
          <w:i/>
          <w:u w:val="single"/>
          <w:lang w:eastAsia="zh-CN"/>
        </w:rPr>
        <w:t>Option 1:</w:t>
      </w:r>
    </w:p>
    <w:tbl>
      <w:tblPr>
        <w:tblStyle w:val="TableGrid"/>
        <w:tblW w:w="0" w:type="auto"/>
        <w:tblLook w:val="04A0" w:firstRow="1" w:lastRow="0" w:firstColumn="1" w:lastColumn="0" w:noHBand="0" w:noVBand="1"/>
      </w:tblPr>
      <w:tblGrid>
        <w:gridCol w:w="4613"/>
        <w:gridCol w:w="4694"/>
      </w:tblGrid>
      <w:tr w:rsidR="0098092C" w14:paraId="31072C60" w14:textId="77777777">
        <w:tc>
          <w:tcPr>
            <w:tcW w:w="4653" w:type="dxa"/>
          </w:tcPr>
          <w:p w14:paraId="43A17C2D" w14:textId="77777777" w:rsidR="0098092C" w:rsidRDefault="0030498B">
            <w:pPr>
              <w:tabs>
                <w:tab w:val="left" w:pos="1140"/>
              </w:tabs>
              <w:rPr>
                <w:lang w:eastAsia="zh-CN"/>
              </w:rPr>
            </w:pPr>
            <w:r>
              <w:rPr>
                <w:rFonts w:hint="eastAsia"/>
                <w:lang w:eastAsia="zh-CN"/>
              </w:rPr>
              <w:t>Options</w:t>
            </w:r>
          </w:p>
        </w:tc>
        <w:tc>
          <w:tcPr>
            <w:tcW w:w="4654" w:type="dxa"/>
          </w:tcPr>
          <w:p w14:paraId="2525AA68" w14:textId="77777777" w:rsidR="0098092C" w:rsidRDefault="0030498B">
            <w:pPr>
              <w:rPr>
                <w:lang w:eastAsia="zh-CN"/>
              </w:rPr>
            </w:pPr>
            <w:r>
              <w:rPr>
                <w:lang w:eastAsia="zh-CN"/>
              </w:rPr>
              <w:t>Examples</w:t>
            </w:r>
          </w:p>
        </w:tc>
      </w:tr>
      <w:tr w:rsidR="0098092C" w14:paraId="54F70FD5" w14:textId="77777777" w:rsidTr="00640387">
        <w:trPr>
          <w:trHeight w:val="2542"/>
        </w:trPr>
        <w:tc>
          <w:tcPr>
            <w:tcW w:w="4653" w:type="dxa"/>
          </w:tcPr>
          <w:p w14:paraId="7B3E3B7C" w14:textId="77777777" w:rsidR="0098092C" w:rsidRDefault="0030498B">
            <w:pPr>
              <w:pStyle w:val="ListParagraph"/>
              <w:numPr>
                <w:ilvl w:val="0"/>
                <w:numId w:val="17"/>
              </w:numPr>
              <w:overflowPunct w:val="0"/>
              <w:autoSpaceDE w:val="0"/>
              <w:autoSpaceDN w:val="0"/>
              <w:adjustRightInd w:val="0"/>
              <w:spacing w:after="180" w:line="240" w:lineRule="auto"/>
              <w:ind w:left="357" w:hanging="357"/>
              <w:contextualSpacing/>
              <w:jc w:val="left"/>
              <w:textAlignment w:val="baseline"/>
              <w:rPr>
                <w:rFonts w:ascii="Times New Roman" w:hAnsi="Times New Roman" w:cs="Times New Roman"/>
                <w:sz w:val="22"/>
                <w:szCs w:val="22"/>
              </w:rPr>
            </w:pPr>
            <w:r>
              <w:rPr>
                <w:rFonts w:ascii="Times New Roman" w:hAnsi="Times New Roman" w:cs="Times New Roman"/>
                <w:sz w:val="22"/>
                <w:szCs w:val="22"/>
              </w:rPr>
              <w:t>Option 1: More than three candidate values for 16-QAM are added in the legacy table.</w:t>
            </w:r>
          </w:p>
          <w:p w14:paraId="1D7CF15F" w14:textId="77777777" w:rsidR="0098092C" w:rsidRDefault="0030498B">
            <w:pPr>
              <w:pStyle w:val="ListParagraph"/>
              <w:numPr>
                <w:ilvl w:val="1"/>
                <w:numId w:val="17"/>
              </w:numPr>
              <w:overflowPunct w:val="0"/>
              <w:autoSpaceDE w:val="0"/>
              <w:autoSpaceDN w:val="0"/>
              <w:adjustRightInd w:val="0"/>
              <w:spacing w:after="180" w:line="240" w:lineRule="auto"/>
              <w:contextualSpacing/>
              <w:jc w:val="left"/>
              <w:textAlignment w:val="baseline"/>
              <w:rPr>
                <w:rFonts w:ascii="Times New Roman" w:hAnsi="Times New Roman" w:cs="Times New Roman"/>
                <w:sz w:val="22"/>
                <w:szCs w:val="22"/>
              </w:rPr>
            </w:pPr>
            <w:r>
              <w:rPr>
                <w:rFonts w:ascii="Times New Roman" w:hAnsi="Times New Roman" w:cs="Times New Roman"/>
                <w:sz w:val="22"/>
                <w:szCs w:val="22"/>
              </w:rPr>
              <w:t>FFS: Which of the legacy entries are removed</w:t>
            </w:r>
          </w:p>
          <w:p w14:paraId="5D447D96" w14:textId="77777777" w:rsidR="0098092C" w:rsidRDefault="0098092C">
            <w:pPr>
              <w:tabs>
                <w:tab w:val="left" w:pos="1140"/>
              </w:tabs>
              <w:rPr>
                <w:lang w:eastAsia="zh-CN"/>
              </w:rPr>
            </w:pPr>
          </w:p>
        </w:tc>
        <w:tc>
          <w:tcPr>
            <w:tcW w:w="4654" w:type="dxa"/>
          </w:tcPr>
          <w:p w14:paraId="2792C68D" w14:textId="77777777" w:rsidR="0098092C" w:rsidRDefault="0098092C">
            <w:pPr>
              <w:rPr>
                <w:lang w:eastAsia="zh-CN"/>
              </w:rPr>
            </w:pPr>
          </w:p>
          <w:tbl>
            <w:tblPr>
              <w:tblW w:w="4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6"/>
              <w:gridCol w:w="1647"/>
              <w:gridCol w:w="1647"/>
            </w:tblGrid>
            <w:tr w:rsidR="0098092C" w14:paraId="75B58E7A" w14:textId="77777777">
              <w:trPr>
                <w:trHeight w:val="358"/>
                <w:jc w:val="center"/>
              </w:trPr>
              <w:tc>
                <w:tcPr>
                  <w:tcW w:w="1146" w:type="dxa"/>
                  <w:tcBorders>
                    <w:top w:val="single" w:sz="4" w:space="0" w:color="auto"/>
                    <w:left w:val="single" w:sz="4" w:space="0" w:color="auto"/>
                    <w:bottom w:val="single" w:sz="4" w:space="0" w:color="auto"/>
                    <w:right w:val="single" w:sz="4" w:space="0" w:color="auto"/>
                  </w:tcBorders>
                  <w:vAlign w:val="center"/>
                </w:tcPr>
                <w:p w14:paraId="44D7C7A5" w14:textId="77777777" w:rsidR="0098092C" w:rsidRDefault="0030498B">
                  <w:pPr>
                    <w:pStyle w:val="TAH"/>
                    <w:rPr>
                      <w:sz w:val="11"/>
                    </w:rPr>
                  </w:pPr>
                  <w:r>
                    <w:rPr>
                      <w:sz w:val="11"/>
                    </w:rPr>
                    <w:t>Reported value</w:t>
                  </w:r>
                </w:p>
              </w:tc>
              <w:tc>
                <w:tcPr>
                  <w:tcW w:w="1647" w:type="dxa"/>
                  <w:tcBorders>
                    <w:top w:val="single" w:sz="4" w:space="0" w:color="auto"/>
                    <w:left w:val="single" w:sz="4" w:space="0" w:color="auto"/>
                    <w:bottom w:val="single" w:sz="4" w:space="0" w:color="auto"/>
                    <w:right w:val="single" w:sz="4" w:space="0" w:color="auto"/>
                  </w:tcBorders>
                  <w:vAlign w:val="center"/>
                </w:tcPr>
                <w:p w14:paraId="2512D62A" w14:textId="77777777" w:rsidR="0098092C" w:rsidRDefault="0030498B">
                  <w:pPr>
                    <w:pStyle w:val="TAH"/>
                    <w:rPr>
                      <w:sz w:val="11"/>
                    </w:rPr>
                  </w:pPr>
                  <w:r>
                    <w:rPr>
                      <w:sz w:val="11"/>
                    </w:rPr>
                    <w:t>NPDCCH repetition level</w:t>
                  </w:r>
                </w:p>
              </w:tc>
              <w:tc>
                <w:tcPr>
                  <w:tcW w:w="1647" w:type="dxa"/>
                  <w:tcBorders>
                    <w:top w:val="single" w:sz="4" w:space="0" w:color="auto"/>
                    <w:left w:val="single" w:sz="4" w:space="0" w:color="auto"/>
                    <w:bottom w:val="single" w:sz="4" w:space="0" w:color="auto"/>
                    <w:right w:val="single" w:sz="4" w:space="0" w:color="auto"/>
                  </w:tcBorders>
                  <w:vAlign w:val="center"/>
                </w:tcPr>
                <w:p w14:paraId="5EAEDF33" w14:textId="77777777" w:rsidR="0098092C" w:rsidRDefault="0030498B">
                  <w:pPr>
                    <w:pStyle w:val="TAH"/>
                    <w:rPr>
                      <w:color w:val="FF0000"/>
                      <w:sz w:val="11"/>
                    </w:rPr>
                  </w:pPr>
                  <w:r>
                    <w:rPr>
                      <w:color w:val="FF0000"/>
                      <w:sz w:val="11"/>
                    </w:rPr>
                    <w:t>16-QAM</w:t>
                  </w:r>
                </w:p>
              </w:tc>
            </w:tr>
            <w:tr w:rsidR="0098092C" w14:paraId="618961E7" w14:textId="77777777">
              <w:trPr>
                <w:jc w:val="center"/>
              </w:trPr>
              <w:tc>
                <w:tcPr>
                  <w:tcW w:w="1146" w:type="dxa"/>
                  <w:tcBorders>
                    <w:top w:val="single" w:sz="4" w:space="0" w:color="auto"/>
                    <w:left w:val="single" w:sz="4" w:space="0" w:color="auto"/>
                    <w:bottom w:val="single" w:sz="4" w:space="0" w:color="auto"/>
                    <w:right w:val="single" w:sz="4" w:space="0" w:color="auto"/>
                  </w:tcBorders>
                  <w:vAlign w:val="center"/>
                </w:tcPr>
                <w:p w14:paraId="5127CE30" w14:textId="77777777" w:rsidR="0098092C" w:rsidRDefault="0030498B">
                  <w:pPr>
                    <w:pStyle w:val="TAC"/>
                    <w:rPr>
                      <w:sz w:val="11"/>
                    </w:rPr>
                  </w:pPr>
                  <w:r>
                    <w:rPr>
                      <w:sz w:val="11"/>
                    </w:rPr>
                    <w:t>noMeasurement</w:t>
                  </w:r>
                </w:p>
              </w:tc>
              <w:tc>
                <w:tcPr>
                  <w:tcW w:w="1647" w:type="dxa"/>
                  <w:tcBorders>
                    <w:top w:val="single" w:sz="4" w:space="0" w:color="auto"/>
                    <w:left w:val="single" w:sz="4" w:space="0" w:color="auto"/>
                    <w:bottom w:val="single" w:sz="4" w:space="0" w:color="auto"/>
                    <w:right w:val="single" w:sz="4" w:space="0" w:color="auto"/>
                  </w:tcBorders>
                  <w:vAlign w:val="center"/>
                </w:tcPr>
                <w:p w14:paraId="7F1DE89E" w14:textId="77777777" w:rsidR="0098092C" w:rsidRDefault="0030498B">
                  <w:pPr>
                    <w:pStyle w:val="TAC"/>
                    <w:rPr>
                      <w:sz w:val="11"/>
                    </w:rPr>
                  </w:pPr>
                  <w:r>
                    <w:rPr>
                      <w:sz w:val="11"/>
                    </w:rPr>
                    <w:t>No measurement reporting</w:t>
                  </w:r>
                </w:p>
              </w:tc>
              <w:tc>
                <w:tcPr>
                  <w:tcW w:w="1647" w:type="dxa"/>
                  <w:tcBorders>
                    <w:top w:val="single" w:sz="4" w:space="0" w:color="auto"/>
                    <w:left w:val="single" w:sz="4" w:space="0" w:color="auto"/>
                    <w:bottom w:val="single" w:sz="4" w:space="0" w:color="auto"/>
                    <w:right w:val="single" w:sz="4" w:space="0" w:color="auto"/>
                  </w:tcBorders>
                  <w:vAlign w:val="center"/>
                </w:tcPr>
                <w:p w14:paraId="3971E5CB" w14:textId="77777777" w:rsidR="0098092C" w:rsidRDefault="0030498B">
                  <w:pPr>
                    <w:pStyle w:val="TAC"/>
                    <w:rPr>
                      <w:color w:val="FF0000"/>
                      <w:sz w:val="11"/>
                    </w:rPr>
                  </w:pPr>
                  <w:r>
                    <w:rPr>
                      <w:color w:val="FF0000"/>
                      <w:sz w:val="11"/>
                    </w:rPr>
                    <w:t>No measurement reporting</w:t>
                  </w:r>
                </w:p>
              </w:tc>
            </w:tr>
            <w:tr w:rsidR="0098092C" w14:paraId="189F2744" w14:textId="77777777">
              <w:trPr>
                <w:jc w:val="center"/>
              </w:trPr>
              <w:tc>
                <w:tcPr>
                  <w:tcW w:w="1146" w:type="dxa"/>
                  <w:tcBorders>
                    <w:top w:val="single" w:sz="4" w:space="0" w:color="auto"/>
                    <w:left w:val="single" w:sz="4" w:space="0" w:color="auto"/>
                    <w:bottom w:val="single" w:sz="4" w:space="0" w:color="auto"/>
                    <w:right w:val="single" w:sz="4" w:space="0" w:color="auto"/>
                  </w:tcBorders>
                  <w:vAlign w:val="center"/>
                </w:tcPr>
                <w:p w14:paraId="6E7DCDDB" w14:textId="77777777" w:rsidR="0098092C" w:rsidRDefault="0030498B">
                  <w:pPr>
                    <w:pStyle w:val="TAC"/>
                    <w:rPr>
                      <w:sz w:val="11"/>
                      <w:lang w:eastAsia="ja-JP"/>
                    </w:rPr>
                  </w:pPr>
                  <w:r>
                    <w:rPr>
                      <w:sz w:val="11"/>
                      <w:lang w:eastAsia="ja-JP"/>
                    </w:rPr>
                    <w:t>candidateRep-A</w:t>
                  </w:r>
                </w:p>
              </w:tc>
              <w:tc>
                <w:tcPr>
                  <w:tcW w:w="1647" w:type="dxa"/>
                  <w:tcBorders>
                    <w:top w:val="single" w:sz="4" w:space="0" w:color="auto"/>
                    <w:left w:val="single" w:sz="4" w:space="0" w:color="auto"/>
                    <w:bottom w:val="single" w:sz="4" w:space="0" w:color="auto"/>
                    <w:right w:val="single" w:sz="4" w:space="0" w:color="auto"/>
                  </w:tcBorders>
                  <w:vAlign w:val="center"/>
                </w:tcPr>
                <w:p w14:paraId="6B4F3CD2" w14:textId="77777777" w:rsidR="0098092C" w:rsidRDefault="0030498B">
                  <w:pPr>
                    <w:pStyle w:val="TAC"/>
                    <w:rPr>
                      <w:sz w:val="11"/>
                      <w:lang w:eastAsia="ja-JP"/>
                    </w:rPr>
                  </w:pPr>
                  <w:r>
                    <w:rPr>
                      <w:sz w:val="11"/>
                      <w:lang w:eastAsia="ja-JP"/>
                    </w:rPr>
                    <w:t>1</w:t>
                  </w:r>
                </w:p>
              </w:tc>
              <w:tc>
                <w:tcPr>
                  <w:tcW w:w="1647" w:type="dxa"/>
                  <w:tcBorders>
                    <w:top w:val="single" w:sz="4" w:space="0" w:color="auto"/>
                    <w:left w:val="single" w:sz="4" w:space="0" w:color="auto"/>
                    <w:bottom w:val="single" w:sz="4" w:space="0" w:color="auto"/>
                    <w:right w:val="single" w:sz="4" w:space="0" w:color="auto"/>
                  </w:tcBorders>
                  <w:vAlign w:val="center"/>
                </w:tcPr>
                <w:p w14:paraId="59DD44A4" w14:textId="77777777" w:rsidR="0098092C" w:rsidRDefault="0030498B">
                  <w:pPr>
                    <w:pStyle w:val="TAC"/>
                    <w:rPr>
                      <w:color w:val="FF0000"/>
                      <w:sz w:val="11"/>
                      <w:lang w:eastAsia="ja-JP"/>
                    </w:rPr>
                  </w:pPr>
                  <w:r>
                    <w:rPr>
                      <w:color w:val="FF0000"/>
                      <w:sz w:val="11"/>
                      <w:lang w:eastAsia="ja-JP"/>
                    </w:rPr>
                    <w:t>N/A</w:t>
                  </w:r>
                </w:p>
              </w:tc>
            </w:tr>
            <w:tr w:rsidR="0098092C" w14:paraId="309242D6" w14:textId="77777777">
              <w:trPr>
                <w:jc w:val="center"/>
              </w:trPr>
              <w:tc>
                <w:tcPr>
                  <w:tcW w:w="1146" w:type="dxa"/>
                  <w:tcBorders>
                    <w:top w:val="single" w:sz="4" w:space="0" w:color="auto"/>
                    <w:left w:val="single" w:sz="4" w:space="0" w:color="auto"/>
                    <w:bottom w:val="single" w:sz="4" w:space="0" w:color="auto"/>
                    <w:right w:val="single" w:sz="4" w:space="0" w:color="auto"/>
                  </w:tcBorders>
                  <w:vAlign w:val="center"/>
                </w:tcPr>
                <w:p w14:paraId="2CB20D75" w14:textId="77777777" w:rsidR="0098092C" w:rsidRDefault="0030498B">
                  <w:pPr>
                    <w:pStyle w:val="TAC"/>
                    <w:rPr>
                      <w:sz w:val="11"/>
                      <w:lang w:eastAsia="ja-JP"/>
                    </w:rPr>
                  </w:pPr>
                  <w:r>
                    <w:rPr>
                      <w:sz w:val="11"/>
                      <w:lang w:eastAsia="ja-JP"/>
                    </w:rPr>
                    <w:t>candidateRep-B</w:t>
                  </w:r>
                </w:p>
              </w:tc>
              <w:tc>
                <w:tcPr>
                  <w:tcW w:w="1647" w:type="dxa"/>
                  <w:tcBorders>
                    <w:top w:val="single" w:sz="4" w:space="0" w:color="auto"/>
                    <w:left w:val="single" w:sz="4" w:space="0" w:color="auto"/>
                    <w:bottom w:val="single" w:sz="4" w:space="0" w:color="auto"/>
                    <w:right w:val="single" w:sz="4" w:space="0" w:color="auto"/>
                  </w:tcBorders>
                  <w:vAlign w:val="center"/>
                </w:tcPr>
                <w:p w14:paraId="45BB0C5B" w14:textId="77777777" w:rsidR="0098092C" w:rsidRDefault="0030498B">
                  <w:pPr>
                    <w:pStyle w:val="TAC"/>
                    <w:rPr>
                      <w:sz w:val="11"/>
                      <w:lang w:eastAsia="ja-JP"/>
                    </w:rPr>
                  </w:pPr>
                  <w:r>
                    <w:rPr>
                      <w:sz w:val="11"/>
                      <w:lang w:eastAsia="ja-JP"/>
                    </w:rPr>
                    <w:t>2</w:t>
                  </w:r>
                </w:p>
              </w:tc>
              <w:tc>
                <w:tcPr>
                  <w:tcW w:w="1647" w:type="dxa"/>
                  <w:tcBorders>
                    <w:top w:val="single" w:sz="4" w:space="0" w:color="auto"/>
                    <w:left w:val="single" w:sz="4" w:space="0" w:color="auto"/>
                    <w:bottom w:val="single" w:sz="4" w:space="0" w:color="auto"/>
                    <w:right w:val="single" w:sz="4" w:space="0" w:color="auto"/>
                  </w:tcBorders>
                  <w:vAlign w:val="center"/>
                </w:tcPr>
                <w:p w14:paraId="33D5EA82" w14:textId="77777777" w:rsidR="0098092C" w:rsidRDefault="0030498B">
                  <w:pPr>
                    <w:pStyle w:val="TAC"/>
                    <w:rPr>
                      <w:color w:val="FF0000"/>
                      <w:sz w:val="11"/>
                      <w:lang w:eastAsia="ja-JP"/>
                    </w:rPr>
                  </w:pPr>
                  <w:r>
                    <w:rPr>
                      <w:color w:val="FF0000"/>
                      <w:sz w:val="11"/>
                      <w:lang w:eastAsia="ja-JP"/>
                    </w:rPr>
                    <w:t>N/A</w:t>
                  </w:r>
                </w:p>
              </w:tc>
            </w:tr>
            <w:tr w:rsidR="0098092C" w14:paraId="2DD4F4E5" w14:textId="77777777">
              <w:trPr>
                <w:jc w:val="center"/>
              </w:trPr>
              <w:tc>
                <w:tcPr>
                  <w:tcW w:w="1146" w:type="dxa"/>
                  <w:tcBorders>
                    <w:top w:val="single" w:sz="4" w:space="0" w:color="auto"/>
                    <w:left w:val="single" w:sz="4" w:space="0" w:color="auto"/>
                    <w:bottom w:val="single" w:sz="4" w:space="0" w:color="auto"/>
                    <w:right w:val="single" w:sz="4" w:space="0" w:color="auto"/>
                  </w:tcBorders>
                  <w:vAlign w:val="center"/>
                </w:tcPr>
                <w:p w14:paraId="761ADBC3" w14:textId="77777777" w:rsidR="0098092C" w:rsidRDefault="0030498B">
                  <w:pPr>
                    <w:pStyle w:val="TAC"/>
                    <w:rPr>
                      <w:sz w:val="11"/>
                      <w:lang w:eastAsia="ja-JP"/>
                    </w:rPr>
                  </w:pPr>
                  <w:r>
                    <w:rPr>
                      <w:sz w:val="11"/>
                      <w:lang w:eastAsia="ja-JP"/>
                    </w:rPr>
                    <w:t>candidateRep-C</w:t>
                  </w:r>
                </w:p>
              </w:tc>
              <w:tc>
                <w:tcPr>
                  <w:tcW w:w="1647" w:type="dxa"/>
                  <w:tcBorders>
                    <w:top w:val="single" w:sz="4" w:space="0" w:color="auto"/>
                    <w:left w:val="single" w:sz="4" w:space="0" w:color="auto"/>
                    <w:bottom w:val="single" w:sz="4" w:space="0" w:color="auto"/>
                    <w:right w:val="single" w:sz="4" w:space="0" w:color="auto"/>
                  </w:tcBorders>
                  <w:vAlign w:val="center"/>
                </w:tcPr>
                <w:p w14:paraId="7F6DC7BD" w14:textId="77777777" w:rsidR="0098092C" w:rsidRDefault="0030498B">
                  <w:pPr>
                    <w:pStyle w:val="TAC"/>
                    <w:rPr>
                      <w:sz w:val="11"/>
                      <w:lang w:eastAsia="ja-JP"/>
                    </w:rPr>
                  </w:pPr>
                  <w:r>
                    <w:rPr>
                      <w:sz w:val="11"/>
                      <w:lang w:eastAsia="ja-JP"/>
                    </w:rPr>
                    <w:t>4</w:t>
                  </w:r>
                </w:p>
              </w:tc>
              <w:tc>
                <w:tcPr>
                  <w:tcW w:w="1647" w:type="dxa"/>
                  <w:tcBorders>
                    <w:top w:val="single" w:sz="4" w:space="0" w:color="auto"/>
                    <w:left w:val="single" w:sz="4" w:space="0" w:color="auto"/>
                    <w:bottom w:val="single" w:sz="4" w:space="0" w:color="auto"/>
                    <w:right w:val="single" w:sz="4" w:space="0" w:color="auto"/>
                  </w:tcBorders>
                  <w:vAlign w:val="center"/>
                </w:tcPr>
                <w:p w14:paraId="3194A043" w14:textId="77777777" w:rsidR="0098092C" w:rsidRDefault="0030498B">
                  <w:pPr>
                    <w:pStyle w:val="TAC"/>
                    <w:rPr>
                      <w:color w:val="FF0000"/>
                      <w:sz w:val="11"/>
                      <w:lang w:eastAsia="ja-JP"/>
                    </w:rPr>
                  </w:pPr>
                  <w:r>
                    <w:rPr>
                      <w:color w:val="FF0000"/>
                      <w:sz w:val="11"/>
                      <w:lang w:eastAsia="ja-JP"/>
                    </w:rPr>
                    <w:t>N/A</w:t>
                  </w:r>
                </w:p>
              </w:tc>
            </w:tr>
            <w:tr w:rsidR="0098092C" w14:paraId="647F9AFA" w14:textId="77777777">
              <w:trPr>
                <w:jc w:val="center"/>
              </w:trPr>
              <w:tc>
                <w:tcPr>
                  <w:tcW w:w="1146" w:type="dxa"/>
                  <w:tcBorders>
                    <w:top w:val="single" w:sz="4" w:space="0" w:color="auto"/>
                    <w:left w:val="single" w:sz="4" w:space="0" w:color="auto"/>
                    <w:bottom w:val="single" w:sz="4" w:space="0" w:color="auto"/>
                    <w:right w:val="single" w:sz="4" w:space="0" w:color="auto"/>
                  </w:tcBorders>
                  <w:vAlign w:val="center"/>
                </w:tcPr>
                <w:p w14:paraId="5DC3C4C4" w14:textId="77777777" w:rsidR="0098092C" w:rsidRDefault="0030498B">
                  <w:pPr>
                    <w:pStyle w:val="TAC"/>
                    <w:rPr>
                      <w:sz w:val="11"/>
                      <w:lang w:eastAsia="ja-JP"/>
                    </w:rPr>
                  </w:pPr>
                  <w:r>
                    <w:rPr>
                      <w:sz w:val="11"/>
                      <w:lang w:eastAsia="ja-JP"/>
                    </w:rPr>
                    <w:t>candidateRep-D</w:t>
                  </w:r>
                </w:p>
              </w:tc>
              <w:tc>
                <w:tcPr>
                  <w:tcW w:w="1647" w:type="dxa"/>
                  <w:tcBorders>
                    <w:top w:val="single" w:sz="4" w:space="0" w:color="auto"/>
                    <w:left w:val="single" w:sz="4" w:space="0" w:color="auto"/>
                    <w:bottom w:val="single" w:sz="4" w:space="0" w:color="auto"/>
                    <w:right w:val="single" w:sz="4" w:space="0" w:color="auto"/>
                  </w:tcBorders>
                  <w:vAlign w:val="center"/>
                </w:tcPr>
                <w:p w14:paraId="3A60694C" w14:textId="77777777" w:rsidR="0098092C" w:rsidRDefault="0030498B">
                  <w:pPr>
                    <w:pStyle w:val="TAC"/>
                    <w:rPr>
                      <w:sz w:val="11"/>
                      <w:lang w:eastAsia="ja-JP"/>
                    </w:rPr>
                  </w:pPr>
                  <w:r>
                    <w:rPr>
                      <w:sz w:val="11"/>
                      <w:lang w:eastAsia="ja-JP"/>
                    </w:rPr>
                    <w:t>8</w:t>
                  </w:r>
                </w:p>
              </w:tc>
              <w:tc>
                <w:tcPr>
                  <w:tcW w:w="1647" w:type="dxa"/>
                  <w:tcBorders>
                    <w:top w:val="single" w:sz="4" w:space="0" w:color="auto"/>
                    <w:left w:val="single" w:sz="4" w:space="0" w:color="auto"/>
                    <w:bottom w:val="single" w:sz="4" w:space="0" w:color="auto"/>
                    <w:right w:val="single" w:sz="4" w:space="0" w:color="auto"/>
                  </w:tcBorders>
                  <w:vAlign w:val="center"/>
                </w:tcPr>
                <w:p w14:paraId="1FB45723" w14:textId="77777777" w:rsidR="0098092C" w:rsidRDefault="0030498B">
                  <w:pPr>
                    <w:pStyle w:val="TAC"/>
                    <w:rPr>
                      <w:color w:val="FF0000"/>
                      <w:sz w:val="11"/>
                      <w:lang w:eastAsia="ja-JP"/>
                    </w:rPr>
                  </w:pPr>
                  <w:r>
                    <w:rPr>
                      <w:color w:val="FF0000"/>
                      <w:sz w:val="11"/>
                      <w:lang w:eastAsia="ja-JP"/>
                    </w:rPr>
                    <w:t>N/A</w:t>
                  </w:r>
                </w:p>
              </w:tc>
            </w:tr>
            <w:tr w:rsidR="0098092C" w14:paraId="1880169A" w14:textId="77777777">
              <w:trPr>
                <w:jc w:val="center"/>
              </w:trPr>
              <w:tc>
                <w:tcPr>
                  <w:tcW w:w="1146" w:type="dxa"/>
                  <w:tcBorders>
                    <w:top w:val="single" w:sz="4" w:space="0" w:color="auto"/>
                    <w:left w:val="single" w:sz="4" w:space="0" w:color="auto"/>
                    <w:bottom w:val="single" w:sz="4" w:space="0" w:color="auto"/>
                    <w:right w:val="single" w:sz="4" w:space="0" w:color="auto"/>
                  </w:tcBorders>
                  <w:vAlign w:val="center"/>
                </w:tcPr>
                <w:p w14:paraId="0E694AAE" w14:textId="77777777" w:rsidR="0098092C" w:rsidRDefault="0030498B">
                  <w:pPr>
                    <w:pStyle w:val="TAC"/>
                    <w:rPr>
                      <w:sz w:val="11"/>
                      <w:lang w:eastAsia="ja-JP"/>
                    </w:rPr>
                  </w:pPr>
                  <w:r>
                    <w:rPr>
                      <w:sz w:val="11"/>
                      <w:lang w:eastAsia="ja-JP"/>
                    </w:rPr>
                    <w:t>candidateRep-E</w:t>
                  </w:r>
                </w:p>
              </w:tc>
              <w:tc>
                <w:tcPr>
                  <w:tcW w:w="1647" w:type="dxa"/>
                  <w:tcBorders>
                    <w:top w:val="single" w:sz="4" w:space="0" w:color="auto"/>
                    <w:left w:val="single" w:sz="4" w:space="0" w:color="auto"/>
                    <w:bottom w:val="single" w:sz="4" w:space="0" w:color="auto"/>
                    <w:right w:val="single" w:sz="4" w:space="0" w:color="auto"/>
                  </w:tcBorders>
                  <w:vAlign w:val="center"/>
                </w:tcPr>
                <w:p w14:paraId="7862B13A" w14:textId="77777777" w:rsidR="0098092C" w:rsidRDefault="0030498B">
                  <w:pPr>
                    <w:pStyle w:val="TAC"/>
                    <w:rPr>
                      <w:sz w:val="11"/>
                      <w:lang w:eastAsia="ja-JP"/>
                    </w:rPr>
                  </w:pPr>
                  <w:r>
                    <w:rPr>
                      <w:sz w:val="11"/>
                      <w:lang w:eastAsia="ja-JP"/>
                    </w:rPr>
                    <w:t>16</w:t>
                  </w:r>
                </w:p>
              </w:tc>
              <w:tc>
                <w:tcPr>
                  <w:tcW w:w="1647" w:type="dxa"/>
                  <w:tcBorders>
                    <w:top w:val="single" w:sz="4" w:space="0" w:color="auto"/>
                    <w:left w:val="single" w:sz="4" w:space="0" w:color="auto"/>
                    <w:bottom w:val="single" w:sz="4" w:space="0" w:color="auto"/>
                    <w:right w:val="single" w:sz="4" w:space="0" w:color="auto"/>
                  </w:tcBorders>
                  <w:vAlign w:val="center"/>
                </w:tcPr>
                <w:p w14:paraId="7D35EADD" w14:textId="77777777" w:rsidR="0098092C" w:rsidRDefault="0030498B">
                  <w:pPr>
                    <w:pStyle w:val="TAC"/>
                    <w:rPr>
                      <w:color w:val="FF0000"/>
                      <w:sz w:val="11"/>
                      <w:lang w:eastAsia="ja-JP"/>
                    </w:rPr>
                  </w:pPr>
                  <w:r>
                    <w:rPr>
                      <w:color w:val="FF0000"/>
                      <w:sz w:val="11"/>
                      <w:lang w:eastAsia="ja-JP"/>
                    </w:rPr>
                    <w:t>N/A</w:t>
                  </w:r>
                </w:p>
              </w:tc>
            </w:tr>
            <w:tr w:rsidR="0098092C" w14:paraId="4C7E6352" w14:textId="77777777">
              <w:trPr>
                <w:jc w:val="center"/>
              </w:trPr>
              <w:tc>
                <w:tcPr>
                  <w:tcW w:w="1146" w:type="dxa"/>
                  <w:tcBorders>
                    <w:top w:val="single" w:sz="4" w:space="0" w:color="auto"/>
                    <w:left w:val="single" w:sz="4" w:space="0" w:color="auto"/>
                    <w:bottom w:val="single" w:sz="4" w:space="0" w:color="auto"/>
                    <w:right w:val="single" w:sz="4" w:space="0" w:color="auto"/>
                  </w:tcBorders>
                  <w:vAlign w:val="center"/>
                </w:tcPr>
                <w:p w14:paraId="04EFBE3B" w14:textId="77777777" w:rsidR="0098092C" w:rsidRDefault="0030498B">
                  <w:pPr>
                    <w:pStyle w:val="TAC"/>
                    <w:rPr>
                      <w:sz w:val="11"/>
                      <w:lang w:eastAsia="ja-JP"/>
                    </w:rPr>
                  </w:pPr>
                  <w:r>
                    <w:rPr>
                      <w:sz w:val="11"/>
                      <w:lang w:eastAsia="ja-JP"/>
                    </w:rPr>
                    <w:t>candidateRep-F</w:t>
                  </w:r>
                </w:p>
              </w:tc>
              <w:tc>
                <w:tcPr>
                  <w:tcW w:w="1647" w:type="dxa"/>
                  <w:tcBorders>
                    <w:top w:val="single" w:sz="4" w:space="0" w:color="auto"/>
                    <w:left w:val="single" w:sz="4" w:space="0" w:color="auto"/>
                    <w:bottom w:val="single" w:sz="4" w:space="0" w:color="auto"/>
                    <w:right w:val="single" w:sz="4" w:space="0" w:color="auto"/>
                  </w:tcBorders>
                  <w:vAlign w:val="center"/>
                </w:tcPr>
                <w:p w14:paraId="7C619E51" w14:textId="77777777" w:rsidR="0098092C" w:rsidRDefault="0030498B">
                  <w:pPr>
                    <w:pStyle w:val="TAC"/>
                    <w:rPr>
                      <w:sz w:val="11"/>
                      <w:lang w:eastAsia="ja-JP"/>
                    </w:rPr>
                  </w:pPr>
                  <w:r>
                    <w:rPr>
                      <w:sz w:val="11"/>
                      <w:lang w:eastAsia="ja-JP"/>
                    </w:rPr>
                    <w:t>32</w:t>
                  </w:r>
                </w:p>
              </w:tc>
              <w:tc>
                <w:tcPr>
                  <w:tcW w:w="1647" w:type="dxa"/>
                  <w:tcBorders>
                    <w:top w:val="single" w:sz="4" w:space="0" w:color="auto"/>
                    <w:left w:val="single" w:sz="4" w:space="0" w:color="auto"/>
                    <w:bottom w:val="single" w:sz="4" w:space="0" w:color="auto"/>
                    <w:right w:val="single" w:sz="4" w:space="0" w:color="auto"/>
                  </w:tcBorders>
                  <w:vAlign w:val="center"/>
                </w:tcPr>
                <w:p w14:paraId="4803952B" w14:textId="77777777" w:rsidR="0098092C" w:rsidRDefault="0030498B">
                  <w:pPr>
                    <w:pStyle w:val="TAC"/>
                    <w:rPr>
                      <w:color w:val="FF0000"/>
                      <w:sz w:val="11"/>
                      <w:lang w:eastAsia="ja-JP"/>
                    </w:rPr>
                  </w:pPr>
                  <w:r>
                    <w:rPr>
                      <w:color w:val="FF0000"/>
                      <w:sz w:val="11"/>
                      <w:lang w:eastAsia="ja-JP"/>
                    </w:rPr>
                    <w:t>N/A</w:t>
                  </w:r>
                </w:p>
              </w:tc>
            </w:tr>
            <w:tr w:rsidR="0098092C" w14:paraId="2247B205" w14:textId="77777777">
              <w:trPr>
                <w:jc w:val="center"/>
              </w:trPr>
              <w:tc>
                <w:tcPr>
                  <w:tcW w:w="1146" w:type="dxa"/>
                  <w:tcBorders>
                    <w:top w:val="single" w:sz="4" w:space="0" w:color="auto"/>
                    <w:left w:val="single" w:sz="4" w:space="0" w:color="auto"/>
                    <w:bottom w:val="single" w:sz="4" w:space="0" w:color="auto"/>
                    <w:right w:val="single" w:sz="4" w:space="0" w:color="auto"/>
                  </w:tcBorders>
                  <w:vAlign w:val="center"/>
                </w:tcPr>
                <w:p w14:paraId="27B50C52" w14:textId="77777777" w:rsidR="0098092C" w:rsidRDefault="0030498B">
                  <w:pPr>
                    <w:pStyle w:val="TAC"/>
                    <w:rPr>
                      <w:sz w:val="11"/>
                      <w:lang w:eastAsia="ja-JP"/>
                    </w:rPr>
                  </w:pPr>
                  <w:r>
                    <w:rPr>
                      <w:sz w:val="11"/>
                      <w:lang w:eastAsia="ja-JP"/>
                    </w:rPr>
                    <w:t>candidateRep-G</w:t>
                  </w:r>
                </w:p>
              </w:tc>
              <w:tc>
                <w:tcPr>
                  <w:tcW w:w="1647" w:type="dxa"/>
                  <w:tcBorders>
                    <w:top w:val="single" w:sz="4" w:space="0" w:color="auto"/>
                    <w:left w:val="single" w:sz="4" w:space="0" w:color="auto"/>
                    <w:bottom w:val="single" w:sz="4" w:space="0" w:color="auto"/>
                    <w:right w:val="single" w:sz="4" w:space="0" w:color="auto"/>
                  </w:tcBorders>
                  <w:vAlign w:val="center"/>
                </w:tcPr>
                <w:p w14:paraId="67A65CDC" w14:textId="77777777" w:rsidR="0098092C" w:rsidRDefault="0030498B">
                  <w:pPr>
                    <w:pStyle w:val="TAC"/>
                    <w:rPr>
                      <w:sz w:val="11"/>
                      <w:lang w:eastAsia="ja-JP"/>
                    </w:rPr>
                  </w:pPr>
                  <w:r>
                    <w:rPr>
                      <w:sz w:val="11"/>
                      <w:lang w:eastAsia="ja-JP"/>
                    </w:rPr>
                    <w:t>64</w:t>
                  </w:r>
                </w:p>
              </w:tc>
              <w:tc>
                <w:tcPr>
                  <w:tcW w:w="1647" w:type="dxa"/>
                  <w:tcBorders>
                    <w:top w:val="single" w:sz="4" w:space="0" w:color="auto"/>
                    <w:left w:val="single" w:sz="4" w:space="0" w:color="auto"/>
                    <w:bottom w:val="single" w:sz="4" w:space="0" w:color="auto"/>
                    <w:right w:val="single" w:sz="4" w:space="0" w:color="auto"/>
                  </w:tcBorders>
                  <w:vAlign w:val="center"/>
                </w:tcPr>
                <w:p w14:paraId="7445512A" w14:textId="77777777" w:rsidR="0098092C" w:rsidRDefault="0030498B">
                  <w:pPr>
                    <w:pStyle w:val="TAC"/>
                    <w:rPr>
                      <w:color w:val="FF0000"/>
                      <w:sz w:val="11"/>
                      <w:lang w:eastAsia="ja-JP"/>
                    </w:rPr>
                  </w:pPr>
                  <w:r>
                    <w:rPr>
                      <w:color w:val="FF0000"/>
                      <w:sz w:val="11"/>
                      <w:lang w:eastAsia="ja-JP"/>
                    </w:rPr>
                    <w:t>N/A</w:t>
                  </w:r>
                </w:p>
              </w:tc>
            </w:tr>
            <w:tr w:rsidR="0098092C" w14:paraId="1B1D5781" w14:textId="77777777">
              <w:trPr>
                <w:jc w:val="center"/>
              </w:trPr>
              <w:tc>
                <w:tcPr>
                  <w:tcW w:w="1146" w:type="dxa"/>
                  <w:tcBorders>
                    <w:top w:val="single" w:sz="4" w:space="0" w:color="auto"/>
                    <w:left w:val="single" w:sz="4" w:space="0" w:color="auto"/>
                    <w:bottom w:val="single" w:sz="4" w:space="0" w:color="auto"/>
                    <w:right w:val="single" w:sz="4" w:space="0" w:color="auto"/>
                  </w:tcBorders>
                  <w:vAlign w:val="center"/>
                </w:tcPr>
                <w:p w14:paraId="338523BD" w14:textId="77777777" w:rsidR="0098092C" w:rsidRDefault="0030498B">
                  <w:pPr>
                    <w:pStyle w:val="TAC"/>
                    <w:rPr>
                      <w:color w:val="FF0000"/>
                      <w:sz w:val="11"/>
                      <w:lang w:eastAsia="ja-JP"/>
                    </w:rPr>
                  </w:pPr>
                  <w:r>
                    <w:rPr>
                      <w:color w:val="FF0000"/>
                      <w:sz w:val="11"/>
                      <w:lang w:eastAsia="ja-JP"/>
                    </w:rPr>
                    <w:t>candidateRep-H</w:t>
                  </w:r>
                </w:p>
              </w:tc>
              <w:tc>
                <w:tcPr>
                  <w:tcW w:w="1647" w:type="dxa"/>
                  <w:tcBorders>
                    <w:top w:val="single" w:sz="4" w:space="0" w:color="auto"/>
                    <w:left w:val="single" w:sz="4" w:space="0" w:color="auto"/>
                    <w:bottom w:val="single" w:sz="4" w:space="0" w:color="auto"/>
                    <w:right w:val="single" w:sz="4" w:space="0" w:color="auto"/>
                  </w:tcBorders>
                  <w:vAlign w:val="center"/>
                </w:tcPr>
                <w:p w14:paraId="15B8CCCC" w14:textId="77777777" w:rsidR="0098092C" w:rsidRDefault="0030498B">
                  <w:pPr>
                    <w:pStyle w:val="TAC"/>
                    <w:rPr>
                      <w:color w:val="FF0000"/>
                      <w:sz w:val="11"/>
                      <w:lang w:eastAsia="ja-JP"/>
                    </w:rPr>
                  </w:pPr>
                  <w:r>
                    <w:rPr>
                      <w:color w:val="FF0000"/>
                      <w:sz w:val="11"/>
                      <w:lang w:eastAsia="ja-JP"/>
                    </w:rPr>
                    <w:t>1</w:t>
                  </w:r>
                </w:p>
              </w:tc>
              <w:tc>
                <w:tcPr>
                  <w:tcW w:w="1647" w:type="dxa"/>
                  <w:tcBorders>
                    <w:top w:val="single" w:sz="4" w:space="0" w:color="auto"/>
                    <w:left w:val="single" w:sz="4" w:space="0" w:color="auto"/>
                    <w:bottom w:val="single" w:sz="4" w:space="0" w:color="auto"/>
                    <w:right w:val="single" w:sz="4" w:space="0" w:color="auto"/>
                  </w:tcBorders>
                  <w:vAlign w:val="center"/>
                </w:tcPr>
                <w:p w14:paraId="6D957E5B" w14:textId="77777777" w:rsidR="0098092C" w:rsidRDefault="0030498B">
                  <w:pPr>
                    <w:pStyle w:val="TAC"/>
                    <w:rPr>
                      <w:color w:val="FF0000"/>
                      <w:sz w:val="11"/>
                      <w:lang w:eastAsia="ja-JP"/>
                    </w:rPr>
                  </w:pPr>
                  <w:r>
                    <w:rPr>
                      <w:color w:val="FF0000"/>
                      <w:sz w:val="11"/>
                      <w:lang w:eastAsia="ja-JP"/>
                    </w:rPr>
                    <w:t>QPSK, TBS=0</w:t>
                  </w:r>
                </w:p>
              </w:tc>
            </w:tr>
            <w:tr w:rsidR="0098092C" w14:paraId="0E42715B" w14:textId="77777777">
              <w:trPr>
                <w:jc w:val="center"/>
              </w:trPr>
              <w:tc>
                <w:tcPr>
                  <w:tcW w:w="1146" w:type="dxa"/>
                  <w:tcBorders>
                    <w:top w:val="single" w:sz="4" w:space="0" w:color="auto"/>
                    <w:left w:val="single" w:sz="4" w:space="0" w:color="auto"/>
                    <w:bottom w:val="single" w:sz="4" w:space="0" w:color="auto"/>
                    <w:right w:val="single" w:sz="4" w:space="0" w:color="auto"/>
                  </w:tcBorders>
                  <w:vAlign w:val="center"/>
                </w:tcPr>
                <w:p w14:paraId="4FB2BFD0" w14:textId="77777777" w:rsidR="0098092C" w:rsidRDefault="0030498B">
                  <w:pPr>
                    <w:pStyle w:val="TAC"/>
                    <w:rPr>
                      <w:color w:val="FF0000"/>
                      <w:sz w:val="11"/>
                      <w:lang w:eastAsia="ja-JP"/>
                    </w:rPr>
                  </w:pPr>
                  <w:r>
                    <w:rPr>
                      <w:color w:val="FF0000"/>
                      <w:sz w:val="11"/>
                      <w:lang w:eastAsia="ja-JP"/>
                    </w:rPr>
                    <w:t>candidateRep-I</w:t>
                  </w:r>
                </w:p>
              </w:tc>
              <w:tc>
                <w:tcPr>
                  <w:tcW w:w="1647" w:type="dxa"/>
                  <w:tcBorders>
                    <w:top w:val="single" w:sz="4" w:space="0" w:color="auto"/>
                    <w:left w:val="single" w:sz="4" w:space="0" w:color="auto"/>
                    <w:bottom w:val="single" w:sz="4" w:space="0" w:color="auto"/>
                    <w:right w:val="single" w:sz="4" w:space="0" w:color="auto"/>
                  </w:tcBorders>
                  <w:vAlign w:val="center"/>
                </w:tcPr>
                <w:p w14:paraId="17756123" w14:textId="77777777" w:rsidR="0098092C" w:rsidRDefault="0030498B">
                  <w:pPr>
                    <w:pStyle w:val="TAC"/>
                    <w:rPr>
                      <w:color w:val="FF0000"/>
                      <w:sz w:val="11"/>
                      <w:lang w:eastAsia="ja-JP"/>
                    </w:rPr>
                  </w:pPr>
                  <w:r>
                    <w:rPr>
                      <w:color w:val="FF0000"/>
                      <w:sz w:val="11"/>
                      <w:lang w:eastAsia="ja-JP"/>
                    </w:rPr>
                    <w:t>1</w:t>
                  </w:r>
                </w:p>
              </w:tc>
              <w:tc>
                <w:tcPr>
                  <w:tcW w:w="1647" w:type="dxa"/>
                  <w:tcBorders>
                    <w:top w:val="single" w:sz="4" w:space="0" w:color="auto"/>
                    <w:left w:val="single" w:sz="4" w:space="0" w:color="auto"/>
                    <w:bottom w:val="single" w:sz="4" w:space="0" w:color="auto"/>
                    <w:right w:val="single" w:sz="4" w:space="0" w:color="auto"/>
                  </w:tcBorders>
                  <w:vAlign w:val="center"/>
                </w:tcPr>
                <w:p w14:paraId="0D1C35A3" w14:textId="77777777" w:rsidR="0098092C" w:rsidRDefault="0030498B">
                  <w:pPr>
                    <w:pStyle w:val="TAC"/>
                    <w:rPr>
                      <w:color w:val="FF0000"/>
                      <w:sz w:val="11"/>
                      <w:lang w:eastAsia="ja-JP"/>
                    </w:rPr>
                  </w:pPr>
                  <w:r>
                    <w:rPr>
                      <w:color w:val="FF0000"/>
                      <w:sz w:val="11"/>
                      <w:lang w:eastAsia="ja-JP"/>
                    </w:rPr>
                    <w:t>QPSK, TBS=3</w:t>
                  </w:r>
                </w:p>
              </w:tc>
            </w:tr>
            <w:tr w:rsidR="0098092C" w14:paraId="09C41B53" w14:textId="77777777">
              <w:trPr>
                <w:jc w:val="center"/>
              </w:trPr>
              <w:tc>
                <w:tcPr>
                  <w:tcW w:w="1146" w:type="dxa"/>
                  <w:tcBorders>
                    <w:top w:val="single" w:sz="4" w:space="0" w:color="auto"/>
                    <w:left w:val="single" w:sz="4" w:space="0" w:color="auto"/>
                    <w:bottom w:val="single" w:sz="4" w:space="0" w:color="auto"/>
                    <w:right w:val="single" w:sz="4" w:space="0" w:color="auto"/>
                  </w:tcBorders>
                  <w:vAlign w:val="center"/>
                </w:tcPr>
                <w:p w14:paraId="260359F2" w14:textId="77777777" w:rsidR="0098092C" w:rsidRDefault="0030498B">
                  <w:pPr>
                    <w:pStyle w:val="TAC"/>
                    <w:rPr>
                      <w:color w:val="FF0000"/>
                      <w:sz w:val="11"/>
                      <w:lang w:eastAsia="ja-JP"/>
                    </w:rPr>
                  </w:pPr>
                  <w:r>
                    <w:rPr>
                      <w:color w:val="FF0000"/>
                      <w:sz w:val="11"/>
                      <w:lang w:eastAsia="ja-JP"/>
                    </w:rPr>
                    <w:t>candidateRep-J</w:t>
                  </w:r>
                </w:p>
              </w:tc>
              <w:tc>
                <w:tcPr>
                  <w:tcW w:w="1647" w:type="dxa"/>
                  <w:tcBorders>
                    <w:top w:val="single" w:sz="4" w:space="0" w:color="auto"/>
                    <w:left w:val="single" w:sz="4" w:space="0" w:color="auto"/>
                    <w:bottom w:val="single" w:sz="4" w:space="0" w:color="auto"/>
                    <w:right w:val="single" w:sz="4" w:space="0" w:color="auto"/>
                  </w:tcBorders>
                  <w:vAlign w:val="center"/>
                </w:tcPr>
                <w:p w14:paraId="699E60FE" w14:textId="77777777" w:rsidR="0098092C" w:rsidRDefault="0030498B">
                  <w:pPr>
                    <w:pStyle w:val="TAC"/>
                    <w:rPr>
                      <w:color w:val="FF0000"/>
                      <w:sz w:val="11"/>
                      <w:lang w:eastAsia="ja-JP"/>
                    </w:rPr>
                  </w:pPr>
                  <w:r>
                    <w:rPr>
                      <w:color w:val="FF0000"/>
                      <w:sz w:val="11"/>
                      <w:lang w:eastAsia="ja-JP"/>
                    </w:rPr>
                    <w:t>1</w:t>
                  </w:r>
                </w:p>
              </w:tc>
              <w:tc>
                <w:tcPr>
                  <w:tcW w:w="1647" w:type="dxa"/>
                  <w:tcBorders>
                    <w:top w:val="single" w:sz="4" w:space="0" w:color="auto"/>
                    <w:left w:val="single" w:sz="4" w:space="0" w:color="auto"/>
                    <w:bottom w:val="single" w:sz="4" w:space="0" w:color="auto"/>
                    <w:right w:val="single" w:sz="4" w:space="0" w:color="auto"/>
                  </w:tcBorders>
                  <w:vAlign w:val="center"/>
                </w:tcPr>
                <w:p w14:paraId="7BFBE66F" w14:textId="77777777" w:rsidR="0098092C" w:rsidRDefault="0030498B">
                  <w:pPr>
                    <w:pStyle w:val="TAC"/>
                    <w:rPr>
                      <w:color w:val="FF0000"/>
                      <w:sz w:val="11"/>
                      <w:lang w:eastAsia="ja-JP"/>
                    </w:rPr>
                  </w:pPr>
                  <w:r>
                    <w:rPr>
                      <w:color w:val="FF0000"/>
                      <w:sz w:val="11"/>
                      <w:lang w:eastAsia="ja-JP"/>
                    </w:rPr>
                    <w:t>QPSK, TBS=6</w:t>
                  </w:r>
                </w:p>
              </w:tc>
            </w:tr>
            <w:tr w:rsidR="0098092C" w14:paraId="3198287D" w14:textId="77777777">
              <w:trPr>
                <w:jc w:val="center"/>
              </w:trPr>
              <w:tc>
                <w:tcPr>
                  <w:tcW w:w="1146" w:type="dxa"/>
                  <w:tcBorders>
                    <w:top w:val="single" w:sz="4" w:space="0" w:color="auto"/>
                    <w:left w:val="single" w:sz="4" w:space="0" w:color="auto"/>
                    <w:bottom w:val="single" w:sz="4" w:space="0" w:color="auto"/>
                    <w:right w:val="single" w:sz="4" w:space="0" w:color="auto"/>
                  </w:tcBorders>
                  <w:vAlign w:val="center"/>
                </w:tcPr>
                <w:p w14:paraId="43590150" w14:textId="77777777" w:rsidR="0098092C" w:rsidRDefault="0030498B">
                  <w:pPr>
                    <w:pStyle w:val="TAC"/>
                    <w:rPr>
                      <w:color w:val="FF0000"/>
                      <w:sz w:val="11"/>
                      <w:lang w:eastAsia="ja-JP"/>
                    </w:rPr>
                  </w:pPr>
                  <w:r>
                    <w:rPr>
                      <w:color w:val="FF0000"/>
                      <w:sz w:val="11"/>
                      <w:lang w:eastAsia="ja-JP"/>
                    </w:rPr>
                    <w:t>candidateRep-K</w:t>
                  </w:r>
                </w:p>
              </w:tc>
              <w:tc>
                <w:tcPr>
                  <w:tcW w:w="1647" w:type="dxa"/>
                  <w:tcBorders>
                    <w:top w:val="single" w:sz="4" w:space="0" w:color="auto"/>
                    <w:left w:val="single" w:sz="4" w:space="0" w:color="auto"/>
                    <w:bottom w:val="single" w:sz="4" w:space="0" w:color="auto"/>
                    <w:right w:val="single" w:sz="4" w:space="0" w:color="auto"/>
                  </w:tcBorders>
                  <w:vAlign w:val="center"/>
                </w:tcPr>
                <w:p w14:paraId="489442D0" w14:textId="77777777" w:rsidR="0098092C" w:rsidRDefault="0030498B">
                  <w:pPr>
                    <w:pStyle w:val="TAC"/>
                    <w:rPr>
                      <w:color w:val="FF0000"/>
                      <w:sz w:val="11"/>
                      <w:lang w:eastAsia="ja-JP"/>
                    </w:rPr>
                  </w:pPr>
                  <w:r>
                    <w:rPr>
                      <w:color w:val="FF0000"/>
                      <w:sz w:val="11"/>
                      <w:lang w:eastAsia="ja-JP"/>
                    </w:rPr>
                    <w:t>1</w:t>
                  </w:r>
                </w:p>
              </w:tc>
              <w:tc>
                <w:tcPr>
                  <w:tcW w:w="1647" w:type="dxa"/>
                  <w:tcBorders>
                    <w:top w:val="single" w:sz="4" w:space="0" w:color="auto"/>
                    <w:left w:val="single" w:sz="4" w:space="0" w:color="auto"/>
                    <w:bottom w:val="single" w:sz="4" w:space="0" w:color="auto"/>
                    <w:right w:val="single" w:sz="4" w:space="0" w:color="auto"/>
                  </w:tcBorders>
                  <w:vAlign w:val="center"/>
                </w:tcPr>
                <w:p w14:paraId="7AD3FCDA" w14:textId="77777777" w:rsidR="0098092C" w:rsidRDefault="0030498B">
                  <w:pPr>
                    <w:pStyle w:val="TAC"/>
                    <w:rPr>
                      <w:color w:val="FF0000"/>
                      <w:sz w:val="11"/>
                      <w:lang w:eastAsia="ja-JP"/>
                    </w:rPr>
                  </w:pPr>
                  <w:r>
                    <w:rPr>
                      <w:color w:val="FF0000"/>
                      <w:sz w:val="11"/>
                      <w:lang w:eastAsia="ja-JP"/>
                    </w:rPr>
                    <w:t>QPSK, TBS=9</w:t>
                  </w:r>
                </w:p>
              </w:tc>
            </w:tr>
            <w:tr w:rsidR="0098092C" w14:paraId="649C288A" w14:textId="77777777">
              <w:trPr>
                <w:jc w:val="center"/>
              </w:trPr>
              <w:tc>
                <w:tcPr>
                  <w:tcW w:w="1146" w:type="dxa"/>
                  <w:tcBorders>
                    <w:top w:val="single" w:sz="4" w:space="0" w:color="auto"/>
                    <w:left w:val="single" w:sz="4" w:space="0" w:color="auto"/>
                    <w:bottom w:val="single" w:sz="4" w:space="0" w:color="auto"/>
                    <w:right w:val="single" w:sz="4" w:space="0" w:color="auto"/>
                  </w:tcBorders>
                  <w:vAlign w:val="center"/>
                </w:tcPr>
                <w:p w14:paraId="35560F77" w14:textId="77777777" w:rsidR="0098092C" w:rsidRDefault="0030498B">
                  <w:pPr>
                    <w:pStyle w:val="TAC"/>
                    <w:rPr>
                      <w:color w:val="FF0000"/>
                      <w:sz w:val="11"/>
                      <w:lang w:eastAsia="ja-JP"/>
                    </w:rPr>
                  </w:pPr>
                  <w:r>
                    <w:rPr>
                      <w:color w:val="FF0000"/>
                      <w:sz w:val="11"/>
                      <w:lang w:eastAsia="ja-JP"/>
                    </w:rPr>
                    <w:t>candidateRep-L</w:t>
                  </w:r>
                </w:p>
              </w:tc>
              <w:tc>
                <w:tcPr>
                  <w:tcW w:w="1647" w:type="dxa"/>
                  <w:tcBorders>
                    <w:top w:val="single" w:sz="4" w:space="0" w:color="auto"/>
                    <w:left w:val="single" w:sz="4" w:space="0" w:color="auto"/>
                    <w:bottom w:val="single" w:sz="4" w:space="0" w:color="auto"/>
                    <w:right w:val="single" w:sz="4" w:space="0" w:color="auto"/>
                  </w:tcBorders>
                  <w:vAlign w:val="center"/>
                </w:tcPr>
                <w:p w14:paraId="419C09B8" w14:textId="77777777" w:rsidR="0098092C" w:rsidRDefault="0030498B">
                  <w:pPr>
                    <w:pStyle w:val="TAC"/>
                    <w:rPr>
                      <w:color w:val="FF0000"/>
                      <w:sz w:val="11"/>
                      <w:lang w:eastAsia="ja-JP"/>
                    </w:rPr>
                  </w:pPr>
                  <w:r>
                    <w:rPr>
                      <w:color w:val="FF0000"/>
                      <w:sz w:val="11"/>
                      <w:lang w:eastAsia="ja-JP"/>
                    </w:rPr>
                    <w:t>1</w:t>
                  </w:r>
                </w:p>
              </w:tc>
              <w:tc>
                <w:tcPr>
                  <w:tcW w:w="1647" w:type="dxa"/>
                  <w:tcBorders>
                    <w:top w:val="single" w:sz="4" w:space="0" w:color="auto"/>
                    <w:left w:val="single" w:sz="4" w:space="0" w:color="auto"/>
                    <w:bottom w:val="single" w:sz="4" w:space="0" w:color="auto"/>
                    <w:right w:val="single" w:sz="4" w:space="0" w:color="auto"/>
                  </w:tcBorders>
                  <w:vAlign w:val="center"/>
                </w:tcPr>
                <w:p w14:paraId="1A2DA83F" w14:textId="77777777" w:rsidR="0098092C" w:rsidRDefault="0030498B">
                  <w:pPr>
                    <w:pStyle w:val="TAC"/>
                    <w:rPr>
                      <w:color w:val="FF0000"/>
                      <w:sz w:val="11"/>
                      <w:lang w:eastAsia="ja-JP"/>
                    </w:rPr>
                  </w:pPr>
                  <w:r>
                    <w:rPr>
                      <w:color w:val="FF0000"/>
                      <w:sz w:val="11"/>
                      <w:lang w:eastAsia="ja-JP"/>
                    </w:rPr>
                    <w:t>QPSK, TBS=12</w:t>
                  </w:r>
                </w:p>
              </w:tc>
            </w:tr>
            <w:tr w:rsidR="0098092C" w14:paraId="39C309CE" w14:textId="77777777">
              <w:trPr>
                <w:jc w:val="center"/>
              </w:trPr>
              <w:tc>
                <w:tcPr>
                  <w:tcW w:w="1146" w:type="dxa"/>
                  <w:tcBorders>
                    <w:top w:val="single" w:sz="4" w:space="0" w:color="auto"/>
                    <w:left w:val="single" w:sz="4" w:space="0" w:color="auto"/>
                    <w:bottom w:val="single" w:sz="4" w:space="0" w:color="auto"/>
                    <w:right w:val="single" w:sz="4" w:space="0" w:color="auto"/>
                  </w:tcBorders>
                  <w:vAlign w:val="center"/>
                </w:tcPr>
                <w:p w14:paraId="55CC240D" w14:textId="77777777" w:rsidR="0098092C" w:rsidRDefault="0030498B">
                  <w:pPr>
                    <w:pStyle w:val="TAC"/>
                    <w:rPr>
                      <w:color w:val="FF0000"/>
                      <w:sz w:val="11"/>
                      <w:lang w:eastAsia="ja-JP"/>
                    </w:rPr>
                  </w:pPr>
                  <w:r>
                    <w:rPr>
                      <w:color w:val="FF0000"/>
                      <w:sz w:val="11"/>
                      <w:lang w:eastAsia="ja-JP"/>
                    </w:rPr>
                    <w:t>candidateRep-M</w:t>
                  </w:r>
                </w:p>
              </w:tc>
              <w:tc>
                <w:tcPr>
                  <w:tcW w:w="1647" w:type="dxa"/>
                  <w:tcBorders>
                    <w:top w:val="single" w:sz="4" w:space="0" w:color="auto"/>
                    <w:left w:val="single" w:sz="4" w:space="0" w:color="auto"/>
                    <w:bottom w:val="single" w:sz="4" w:space="0" w:color="auto"/>
                    <w:right w:val="single" w:sz="4" w:space="0" w:color="auto"/>
                  </w:tcBorders>
                  <w:vAlign w:val="center"/>
                </w:tcPr>
                <w:p w14:paraId="138FF279" w14:textId="77777777" w:rsidR="0098092C" w:rsidRDefault="0030498B">
                  <w:pPr>
                    <w:pStyle w:val="TAC"/>
                    <w:rPr>
                      <w:color w:val="FF0000"/>
                      <w:sz w:val="11"/>
                      <w:lang w:eastAsia="ja-JP"/>
                    </w:rPr>
                  </w:pPr>
                  <w:r>
                    <w:rPr>
                      <w:color w:val="FF0000"/>
                      <w:sz w:val="11"/>
                      <w:lang w:eastAsia="ja-JP"/>
                    </w:rPr>
                    <w:t>1</w:t>
                  </w:r>
                </w:p>
              </w:tc>
              <w:tc>
                <w:tcPr>
                  <w:tcW w:w="1647" w:type="dxa"/>
                  <w:tcBorders>
                    <w:top w:val="single" w:sz="4" w:space="0" w:color="auto"/>
                    <w:left w:val="single" w:sz="4" w:space="0" w:color="auto"/>
                    <w:bottom w:val="single" w:sz="4" w:space="0" w:color="auto"/>
                    <w:right w:val="single" w:sz="4" w:space="0" w:color="auto"/>
                  </w:tcBorders>
                </w:tcPr>
                <w:p w14:paraId="1455C714" w14:textId="77777777" w:rsidR="0098092C" w:rsidRDefault="0030498B">
                  <w:pPr>
                    <w:pStyle w:val="TAC"/>
                    <w:rPr>
                      <w:color w:val="FF0000"/>
                      <w:sz w:val="11"/>
                      <w:lang w:eastAsia="ja-JP"/>
                    </w:rPr>
                  </w:pPr>
                  <w:r>
                    <w:rPr>
                      <w:color w:val="FF0000"/>
                      <w:sz w:val="11"/>
                      <w:lang w:eastAsia="ja-JP"/>
                    </w:rPr>
                    <w:t>16-QAM, TBS=15</w:t>
                  </w:r>
                </w:p>
              </w:tc>
            </w:tr>
            <w:tr w:rsidR="0098092C" w14:paraId="4E845B39" w14:textId="77777777">
              <w:trPr>
                <w:jc w:val="center"/>
              </w:trPr>
              <w:tc>
                <w:tcPr>
                  <w:tcW w:w="1146" w:type="dxa"/>
                  <w:tcBorders>
                    <w:top w:val="single" w:sz="4" w:space="0" w:color="auto"/>
                    <w:left w:val="single" w:sz="4" w:space="0" w:color="auto"/>
                    <w:bottom w:val="single" w:sz="4" w:space="0" w:color="auto"/>
                    <w:right w:val="single" w:sz="4" w:space="0" w:color="auto"/>
                  </w:tcBorders>
                  <w:vAlign w:val="center"/>
                </w:tcPr>
                <w:p w14:paraId="0A5BFEE1" w14:textId="77777777" w:rsidR="0098092C" w:rsidRDefault="0030498B">
                  <w:pPr>
                    <w:pStyle w:val="TAC"/>
                    <w:rPr>
                      <w:color w:val="FF0000"/>
                      <w:sz w:val="11"/>
                      <w:lang w:eastAsia="ja-JP"/>
                    </w:rPr>
                  </w:pPr>
                  <w:r>
                    <w:rPr>
                      <w:color w:val="FF0000"/>
                      <w:sz w:val="11"/>
                      <w:lang w:eastAsia="ja-JP"/>
                    </w:rPr>
                    <w:t>candidateRep-N</w:t>
                  </w:r>
                </w:p>
              </w:tc>
              <w:tc>
                <w:tcPr>
                  <w:tcW w:w="1647" w:type="dxa"/>
                  <w:tcBorders>
                    <w:top w:val="single" w:sz="4" w:space="0" w:color="auto"/>
                    <w:left w:val="single" w:sz="4" w:space="0" w:color="auto"/>
                    <w:bottom w:val="single" w:sz="4" w:space="0" w:color="auto"/>
                    <w:right w:val="single" w:sz="4" w:space="0" w:color="auto"/>
                  </w:tcBorders>
                  <w:vAlign w:val="center"/>
                </w:tcPr>
                <w:p w14:paraId="064DA574" w14:textId="77777777" w:rsidR="0098092C" w:rsidRDefault="0030498B">
                  <w:pPr>
                    <w:pStyle w:val="TAC"/>
                    <w:rPr>
                      <w:color w:val="FF0000"/>
                      <w:sz w:val="11"/>
                      <w:lang w:eastAsia="ja-JP"/>
                    </w:rPr>
                  </w:pPr>
                  <w:r>
                    <w:rPr>
                      <w:color w:val="FF0000"/>
                      <w:sz w:val="11"/>
                      <w:lang w:eastAsia="ja-JP"/>
                    </w:rPr>
                    <w:t>1</w:t>
                  </w:r>
                </w:p>
              </w:tc>
              <w:tc>
                <w:tcPr>
                  <w:tcW w:w="1647" w:type="dxa"/>
                  <w:tcBorders>
                    <w:top w:val="single" w:sz="4" w:space="0" w:color="auto"/>
                    <w:left w:val="single" w:sz="4" w:space="0" w:color="auto"/>
                    <w:bottom w:val="single" w:sz="4" w:space="0" w:color="auto"/>
                    <w:right w:val="single" w:sz="4" w:space="0" w:color="auto"/>
                  </w:tcBorders>
                </w:tcPr>
                <w:p w14:paraId="6BD110F4" w14:textId="77777777" w:rsidR="0098092C" w:rsidRDefault="0030498B">
                  <w:pPr>
                    <w:pStyle w:val="TAC"/>
                    <w:rPr>
                      <w:color w:val="FF0000"/>
                      <w:sz w:val="11"/>
                      <w:lang w:eastAsia="ja-JP"/>
                    </w:rPr>
                  </w:pPr>
                  <w:r>
                    <w:rPr>
                      <w:color w:val="FF0000"/>
                      <w:sz w:val="11"/>
                      <w:lang w:eastAsia="ja-JP"/>
                    </w:rPr>
                    <w:t>16-QAM, TBS=18</w:t>
                  </w:r>
                </w:p>
              </w:tc>
            </w:tr>
            <w:tr w:rsidR="0098092C" w14:paraId="533F2E5E" w14:textId="77777777">
              <w:trPr>
                <w:jc w:val="center"/>
              </w:trPr>
              <w:tc>
                <w:tcPr>
                  <w:tcW w:w="1146" w:type="dxa"/>
                  <w:tcBorders>
                    <w:top w:val="single" w:sz="4" w:space="0" w:color="auto"/>
                    <w:left w:val="single" w:sz="4" w:space="0" w:color="auto"/>
                    <w:bottom w:val="single" w:sz="4" w:space="0" w:color="auto"/>
                    <w:right w:val="single" w:sz="4" w:space="0" w:color="auto"/>
                  </w:tcBorders>
                  <w:vAlign w:val="center"/>
                </w:tcPr>
                <w:p w14:paraId="46AC79D7" w14:textId="77777777" w:rsidR="0098092C" w:rsidRDefault="0030498B">
                  <w:pPr>
                    <w:pStyle w:val="TAC"/>
                    <w:rPr>
                      <w:color w:val="FF0000"/>
                      <w:sz w:val="11"/>
                      <w:lang w:eastAsia="ja-JP"/>
                    </w:rPr>
                  </w:pPr>
                  <w:r>
                    <w:rPr>
                      <w:color w:val="FF0000"/>
                      <w:sz w:val="11"/>
                      <w:lang w:eastAsia="ja-JP"/>
                    </w:rPr>
                    <w:t>candidateRep-O</w:t>
                  </w:r>
                </w:p>
              </w:tc>
              <w:tc>
                <w:tcPr>
                  <w:tcW w:w="1647" w:type="dxa"/>
                  <w:tcBorders>
                    <w:top w:val="single" w:sz="4" w:space="0" w:color="auto"/>
                    <w:left w:val="single" w:sz="4" w:space="0" w:color="auto"/>
                    <w:bottom w:val="single" w:sz="4" w:space="0" w:color="auto"/>
                    <w:right w:val="single" w:sz="4" w:space="0" w:color="auto"/>
                  </w:tcBorders>
                  <w:vAlign w:val="center"/>
                </w:tcPr>
                <w:p w14:paraId="61CB08AB" w14:textId="77777777" w:rsidR="0098092C" w:rsidRDefault="0030498B">
                  <w:pPr>
                    <w:pStyle w:val="TAC"/>
                    <w:rPr>
                      <w:color w:val="FF0000"/>
                      <w:sz w:val="11"/>
                      <w:lang w:eastAsia="ja-JP"/>
                    </w:rPr>
                  </w:pPr>
                  <w:r>
                    <w:rPr>
                      <w:color w:val="FF0000"/>
                      <w:sz w:val="11"/>
                      <w:lang w:eastAsia="ja-JP"/>
                    </w:rPr>
                    <w:t>1</w:t>
                  </w:r>
                </w:p>
              </w:tc>
              <w:tc>
                <w:tcPr>
                  <w:tcW w:w="1647" w:type="dxa"/>
                  <w:tcBorders>
                    <w:top w:val="single" w:sz="4" w:space="0" w:color="auto"/>
                    <w:left w:val="single" w:sz="4" w:space="0" w:color="auto"/>
                    <w:bottom w:val="single" w:sz="4" w:space="0" w:color="auto"/>
                    <w:right w:val="single" w:sz="4" w:space="0" w:color="auto"/>
                  </w:tcBorders>
                </w:tcPr>
                <w:p w14:paraId="4518609D" w14:textId="77777777" w:rsidR="0098092C" w:rsidRDefault="0030498B">
                  <w:pPr>
                    <w:pStyle w:val="TAC"/>
                    <w:rPr>
                      <w:color w:val="FF0000"/>
                      <w:sz w:val="11"/>
                      <w:lang w:eastAsia="ja-JP"/>
                    </w:rPr>
                  </w:pPr>
                  <w:r>
                    <w:rPr>
                      <w:color w:val="FF0000"/>
                      <w:sz w:val="11"/>
                      <w:lang w:eastAsia="ja-JP"/>
                    </w:rPr>
                    <w:t>16-QAM, TBS=21</w:t>
                  </w:r>
                </w:p>
              </w:tc>
            </w:tr>
          </w:tbl>
          <w:p w14:paraId="39E2A2FE" w14:textId="77777777" w:rsidR="0098092C" w:rsidRDefault="0030498B">
            <w:pPr>
              <w:rPr>
                <w:lang w:eastAsia="zh-CN"/>
              </w:rPr>
            </w:pPr>
            <w:r>
              <w:rPr>
                <w:lang w:eastAsia="zh-CN"/>
              </w:rPr>
              <w:t>O</w:t>
            </w:r>
            <w:r>
              <w:rPr>
                <w:rFonts w:hint="eastAsia"/>
                <w:lang w:eastAsia="zh-CN"/>
              </w:rPr>
              <w:t>r</w:t>
            </w:r>
          </w:p>
          <w:tbl>
            <w:tblPr>
              <w:tblW w:w="4468" w:type="dxa"/>
              <w:jc w:val="center"/>
              <w:tblLook w:val="04A0" w:firstRow="1" w:lastRow="0" w:firstColumn="1" w:lastColumn="0" w:noHBand="0" w:noVBand="1"/>
            </w:tblPr>
            <w:tblGrid>
              <w:gridCol w:w="1041"/>
              <w:gridCol w:w="1506"/>
              <w:gridCol w:w="840"/>
              <w:gridCol w:w="1081"/>
            </w:tblGrid>
            <w:tr w:rsidR="0098092C" w14:paraId="0024F67E" w14:textId="77777777">
              <w:trPr>
                <w:gridAfter w:val="1"/>
                <w:wAfter w:w="1081" w:type="dxa"/>
                <w:trHeight w:val="297"/>
                <w:jc w:val="center"/>
              </w:trPr>
              <w:tc>
                <w:tcPr>
                  <w:tcW w:w="104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4693B1C1" w14:textId="77777777" w:rsidR="0098092C" w:rsidRDefault="0030498B">
                  <w:pPr>
                    <w:jc w:val="center"/>
                    <w:rPr>
                      <w:color w:val="000000"/>
                      <w:sz w:val="11"/>
                      <w:szCs w:val="11"/>
                      <w:lang w:eastAsia="zh-CN"/>
                    </w:rPr>
                  </w:pPr>
                  <w:r>
                    <w:rPr>
                      <w:color w:val="000000"/>
                      <w:sz w:val="11"/>
                      <w:szCs w:val="11"/>
                      <w:lang w:eastAsia="zh-CN"/>
                    </w:rPr>
                    <w:t xml:space="preserve">　</w:t>
                  </w:r>
                </w:p>
              </w:tc>
              <w:tc>
                <w:tcPr>
                  <w:tcW w:w="150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2B171DE5" w14:textId="77777777" w:rsidR="0098092C" w:rsidRDefault="0030498B">
                  <w:pPr>
                    <w:jc w:val="center"/>
                    <w:rPr>
                      <w:color w:val="000000"/>
                      <w:sz w:val="11"/>
                      <w:szCs w:val="11"/>
                      <w:lang w:eastAsia="zh-CN"/>
                    </w:rPr>
                  </w:pPr>
                  <w:r>
                    <w:rPr>
                      <w:color w:val="000000"/>
                      <w:sz w:val="11"/>
                      <w:szCs w:val="11"/>
                      <w:lang w:eastAsia="zh-CN"/>
                    </w:rPr>
                    <w:t>NPDCCH repetition level</w:t>
                  </w:r>
                </w:p>
              </w:tc>
              <w:tc>
                <w:tcPr>
                  <w:tcW w:w="840" w:type="dxa"/>
                  <w:tcBorders>
                    <w:top w:val="single" w:sz="4" w:space="0" w:color="auto"/>
                    <w:left w:val="nil"/>
                    <w:bottom w:val="single" w:sz="4" w:space="0" w:color="auto"/>
                    <w:right w:val="single" w:sz="4" w:space="0" w:color="auto"/>
                  </w:tcBorders>
                  <w:shd w:val="clear" w:color="auto" w:fill="auto"/>
                  <w:noWrap/>
                  <w:vAlign w:val="center"/>
                </w:tcPr>
                <w:p w14:paraId="30E2996F" w14:textId="77777777" w:rsidR="0098092C" w:rsidRDefault="0030498B">
                  <w:pPr>
                    <w:jc w:val="center"/>
                    <w:rPr>
                      <w:color w:val="000000"/>
                      <w:sz w:val="11"/>
                      <w:szCs w:val="11"/>
                      <w:lang w:eastAsia="zh-CN"/>
                    </w:rPr>
                  </w:pPr>
                  <w:r>
                    <w:rPr>
                      <w:color w:val="000000"/>
                      <w:sz w:val="11"/>
                      <w:szCs w:val="11"/>
                      <w:lang w:eastAsia="zh-CN"/>
                    </w:rPr>
                    <w:t>NPDSCH</w:t>
                  </w:r>
                </w:p>
              </w:tc>
            </w:tr>
            <w:tr w:rsidR="0098092C" w14:paraId="136E1134" w14:textId="77777777">
              <w:trPr>
                <w:trHeight w:val="285"/>
                <w:jc w:val="center"/>
              </w:trPr>
              <w:tc>
                <w:tcPr>
                  <w:tcW w:w="1041" w:type="dxa"/>
                  <w:vMerge/>
                  <w:tcBorders>
                    <w:top w:val="single" w:sz="4" w:space="0" w:color="auto"/>
                    <w:left w:val="single" w:sz="4" w:space="0" w:color="auto"/>
                    <w:bottom w:val="single" w:sz="4" w:space="0" w:color="000000"/>
                    <w:right w:val="single" w:sz="4" w:space="0" w:color="auto"/>
                  </w:tcBorders>
                  <w:vAlign w:val="center"/>
                </w:tcPr>
                <w:p w14:paraId="2510F7F9" w14:textId="77777777" w:rsidR="0098092C" w:rsidRDefault="0098092C">
                  <w:pPr>
                    <w:rPr>
                      <w:color w:val="000000"/>
                      <w:sz w:val="11"/>
                      <w:szCs w:val="11"/>
                      <w:lang w:eastAsia="zh-CN"/>
                    </w:rPr>
                  </w:pPr>
                </w:p>
              </w:tc>
              <w:tc>
                <w:tcPr>
                  <w:tcW w:w="1506" w:type="dxa"/>
                  <w:vMerge/>
                  <w:tcBorders>
                    <w:top w:val="single" w:sz="4" w:space="0" w:color="auto"/>
                    <w:left w:val="single" w:sz="4" w:space="0" w:color="auto"/>
                    <w:bottom w:val="single" w:sz="4" w:space="0" w:color="000000"/>
                    <w:right w:val="single" w:sz="4" w:space="0" w:color="auto"/>
                  </w:tcBorders>
                  <w:vAlign w:val="center"/>
                </w:tcPr>
                <w:p w14:paraId="1705C7C7" w14:textId="77777777" w:rsidR="0098092C" w:rsidRDefault="0098092C">
                  <w:pPr>
                    <w:rPr>
                      <w:color w:val="000000"/>
                      <w:sz w:val="11"/>
                      <w:szCs w:val="11"/>
                      <w:lang w:eastAsia="zh-CN"/>
                    </w:rPr>
                  </w:pPr>
                </w:p>
              </w:tc>
              <w:tc>
                <w:tcPr>
                  <w:tcW w:w="840" w:type="dxa"/>
                  <w:tcBorders>
                    <w:top w:val="nil"/>
                    <w:left w:val="nil"/>
                    <w:bottom w:val="single" w:sz="4" w:space="0" w:color="auto"/>
                    <w:right w:val="single" w:sz="4" w:space="0" w:color="auto"/>
                  </w:tcBorders>
                  <w:shd w:val="clear" w:color="auto" w:fill="auto"/>
                  <w:noWrap/>
                  <w:vAlign w:val="center"/>
                </w:tcPr>
                <w:p w14:paraId="53CDE79F" w14:textId="77777777" w:rsidR="0098092C" w:rsidRDefault="0030498B">
                  <w:pPr>
                    <w:jc w:val="center"/>
                    <w:rPr>
                      <w:color w:val="000000"/>
                      <w:sz w:val="11"/>
                      <w:szCs w:val="11"/>
                      <w:lang w:eastAsia="zh-CN"/>
                    </w:rPr>
                  </w:pPr>
                  <w:r>
                    <w:rPr>
                      <w:color w:val="000000"/>
                      <w:sz w:val="11"/>
                      <w:szCs w:val="11"/>
                      <w:lang w:eastAsia="zh-CN"/>
                    </w:rPr>
                    <w:t>Modulation</w:t>
                  </w:r>
                </w:p>
              </w:tc>
              <w:tc>
                <w:tcPr>
                  <w:tcW w:w="1081" w:type="dxa"/>
                  <w:tcBorders>
                    <w:top w:val="nil"/>
                    <w:left w:val="nil"/>
                    <w:bottom w:val="single" w:sz="4" w:space="0" w:color="auto"/>
                    <w:right w:val="single" w:sz="4" w:space="0" w:color="auto"/>
                  </w:tcBorders>
                  <w:shd w:val="clear" w:color="auto" w:fill="auto"/>
                  <w:noWrap/>
                  <w:vAlign w:val="center"/>
                </w:tcPr>
                <w:p w14:paraId="1D3B9FCC" w14:textId="77777777" w:rsidR="0098092C" w:rsidRDefault="0030498B">
                  <w:pPr>
                    <w:jc w:val="center"/>
                    <w:rPr>
                      <w:color w:val="000000"/>
                      <w:sz w:val="11"/>
                      <w:szCs w:val="11"/>
                      <w:lang w:eastAsia="zh-CN"/>
                    </w:rPr>
                  </w:pPr>
                  <w:r>
                    <w:rPr>
                      <w:color w:val="000000"/>
                      <w:sz w:val="11"/>
                      <w:szCs w:val="11"/>
                      <w:lang w:eastAsia="zh-CN"/>
                    </w:rPr>
                    <w:t>Code rate x 1024</w:t>
                  </w:r>
                </w:p>
              </w:tc>
            </w:tr>
            <w:tr w:rsidR="0098092C" w14:paraId="1C255A3A" w14:textId="77777777">
              <w:trPr>
                <w:trHeight w:val="285"/>
                <w:jc w:val="center"/>
              </w:trPr>
              <w:tc>
                <w:tcPr>
                  <w:tcW w:w="1041" w:type="dxa"/>
                  <w:tcBorders>
                    <w:top w:val="nil"/>
                    <w:left w:val="single" w:sz="4" w:space="0" w:color="auto"/>
                    <w:bottom w:val="single" w:sz="4" w:space="0" w:color="auto"/>
                    <w:right w:val="single" w:sz="4" w:space="0" w:color="auto"/>
                  </w:tcBorders>
                  <w:shd w:val="clear" w:color="auto" w:fill="auto"/>
                  <w:noWrap/>
                  <w:vAlign w:val="center"/>
                </w:tcPr>
                <w:p w14:paraId="0096C54C" w14:textId="77777777" w:rsidR="0098092C" w:rsidRDefault="0030498B">
                  <w:pPr>
                    <w:rPr>
                      <w:color w:val="000000"/>
                      <w:sz w:val="11"/>
                      <w:szCs w:val="11"/>
                      <w:lang w:eastAsia="zh-CN"/>
                    </w:rPr>
                  </w:pPr>
                  <w:r>
                    <w:rPr>
                      <w:color w:val="000000"/>
                      <w:sz w:val="11"/>
                      <w:szCs w:val="11"/>
                      <w:lang w:eastAsia="zh-CN"/>
                    </w:rPr>
                    <w:t>noMeasurement</w:t>
                  </w:r>
                </w:p>
              </w:tc>
              <w:tc>
                <w:tcPr>
                  <w:tcW w:w="1506" w:type="dxa"/>
                  <w:tcBorders>
                    <w:top w:val="nil"/>
                    <w:left w:val="nil"/>
                    <w:bottom w:val="single" w:sz="4" w:space="0" w:color="auto"/>
                    <w:right w:val="single" w:sz="4" w:space="0" w:color="auto"/>
                  </w:tcBorders>
                  <w:shd w:val="clear" w:color="auto" w:fill="auto"/>
                  <w:noWrap/>
                  <w:vAlign w:val="center"/>
                </w:tcPr>
                <w:p w14:paraId="331B9A13" w14:textId="77777777" w:rsidR="0098092C" w:rsidRDefault="0030498B">
                  <w:pPr>
                    <w:jc w:val="center"/>
                    <w:rPr>
                      <w:color w:val="000000"/>
                      <w:sz w:val="11"/>
                      <w:szCs w:val="11"/>
                      <w:lang w:eastAsia="zh-CN"/>
                    </w:rPr>
                  </w:pPr>
                  <w:r>
                    <w:rPr>
                      <w:color w:val="000000"/>
                      <w:sz w:val="11"/>
                      <w:szCs w:val="11"/>
                      <w:lang w:eastAsia="zh-CN"/>
                    </w:rPr>
                    <w:t>No measurement reporting</w:t>
                  </w:r>
                </w:p>
              </w:tc>
              <w:tc>
                <w:tcPr>
                  <w:tcW w:w="840" w:type="dxa"/>
                  <w:tcBorders>
                    <w:top w:val="nil"/>
                    <w:left w:val="nil"/>
                    <w:bottom w:val="single" w:sz="4" w:space="0" w:color="auto"/>
                    <w:right w:val="single" w:sz="4" w:space="0" w:color="auto"/>
                  </w:tcBorders>
                  <w:shd w:val="clear" w:color="auto" w:fill="auto"/>
                  <w:noWrap/>
                  <w:vAlign w:val="center"/>
                </w:tcPr>
                <w:p w14:paraId="44F29DD9" w14:textId="77777777" w:rsidR="0098092C" w:rsidRDefault="0030498B">
                  <w:pPr>
                    <w:jc w:val="center"/>
                    <w:rPr>
                      <w:color w:val="000000"/>
                      <w:sz w:val="11"/>
                      <w:szCs w:val="11"/>
                      <w:lang w:eastAsia="zh-CN"/>
                    </w:rPr>
                  </w:pPr>
                  <w:r>
                    <w:rPr>
                      <w:color w:val="000000"/>
                      <w:sz w:val="11"/>
                      <w:szCs w:val="11"/>
                      <w:lang w:eastAsia="zh-CN"/>
                    </w:rPr>
                    <w:t>N/A</w:t>
                  </w:r>
                </w:p>
              </w:tc>
              <w:tc>
                <w:tcPr>
                  <w:tcW w:w="1081" w:type="dxa"/>
                  <w:tcBorders>
                    <w:top w:val="nil"/>
                    <w:left w:val="nil"/>
                    <w:bottom w:val="single" w:sz="4" w:space="0" w:color="auto"/>
                    <w:right w:val="single" w:sz="4" w:space="0" w:color="auto"/>
                  </w:tcBorders>
                  <w:shd w:val="clear" w:color="auto" w:fill="auto"/>
                  <w:noWrap/>
                  <w:vAlign w:val="center"/>
                </w:tcPr>
                <w:p w14:paraId="2A9E7619" w14:textId="77777777" w:rsidR="0098092C" w:rsidRDefault="0030498B">
                  <w:pPr>
                    <w:jc w:val="center"/>
                    <w:rPr>
                      <w:color w:val="000000"/>
                      <w:sz w:val="11"/>
                      <w:szCs w:val="11"/>
                      <w:lang w:eastAsia="zh-CN"/>
                    </w:rPr>
                  </w:pPr>
                  <w:r>
                    <w:rPr>
                      <w:color w:val="000000"/>
                      <w:sz w:val="11"/>
                      <w:szCs w:val="11"/>
                      <w:lang w:eastAsia="zh-CN"/>
                    </w:rPr>
                    <w:t>N/A</w:t>
                  </w:r>
                </w:p>
              </w:tc>
            </w:tr>
            <w:tr w:rsidR="0098092C" w14:paraId="5ECD2431" w14:textId="77777777">
              <w:trPr>
                <w:trHeight w:val="285"/>
                <w:jc w:val="center"/>
              </w:trPr>
              <w:tc>
                <w:tcPr>
                  <w:tcW w:w="1041" w:type="dxa"/>
                  <w:tcBorders>
                    <w:top w:val="nil"/>
                    <w:left w:val="single" w:sz="4" w:space="0" w:color="auto"/>
                    <w:bottom w:val="single" w:sz="4" w:space="0" w:color="auto"/>
                    <w:right w:val="single" w:sz="4" w:space="0" w:color="auto"/>
                  </w:tcBorders>
                  <w:shd w:val="clear" w:color="auto" w:fill="auto"/>
                  <w:noWrap/>
                  <w:vAlign w:val="center"/>
                </w:tcPr>
                <w:p w14:paraId="60031EF0" w14:textId="77777777" w:rsidR="0098092C" w:rsidRDefault="0030498B">
                  <w:pPr>
                    <w:rPr>
                      <w:color w:val="000000"/>
                      <w:sz w:val="11"/>
                      <w:szCs w:val="11"/>
                      <w:lang w:eastAsia="zh-CN"/>
                    </w:rPr>
                  </w:pPr>
                  <w:r>
                    <w:rPr>
                      <w:color w:val="000000"/>
                      <w:sz w:val="11"/>
                      <w:szCs w:val="11"/>
                      <w:lang w:eastAsia="zh-CN"/>
                    </w:rPr>
                    <w:t>candidateRep-A</w:t>
                  </w:r>
                </w:p>
              </w:tc>
              <w:tc>
                <w:tcPr>
                  <w:tcW w:w="1506" w:type="dxa"/>
                  <w:tcBorders>
                    <w:top w:val="nil"/>
                    <w:left w:val="nil"/>
                    <w:bottom w:val="single" w:sz="4" w:space="0" w:color="auto"/>
                    <w:right w:val="single" w:sz="4" w:space="0" w:color="auto"/>
                  </w:tcBorders>
                  <w:shd w:val="clear" w:color="auto" w:fill="auto"/>
                  <w:noWrap/>
                  <w:vAlign w:val="center"/>
                </w:tcPr>
                <w:p w14:paraId="72C6BC0B" w14:textId="77777777" w:rsidR="0098092C" w:rsidRDefault="0030498B">
                  <w:pPr>
                    <w:jc w:val="center"/>
                    <w:rPr>
                      <w:color w:val="000000"/>
                      <w:sz w:val="11"/>
                      <w:szCs w:val="11"/>
                      <w:lang w:eastAsia="zh-CN"/>
                    </w:rPr>
                  </w:pPr>
                  <w:r>
                    <w:rPr>
                      <w:color w:val="000000"/>
                      <w:sz w:val="11"/>
                      <w:szCs w:val="11"/>
                      <w:lang w:eastAsia="zh-CN"/>
                    </w:rPr>
                    <w:t>1</w:t>
                  </w:r>
                </w:p>
              </w:tc>
              <w:tc>
                <w:tcPr>
                  <w:tcW w:w="840" w:type="dxa"/>
                  <w:tcBorders>
                    <w:top w:val="nil"/>
                    <w:left w:val="nil"/>
                    <w:bottom w:val="single" w:sz="4" w:space="0" w:color="auto"/>
                    <w:right w:val="single" w:sz="4" w:space="0" w:color="auto"/>
                  </w:tcBorders>
                  <w:shd w:val="clear" w:color="auto" w:fill="auto"/>
                  <w:noWrap/>
                  <w:vAlign w:val="center"/>
                </w:tcPr>
                <w:p w14:paraId="4D28F08D" w14:textId="77777777" w:rsidR="0098092C" w:rsidRDefault="0030498B">
                  <w:pPr>
                    <w:jc w:val="center"/>
                    <w:rPr>
                      <w:color w:val="000000"/>
                      <w:sz w:val="11"/>
                      <w:szCs w:val="11"/>
                      <w:lang w:eastAsia="zh-CN"/>
                    </w:rPr>
                  </w:pPr>
                  <w:r>
                    <w:rPr>
                      <w:color w:val="000000"/>
                      <w:sz w:val="11"/>
                      <w:szCs w:val="11"/>
                      <w:lang w:eastAsia="zh-CN"/>
                    </w:rPr>
                    <w:t>N/A</w:t>
                  </w:r>
                </w:p>
              </w:tc>
              <w:tc>
                <w:tcPr>
                  <w:tcW w:w="1081" w:type="dxa"/>
                  <w:tcBorders>
                    <w:top w:val="nil"/>
                    <w:left w:val="nil"/>
                    <w:bottom w:val="single" w:sz="4" w:space="0" w:color="auto"/>
                    <w:right w:val="single" w:sz="4" w:space="0" w:color="auto"/>
                  </w:tcBorders>
                  <w:shd w:val="clear" w:color="auto" w:fill="auto"/>
                  <w:noWrap/>
                  <w:vAlign w:val="center"/>
                </w:tcPr>
                <w:p w14:paraId="36A1231F" w14:textId="77777777" w:rsidR="0098092C" w:rsidRDefault="0030498B">
                  <w:pPr>
                    <w:jc w:val="center"/>
                    <w:rPr>
                      <w:color w:val="000000"/>
                      <w:sz w:val="11"/>
                      <w:szCs w:val="11"/>
                      <w:lang w:eastAsia="zh-CN"/>
                    </w:rPr>
                  </w:pPr>
                  <w:r>
                    <w:rPr>
                      <w:color w:val="000000"/>
                      <w:sz w:val="11"/>
                      <w:szCs w:val="11"/>
                      <w:lang w:eastAsia="zh-CN"/>
                    </w:rPr>
                    <w:t>N/A</w:t>
                  </w:r>
                </w:p>
              </w:tc>
            </w:tr>
            <w:tr w:rsidR="0098092C" w14:paraId="79D28037" w14:textId="77777777">
              <w:trPr>
                <w:trHeight w:val="285"/>
                <w:jc w:val="center"/>
              </w:trPr>
              <w:tc>
                <w:tcPr>
                  <w:tcW w:w="1041" w:type="dxa"/>
                  <w:tcBorders>
                    <w:top w:val="nil"/>
                    <w:left w:val="single" w:sz="4" w:space="0" w:color="auto"/>
                    <w:bottom w:val="single" w:sz="4" w:space="0" w:color="auto"/>
                    <w:right w:val="single" w:sz="4" w:space="0" w:color="auto"/>
                  </w:tcBorders>
                  <w:shd w:val="clear" w:color="auto" w:fill="auto"/>
                  <w:noWrap/>
                  <w:vAlign w:val="center"/>
                </w:tcPr>
                <w:p w14:paraId="7EF25406" w14:textId="77777777" w:rsidR="0098092C" w:rsidRDefault="0030498B">
                  <w:pPr>
                    <w:rPr>
                      <w:color w:val="000000"/>
                      <w:sz w:val="11"/>
                      <w:szCs w:val="11"/>
                      <w:lang w:eastAsia="zh-CN"/>
                    </w:rPr>
                  </w:pPr>
                  <w:r>
                    <w:rPr>
                      <w:color w:val="000000"/>
                      <w:sz w:val="11"/>
                      <w:szCs w:val="11"/>
                      <w:lang w:eastAsia="zh-CN"/>
                    </w:rPr>
                    <w:t>candidateRep-B</w:t>
                  </w:r>
                </w:p>
              </w:tc>
              <w:tc>
                <w:tcPr>
                  <w:tcW w:w="1506" w:type="dxa"/>
                  <w:tcBorders>
                    <w:top w:val="nil"/>
                    <w:left w:val="nil"/>
                    <w:bottom w:val="single" w:sz="4" w:space="0" w:color="auto"/>
                    <w:right w:val="single" w:sz="4" w:space="0" w:color="auto"/>
                  </w:tcBorders>
                  <w:shd w:val="clear" w:color="auto" w:fill="auto"/>
                  <w:noWrap/>
                  <w:vAlign w:val="center"/>
                </w:tcPr>
                <w:p w14:paraId="318E5D6C" w14:textId="77777777" w:rsidR="0098092C" w:rsidRDefault="0030498B">
                  <w:pPr>
                    <w:jc w:val="center"/>
                    <w:rPr>
                      <w:color w:val="000000"/>
                      <w:sz w:val="11"/>
                      <w:szCs w:val="11"/>
                      <w:lang w:eastAsia="zh-CN"/>
                    </w:rPr>
                  </w:pPr>
                  <w:r>
                    <w:rPr>
                      <w:color w:val="000000"/>
                      <w:sz w:val="11"/>
                      <w:szCs w:val="11"/>
                      <w:lang w:eastAsia="zh-CN"/>
                    </w:rPr>
                    <w:t>2</w:t>
                  </w:r>
                </w:p>
              </w:tc>
              <w:tc>
                <w:tcPr>
                  <w:tcW w:w="840" w:type="dxa"/>
                  <w:tcBorders>
                    <w:top w:val="nil"/>
                    <w:left w:val="nil"/>
                    <w:bottom w:val="single" w:sz="4" w:space="0" w:color="auto"/>
                    <w:right w:val="single" w:sz="4" w:space="0" w:color="auto"/>
                  </w:tcBorders>
                  <w:shd w:val="clear" w:color="auto" w:fill="auto"/>
                  <w:noWrap/>
                  <w:vAlign w:val="center"/>
                </w:tcPr>
                <w:p w14:paraId="3DA2B9CC" w14:textId="77777777" w:rsidR="0098092C" w:rsidRDefault="0030498B">
                  <w:pPr>
                    <w:jc w:val="center"/>
                    <w:rPr>
                      <w:color w:val="000000"/>
                      <w:sz w:val="11"/>
                      <w:szCs w:val="11"/>
                      <w:lang w:eastAsia="zh-CN"/>
                    </w:rPr>
                  </w:pPr>
                  <w:r>
                    <w:rPr>
                      <w:color w:val="000000"/>
                      <w:sz w:val="11"/>
                      <w:szCs w:val="11"/>
                      <w:lang w:eastAsia="zh-CN"/>
                    </w:rPr>
                    <w:t>N/A</w:t>
                  </w:r>
                </w:p>
              </w:tc>
              <w:tc>
                <w:tcPr>
                  <w:tcW w:w="1081" w:type="dxa"/>
                  <w:tcBorders>
                    <w:top w:val="nil"/>
                    <w:left w:val="nil"/>
                    <w:bottom w:val="single" w:sz="4" w:space="0" w:color="auto"/>
                    <w:right w:val="single" w:sz="4" w:space="0" w:color="auto"/>
                  </w:tcBorders>
                  <w:shd w:val="clear" w:color="auto" w:fill="auto"/>
                  <w:noWrap/>
                  <w:vAlign w:val="center"/>
                </w:tcPr>
                <w:p w14:paraId="26BE9E7A" w14:textId="77777777" w:rsidR="0098092C" w:rsidRDefault="0030498B">
                  <w:pPr>
                    <w:jc w:val="center"/>
                    <w:rPr>
                      <w:color w:val="000000"/>
                      <w:sz w:val="11"/>
                      <w:szCs w:val="11"/>
                      <w:lang w:eastAsia="zh-CN"/>
                    </w:rPr>
                  </w:pPr>
                  <w:r>
                    <w:rPr>
                      <w:color w:val="000000"/>
                      <w:sz w:val="11"/>
                      <w:szCs w:val="11"/>
                      <w:lang w:eastAsia="zh-CN"/>
                    </w:rPr>
                    <w:t>N/A</w:t>
                  </w:r>
                </w:p>
              </w:tc>
            </w:tr>
            <w:tr w:rsidR="0098092C" w14:paraId="3BC86AF4" w14:textId="77777777">
              <w:trPr>
                <w:trHeight w:val="285"/>
                <w:jc w:val="center"/>
              </w:trPr>
              <w:tc>
                <w:tcPr>
                  <w:tcW w:w="1041" w:type="dxa"/>
                  <w:tcBorders>
                    <w:top w:val="nil"/>
                    <w:left w:val="single" w:sz="4" w:space="0" w:color="auto"/>
                    <w:bottom w:val="single" w:sz="4" w:space="0" w:color="auto"/>
                    <w:right w:val="single" w:sz="4" w:space="0" w:color="auto"/>
                  </w:tcBorders>
                  <w:shd w:val="clear" w:color="auto" w:fill="auto"/>
                  <w:noWrap/>
                  <w:vAlign w:val="center"/>
                </w:tcPr>
                <w:p w14:paraId="1B8DAC47" w14:textId="77777777" w:rsidR="0098092C" w:rsidRDefault="0030498B">
                  <w:pPr>
                    <w:rPr>
                      <w:color w:val="000000"/>
                      <w:sz w:val="11"/>
                      <w:szCs w:val="11"/>
                      <w:lang w:eastAsia="zh-CN"/>
                    </w:rPr>
                  </w:pPr>
                  <w:r>
                    <w:rPr>
                      <w:color w:val="000000"/>
                      <w:sz w:val="11"/>
                      <w:szCs w:val="11"/>
                      <w:lang w:eastAsia="zh-CN"/>
                    </w:rPr>
                    <w:t>candidateRep-C</w:t>
                  </w:r>
                </w:p>
              </w:tc>
              <w:tc>
                <w:tcPr>
                  <w:tcW w:w="1506" w:type="dxa"/>
                  <w:tcBorders>
                    <w:top w:val="nil"/>
                    <w:left w:val="nil"/>
                    <w:bottom w:val="single" w:sz="4" w:space="0" w:color="auto"/>
                    <w:right w:val="single" w:sz="4" w:space="0" w:color="auto"/>
                  </w:tcBorders>
                  <w:shd w:val="clear" w:color="auto" w:fill="auto"/>
                  <w:noWrap/>
                  <w:vAlign w:val="center"/>
                </w:tcPr>
                <w:p w14:paraId="2516E1A8" w14:textId="77777777" w:rsidR="0098092C" w:rsidRDefault="0030498B">
                  <w:pPr>
                    <w:jc w:val="center"/>
                    <w:rPr>
                      <w:color w:val="000000"/>
                      <w:sz w:val="11"/>
                      <w:szCs w:val="11"/>
                      <w:lang w:eastAsia="zh-CN"/>
                    </w:rPr>
                  </w:pPr>
                  <w:r>
                    <w:rPr>
                      <w:color w:val="000000"/>
                      <w:sz w:val="11"/>
                      <w:szCs w:val="11"/>
                      <w:lang w:eastAsia="zh-CN"/>
                    </w:rPr>
                    <w:t>4</w:t>
                  </w:r>
                </w:p>
              </w:tc>
              <w:tc>
                <w:tcPr>
                  <w:tcW w:w="840" w:type="dxa"/>
                  <w:tcBorders>
                    <w:top w:val="nil"/>
                    <w:left w:val="nil"/>
                    <w:bottom w:val="single" w:sz="4" w:space="0" w:color="auto"/>
                    <w:right w:val="single" w:sz="4" w:space="0" w:color="auto"/>
                  </w:tcBorders>
                  <w:shd w:val="clear" w:color="auto" w:fill="auto"/>
                  <w:noWrap/>
                  <w:vAlign w:val="center"/>
                </w:tcPr>
                <w:p w14:paraId="79DBB6E8" w14:textId="77777777" w:rsidR="0098092C" w:rsidRDefault="0030498B">
                  <w:pPr>
                    <w:jc w:val="center"/>
                    <w:rPr>
                      <w:color w:val="000000"/>
                      <w:sz w:val="11"/>
                      <w:szCs w:val="11"/>
                      <w:lang w:eastAsia="zh-CN"/>
                    </w:rPr>
                  </w:pPr>
                  <w:r>
                    <w:rPr>
                      <w:color w:val="000000"/>
                      <w:sz w:val="11"/>
                      <w:szCs w:val="11"/>
                      <w:lang w:eastAsia="zh-CN"/>
                    </w:rPr>
                    <w:t>N/A</w:t>
                  </w:r>
                </w:p>
              </w:tc>
              <w:tc>
                <w:tcPr>
                  <w:tcW w:w="1081" w:type="dxa"/>
                  <w:tcBorders>
                    <w:top w:val="nil"/>
                    <w:left w:val="nil"/>
                    <w:bottom w:val="single" w:sz="4" w:space="0" w:color="auto"/>
                    <w:right w:val="single" w:sz="4" w:space="0" w:color="auto"/>
                  </w:tcBorders>
                  <w:shd w:val="clear" w:color="auto" w:fill="auto"/>
                  <w:noWrap/>
                  <w:vAlign w:val="center"/>
                </w:tcPr>
                <w:p w14:paraId="7D04CA0E" w14:textId="77777777" w:rsidR="0098092C" w:rsidRDefault="0030498B">
                  <w:pPr>
                    <w:jc w:val="center"/>
                    <w:rPr>
                      <w:color w:val="000000"/>
                      <w:sz w:val="11"/>
                      <w:szCs w:val="11"/>
                      <w:lang w:eastAsia="zh-CN"/>
                    </w:rPr>
                  </w:pPr>
                  <w:r>
                    <w:rPr>
                      <w:color w:val="000000"/>
                      <w:sz w:val="11"/>
                      <w:szCs w:val="11"/>
                      <w:lang w:eastAsia="zh-CN"/>
                    </w:rPr>
                    <w:t>N/A</w:t>
                  </w:r>
                </w:p>
              </w:tc>
            </w:tr>
            <w:tr w:rsidR="0098092C" w14:paraId="66584E46" w14:textId="77777777">
              <w:trPr>
                <w:trHeight w:val="285"/>
                <w:jc w:val="center"/>
              </w:trPr>
              <w:tc>
                <w:tcPr>
                  <w:tcW w:w="1041" w:type="dxa"/>
                  <w:tcBorders>
                    <w:top w:val="nil"/>
                    <w:left w:val="single" w:sz="4" w:space="0" w:color="auto"/>
                    <w:bottom w:val="single" w:sz="4" w:space="0" w:color="auto"/>
                    <w:right w:val="single" w:sz="4" w:space="0" w:color="auto"/>
                  </w:tcBorders>
                  <w:shd w:val="clear" w:color="auto" w:fill="auto"/>
                  <w:noWrap/>
                  <w:vAlign w:val="center"/>
                </w:tcPr>
                <w:p w14:paraId="12BBF3D3" w14:textId="77777777" w:rsidR="0098092C" w:rsidRDefault="0030498B">
                  <w:pPr>
                    <w:rPr>
                      <w:color w:val="000000"/>
                      <w:sz w:val="11"/>
                      <w:szCs w:val="11"/>
                      <w:lang w:eastAsia="zh-CN"/>
                    </w:rPr>
                  </w:pPr>
                  <w:r>
                    <w:rPr>
                      <w:color w:val="000000"/>
                      <w:sz w:val="11"/>
                      <w:szCs w:val="11"/>
                      <w:lang w:eastAsia="zh-CN"/>
                    </w:rPr>
                    <w:t>candidateRep-D</w:t>
                  </w:r>
                </w:p>
              </w:tc>
              <w:tc>
                <w:tcPr>
                  <w:tcW w:w="1506" w:type="dxa"/>
                  <w:tcBorders>
                    <w:top w:val="nil"/>
                    <w:left w:val="nil"/>
                    <w:bottom w:val="single" w:sz="4" w:space="0" w:color="auto"/>
                    <w:right w:val="single" w:sz="4" w:space="0" w:color="auto"/>
                  </w:tcBorders>
                  <w:shd w:val="clear" w:color="auto" w:fill="auto"/>
                  <w:noWrap/>
                  <w:vAlign w:val="center"/>
                </w:tcPr>
                <w:p w14:paraId="4F85AFAE" w14:textId="77777777" w:rsidR="0098092C" w:rsidRDefault="0030498B">
                  <w:pPr>
                    <w:jc w:val="center"/>
                    <w:rPr>
                      <w:color w:val="000000"/>
                      <w:sz w:val="11"/>
                      <w:szCs w:val="11"/>
                      <w:lang w:eastAsia="zh-CN"/>
                    </w:rPr>
                  </w:pPr>
                  <w:r>
                    <w:rPr>
                      <w:color w:val="000000"/>
                      <w:sz w:val="11"/>
                      <w:szCs w:val="11"/>
                      <w:lang w:eastAsia="zh-CN"/>
                    </w:rPr>
                    <w:t>8</w:t>
                  </w:r>
                </w:p>
              </w:tc>
              <w:tc>
                <w:tcPr>
                  <w:tcW w:w="840" w:type="dxa"/>
                  <w:tcBorders>
                    <w:top w:val="nil"/>
                    <w:left w:val="nil"/>
                    <w:bottom w:val="single" w:sz="4" w:space="0" w:color="auto"/>
                    <w:right w:val="single" w:sz="4" w:space="0" w:color="auto"/>
                  </w:tcBorders>
                  <w:shd w:val="clear" w:color="auto" w:fill="auto"/>
                  <w:noWrap/>
                  <w:vAlign w:val="center"/>
                </w:tcPr>
                <w:p w14:paraId="56B191BB" w14:textId="77777777" w:rsidR="0098092C" w:rsidRDefault="0030498B">
                  <w:pPr>
                    <w:jc w:val="center"/>
                    <w:rPr>
                      <w:color w:val="000000"/>
                      <w:sz w:val="11"/>
                      <w:szCs w:val="11"/>
                      <w:lang w:eastAsia="zh-CN"/>
                    </w:rPr>
                  </w:pPr>
                  <w:r>
                    <w:rPr>
                      <w:color w:val="000000"/>
                      <w:sz w:val="11"/>
                      <w:szCs w:val="11"/>
                      <w:lang w:eastAsia="zh-CN"/>
                    </w:rPr>
                    <w:t>N/A</w:t>
                  </w:r>
                </w:p>
              </w:tc>
              <w:tc>
                <w:tcPr>
                  <w:tcW w:w="1081" w:type="dxa"/>
                  <w:tcBorders>
                    <w:top w:val="nil"/>
                    <w:left w:val="nil"/>
                    <w:bottom w:val="single" w:sz="4" w:space="0" w:color="auto"/>
                    <w:right w:val="single" w:sz="4" w:space="0" w:color="auto"/>
                  </w:tcBorders>
                  <w:shd w:val="clear" w:color="auto" w:fill="auto"/>
                  <w:noWrap/>
                  <w:vAlign w:val="center"/>
                </w:tcPr>
                <w:p w14:paraId="7530A5DF" w14:textId="77777777" w:rsidR="0098092C" w:rsidRDefault="0030498B">
                  <w:pPr>
                    <w:jc w:val="center"/>
                    <w:rPr>
                      <w:color w:val="000000"/>
                      <w:sz w:val="11"/>
                      <w:szCs w:val="11"/>
                      <w:lang w:eastAsia="zh-CN"/>
                    </w:rPr>
                  </w:pPr>
                  <w:r>
                    <w:rPr>
                      <w:color w:val="000000"/>
                      <w:sz w:val="11"/>
                      <w:szCs w:val="11"/>
                      <w:lang w:eastAsia="zh-CN"/>
                    </w:rPr>
                    <w:t>N/A</w:t>
                  </w:r>
                </w:p>
              </w:tc>
            </w:tr>
            <w:tr w:rsidR="0098092C" w14:paraId="1197F2D9" w14:textId="77777777">
              <w:trPr>
                <w:trHeight w:val="285"/>
                <w:jc w:val="center"/>
              </w:trPr>
              <w:tc>
                <w:tcPr>
                  <w:tcW w:w="1041" w:type="dxa"/>
                  <w:tcBorders>
                    <w:top w:val="nil"/>
                    <w:left w:val="single" w:sz="4" w:space="0" w:color="auto"/>
                    <w:bottom w:val="single" w:sz="4" w:space="0" w:color="auto"/>
                    <w:right w:val="single" w:sz="4" w:space="0" w:color="auto"/>
                  </w:tcBorders>
                  <w:shd w:val="clear" w:color="auto" w:fill="auto"/>
                  <w:noWrap/>
                  <w:vAlign w:val="center"/>
                </w:tcPr>
                <w:p w14:paraId="64BFD3C8" w14:textId="77777777" w:rsidR="0098092C" w:rsidRDefault="0030498B">
                  <w:pPr>
                    <w:rPr>
                      <w:color w:val="000000"/>
                      <w:sz w:val="11"/>
                      <w:szCs w:val="11"/>
                      <w:lang w:eastAsia="zh-CN"/>
                    </w:rPr>
                  </w:pPr>
                  <w:r>
                    <w:rPr>
                      <w:color w:val="000000"/>
                      <w:sz w:val="11"/>
                      <w:szCs w:val="11"/>
                      <w:lang w:eastAsia="zh-CN"/>
                    </w:rPr>
                    <w:t>candidateRep-E</w:t>
                  </w:r>
                </w:p>
              </w:tc>
              <w:tc>
                <w:tcPr>
                  <w:tcW w:w="1506" w:type="dxa"/>
                  <w:tcBorders>
                    <w:top w:val="nil"/>
                    <w:left w:val="nil"/>
                    <w:bottom w:val="single" w:sz="4" w:space="0" w:color="auto"/>
                    <w:right w:val="single" w:sz="4" w:space="0" w:color="auto"/>
                  </w:tcBorders>
                  <w:shd w:val="clear" w:color="auto" w:fill="auto"/>
                  <w:noWrap/>
                  <w:vAlign w:val="center"/>
                </w:tcPr>
                <w:p w14:paraId="2E2C7F44" w14:textId="77777777" w:rsidR="0098092C" w:rsidRDefault="0030498B">
                  <w:pPr>
                    <w:jc w:val="center"/>
                    <w:rPr>
                      <w:color w:val="000000"/>
                      <w:sz w:val="11"/>
                      <w:szCs w:val="11"/>
                      <w:lang w:eastAsia="zh-CN"/>
                    </w:rPr>
                  </w:pPr>
                  <w:r>
                    <w:rPr>
                      <w:color w:val="000000"/>
                      <w:sz w:val="11"/>
                      <w:szCs w:val="11"/>
                      <w:lang w:eastAsia="zh-CN"/>
                    </w:rPr>
                    <w:t>16</w:t>
                  </w:r>
                </w:p>
              </w:tc>
              <w:tc>
                <w:tcPr>
                  <w:tcW w:w="840" w:type="dxa"/>
                  <w:tcBorders>
                    <w:top w:val="nil"/>
                    <w:left w:val="nil"/>
                    <w:bottom w:val="single" w:sz="4" w:space="0" w:color="auto"/>
                    <w:right w:val="single" w:sz="4" w:space="0" w:color="auto"/>
                  </w:tcBorders>
                  <w:shd w:val="clear" w:color="auto" w:fill="auto"/>
                  <w:noWrap/>
                  <w:vAlign w:val="center"/>
                </w:tcPr>
                <w:p w14:paraId="7C1B24D9" w14:textId="77777777" w:rsidR="0098092C" w:rsidRDefault="0030498B">
                  <w:pPr>
                    <w:jc w:val="center"/>
                    <w:rPr>
                      <w:color w:val="000000"/>
                      <w:sz w:val="11"/>
                      <w:szCs w:val="11"/>
                      <w:lang w:eastAsia="zh-CN"/>
                    </w:rPr>
                  </w:pPr>
                  <w:r>
                    <w:rPr>
                      <w:color w:val="000000"/>
                      <w:sz w:val="11"/>
                      <w:szCs w:val="11"/>
                      <w:lang w:eastAsia="zh-CN"/>
                    </w:rPr>
                    <w:t>N/A</w:t>
                  </w:r>
                </w:p>
              </w:tc>
              <w:tc>
                <w:tcPr>
                  <w:tcW w:w="1081" w:type="dxa"/>
                  <w:tcBorders>
                    <w:top w:val="nil"/>
                    <w:left w:val="nil"/>
                    <w:bottom w:val="single" w:sz="4" w:space="0" w:color="auto"/>
                    <w:right w:val="single" w:sz="4" w:space="0" w:color="auto"/>
                  </w:tcBorders>
                  <w:shd w:val="clear" w:color="auto" w:fill="auto"/>
                  <w:noWrap/>
                  <w:vAlign w:val="center"/>
                </w:tcPr>
                <w:p w14:paraId="38618E2C" w14:textId="77777777" w:rsidR="0098092C" w:rsidRDefault="0030498B">
                  <w:pPr>
                    <w:jc w:val="center"/>
                    <w:rPr>
                      <w:color w:val="000000"/>
                      <w:sz w:val="11"/>
                      <w:szCs w:val="11"/>
                      <w:lang w:eastAsia="zh-CN"/>
                    </w:rPr>
                  </w:pPr>
                  <w:r>
                    <w:rPr>
                      <w:color w:val="000000"/>
                      <w:sz w:val="11"/>
                      <w:szCs w:val="11"/>
                      <w:lang w:eastAsia="zh-CN"/>
                    </w:rPr>
                    <w:t>N/A</w:t>
                  </w:r>
                </w:p>
              </w:tc>
            </w:tr>
            <w:tr w:rsidR="0098092C" w14:paraId="016AF98C" w14:textId="77777777">
              <w:trPr>
                <w:trHeight w:val="285"/>
                <w:jc w:val="center"/>
              </w:trPr>
              <w:tc>
                <w:tcPr>
                  <w:tcW w:w="1041" w:type="dxa"/>
                  <w:tcBorders>
                    <w:top w:val="nil"/>
                    <w:left w:val="single" w:sz="4" w:space="0" w:color="auto"/>
                    <w:bottom w:val="single" w:sz="4" w:space="0" w:color="auto"/>
                    <w:right w:val="single" w:sz="4" w:space="0" w:color="auto"/>
                  </w:tcBorders>
                  <w:shd w:val="clear" w:color="auto" w:fill="auto"/>
                  <w:noWrap/>
                  <w:vAlign w:val="center"/>
                </w:tcPr>
                <w:p w14:paraId="0D4C1F8A" w14:textId="77777777" w:rsidR="0098092C" w:rsidRDefault="0030498B">
                  <w:pPr>
                    <w:rPr>
                      <w:color w:val="000000"/>
                      <w:sz w:val="11"/>
                      <w:szCs w:val="11"/>
                      <w:lang w:eastAsia="zh-CN"/>
                    </w:rPr>
                  </w:pPr>
                  <w:r>
                    <w:rPr>
                      <w:color w:val="000000"/>
                      <w:sz w:val="11"/>
                      <w:szCs w:val="11"/>
                      <w:lang w:eastAsia="zh-CN"/>
                    </w:rPr>
                    <w:t>candidateRep-F</w:t>
                  </w:r>
                </w:p>
              </w:tc>
              <w:tc>
                <w:tcPr>
                  <w:tcW w:w="1506" w:type="dxa"/>
                  <w:tcBorders>
                    <w:top w:val="nil"/>
                    <w:left w:val="nil"/>
                    <w:bottom w:val="single" w:sz="4" w:space="0" w:color="auto"/>
                    <w:right w:val="single" w:sz="4" w:space="0" w:color="auto"/>
                  </w:tcBorders>
                  <w:shd w:val="clear" w:color="auto" w:fill="auto"/>
                  <w:noWrap/>
                  <w:vAlign w:val="center"/>
                </w:tcPr>
                <w:p w14:paraId="3C62A728" w14:textId="77777777" w:rsidR="0098092C" w:rsidRDefault="0030498B">
                  <w:pPr>
                    <w:jc w:val="center"/>
                    <w:rPr>
                      <w:color w:val="000000"/>
                      <w:sz w:val="11"/>
                      <w:szCs w:val="11"/>
                      <w:lang w:eastAsia="zh-CN"/>
                    </w:rPr>
                  </w:pPr>
                  <w:r>
                    <w:rPr>
                      <w:color w:val="000000"/>
                      <w:sz w:val="11"/>
                      <w:szCs w:val="11"/>
                      <w:lang w:eastAsia="zh-CN"/>
                    </w:rPr>
                    <w:t>32</w:t>
                  </w:r>
                </w:p>
              </w:tc>
              <w:tc>
                <w:tcPr>
                  <w:tcW w:w="840" w:type="dxa"/>
                  <w:tcBorders>
                    <w:top w:val="nil"/>
                    <w:left w:val="nil"/>
                    <w:bottom w:val="single" w:sz="4" w:space="0" w:color="auto"/>
                    <w:right w:val="single" w:sz="4" w:space="0" w:color="auto"/>
                  </w:tcBorders>
                  <w:shd w:val="clear" w:color="auto" w:fill="auto"/>
                  <w:noWrap/>
                  <w:vAlign w:val="center"/>
                </w:tcPr>
                <w:p w14:paraId="2FB381F3" w14:textId="77777777" w:rsidR="0098092C" w:rsidRDefault="0030498B">
                  <w:pPr>
                    <w:jc w:val="center"/>
                    <w:rPr>
                      <w:color w:val="000000"/>
                      <w:sz w:val="11"/>
                      <w:szCs w:val="11"/>
                      <w:lang w:eastAsia="zh-CN"/>
                    </w:rPr>
                  </w:pPr>
                  <w:r>
                    <w:rPr>
                      <w:color w:val="000000"/>
                      <w:sz w:val="11"/>
                      <w:szCs w:val="11"/>
                      <w:lang w:eastAsia="zh-CN"/>
                    </w:rPr>
                    <w:t>N/A</w:t>
                  </w:r>
                </w:p>
              </w:tc>
              <w:tc>
                <w:tcPr>
                  <w:tcW w:w="1081" w:type="dxa"/>
                  <w:tcBorders>
                    <w:top w:val="nil"/>
                    <w:left w:val="nil"/>
                    <w:bottom w:val="single" w:sz="4" w:space="0" w:color="auto"/>
                    <w:right w:val="single" w:sz="4" w:space="0" w:color="auto"/>
                  </w:tcBorders>
                  <w:shd w:val="clear" w:color="auto" w:fill="auto"/>
                  <w:noWrap/>
                  <w:vAlign w:val="center"/>
                </w:tcPr>
                <w:p w14:paraId="148D07A5" w14:textId="77777777" w:rsidR="0098092C" w:rsidRDefault="0030498B">
                  <w:pPr>
                    <w:jc w:val="center"/>
                    <w:rPr>
                      <w:color w:val="000000"/>
                      <w:sz w:val="11"/>
                      <w:szCs w:val="11"/>
                      <w:lang w:eastAsia="zh-CN"/>
                    </w:rPr>
                  </w:pPr>
                  <w:r>
                    <w:rPr>
                      <w:color w:val="000000"/>
                      <w:sz w:val="11"/>
                      <w:szCs w:val="11"/>
                      <w:lang w:eastAsia="zh-CN"/>
                    </w:rPr>
                    <w:t>N/A</w:t>
                  </w:r>
                </w:p>
              </w:tc>
            </w:tr>
            <w:tr w:rsidR="0098092C" w14:paraId="53E622D2" w14:textId="77777777">
              <w:trPr>
                <w:trHeight w:val="285"/>
                <w:jc w:val="center"/>
              </w:trPr>
              <w:tc>
                <w:tcPr>
                  <w:tcW w:w="1041" w:type="dxa"/>
                  <w:tcBorders>
                    <w:top w:val="nil"/>
                    <w:left w:val="single" w:sz="4" w:space="0" w:color="auto"/>
                    <w:bottom w:val="single" w:sz="4" w:space="0" w:color="auto"/>
                    <w:right w:val="single" w:sz="4" w:space="0" w:color="auto"/>
                  </w:tcBorders>
                  <w:shd w:val="clear" w:color="auto" w:fill="auto"/>
                  <w:noWrap/>
                  <w:vAlign w:val="center"/>
                </w:tcPr>
                <w:p w14:paraId="7FF41099" w14:textId="77777777" w:rsidR="0098092C" w:rsidRDefault="0030498B">
                  <w:pPr>
                    <w:rPr>
                      <w:color w:val="000000"/>
                      <w:sz w:val="11"/>
                      <w:szCs w:val="11"/>
                      <w:lang w:eastAsia="zh-CN"/>
                    </w:rPr>
                  </w:pPr>
                  <w:r>
                    <w:rPr>
                      <w:color w:val="000000"/>
                      <w:sz w:val="11"/>
                      <w:szCs w:val="11"/>
                      <w:lang w:eastAsia="zh-CN"/>
                    </w:rPr>
                    <w:lastRenderedPageBreak/>
                    <w:t>candidateRep-G</w:t>
                  </w:r>
                </w:p>
              </w:tc>
              <w:tc>
                <w:tcPr>
                  <w:tcW w:w="1506" w:type="dxa"/>
                  <w:tcBorders>
                    <w:top w:val="nil"/>
                    <w:left w:val="nil"/>
                    <w:bottom w:val="single" w:sz="4" w:space="0" w:color="auto"/>
                    <w:right w:val="single" w:sz="4" w:space="0" w:color="auto"/>
                  </w:tcBorders>
                  <w:shd w:val="clear" w:color="auto" w:fill="auto"/>
                  <w:noWrap/>
                  <w:vAlign w:val="center"/>
                </w:tcPr>
                <w:p w14:paraId="512DCC3F" w14:textId="77777777" w:rsidR="0098092C" w:rsidRDefault="0030498B">
                  <w:pPr>
                    <w:jc w:val="center"/>
                    <w:rPr>
                      <w:color w:val="000000"/>
                      <w:sz w:val="11"/>
                      <w:szCs w:val="11"/>
                      <w:lang w:eastAsia="zh-CN"/>
                    </w:rPr>
                  </w:pPr>
                  <w:r>
                    <w:rPr>
                      <w:color w:val="000000"/>
                      <w:sz w:val="11"/>
                      <w:szCs w:val="11"/>
                      <w:lang w:eastAsia="zh-CN"/>
                    </w:rPr>
                    <w:t>64</w:t>
                  </w:r>
                </w:p>
              </w:tc>
              <w:tc>
                <w:tcPr>
                  <w:tcW w:w="840" w:type="dxa"/>
                  <w:tcBorders>
                    <w:top w:val="nil"/>
                    <w:left w:val="nil"/>
                    <w:bottom w:val="single" w:sz="4" w:space="0" w:color="auto"/>
                    <w:right w:val="single" w:sz="4" w:space="0" w:color="auto"/>
                  </w:tcBorders>
                  <w:shd w:val="clear" w:color="auto" w:fill="auto"/>
                  <w:noWrap/>
                  <w:vAlign w:val="center"/>
                </w:tcPr>
                <w:p w14:paraId="65016C45" w14:textId="77777777" w:rsidR="0098092C" w:rsidRDefault="0030498B">
                  <w:pPr>
                    <w:jc w:val="center"/>
                    <w:rPr>
                      <w:color w:val="000000"/>
                      <w:sz w:val="11"/>
                      <w:szCs w:val="11"/>
                      <w:lang w:eastAsia="zh-CN"/>
                    </w:rPr>
                  </w:pPr>
                  <w:r>
                    <w:rPr>
                      <w:color w:val="000000"/>
                      <w:sz w:val="11"/>
                      <w:szCs w:val="11"/>
                      <w:lang w:eastAsia="zh-CN"/>
                    </w:rPr>
                    <w:t>N/A</w:t>
                  </w:r>
                </w:p>
              </w:tc>
              <w:tc>
                <w:tcPr>
                  <w:tcW w:w="1081" w:type="dxa"/>
                  <w:tcBorders>
                    <w:top w:val="nil"/>
                    <w:left w:val="nil"/>
                    <w:bottom w:val="single" w:sz="4" w:space="0" w:color="auto"/>
                    <w:right w:val="single" w:sz="4" w:space="0" w:color="auto"/>
                  </w:tcBorders>
                  <w:shd w:val="clear" w:color="auto" w:fill="auto"/>
                  <w:noWrap/>
                  <w:vAlign w:val="center"/>
                </w:tcPr>
                <w:p w14:paraId="02A375AD" w14:textId="77777777" w:rsidR="0098092C" w:rsidRDefault="0030498B">
                  <w:pPr>
                    <w:jc w:val="center"/>
                    <w:rPr>
                      <w:color w:val="000000"/>
                      <w:sz w:val="11"/>
                      <w:szCs w:val="11"/>
                      <w:lang w:eastAsia="zh-CN"/>
                    </w:rPr>
                  </w:pPr>
                  <w:r>
                    <w:rPr>
                      <w:color w:val="000000"/>
                      <w:sz w:val="11"/>
                      <w:szCs w:val="11"/>
                      <w:lang w:eastAsia="zh-CN"/>
                    </w:rPr>
                    <w:t>N/A</w:t>
                  </w:r>
                </w:p>
              </w:tc>
            </w:tr>
            <w:tr w:rsidR="0098092C" w14:paraId="5FCD2B39" w14:textId="77777777">
              <w:trPr>
                <w:trHeight w:val="285"/>
                <w:jc w:val="center"/>
              </w:trPr>
              <w:tc>
                <w:tcPr>
                  <w:tcW w:w="1041" w:type="dxa"/>
                  <w:tcBorders>
                    <w:top w:val="nil"/>
                    <w:left w:val="single" w:sz="4" w:space="0" w:color="auto"/>
                    <w:bottom w:val="single" w:sz="4" w:space="0" w:color="auto"/>
                    <w:right w:val="single" w:sz="4" w:space="0" w:color="auto"/>
                  </w:tcBorders>
                  <w:shd w:val="clear" w:color="auto" w:fill="auto"/>
                  <w:noWrap/>
                  <w:vAlign w:val="center"/>
                </w:tcPr>
                <w:p w14:paraId="3ED2BC3E" w14:textId="77777777" w:rsidR="0098092C" w:rsidRDefault="0030498B">
                  <w:pPr>
                    <w:rPr>
                      <w:color w:val="000000"/>
                      <w:sz w:val="11"/>
                      <w:szCs w:val="11"/>
                      <w:lang w:eastAsia="zh-CN"/>
                    </w:rPr>
                  </w:pPr>
                  <w:r>
                    <w:rPr>
                      <w:color w:val="000000"/>
                      <w:sz w:val="11"/>
                      <w:szCs w:val="11"/>
                      <w:lang w:eastAsia="zh-CN"/>
                    </w:rPr>
                    <w:t>candidateRep-H</w:t>
                  </w:r>
                </w:p>
              </w:tc>
              <w:tc>
                <w:tcPr>
                  <w:tcW w:w="1506" w:type="dxa"/>
                  <w:tcBorders>
                    <w:top w:val="nil"/>
                    <w:left w:val="nil"/>
                    <w:bottom w:val="single" w:sz="4" w:space="0" w:color="auto"/>
                    <w:right w:val="single" w:sz="4" w:space="0" w:color="auto"/>
                  </w:tcBorders>
                  <w:shd w:val="clear" w:color="auto" w:fill="auto"/>
                  <w:noWrap/>
                  <w:vAlign w:val="center"/>
                </w:tcPr>
                <w:p w14:paraId="358C5ADC" w14:textId="77777777" w:rsidR="0098092C" w:rsidRDefault="0030498B">
                  <w:pPr>
                    <w:jc w:val="center"/>
                    <w:rPr>
                      <w:color w:val="000000"/>
                      <w:sz w:val="11"/>
                      <w:szCs w:val="11"/>
                      <w:lang w:eastAsia="zh-CN"/>
                    </w:rPr>
                  </w:pPr>
                  <w:r>
                    <w:rPr>
                      <w:color w:val="000000"/>
                      <w:sz w:val="11"/>
                      <w:szCs w:val="11"/>
                      <w:lang w:eastAsia="zh-CN"/>
                    </w:rPr>
                    <w:t>128</w:t>
                  </w:r>
                </w:p>
              </w:tc>
              <w:tc>
                <w:tcPr>
                  <w:tcW w:w="840" w:type="dxa"/>
                  <w:tcBorders>
                    <w:top w:val="nil"/>
                    <w:left w:val="nil"/>
                    <w:bottom w:val="single" w:sz="4" w:space="0" w:color="auto"/>
                    <w:right w:val="single" w:sz="4" w:space="0" w:color="auto"/>
                  </w:tcBorders>
                  <w:shd w:val="clear" w:color="auto" w:fill="auto"/>
                  <w:noWrap/>
                  <w:vAlign w:val="center"/>
                </w:tcPr>
                <w:p w14:paraId="64867692" w14:textId="77777777" w:rsidR="0098092C" w:rsidRDefault="0030498B">
                  <w:pPr>
                    <w:jc w:val="center"/>
                    <w:rPr>
                      <w:color w:val="000000"/>
                      <w:sz w:val="11"/>
                      <w:szCs w:val="11"/>
                      <w:lang w:eastAsia="zh-CN"/>
                    </w:rPr>
                  </w:pPr>
                  <w:r>
                    <w:rPr>
                      <w:color w:val="000000"/>
                      <w:sz w:val="11"/>
                      <w:szCs w:val="11"/>
                      <w:lang w:eastAsia="zh-CN"/>
                    </w:rPr>
                    <w:t>N/A</w:t>
                  </w:r>
                </w:p>
              </w:tc>
              <w:tc>
                <w:tcPr>
                  <w:tcW w:w="1081" w:type="dxa"/>
                  <w:tcBorders>
                    <w:top w:val="nil"/>
                    <w:left w:val="nil"/>
                    <w:bottom w:val="single" w:sz="4" w:space="0" w:color="auto"/>
                    <w:right w:val="single" w:sz="4" w:space="0" w:color="auto"/>
                  </w:tcBorders>
                  <w:shd w:val="clear" w:color="auto" w:fill="auto"/>
                  <w:noWrap/>
                  <w:vAlign w:val="center"/>
                </w:tcPr>
                <w:p w14:paraId="157FB847" w14:textId="77777777" w:rsidR="0098092C" w:rsidRDefault="0030498B">
                  <w:pPr>
                    <w:jc w:val="center"/>
                    <w:rPr>
                      <w:color w:val="000000"/>
                      <w:sz w:val="11"/>
                      <w:szCs w:val="11"/>
                      <w:lang w:eastAsia="zh-CN"/>
                    </w:rPr>
                  </w:pPr>
                  <w:r>
                    <w:rPr>
                      <w:color w:val="000000"/>
                      <w:sz w:val="11"/>
                      <w:szCs w:val="11"/>
                      <w:lang w:eastAsia="zh-CN"/>
                    </w:rPr>
                    <w:t>N/A</w:t>
                  </w:r>
                </w:p>
              </w:tc>
            </w:tr>
            <w:tr w:rsidR="0098092C" w14:paraId="1D5B46F1" w14:textId="77777777">
              <w:trPr>
                <w:trHeight w:val="285"/>
                <w:jc w:val="center"/>
              </w:trPr>
              <w:tc>
                <w:tcPr>
                  <w:tcW w:w="1041" w:type="dxa"/>
                  <w:tcBorders>
                    <w:top w:val="nil"/>
                    <w:left w:val="single" w:sz="4" w:space="0" w:color="auto"/>
                    <w:bottom w:val="single" w:sz="4" w:space="0" w:color="auto"/>
                    <w:right w:val="single" w:sz="4" w:space="0" w:color="auto"/>
                  </w:tcBorders>
                  <w:shd w:val="clear" w:color="auto" w:fill="auto"/>
                  <w:noWrap/>
                  <w:vAlign w:val="center"/>
                </w:tcPr>
                <w:p w14:paraId="5D0002B8" w14:textId="77777777" w:rsidR="0098092C" w:rsidRDefault="0030498B">
                  <w:pPr>
                    <w:rPr>
                      <w:color w:val="FF0000"/>
                      <w:sz w:val="11"/>
                      <w:szCs w:val="11"/>
                      <w:lang w:eastAsia="zh-CN"/>
                    </w:rPr>
                  </w:pPr>
                  <w:r>
                    <w:rPr>
                      <w:color w:val="000000"/>
                      <w:sz w:val="11"/>
                      <w:szCs w:val="11"/>
                      <w:lang w:eastAsia="zh-CN"/>
                    </w:rPr>
                    <w:t>candidate-M</w:t>
                  </w:r>
                </w:p>
              </w:tc>
              <w:tc>
                <w:tcPr>
                  <w:tcW w:w="1506" w:type="dxa"/>
                  <w:tcBorders>
                    <w:top w:val="nil"/>
                    <w:left w:val="nil"/>
                    <w:bottom w:val="single" w:sz="4" w:space="0" w:color="auto"/>
                    <w:right w:val="single" w:sz="4" w:space="0" w:color="auto"/>
                  </w:tcBorders>
                  <w:shd w:val="clear" w:color="auto" w:fill="auto"/>
                  <w:noWrap/>
                  <w:vAlign w:val="center"/>
                </w:tcPr>
                <w:p w14:paraId="647544F4" w14:textId="77777777" w:rsidR="0098092C" w:rsidRDefault="0030498B">
                  <w:pPr>
                    <w:jc w:val="center"/>
                    <w:rPr>
                      <w:color w:val="FF0000"/>
                      <w:sz w:val="11"/>
                      <w:szCs w:val="11"/>
                      <w:lang w:eastAsia="zh-CN"/>
                    </w:rPr>
                  </w:pPr>
                  <w:r>
                    <w:rPr>
                      <w:color w:val="000000"/>
                      <w:sz w:val="11"/>
                      <w:szCs w:val="11"/>
                      <w:lang w:eastAsia="zh-CN"/>
                    </w:rPr>
                    <w:t>N/A</w:t>
                  </w:r>
                </w:p>
              </w:tc>
              <w:tc>
                <w:tcPr>
                  <w:tcW w:w="840" w:type="dxa"/>
                  <w:tcBorders>
                    <w:top w:val="nil"/>
                    <w:left w:val="nil"/>
                    <w:bottom w:val="single" w:sz="4" w:space="0" w:color="auto"/>
                    <w:right w:val="single" w:sz="4" w:space="0" w:color="auto"/>
                  </w:tcBorders>
                  <w:shd w:val="clear" w:color="auto" w:fill="auto"/>
                  <w:noWrap/>
                  <w:vAlign w:val="center"/>
                </w:tcPr>
                <w:p w14:paraId="01E32501" w14:textId="77777777" w:rsidR="0098092C" w:rsidRDefault="0030498B">
                  <w:pPr>
                    <w:jc w:val="center"/>
                    <w:rPr>
                      <w:color w:val="FF0000"/>
                      <w:sz w:val="11"/>
                      <w:szCs w:val="11"/>
                      <w:lang w:eastAsia="zh-CN"/>
                    </w:rPr>
                  </w:pPr>
                  <w:r>
                    <w:rPr>
                      <w:color w:val="000000"/>
                      <w:sz w:val="11"/>
                      <w:szCs w:val="11"/>
                      <w:lang w:eastAsia="zh-CN"/>
                    </w:rPr>
                    <w:t>16QAM</w:t>
                  </w:r>
                </w:p>
              </w:tc>
              <w:tc>
                <w:tcPr>
                  <w:tcW w:w="1081" w:type="dxa"/>
                  <w:tcBorders>
                    <w:top w:val="nil"/>
                    <w:left w:val="nil"/>
                    <w:bottom w:val="single" w:sz="4" w:space="0" w:color="auto"/>
                    <w:right w:val="single" w:sz="4" w:space="0" w:color="auto"/>
                  </w:tcBorders>
                  <w:shd w:val="clear" w:color="auto" w:fill="auto"/>
                  <w:noWrap/>
                  <w:vAlign w:val="center"/>
                </w:tcPr>
                <w:p w14:paraId="020F3B1C" w14:textId="77777777" w:rsidR="0098092C" w:rsidRDefault="0030498B">
                  <w:pPr>
                    <w:jc w:val="center"/>
                    <w:rPr>
                      <w:color w:val="FF0000"/>
                      <w:sz w:val="11"/>
                      <w:szCs w:val="11"/>
                      <w:lang w:eastAsia="zh-CN"/>
                    </w:rPr>
                  </w:pPr>
                  <w:r>
                    <w:rPr>
                      <w:color w:val="000000"/>
                      <w:sz w:val="11"/>
                      <w:szCs w:val="11"/>
                      <w:lang w:eastAsia="zh-CN"/>
                    </w:rPr>
                    <w:t>[</w:t>
                  </w:r>
                  <w:r>
                    <w:rPr>
                      <w:rFonts w:hint="eastAsia"/>
                      <w:color w:val="000000"/>
                      <w:sz w:val="11"/>
                      <w:szCs w:val="11"/>
                      <w:lang w:eastAsia="zh-CN"/>
                    </w:rPr>
                    <w:t>429</w:t>
                  </w:r>
                  <w:r>
                    <w:rPr>
                      <w:color w:val="000000"/>
                      <w:sz w:val="11"/>
                      <w:szCs w:val="11"/>
                      <w:lang w:eastAsia="zh-CN"/>
                    </w:rPr>
                    <w:t>]</w:t>
                  </w:r>
                </w:p>
              </w:tc>
            </w:tr>
            <w:tr w:rsidR="0098092C" w14:paraId="14A75097" w14:textId="77777777">
              <w:trPr>
                <w:trHeight w:val="285"/>
                <w:jc w:val="center"/>
              </w:trPr>
              <w:tc>
                <w:tcPr>
                  <w:tcW w:w="1041" w:type="dxa"/>
                  <w:tcBorders>
                    <w:top w:val="nil"/>
                    <w:left w:val="single" w:sz="4" w:space="0" w:color="auto"/>
                    <w:bottom w:val="single" w:sz="4" w:space="0" w:color="auto"/>
                    <w:right w:val="single" w:sz="4" w:space="0" w:color="auto"/>
                  </w:tcBorders>
                  <w:shd w:val="clear" w:color="auto" w:fill="auto"/>
                  <w:noWrap/>
                  <w:vAlign w:val="center"/>
                </w:tcPr>
                <w:p w14:paraId="51BD44A4" w14:textId="77777777" w:rsidR="0098092C" w:rsidRDefault="0030498B">
                  <w:pPr>
                    <w:rPr>
                      <w:color w:val="FF0000"/>
                      <w:sz w:val="11"/>
                      <w:szCs w:val="11"/>
                      <w:lang w:eastAsia="zh-CN"/>
                    </w:rPr>
                  </w:pPr>
                  <w:r>
                    <w:rPr>
                      <w:color w:val="000000"/>
                      <w:sz w:val="11"/>
                      <w:szCs w:val="11"/>
                      <w:lang w:eastAsia="zh-CN"/>
                    </w:rPr>
                    <w:t>candidate-N</w:t>
                  </w:r>
                </w:p>
              </w:tc>
              <w:tc>
                <w:tcPr>
                  <w:tcW w:w="1506" w:type="dxa"/>
                  <w:tcBorders>
                    <w:top w:val="nil"/>
                    <w:left w:val="nil"/>
                    <w:bottom w:val="single" w:sz="4" w:space="0" w:color="auto"/>
                    <w:right w:val="single" w:sz="4" w:space="0" w:color="auto"/>
                  </w:tcBorders>
                  <w:shd w:val="clear" w:color="auto" w:fill="auto"/>
                  <w:noWrap/>
                  <w:vAlign w:val="center"/>
                </w:tcPr>
                <w:p w14:paraId="64FF2982" w14:textId="77777777" w:rsidR="0098092C" w:rsidRDefault="0030498B">
                  <w:pPr>
                    <w:jc w:val="center"/>
                    <w:rPr>
                      <w:color w:val="FF0000"/>
                      <w:sz w:val="11"/>
                      <w:szCs w:val="11"/>
                      <w:lang w:eastAsia="zh-CN"/>
                    </w:rPr>
                  </w:pPr>
                  <w:r>
                    <w:rPr>
                      <w:color w:val="000000"/>
                      <w:sz w:val="11"/>
                      <w:szCs w:val="11"/>
                      <w:lang w:eastAsia="zh-CN"/>
                    </w:rPr>
                    <w:t>N/A</w:t>
                  </w:r>
                </w:p>
              </w:tc>
              <w:tc>
                <w:tcPr>
                  <w:tcW w:w="840" w:type="dxa"/>
                  <w:tcBorders>
                    <w:top w:val="nil"/>
                    <w:left w:val="nil"/>
                    <w:bottom w:val="single" w:sz="4" w:space="0" w:color="auto"/>
                    <w:right w:val="single" w:sz="4" w:space="0" w:color="auto"/>
                  </w:tcBorders>
                  <w:shd w:val="clear" w:color="auto" w:fill="auto"/>
                  <w:noWrap/>
                  <w:vAlign w:val="center"/>
                </w:tcPr>
                <w:p w14:paraId="2BE84994" w14:textId="77777777" w:rsidR="0098092C" w:rsidRDefault="0030498B">
                  <w:pPr>
                    <w:jc w:val="center"/>
                    <w:rPr>
                      <w:color w:val="FF0000"/>
                      <w:sz w:val="11"/>
                      <w:szCs w:val="11"/>
                      <w:lang w:eastAsia="zh-CN"/>
                    </w:rPr>
                  </w:pPr>
                  <w:r>
                    <w:rPr>
                      <w:color w:val="000000"/>
                      <w:sz w:val="11"/>
                      <w:szCs w:val="11"/>
                      <w:lang w:eastAsia="zh-CN"/>
                    </w:rPr>
                    <w:t>16QAM</w:t>
                  </w:r>
                </w:p>
              </w:tc>
              <w:tc>
                <w:tcPr>
                  <w:tcW w:w="1081" w:type="dxa"/>
                  <w:tcBorders>
                    <w:top w:val="nil"/>
                    <w:left w:val="nil"/>
                    <w:bottom w:val="single" w:sz="4" w:space="0" w:color="auto"/>
                    <w:right w:val="single" w:sz="4" w:space="0" w:color="auto"/>
                  </w:tcBorders>
                  <w:shd w:val="clear" w:color="auto" w:fill="auto"/>
                  <w:noWrap/>
                  <w:vAlign w:val="center"/>
                </w:tcPr>
                <w:p w14:paraId="095B7515" w14:textId="77777777" w:rsidR="0098092C" w:rsidRDefault="0030498B">
                  <w:pPr>
                    <w:jc w:val="center"/>
                    <w:rPr>
                      <w:color w:val="FF0000"/>
                      <w:sz w:val="11"/>
                      <w:szCs w:val="11"/>
                      <w:lang w:eastAsia="zh-CN"/>
                    </w:rPr>
                  </w:pPr>
                  <w:r>
                    <w:rPr>
                      <w:color w:val="000000"/>
                      <w:sz w:val="11"/>
                      <w:szCs w:val="11"/>
                      <w:lang w:eastAsia="zh-CN"/>
                    </w:rPr>
                    <w:t>[</w:t>
                  </w:r>
                  <w:r>
                    <w:rPr>
                      <w:rFonts w:hint="eastAsia"/>
                      <w:color w:val="000000"/>
                      <w:sz w:val="11"/>
                      <w:szCs w:val="11"/>
                      <w:lang w:eastAsia="zh-CN"/>
                    </w:rPr>
                    <w:t>499</w:t>
                  </w:r>
                  <w:r>
                    <w:rPr>
                      <w:color w:val="000000"/>
                      <w:sz w:val="11"/>
                      <w:szCs w:val="11"/>
                      <w:lang w:eastAsia="zh-CN"/>
                    </w:rPr>
                    <w:t>]</w:t>
                  </w:r>
                </w:p>
              </w:tc>
            </w:tr>
            <w:tr w:rsidR="0098092C" w14:paraId="6DA1D6A9" w14:textId="77777777">
              <w:trPr>
                <w:trHeight w:val="285"/>
                <w:jc w:val="center"/>
              </w:trPr>
              <w:tc>
                <w:tcPr>
                  <w:tcW w:w="1041" w:type="dxa"/>
                  <w:tcBorders>
                    <w:top w:val="nil"/>
                    <w:left w:val="single" w:sz="4" w:space="0" w:color="auto"/>
                    <w:bottom w:val="single" w:sz="4" w:space="0" w:color="auto"/>
                    <w:right w:val="single" w:sz="4" w:space="0" w:color="auto"/>
                  </w:tcBorders>
                  <w:shd w:val="clear" w:color="auto" w:fill="auto"/>
                  <w:noWrap/>
                  <w:vAlign w:val="center"/>
                </w:tcPr>
                <w:p w14:paraId="71CB7FE7" w14:textId="77777777" w:rsidR="0098092C" w:rsidRDefault="0030498B">
                  <w:pPr>
                    <w:rPr>
                      <w:color w:val="FF0000"/>
                      <w:sz w:val="11"/>
                      <w:szCs w:val="11"/>
                      <w:lang w:eastAsia="zh-CN"/>
                    </w:rPr>
                  </w:pPr>
                  <w:r>
                    <w:rPr>
                      <w:color w:val="000000"/>
                      <w:sz w:val="11"/>
                      <w:szCs w:val="11"/>
                      <w:lang w:eastAsia="zh-CN"/>
                    </w:rPr>
                    <w:t>candidate-O</w:t>
                  </w:r>
                </w:p>
              </w:tc>
              <w:tc>
                <w:tcPr>
                  <w:tcW w:w="1506" w:type="dxa"/>
                  <w:tcBorders>
                    <w:top w:val="nil"/>
                    <w:left w:val="nil"/>
                    <w:bottom w:val="single" w:sz="4" w:space="0" w:color="auto"/>
                    <w:right w:val="single" w:sz="4" w:space="0" w:color="auto"/>
                  </w:tcBorders>
                  <w:shd w:val="clear" w:color="auto" w:fill="auto"/>
                  <w:noWrap/>
                  <w:vAlign w:val="center"/>
                </w:tcPr>
                <w:p w14:paraId="26F6B2F6" w14:textId="77777777" w:rsidR="0098092C" w:rsidRDefault="0030498B">
                  <w:pPr>
                    <w:jc w:val="center"/>
                    <w:rPr>
                      <w:color w:val="FF0000"/>
                      <w:sz w:val="11"/>
                      <w:szCs w:val="11"/>
                      <w:lang w:eastAsia="zh-CN"/>
                    </w:rPr>
                  </w:pPr>
                  <w:r>
                    <w:rPr>
                      <w:color w:val="000000"/>
                      <w:sz w:val="11"/>
                      <w:szCs w:val="11"/>
                      <w:lang w:eastAsia="zh-CN"/>
                    </w:rPr>
                    <w:t>N/A</w:t>
                  </w:r>
                </w:p>
              </w:tc>
              <w:tc>
                <w:tcPr>
                  <w:tcW w:w="840" w:type="dxa"/>
                  <w:tcBorders>
                    <w:top w:val="nil"/>
                    <w:left w:val="nil"/>
                    <w:bottom w:val="single" w:sz="4" w:space="0" w:color="auto"/>
                    <w:right w:val="single" w:sz="4" w:space="0" w:color="auto"/>
                  </w:tcBorders>
                  <w:shd w:val="clear" w:color="auto" w:fill="auto"/>
                  <w:noWrap/>
                  <w:vAlign w:val="center"/>
                </w:tcPr>
                <w:p w14:paraId="613C4C86" w14:textId="77777777" w:rsidR="0098092C" w:rsidRDefault="0030498B">
                  <w:pPr>
                    <w:jc w:val="center"/>
                    <w:rPr>
                      <w:color w:val="FF0000"/>
                      <w:sz w:val="11"/>
                      <w:szCs w:val="11"/>
                      <w:lang w:eastAsia="zh-CN"/>
                    </w:rPr>
                  </w:pPr>
                  <w:r>
                    <w:rPr>
                      <w:color w:val="000000"/>
                      <w:sz w:val="11"/>
                      <w:szCs w:val="11"/>
                      <w:lang w:eastAsia="zh-CN"/>
                    </w:rPr>
                    <w:t>16QAM</w:t>
                  </w:r>
                </w:p>
              </w:tc>
              <w:tc>
                <w:tcPr>
                  <w:tcW w:w="1081" w:type="dxa"/>
                  <w:tcBorders>
                    <w:top w:val="nil"/>
                    <w:left w:val="nil"/>
                    <w:bottom w:val="single" w:sz="4" w:space="0" w:color="auto"/>
                    <w:right w:val="single" w:sz="4" w:space="0" w:color="auto"/>
                  </w:tcBorders>
                  <w:shd w:val="clear" w:color="auto" w:fill="auto"/>
                  <w:noWrap/>
                  <w:vAlign w:val="center"/>
                </w:tcPr>
                <w:p w14:paraId="6150A39E" w14:textId="77777777" w:rsidR="0098092C" w:rsidRDefault="0030498B">
                  <w:pPr>
                    <w:jc w:val="center"/>
                    <w:rPr>
                      <w:color w:val="FF0000"/>
                      <w:sz w:val="11"/>
                      <w:szCs w:val="11"/>
                      <w:lang w:eastAsia="zh-CN"/>
                    </w:rPr>
                  </w:pPr>
                  <w:r>
                    <w:rPr>
                      <w:color w:val="000000"/>
                      <w:sz w:val="11"/>
                      <w:szCs w:val="11"/>
                      <w:lang w:eastAsia="zh-CN"/>
                    </w:rPr>
                    <w:t>[</w:t>
                  </w:r>
                  <w:r>
                    <w:rPr>
                      <w:rFonts w:hint="eastAsia"/>
                      <w:color w:val="000000"/>
                      <w:sz w:val="11"/>
                      <w:szCs w:val="11"/>
                      <w:lang w:eastAsia="zh-CN"/>
                    </w:rPr>
                    <w:t>549</w:t>
                  </w:r>
                  <w:r>
                    <w:rPr>
                      <w:color w:val="000000"/>
                      <w:sz w:val="11"/>
                      <w:szCs w:val="11"/>
                      <w:lang w:eastAsia="zh-CN"/>
                    </w:rPr>
                    <w:t>]</w:t>
                  </w:r>
                </w:p>
              </w:tc>
            </w:tr>
            <w:tr w:rsidR="0098092C" w14:paraId="0EC37CDF" w14:textId="77777777">
              <w:trPr>
                <w:trHeight w:val="285"/>
                <w:jc w:val="center"/>
              </w:trPr>
              <w:tc>
                <w:tcPr>
                  <w:tcW w:w="1041" w:type="dxa"/>
                  <w:tcBorders>
                    <w:top w:val="nil"/>
                    <w:left w:val="single" w:sz="4" w:space="0" w:color="auto"/>
                    <w:bottom w:val="single" w:sz="4" w:space="0" w:color="auto"/>
                    <w:right w:val="single" w:sz="4" w:space="0" w:color="auto"/>
                  </w:tcBorders>
                  <w:shd w:val="clear" w:color="auto" w:fill="auto"/>
                  <w:noWrap/>
                  <w:vAlign w:val="center"/>
                </w:tcPr>
                <w:p w14:paraId="74B511AB" w14:textId="77777777" w:rsidR="0098092C" w:rsidRDefault="0030498B">
                  <w:pPr>
                    <w:rPr>
                      <w:color w:val="FF0000"/>
                      <w:sz w:val="11"/>
                      <w:szCs w:val="11"/>
                      <w:lang w:eastAsia="zh-CN"/>
                    </w:rPr>
                  </w:pPr>
                  <w:r>
                    <w:rPr>
                      <w:color w:val="000000"/>
                      <w:sz w:val="11"/>
                      <w:szCs w:val="11"/>
                      <w:lang w:eastAsia="zh-CN"/>
                    </w:rPr>
                    <w:t>candidate-P</w:t>
                  </w:r>
                </w:p>
              </w:tc>
              <w:tc>
                <w:tcPr>
                  <w:tcW w:w="1506" w:type="dxa"/>
                  <w:tcBorders>
                    <w:top w:val="nil"/>
                    <w:left w:val="nil"/>
                    <w:bottom w:val="single" w:sz="4" w:space="0" w:color="auto"/>
                    <w:right w:val="single" w:sz="4" w:space="0" w:color="auto"/>
                  </w:tcBorders>
                  <w:shd w:val="clear" w:color="auto" w:fill="auto"/>
                  <w:noWrap/>
                  <w:vAlign w:val="center"/>
                </w:tcPr>
                <w:p w14:paraId="6173CC1F" w14:textId="77777777" w:rsidR="0098092C" w:rsidRDefault="0030498B">
                  <w:pPr>
                    <w:jc w:val="center"/>
                    <w:rPr>
                      <w:color w:val="FF0000"/>
                      <w:sz w:val="11"/>
                      <w:szCs w:val="11"/>
                      <w:lang w:eastAsia="zh-CN"/>
                    </w:rPr>
                  </w:pPr>
                  <w:r>
                    <w:rPr>
                      <w:color w:val="000000"/>
                      <w:sz w:val="11"/>
                      <w:szCs w:val="11"/>
                      <w:lang w:eastAsia="zh-CN"/>
                    </w:rPr>
                    <w:t>N/A</w:t>
                  </w:r>
                </w:p>
              </w:tc>
              <w:tc>
                <w:tcPr>
                  <w:tcW w:w="840" w:type="dxa"/>
                  <w:tcBorders>
                    <w:top w:val="nil"/>
                    <w:left w:val="nil"/>
                    <w:bottom w:val="single" w:sz="4" w:space="0" w:color="auto"/>
                    <w:right w:val="single" w:sz="4" w:space="0" w:color="auto"/>
                  </w:tcBorders>
                  <w:shd w:val="clear" w:color="auto" w:fill="auto"/>
                  <w:noWrap/>
                  <w:vAlign w:val="center"/>
                </w:tcPr>
                <w:p w14:paraId="326ABCF8" w14:textId="77777777" w:rsidR="0098092C" w:rsidRDefault="0030498B">
                  <w:pPr>
                    <w:jc w:val="center"/>
                    <w:rPr>
                      <w:color w:val="FF0000"/>
                      <w:sz w:val="11"/>
                      <w:szCs w:val="11"/>
                      <w:lang w:eastAsia="zh-CN"/>
                    </w:rPr>
                  </w:pPr>
                  <w:r>
                    <w:rPr>
                      <w:color w:val="000000"/>
                      <w:sz w:val="11"/>
                      <w:szCs w:val="11"/>
                      <w:lang w:eastAsia="zh-CN"/>
                    </w:rPr>
                    <w:t>16QAM</w:t>
                  </w:r>
                </w:p>
              </w:tc>
              <w:tc>
                <w:tcPr>
                  <w:tcW w:w="1081" w:type="dxa"/>
                  <w:tcBorders>
                    <w:top w:val="nil"/>
                    <w:left w:val="nil"/>
                    <w:bottom w:val="single" w:sz="4" w:space="0" w:color="auto"/>
                    <w:right w:val="single" w:sz="4" w:space="0" w:color="auto"/>
                  </w:tcBorders>
                  <w:shd w:val="clear" w:color="auto" w:fill="auto"/>
                  <w:noWrap/>
                  <w:vAlign w:val="center"/>
                </w:tcPr>
                <w:p w14:paraId="43E04BA9" w14:textId="77777777" w:rsidR="0098092C" w:rsidRDefault="0030498B">
                  <w:pPr>
                    <w:jc w:val="center"/>
                    <w:rPr>
                      <w:color w:val="FF0000"/>
                      <w:sz w:val="11"/>
                      <w:szCs w:val="11"/>
                      <w:lang w:eastAsia="zh-CN"/>
                    </w:rPr>
                  </w:pPr>
                  <w:r>
                    <w:rPr>
                      <w:color w:val="000000"/>
                      <w:sz w:val="11"/>
                      <w:szCs w:val="11"/>
                      <w:lang w:eastAsia="zh-CN"/>
                    </w:rPr>
                    <w:t>[</w:t>
                  </w:r>
                  <w:r>
                    <w:rPr>
                      <w:rFonts w:hint="eastAsia"/>
                      <w:color w:val="000000"/>
                      <w:sz w:val="11"/>
                      <w:szCs w:val="11"/>
                      <w:lang w:eastAsia="zh-CN"/>
                    </w:rPr>
                    <w:t>617</w:t>
                  </w:r>
                  <w:r>
                    <w:rPr>
                      <w:color w:val="000000"/>
                      <w:sz w:val="11"/>
                      <w:szCs w:val="11"/>
                      <w:lang w:eastAsia="zh-CN"/>
                    </w:rPr>
                    <w:t>]</w:t>
                  </w:r>
                </w:p>
              </w:tc>
            </w:tr>
            <w:tr w:rsidR="0098092C" w14:paraId="0F7FA7AD" w14:textId="77777777">
              <w:trPr>
                <w:trHeight w:val="285"/>
                <w:jc w:val="center"/>
              </w:trPr>
              <w:tc>
                <w:tcPr>
                  <w:tcW w:w="1041" w:type="dxa"/>
                  <w:tcBorders>
                    <w:top w:val="nil"/>
                    <w:left w:val="single" w:sz="4" w:space="0" w:color="auto"/>
                    <w:bottom w:val="single" w:sz="4" w:space="0" w:color="auto"/>
                    <w:right w:val="single" w:sz="4" w:space="0" w:color="auto"/>
                  </w:tcBorders>
                  <w:shd w:val="clear" w:color="auto" w:fill="auto"/>
                  <w:noWrap/>
                  <w:vAlign w:val="center"/>
                </w:tcPr>
                <w:p w14:paraId="7C9A2EC1" w14:textId="77777777" w:rsidR="0098092C" w:rsidRDefault="0030498B">
                  <w:pPr>
                    <w:rPr>
                      <w:color w:val="000000"/>
                      <w:sz w:val="11"/>
                      <w:szCs w:val="11"/>
                      <w:lang w:eastAsia="zh-CN"/>
                    </w:rPr>
                  </w:pPr>
                  <w:r>
                    <w:rPr>
                      <w:color w:val="000000"/>
                      <w:sz w:val="11"/>
                      <w:szCs w:val="11"/>
                      <w:lang w:eastAsia="zh-CN"/>
                    </w:rPr>
                    <w:t>candidate-Q</w:t>
                  </w:r>
                </w:p>
              </w:tc>
              <w:tc>
                <w:tcPr>
                  <w:tcW w:w="1506" w:type="dxa"/>
                  <w:tcBorders>
                    <w:top w:val="nil"/>
                    <w:left w:val="nil"/>
                    <w:bottom w:val="single" w:sz="4" w:space="0" w:color="auto"/>
                    <w:right w:val="single" w:sz="4" w:space="0" w:color="auto"/>
                  </w:tcBorders>
                  <w:shd w:val="clear" w:color="auto" w:fill="auto"/>
                  <w:noWrap/>
                  <w:vAlign w:val="center"/>
                </w:tcPr>
                <w:p w14:paraId="4200A7B6" w14:textId="77777777" w:rsidR="0098092C" w:rsidRDefault="0030498B">
                  <w:pPr>
                    <w:jc w:val="center"/>
                    <w:rPr>
                      <w:color w:val="000000"/>
                      <w:sz w:val="11"/>
                      <w:szCs w:val="11"/>
                      <w:lang w:eastAsia="zh-CN"/>
                    </w:rPr>
                  </w:pPr>
                  <w:r>
                    <w:rPr>
                      <w:color w:val="000000"/>
                      <w:sz w:val="11"/>
                      <w:szCs w:val="11"/>
                      <w:lang w:eastAsia="zh-CN"/>
                    </w:rPr>
                    <w:t>N/A</w:t>
                  </w:r>
                </w:p>
              </w:tc>
              <w:tc>
                <w:tcPr>
                  <w:tcW w:w="840" w:type="dxa"/>
                  <w:tcBorders>
                    <w:top w:val="nil"/>
                    <w:left w:val="nil"/>
                    <w:bottom w:val="single" w:sz="4" w:space="0" w:color="auto"/>
                    <w:right w:val="single" w:sz="4" w:space="0" w:color="auto"/>
                  </w:tcBorders>
                  <w:shd w:val="clear" w:color="auto" w:fill="auto"/>
                  <w:noWrap/>
                  <w:vAlign w:val="center"/>
                </w:tcPr>
                <w:p w14:paraId="2E2EC5DD" w14:textId="77777777" w:rsidR="0098092C" w:rsidRDefault="0030498B">
                  <w:pPr>
                    <w:jc w:val="center"/>
                    <w:rPr>
                      <w:color w:val="000000"/>
                      <w:sz w:val="11"/>
                      <w:szCs w:val="11"/>
                      <w:lang w:eastAsia="zh-CN"/>
                    </w:rPr>
                  </w:pPr>
                  <w:r>
                    <w:rPr>
                      <w:color w:val="000000"/>
                      <w:sz w:val="11"/>
                      <w:szCs w:val="11"/>
                      <w:lang w:eastAsia="zh-CN"/>
                    </w:rPr>
                    <w:t>16QAM</w:t>
                  </w:r>
                </w:p>
              </w:tc>
              <w:tc>
                <w:tcPr>
                  <w:tcW w:w="1081" w:type="dxa"/>
                  <w:tcBorders>
                    <w:top w:val="nil"/>
                    <w:left w:val="nil"/>
                    <w:bottom w:val="single" w:sz="4" w:space="0" w:color="auto"/>
                    <w:right w:val="single" w:sz="4" w:space="0" w:color="auto"/>
                  </w:tcBorders>
                  <w:shd w:val="clear" w:color="auto" w:fill="auto"/>
                  <w:noWrap/>
                  <w:vAlign w:val="center"/>
                </w:tcPr>
                <w:p w14:paraId="53697378" w14:textId="77777777" w:rsidR="0098092C" w:rsidRDefault="0030498B">
                  <w:pPr>
                    <w:jc w:val="center"/>
                    <w:rPr>
                      <w:color w:val="000000"/>
                      <w:sz w:val="11"/>
                      <w:szCs w:val="11"/>
                      <w:lang w:eastAsia="zh-CN"/>
                    </w:rPr>
                  </w:pPr>
                  <w:r>
                    <w:rPr>
                      <w:color w:val="000000"/>
                      <w:sz w:val="11"/>
                      <w:szCs w:val="11"/>
                      <w:lang w:eastAsia="zh-CN"/>
                    </w:rPr>
                    <w:t>[</w:t>
                  </w:r>
                  <w:r>
                    <w:rPr>
                      <w:rFonts w:hint="eastAsia"/>
                      <w:color w:val="000000"/>
                      <w:sz w:val="11"/>
                      <w:szCs w:val="11"/>
                      <w:lang w:eastAsia="zh-CN"/>
                    </w:rPr>
                    <w:t>667</w:t>
                  </w:r>
                  <w:r>
                    <w:rPr>
                      <w:color w:val="000000"/>
                      <w:sz w:val="11"/>
                      <w:szCs w:val="11"/>
                      <w:lang w:eastAsia="zh-CN"/>
                    </w:rPr>
                    <w:t>]</w:t>
                  </w:r>
                </w:p>
              </w:tc>
            </w:tr>
            <w:tr w:rsidR="0098092C" w14:paraId="5BBE7FBB" w14:textId="77777777">
              <w:trPr>
                <w:trHeight w:val="285"/>
                <w:jc w:val="center"/>
              </w:trPr>
              <w:tc>
                <w:tcPr>
                  <w:tcW w:w="1041" w:type="dxa"/>
                  <w:tcBorders>
                    <w:top w:val="nil"/>
                    <w:left w:val="single" w:sz="4" w:space="0" w:color="auto"/>
                    <w:bottom w:val="single" w:sz="4" w:space="0" w:color="auto"/>
                    <w:right w:val="single" w:sz="4" w:space="0" w:color="auto"/>
                  </w:tcBorders>
                  <w:shd w:val="clear" w:color="auto" w:fill="auto"/>
                  <w:noWrap/>
                  <w:vAlign w:val="center"/>
                </w:tcPr>
                <w:p w14:paraId="2F504C99" w14:textId="77777777" w:rsidR="0098092C" w:rsidRDefault="0030498B">
                  <w:pPr>
                    <w:rPr>
                      <w:color w:val="000000"/>
                      <w:sz w:val="11"/>
                      <w:szCs w:val="11"/>
                      <w:lang w:eastAsia="zh-CN"/>
                    </w:rPr>
                  </w:pPr>
                  <w:r>
                    <w:rPr>
                      <w:color w:val="000000"/>
                      <w:sz w:val="11"/>
                      <w:szCs w:val="11"/>
                      <w:lang w:eastAsia="zh-CN"/>
                    </w:rPr>
                    <w:t>candidate-R</w:t>
                  </w:r>
                </w:p>
              </w:tc>
              <w:tc>
                <w:tcPr>
                  <w:tcW w:w="1506" w:type="dxa"/>
                  <w:tcBorders>
                    <w:top w:val="nil"/>
                    <w:left w:val="nil"/>
                    <w:bottom w:val="single" w:sz="4" w:space="0" w:color="auto"/>
                    <w:right w:val="single" w:sz="4" w:space="0" w:color="auto"/>
                  </w:tcBorders>
                  <w:shd w:val="clear" w:color="auto" w:fill="auto"/>
                  <w:noWrap/>
                  <w:vAlign w:val="center"/>
                </w:tcPr>
                <w:p w14:paraId="36975EA0" w14:textId="77777777" w:rsidR="0098092C" w:rsidRDefault="0030498B">
                  <w:pPr>
                    <w:jc w:val="center"/>
                    <w:rPr>
                      <w:color w:val="000000"/>
                      <w:sz w:val="11"/>
                      <w:szCs w:val="11"/>
                      <w:lang w:eastAsia="zh-CN"/>
                    </w:rPr>
                  </w:pPr>
                  <w:r>
                    <w:rPr>
                      <w:color w:val="000000"/>
                      <w:sz w:val="11"/>
                      <w:szCs w:val="11"/>
                      <w:lang w:eastAsia="zh-CN"/>
                    </w:rPr>
                    <w:t>N/A</w:t>
                  </w:r>
                </w:p>
              </w:tc>
              <w:tc>
                <w:tcPr>
                  <w:tcW w:w="840" w:type="dxa"/>
                  <w:tcBorders>
                    <w:top w:val="nil"/>
                    <w:left w:val="nil"/>
                    <w:bottom w:val="single" w:sz="4" w:space="0" w:color="auto"/>
                    <w:right w:val="single" w:sz="4" w:space="0" w:color="auto"/>
                  </w:tcBorders>
                  <w:shd w:val="clear" w:color="auto" w:fill="auto"/>
                  <w:noWrap/>
                  <w:vAlign w:val="center"/>
                </w:tcPr>
                <w:p w14:paraId="6816002E" w14:textId="77777777" w:rsidR="0098092C" w:rsidRDefault="0030498B">
                  <w:pPr>
                    <w:jc w:val="center"/>
                    <w:rPr>
                      <w:color w:val="000000"/>
                      <w:sz w:val="11"/>
                      <w:szCs w:val="11"/>
                      <w:lang w:eastAsia="zh-CN"/>
                    </w:rPr>
                  </w:pPr>
                  <w:r>
                    <w:rPr>
                      <w:color w:val="000000"/>
                      <w:sz w:val="11"/>
                      <w:szCs w:val="11"/>
                      <w:lang w:eastAsia="zh-CN"/>
                    </w:rPr>
                    <w:t>16QAM</w:t>
                  </w:r>
                </w:p>
              </w:tc>
              <w:tc>
                <w:tcPr>
                  <w:tcW w:w="1081" w:type="dxa"/>
                  <w:tcBorders>
                    <w:top w:val="nil"/>
                    <w:left w:val="nil"/>
                    <w:bottom w:val="single" w:sz="4" w:space="0" w:color="auto"/>
                    <w:right w:val="single" w:sz="4" w:space="0" w:color="auto"/>
                  </w:tcBorders>
                  <w:shd w:val="clear" w:color="auto" w:fill="auto"/>
                  <w:noWrap/>
                  <w:vAlign w:val="center"/>
                </w:tcPr>
                <w:p w14:paraId="2F11DFAB" w14:textId="77777777" w:rsidR="0098092C" w:rsidRDefault="0030498B">
                  <w:pPr>
                    <w:jc w:val="center"/>
                    <w:rPr>
                      <w:color w:val="000000"/>
                      <w:sz w:val="11"/>
                      <w:szCs w:val="11"/>
                      <w:lang w:eastAsia="zh-CN"/>
                    </w:rPr>
                  </w:pPr>
                  <w:r>
                    <w:rPr>
                      <w:color w:val="000000"/>
                      <w:sz w:val="11"/>
                      <w:szCs w:val="11"/>
                      <w:lang w:eastAsia="zh-CN"/>
                    </w:rPr>
                    <w:t>[</w:t>
                  </w:r>
                  <w:r>
                    <w:rPr>
                      <w:rFonts w:hint="eastAsia"/>
                      <w:color w:val="000000"/>
                      <w:sz w:val="11"/>
                      <w:szCs w:val="11"/>
                      <w:lang w:eastAsia="zh-CN"/>
                    </w:rPr>
                    <w:t>712</w:t>
                  </w:r>
                  <w:r>
                    <w:rPr>
                      <w:color w:val="000000"/>
                      <w:sz w:val="11"/>
                      <w:szCs w:val="11"/>
                      <w:lang w:eastAsia="zh-CN"/>
                    </w:rPr>
                    <w:t>]</w:t>
                  </w:r>
                </w:p>
              </w:tc>
            </w:tr>
            <w:tr w:rsidR="0098092C" w14:paraId="0C78D83C" w14:textId="77777777">
              <w:trPr>
                <w:trHeight w:val="285"/>
                <w:jc w:val="center"/>
              </w:trPr>
              <w:tc>
                <w:tcPr>
                  <w:tcW w:w="1041" w:type="dxa"/>
                  <w:tcBorders>
                    <w:top w:val="nil"/>
                    <w:left w:val="single" w:sz="4" w:space="0" w:color="auto"/>
                    <w:bottom w:val="single" w:sz="4" w:space="0" w:color="auto"/>
                    <w:right w:val="single" w:sz="4" w:space="0" w:color="auto"/>
                  </w:tcBorders>
                  <w:shd w:val="clear" w:color="auto" w:fill="auto"/>
                  <w:noWrap/>
                  <w:vAlign w:val="center"/>
                </w:tcPr>
                <w:p w14:paraId="36371641" w14:textId="77777777" w:rsidR="0098092C" w:rsidRDefault="0030498B">
                  <w:pPr>
                    <w:rPr>
                      <w:color w:val="000000"/>
                      <w:sz w:val="11"/>
                      <w:szCs w:val="11"/>
                      <w:lang w:eastAsia="zh-CN"/>
                    </w:rPr>
                  </w:pPr>
                  <w:r>
                    <w:rPr>
                      <w:color w:val="000000"/>
                      <w:sz w:val="11"/>
                      <w:szCs w:val="11"/>
                      <w:lang w:eastAsia="zh-CN"/>
                    </w:rPr>
                    <w:t>candidate-S</w:t>
                  </w:r>
                </w:p>
              </w:tc>
              <w:tc>
                <w:tcPr>
                  <w:tcW w:w="1506" w:type="dxa"/>
                  <w:tcBorders>
                    <w:top w:val="nil"/>
                    <w:left w:val="nil"/>
                    <w:bottom w:val="single" w:sz="4" w:space="0" w:color="auto"/>
                    <w:right w:val="single" w:sz="4" w:space="0" w:color="auto"/>
                  </w:tcBorders>
                  <w:shd w:val="clear" w:color="auto" w:fill="auto"/>
                  <w:noWrap/>
                  <w:vAlign w:val="center"/>
                </w:tcPr>
                <w:p w14:paraId="7A5D95F9" w14:textId="77777777" w:rsidR="0098092C" w:rsidRDefault="0030498B">
                  <w:pPr>
                    <w:jc w:val="center"/>
                    <w:rPr>
                      <w:color w:val="000000"/>
                      <w:sz w:val="11"/>
                      <w:szCs w:val="11"/>
                      <w:lang w:eastAsia="zh-CN"/>
                    </w:rPr>
                  </w:pPr>
                  <w:r>
                    <w:rPr>
                      <w:color w:val="000000"/>
                      <w:sz w:val="11"/>
                      <w:szCs w:val="11"/>
                      <w:lang w:eastAsia="zh-CN"/>
                    </w:rPr>
                    <w:t>N/A</w:t>
                  </w:r>
                </w:p>
              </w:tc>
              <w:tc>
                <w:tcPr>
                  <w:tcW w:w="840" w:type="dxa"/>
                  <w:tcBorders>
                    <w:top w:val="nil"/>
                    <w:left w:val="nil"/>
                    <w:bottom w:val="single" w:sz="4" w:space="0" w:color="auto"/>
                    <w:right w:val="single" w:sz="4" w:space="0" w:color="auto"/>
                  </w:tcBorders>
                  <w:shd w:val="clear" w:color="auto" w:fill="auto"/>
                  <w:noWrap/>
                  <w:vAlign w:val="center"/>
                </w:tcPr>
                <w:p w14:paraId="734F73E8" w14:textId="77777777" w:rsidR="0098092C" w:rsidRDefault="0030498B">
                  <w:pPr>
                    <w:jc w:val="center"/>
                    <w:rPr>
                      <w:color w:val="000000"/>
                      <w:sz w:val="11"/>
                      <w:szCs w:val="11"/>
                      <w:lang w:eastAsia="zh-CN"/>
                    </w:rPr>
                  </w:pPr>
                  <w:r>
                    <w:rPr>
                      <w:color w:val="000000"/>
                      <w:sz w:val="11"/>
                      <w:szCs w:val="11"/>
                      <w:lang w:eastAsia="zh-CN"/>
                    </w:rPr>
                    <w:t>16QAM</w:t>
                  </w:r>
                </w:p>
              </w:tc>
              <w:tc>
                <w:tcPr>
                  <w:tcW w:w="1081" w:type="dxa"/>
                  <w:tcBorders>
                    <w:top w:val="nil"/>
                    <w:left w:val="nil"/>
                    <w:bottom w:val="single" w:sz="4" w:space="0" w:color="auto"/>
                    <w:right w:val="single" w:sz="4" w:space="0" w:color="auto"/>
                  </w:tcBorders>
                  <w:shd w:val="clear" w:color="auto" w:fill="auto"/>
                  <w:noWrap/>
                  <w:vAlign w:val="center"/>
                </w:tcPr>
                <w:p w14:paraId="4A1E6E43" w14:textId="77777777" w:rsidR="0098092C" w:rsidRDefault="0030498B">
                  <w:pPr>
                    <w:jc w:val="center"/>
                    <w:rPr>
                      <w:color w:val="000000"/>
                      <w:sz w:val="11"/>
                      <w:szCs w:val="11"/>
                      <w:lang w:eastAsia="zh-CN"/>
                    </w:rPr>
                  </w:pPr>
                  <w:r>
                    <w:rPr>
                      <w:color w:val="000000"/>
                      <w:sz w:val="11"/>
                      <w:szCs w:val="11"/>
                      <w:lang w:eastAsia="zh-CN"/>
                    </w:rPr>
                    <w:t>[</w:t>
                  </w:r>
                  <w:r>
                    <w:rPr>
                      <w:rFonts w:hint="eastAsia"/>
                      <w:color w:val="000000"/>
                      <w:sz w:val="11"/>
                      <w:szCs w:val="11"/>
                      <w:lang w:eastAsia="zh-CN"/>
                    </w:rPr>
                    <w:t>781</w:t>
                  </w:r>
                  <w:r>
                    <w:rPr>
                      <w:color w:val="000000"/>
                      <w:sz w:val="11"/>
                      <w:szCs w:val="11"/>
                      <w:lang w:eastAsia="zh-CN"/>
                    </w:rPr>
                    <w:t>]</w:t>
                  </w:r>
                </w:p>
              </w:tc>
            </w:tr>
          </w:tbl>
          <w:p w14:paraId="130C2BC0" w14:textId="77777777" w:rsidR="0098092C" w:rsidRDefault="0098092C">
            <w:pPr>
              <w:rPr>
                <w:lang w:eastAsia="zh-CN"/>
              </w:rPr>
            </w:pPr>
          </w:p>
        </w:tc>
      </w:tr>
    </w:tbl>
    <w:p w14:paraId="2527493B" w14:textId="77777777" w:rsidR="0098092C" w:rsidRDefault="0098092C">
      <w:pPr>
        <w:rPr>
          <w:lang w:eastAsia="zh-CN"/>
        </w:rPr>
      </w:pPr>
    </w:p>
    <w:p w14:paraId="6F3110A8" w14:textId="77777777" w:rsidR="0098092C" w:rsidRDefault="0030498B">
      <w:pPr>
        <w:rPr>
          <w:lang w:eastAsia="zh-CN"/>
        </w:rPr>
      </w:pPr>
      <w:r>
        <w:rPr>
          <w:rFonts w:hint="eastAsia"/>
          <w:lang w:eastAsia="zh-CN"/>
        </w:rPr>
        <w:t xml:space="preserve">Please </w:t>
      </w:r>
      <w:r>
        <w:rPr>
          <w:lang w:eastAsia="zh-CN"/>
        </w:rPr>
        <w:t>give your comments on how to address the concerns or provide further benefits:</w:t>
      </w:r>
    </w:p>
    <w:tbl>
      <w:tblPr>
        <w:tblStyle w:val="TableGrid"/>
        <w:tblW w:w="9351" w:type="dxa"/>
        <w:tblLook w:val="04A0" w:firstRow="1" w:lastRow="0" w:firstColumn="1" w:lastColumn="0" w:noHBand="0" w:noVBand="1"/>
      </w:tblPr>
      <w:tblGrid>
        <w:gridCol w:w="3102"/>
        <w:gridCol w:w="6249"/>
      </w:tblGrid>
      <w:tr w:rsidR="0098092C" w14:paraId="0096B52F" w14:textId="77777777">
        <w:tc>
          <w:tcPr>
            <w:tcW w:w="3102" w:type="dxa"/>
          </w:tcPr>
          <w:p w14:paraId="4858EE06" w14:textId="77777777" w:rsidR="0098092C" w:rsidRDefault="0030498B">
            <w:pPr>
              <w:rPr>
                <w:lang w:eastAsia="zh-CN"/>
              </w:rPr>
            </w:pPr>
            <w:r>
              <w:rPr>
                <w:rFonts w:hint="eastAsia"/>
                <w:lang w:eastAsia="zh-CN"/>
              </w:rPr>
              <w:t>Moderator</w:t>
            </w:r>
          </w:p>
        </w:tc>
        <w:tc>
          <w:tcPr>
            <w:tcW w:w="6249" w:type="dxa"/>
          </w:tcPr>
          <w:p w14:paraId="16B032BA" w14:textId="77777777" w:rsidR="0098092C" w:rsidRDefault="0030498B">
            <w:pPr>
              <w:rPr>
                <w:lang w:eastAsia="zh-CN"/>
              </w:rPr>
            </w:pPr>
            <w:r>
              <w:rPr>
                <w:rFonts w:hint="eastAsia"/>
                <w:lang w:eastAsia="zh-CN"/>
              </w:rPr>
              <w:t>Comments</w:t>
            </w:r>
          </w:p>
        </w:tc>
      </w:tr>
      <w:tr w:rsidR="0098092C" w14:paraId="52B55FE6" w14:textId="77777777">
        <w:tc>
          <w:tcPr>
            <w:tcW w:w="3102" w:type="dxa"/>
          </w:tcPr>
          <w:p w14:paraId="30B1749D" w14:textId="77777777" w:rsidR="0098092C" w:rsidRDefault="0030498B">
            <w:pPr>
              <w:rPr>
                <w:lang w:eastAsia="zh-CN"/>
              </w:rPr>
            </w:pPr>
            <w:r>
              <w:rPr>
                <w:rFonts w:hint="eastAsia"/>
                <w:lang w:eastAsia="zh-CN"/>
              </w:rPr>
              <w:t>Moderator (Huawei)</w:t>
            </w:r>
          </w:p>
        </w:tc>
        <w:tc>
          <w:tcPr>
            <w:tcW w:w="6249" w:type="dxa"/>
          </w:tcPr>
          <w:p w14:paraId="22D368C8" w14:textId="77777777" w:rsidR="0098092C" w:rsidRDefault="0030498B">
            <w:r>
              <w:rPr>
                <w:rFonts w:hint="eastAsia"/>
              </w:rPr>
              <w:t>T</w:t>
            </w:r>
            <w:r>
              <w:t>he concerns to support option 1 include: limited number of MCS entries for 16-QAM for efficient CQI reporting, “dB” step size granularity, increased size of legacy table, no backward compatible, and more UE complexity on hypothetical decoding of both NPDCCH and NPDSCH.</w:t>
            </w:r>
          </w:p>
          <w:p w14:paraId="2367730C" w14:textId="77777777" w:rsidR="0098092C" w:rsidRDefault="0030498B">
            <w:pPr>
              <w:rPr>
                <w:lang w:eastAsia="zh-CN"/>
              </w:rPr>
            </w:pPr>
            <w:r>
              <w:rPr>
                <w:rFonts w:hint="eastAsia"/>
                <w:lang w:eastAsia="zh-CN"/>
              </w:rPr>
              <w:t xml:space="preserve">The first example is able to address the concern from </w:t>
            </w:r>
            <w:r>
              <w:rPr>
                <w:lang w:eastAsia="zh-CN"/>
              </w:rPr>
              <w:t>“limited number of MCS entries for 16-QAM for efficient CQI reporting, “dB” step size granularity”, by adding several QPSK entries to fill the gap from legacy table to 16-QAM entries.</w:t>
            </w:r>
          </w:p>
        </w:tc>
      </w:tr>
      <w:tr w:rsidR="0098092C" w14:paraId="3CD99B31" w14:textId="77777777">
        <w:tc>
          <w:tcPr>
            <w:tcW w:w="3102" w:type="dxa"/>
          </w:tcPr>
          <w:p w14:paraId="132CD628" w14:textId="77777777" w:rsidR="0098092C" w:rsidRDefault="0030498B">
            <w:pPr>
              <w:rPr>
                <w:lang w:eastAsia="zh-CN"/>
              </w:rPr>
            </w:pPr>
            <w:r>
              <w:rPr>
                <w:rFonts w:hint="eastAsia"/>
                <w:lang w:eastAsia="zh-CN"/>
              </w:rPr>
              <w:t>L</w:t>
            </w:r>
            <w:r>
              <w:rPr>
                <w:lang w:eastAsia="zh-CN"/>
              </w:rPr>
              <w:t>enovo, Mo</w:t>
            </w:r>
            <w:r>
              <w:rPr>
                <w:rFonts w:hint="eastAsia"/>
                <w:lang w:eastAsia="zh-CN"/>
              </w:rPr>
              <w:t>toM</w:t>
            </w:r>
          </w:p>
        </w:tc>
        <w:tc>
          <w:tcPr>
            <w:tcW w:w="6249" w:type="dxa"/>
          </w:tcPr>
          <w:p w14:paraId="3A20855D" w14:textId="77777777" w:rsidR="0098092C" w:rsidRDefault="0030498B">
            <w:pPr>
              <w:rPr>
                <w:lang w:eastAsia="zh-CN"/>
              </w:rPr>
            </w:pPr>
            <w:r>
              <w:rPr>
                <w:lang w:eastAsia="zh-CN"/>
              </w:rPr>
              <w:t xml:space="preserve">For option 1, although we are supportive of the solution in our contribution, we are </w:t>
            </w:r>
            <w:r>
              <w:rPr>
                <w:color w:val="333333"/>
                <w:shd w:val="clear" w:color="auto" w:fill="FFFFFF"/>
              </w:rPr>
              <w:t>not willing to</w:t>
            </w:r>
            <w:r>
              <w:rPr>
                <w:lang w:eastAsia="zh-CN"/>
              </w:rPr>
              <w:t xml:space="preserve"> accept the “combination table” </w:t>
            </w:r>
          </w:p>
          <w:p w14:paraId="0CA9098B" w14:textId="77777777" w:rsidR="0098092C" w:rsidRDefault="0030498B">
            <w:pPr>
              <w:rPr>
                <w:lang w:eastAsia="zh-CN"/>
              </w:rPr>
            </w:pPr>
            <w:r>
              <w:rPr>
                <w:lang w:eastAsia="zh-CN"/>
              </w:rPr>
              <w:t>For option 2, we don’t think it is sufficient to report only 3 CQI while more than 7~8 MCS levels for 16QAM are supported in MCS table.</w:t>
            </w:r>
          </w:p>
          <w:p w14:paraId="4BDFDB48" w14:textId="77777777" w:rsidR="0098092C" w:rsidRDefault="0030498B">
            <w:pPr>
              <w:rPr>
                <w:lang w:eastAsia="zh-CN"/>
              </w:rPr>
            </w:pPr>
            <w:r>
              <w:rPr>
                <w:rFonts w:hint="eastAsia"/>
                <w:lang w:eastAsia="zh-CN"/>
              </w:rPr>
              <w:t>F</w:t>
            </w:r>
            <w:r>
              <w:rPr>
                <w:lang w:eastAsia="zh-CN"/>
              </w:rPr>
              <w:t>or option 3, it seems to be most clean one. However, it doesn’t cover the very low SNR case (QPSK with repetition)? may not align with WID scope?</w:t>
            </w:r>
          </w:p>
          <w:p w14:paraId="65EC456D" w14:textId="77777777" w:rsidR="0098092C" w:rsidRDefault="0098092C">
            <w:pPr>
              <w:rPr>
                <w:lang w:eastAsia="zh-CN"/>
              </w:rPr>
            </w:pPr>
          </w:p>
          <w:p w14:paraId="3430527F" w14:textId="77777777" w:rsidR="0098092C" w:rsidRDefault="0030498B">
            <w:pPr>
              <w:rPr>
                <w:lang w:eastAsia="zh-CN"/>
              </w:rPr>
            </w:pPr>
            <w:r>
              <w:rPr>
                <w:lang w:eastAsia="zh-CN"/>
              </w:rPr>
              <w:t>Based on that, option 1 is our first preference, and then option 3.</w:t>
            </w:r>
          </w:p>
        </w:tc>
      </w:tr>
      <w:tr w:rsidR="0098092C" w14:paraId="08325C40" w14:textId="77777777">
        <w:tc>
          <w:tcPr>
            <w:tcW w:w="3102" w:type="dxa"/>
          </w:tcPr>
          <w:p w14:paraId="03238477" w14:textId="77777777" w:rsidR="0098092C" w:rsidRDefault="0030498B">
            <w:pPr>
              <w:rPr>
                <w:lang w:eastAsia="zh-CN"/>
              </w:rPr>
            </w:pPr>
            <w:r>
              <w:rPr>
                <w:lang w:eastAsia="zh-CN"/>
              </w:rPr>
              <w:t>Ericsson v016</w:t>
            </w:r>
          </w:p>
        </w:tc>
        <w:tc>
          <w:tcPr>
            <w:tcW w:w="6249" w:type="dxa"/>
          </w:tcPr>
          <w:p w14:paraId="049D7EA9" w14:textId="77777777" w:rsidR="0098092C" w:rsidRDefault="0030498B">
            <w:r>
              <w:t xml:space="preserve">We still think that Option-2 is sufficient, however as an ultimate compromise we can accept Option-1 but subject to make it more backward compatible by interpreting Table 9.1.22.15-1 as per legacy or as per the updates for 16-QAM depending on Rmax. </w:t>
            </w:r>
          </w:p>
          <w:p w14:paraId="2910BA11" w14:textId="77777777" w:rsidR="0098092C" w:rsidRDefault="0030498B">
            <w:r>
              <w:t>•</w:t>
            </w:r>
            <w:r>
              <w:tab/>
              <w:t xml:space="preserve">A UE configured with 16-QAM should be configured with a small Rmax let’s say &lt;= 16. </w:t>
            </w:r>
          </w:p>
          <w:p w14:paraId="01BEF024" w14:textId="77777777" w:rsidR="0098092C" w:rsidRDefault="0030498B">
            <w:r>
              <w:t>•</w:t>
            </w:r>
            <w:r>
              <w:tab/>
              <w:t>If the UE is configured with 16-QAM and Rmax &lt;= 16, then any “Reported value” up to e.g., candidateRep-G will be interpreted as per Table 9.1.22.15-1 prior Rel-17, whereas any “Reported value” from candidateRep-H onwards will be interpreted as per 16-QAM.</w:t>
            </w:r>
          </w:p>
          <w:p w14:paraId="150F54BC" w14:textId="77777777" w:rsidR="0098092C" w:rsidRDefault="0030498B">
            <w:r>
              <w:t>The above will make Option-1 backward compatible.</w:t>
            </w:r>
          </w:p>
        </w:tc>
      </w:tr>
      <w:tr w:rsidR="0098092C" w14:paraId="2D500183" w14:textId="77777777">
        <w:trPr>
          <w:trHeight w:val="90"/>
        </w:trPr>
        <w:tc>
          <w:tcPr>
            <w:tcW w:w="3102" w:type="dxa"/>
          </w:tcPr>
          <w:p w14:paraId="0F09A89B" w14:textId="77777777" w:rsidR="0098092C" w:rsidRDefault="0030498B">
            <w:pPr>
              <w:rPr>
                <w:lang w:eastAsia="zh-CN"/>
              </w:rPr>
            </w:pPr>
            <w:r>
              <w:rPr>
                <w:rFonts w:hint="eastAsia"/>
                <w:lang w:eastAsia="zh-CN"/>
              </w:rPr>
              <w:t>ZTE, Sanechips</w:t>
            </w:r>
          </w:p>
        </w:tc>
        <w:tc>
          <w:tcPr>
            <w:tcW w:w="6249" w:type="dxa"/>
          </w:tcPr>
          <w:p w14:paraId="0095F7A0" w14:textId="77777777" w:rsidR="0098092C" w:rsidRDefault="0030498B">
            <w:pPr>
              <w:rPr>
                <w:szCs w:val="20"/>
                <w:lang w:eastAsia="zh-CN"/>
              </w:rPr>
            </w:pPr>
            <w:r>
              <w:rPr>
                <w:rFonts w:hint="eastAsia"/>
                <w:szCs w:val="20"/>
                <w:lang w:eastAsia="zh-CN"/>
              </w:rPr>
              <w:t>We</w:t>
            </w:r>
            <w:r>
              <w:rPr>
                <w:szCs w:val="20"/>
                <w:lang w:eastAsia="zh-CN"/>
              </w:rPr>
              <w:t>’</w:t>
            </w:r>
            <w:r>
              <w:rPr>
                <w:rFonts w:hint="eastAsia"/>
                <w:szCs w:val="20"/>
                <w:lang w:eastAsia="zh-CN"/>
              </w:rPr>
              <w:t>d like to mention that we already have the agreement in 104bis-emeeting,</w:t>
            </w:r>
          </w:p>
          <w:tbl>
            <w:tblPr>
              <w:tblStyle w:val="TableGrid"/>
              <w:tblW w:w="0" w:type="auto"/>
              <w:tblLook w:val="04A0" w:firstRow="1" w:lastRow="0" w:firstColumn="1" w:lastColumn="0" w:noHBand="0" w:noVBand="1"/>
            </w:tblPr>
            <w:tblGrid>
              <w:gridCol w:w="6023"/>
            </w:tblGrid>
            <w:tr w:rsidR="0098092C" w14:paraId="1298C900" w14:textId="77777777">
              <w:tc>
                <w:tcPr>
                  <w:tcW w:w="7253" w:type="dxa"/>
                </w:tcPr>
                <w:p w14:paraId="14495E87" w14:textId="77777777" w:rsidR="0098092C" w:rsidRDefault="0030498B">
                  <w:pPr>
                    <w:spacing w:after="0"/>
                    <w:jc w:val="left"/>
                    <w:rPr>
                      <w:b/>
                      <w:highlight w:val="green"/>
                    </w:rPr>
                  </w:pPr>
                  <w:r>
                    <w:rPr>
                      <w:rFonts w:ascii="Times" w:eastAsia="Batang" w:hAnsi="Times"/>
                      <w:b/>
                      <w:sz w:val="20"/>
                      <w:szCs w:val="24"/>
                      <w:highlight w:val="green"/>
                      <w:lang w:eastAsia="zh-CN" w:bidi="ar"/>
                    </w:rPr>
                    <w:lastRenderedPageBreak/>
                    <w:t>Agreement</w:t>
                  </w:r>
                </w:p>
                <w:p w14:paraId="5DBC0F03" w14:textId="77777777" w:rsidR="0098092C" w:rsidRDefault="0030498B">
                  <w:pPr>
                    <w:spacing w:after="0"/>
                    <w:jc w:val="left"/>
                    <w:rPr>
                      <w:szCs w:val="20"/>
                      <w:lang w:eastAsia="zh-CN"/>
                    </w:rPr>
                  </w:pPr>
                  <w:r>
                    <w:rPr>
                      <w:rFonts w:ascii="Times" w:eastAsia="Batang" w:hAnsi="Times"/>
                      <w:sz w:val="20"/>
                      <w:szCs w:val="24"/>
                      <w:lang w:eastAsia="zh-CN" w:bidi="ar"/>
                    </w:rPr>
                    <w:t>If 16-QAM is configured for NPDSCH, the channel quality report for 16-QAM is based on NPDSCH transport block that achieves an error probability not exceeding 10% BLER.</w:t>
                  </w:r>
                </w:p>
              </w:tc>
            </w:tr>
          </w:tbl>
          <w:p w14:paraId="0A63AF7D" w14:textId="77777777" w:rsidR="0098092C" w:rsidRDefault="0030498B">
            <w:r>
              <w:rPr>
                <w:rFonts w:hint="eastAsia"/>
                <w:szCs w:val="20"/>
                <w:lang w:eastAsia="zh-CN"/>
              </w:rPr>
              <w:t>It means when the 16-QAM feature is configured, the CQI report should be based on NPDSCH, instead of NPDCCH. Option1 and option2 are not aligned with the agreement.</w:t>
            </w:r>
          </w:p>
        </w:tc>
      </w:tr>
      <w:tr w:rsidR="006E1378" w14:paraId="37EC4C62" w14:textId="77777777">
        <w:trPr>
          <w:trHeight w:val="90"/>
        </w:trPr>
        <w:tc>
          <w:tcPr>
            <w:tcW w:w="3102" w:type="dxa"/>
          </w:tcPr>
          <w:p w14:paraId="1EF925B3" w14:textId="02ECE483" w:rsidR="006E1378" w:rsidRDefault="006E1378">
            <w:pPr>
              <w:rPr>
                <w:lang w:eastAsia="zh-CN"/>
              </w:rPr>
            </w:pPr>
            <w:r>
              <w:rPr>
                <w:lang w:eastAsia="zh-CN"/>
              </w:rPr>
              <w:lastRenderedPageBreak/>
              <w:t>Ericsson v018</w:t>
            </w:r>
          </w:p>
        </w:tc>
        <w:tc>
          <w:tcPr>
            <w:tcW w:w="6249" w:type="dxa"/>
          </w:tcPr>
          <w:p w14:paraId="5728164C" w14:textId="145E26C5" w:rsidR="006E1378" w:rsidRDefault="006E1378">
            <w:pPr>
              <w:rPr>
                <w:szCs w:val="20"/>
                <w:lang w:eastAsia="zh-CN"/>
              </w:rPr>
            </w:pPr>
            <w:r>
              <w:rPr>
                <w:szCs w:val="20"/>
                <w:lang w:eastAsia="zh-CN"/>
              </w:rPr>
              <w:t>To ZTE: The agreement you cited correspond to CQI reporting definition, and the design</w:t>
            </w:r>
            <w:r w:rsidR="008E7F39">
              <w:rPr>
                <w:szCs w:val="20"/>
                <w:lang w:eastAsia="zh-CN"/>
              </w:rPr>
              <w:t>s</w:t>
            </w:r>
            <w:r>
              <w:rPr>
                <w:szCs w:val="20"/>
                <w:lang w:eastAsia="zh-CN"/>
              </w:rPr>
              <w:t xml:space="preserve"> presented by different companies on Opt-1 and Opt-2 account for it.</w:t>
            </w:r>
          </w:p>
        </w:tc>
      </w:tr>
      <w:tr w:rsidR="00B257C1" w14:paraId="6B3F734E" w14:textId="77777777">
        <w:trPr>
          <w:trHeight w:val="90"/>
        </w:trPr>
        <w:tc>
          <w:tcPr>
            <w:tcW w:w="3102" w:type="dxa"/>
          </w:tcPr>
          <w:p w14:paraId="0DD75EE3" w14:textId="7C3773F0" w:rsidR="00B257C1" w:rsidRDefault="00B257C1">
            <w:pPr>
              <w:rPr>
                <w:lang w:eastAsia="zh-CN"/>
              </w:rPr>
            </w:pPr>
            <w:r>
              <w:rPr>
                <w:rFonts w:hint="eastAsia"/>
                <w:lang w:eastAsia="zh-CN"/>
              </w:rPr>
              <w:t>Moderator (Huawei)</w:t>
            </w:r>
          </w:p>
        </w:tc>
        <w:tc>
          <w:tcPr>
            <w:tcW w:w="6249" w:type="dxa"/>
          </w:tcPr>
          <w:p w14:paraId="6F0938A6" w14:textId="68C31477" w:rsidR="00B257C1" w:rsidRDefault="00777F5B">
            <w:pPr>
              <w:rPr>
                <w:lang w:eastAsia="zh-CN"/>
              </w:rPr>
            </w:pPr>
            <w:r>
              <w:rPr>
                <w:lang w:eastAsia="zh-CN"/>
              </w:rPr>
              <w:t>@Lenovo, by “combination table” do you mean the first example in the table? I think without the combination, the concern on the big gap between NPDCCH repetition 1 and 16-QAM entries cannot be addressed.</w:t>
            </w:r>
          </w:p>
          <w:p w14:paraId="0494376C" w14:textId="4BB965F6" w:rsidR="00777F5B" w:rsidRPr="00777F5B" w:rsidRDefault="00777F5B" w:rsidP="00777F5B">
            <w:pPr>
              <w:ind w:leftChars="200" w:left="440"/>
              <w:rPr>
                <w:i/>
                <w:szCs w:val="20"/>
                <w:lang w:eastAsia="zh-CN"/>
              </w:rPr>
            </w:pPr>
            <w:r w:rsidRPr="00777F5B">
              <w:rPr>
                <w:i/>
                <w:lang w:eastAsia="zh-CN"/>
              </w:rPr>
              <w:t xml:space="preserve">For option 1, although we are supportive of the solution in our contribution, we are </w:t>
            </w:r>
            <w:r w:rsidRPr="00777F5B">
              <w:rPr>
                <w:i/>
                <w:color w:val="333333"/>
                <w:shd w:val="clear" w:color="auto" w:fill="FFFFFF"/>
              </w:rPr>
              <w:t>not willing to</w:t>
            </w:r>
            <w:r w:rsidRPr="00777F5B">
              <w:rPr>
                <w:i/>
                <w:lang w:eastAsia="zh-CN"/>
              </w:rPr>
              <w:t xml:space="preserve"> accept the “combination table”</w:t>
            </w:r>
          </w:p>
          <w:p w14:paraId="4FCF33B6" w14:textId="1C524B9A" w:rsidR="00777F5B" w:rsidRDefault="00E10E74">
            <w:pPr>
              <w:rPr>
                <w:szCs w:val="20"/>
                <w:lang w:eastAsia="zh-CN"/>
              </w:rPr>
            </w:pPr>
            <w:r>
              <w:rPr>
                <w:rFonts w:hint="eastAsia"/>
                <w:szCs w:val="20"/>
                <w:lang w:eastAsia="zh-CN"/>
              </w:rPr>
              <w:t xml:space="preserve">@ Ericsson, </w:t>
            </w:r>
            <w:r>
              <w:rPr>
                <w:szCs w:val="20"/>
                <w:lang w:eastAsia="zh-CN"/>
              </w:rPr>
              <w:t>what do you mean by “</w:t>
            </w:r>
            <w:r>
              <w:t>backward compatible”? In my understanding all options will specify a new CQI table, only Rel-17 UEs and eNBs supporting this feature can recognize the CQI table. Can you give us an example of critical issues regarding “backward compatibility”?</w:t>
            </w:r>
          </w:p>
          <w:p w14:paraId="1A5FE0CA" w14:textId="77777777" w:rsidR="00777F5B" w:rsidRDefault="00777F5B">
            <w:pPr>
              <w:rPr>
                <w:szCs w:val="20"/>
                <w:lang w:eastAsia="zh-CN"/>
              </w:rPr>
            </w:pPr>
          </w:p>
        </w:tc>
      </w:tr>
      <w:tr w:rsidR="00BF7BBE" w14:paraId="4BBBA1B8" w14:textId="77777777">
        <w:trPr>
          <w:trHeight w:val="90"/>
        </w:trPr>
        <w:tc>
          <w:tcPr>
            <w:tcW w:w="3102" w:type="dxa"/>
          </w:tcPr>
          <w:p w14:paraId="4A09A547" w14:textId="457A1F8A" w:rsidR="00BF7BBE" w:rsidRDefault="00BF7BBE">
            <w:pPr>
              <w:rPr>
                <w:rFonts w:hint="eastAsia"/>
                <w:lang w:eastAsia="zh-CN"/>
              </w:rPr>
            </w:pPr>
            <w:r>
              <w:rPr>
                <w:lang w:eastAsia="zh-CN"/>
              </w:rPr>
              <w:t>Nokia, NSB</w:t>
            </w:r>
          </w:p>
        </w:tc>
        <w:tc>
          <w:tcPr>
            <w:tcW w:w="6249" w:type="dxa"/>
          </w:tcPr>
          <w:p w14:paraId="6F16760C" w14:textId="3CA1A655" w:rsidR="00BF7BBE" w:rsidRDefault="008531B0">
            <w:pPr>
              <w:rPr>
                <w:lang w:eastAsia="zh-CN"/>
              </w:rPr>
            </w:pPr>
            <w:r>
              <w:rPr>
                <w:lang w:eastAsia="zh-CN"/>
              </w:rPr>
              <w:t xml:space="preserve">We </w:t>
            </w:r>
            <w:r w:rsidR="00005154">
              <w:rPr>
                <w:lang w:eastAsia="zh-CN"/>
              </w:rPr>
              <w:t xml:space="preserve">are OK with option 1. We are also open to discussion on the suggestion by Ericsson to switch between legacy table and new table </w:t>
            </w:r>
            <w:r w:rsidR="00C37F35">
              <w:rPr>
                <w:lang w:eastAsia="zh-CN"/>
              </w:rPr>
              <w:t xml:space="preserve">when UE is configured with 16-QAM. </w:t>
            </w:r>
            <w:r w:rsidR="001F017A">
              <w:rPr>
                <w:lang w:eastAsia="zh-CN"/>
              </w:rPr>
              <w:t>However, w</w:t>
            </w:r>
            <w:r w:rsidR="00F11485">
              <w:rPr>
                <w:lang w:eastAsia="zh-CN"/>
              </w:rPr>
              <w:t xml:space="preserve">e share </w:t>
            </w:r>
            <w:r w:rsidR="001F017A">
              <w:rPr>
                <w:lang w:eastAsia="zh-CN"/>
              </w:rPr>
              <w:t>similar</w:t>
            </w:r>
            <w:r w:rsidR="00F11485">
              <w:rPr>
                <w:lang w:eastAsia="zh-CN"/>
              </w:rPr>
              <w:t xml:space="preserve"> view as the moderator that there is no backward compatibility issue </w:t>
            </w:r>
            <w:r w:rsidR="001F017A">
              <w:rPr>
                <w:lang w:eastAsia="zh-CN"/>
              </w:rPr>
              <w:t>even if only one table is used for UE configured with 16-QAM.</w:t>
            </w:r>
          </w:p>
        </w:tc>
      </w:tr>
    </w:tbl>
    <w:p w14:paraId="7156D3C8" w14:textId="451EDAB7" w:rsidR="0098092C" w:rsidRDefault="0098092C">
      <w:pPr>
        <w:rPr>
          <w:lang w:eastAsia="zh-CN"/>
        </w:rPr>
      </w:pPr>
    </w:p>
    <w:p w14:paraId="2B078DA7" w14:textId="77777777" w:rsidR="0098092C" w:rsidRDefault="0030498B">
      <w:pPr>
        <w:rPr>
          <w:b/>
          <w:i/>
          <w:u w:val="single"/>
          <w:lang w:eastAsia="zh-CN"/>
        </w:rPr>
      </w:pPr>
      <w:r>
        <w:rPr>
          <w:b/>
          <w:i/>
          <w:u w:val="single"/>
          <w:lang w:eastAsia="zh-CN"/>
        </w:rPr>
        <w:t>Option 2:</w:t>
      </w:r>
    </w:p>
    <w:tbl>
      <w:tblPr>
        <w:tblStyle w:val="TableGrid"/>
        <w:tblW w:w="0" w:type="auto"/>
        <w:tblLook w:val="04A0" w:firstRow="1" w:lastRow="0" w:firstColumn="1" w:lastColumn="0" w:noHBand="0" w:noVBand="1"/>
      </w:tblPr>
      <w:tblGrid>
        <w:gridCol w:w="3347"/>
        <w:gridCol w:w="5960"/>
      </w:tblGrid>
      <w:tr w:rsidR="0098092C" w14:paraId="131B19A1" w14:textId="77777777">
        <w:tc>
          <w:tcPr>
            <w:tcW w:w="4653" w:type="dxa"/>
          </w:tcPr>
          <w:p w14:paraId="5BD20C05" w14:textId="77777777" w:rsidR="0098092C" w:rsidRDefault="0030498B">
            <w:pPr>
              <w:tabs>
                <w:tab w:val="left" w:pos="1140"/>
              </w:tabs>
              <w:rPr>
                <w:lang w:eastAsia="zh-CN"/>
              </w:rPr>
            </w:pPr>
            <w:r>
              <w:rPr>
                <w:rFonts w:hint="eastAsia"/>
                <w:lang w:eastAsia="zh-CN"/>
              </w:rPr>
              <w:t>Options</w:t>
            </w:r>
          </w:p>
        </w:tc>
        <w:tc>
          <w:tcPr>
            <w:tcW w:w="4654" w:type="dxa"/>
          </w:tcPr>
          <w:p w14:paraId="2423F92E" w14:textId="77777777" w:rsidR="0098092C" w:rsidRDefault="0030498B">
            <w:pPr>
              <w:rPr>
                <w:lang w:eastAsia="zh-CN"/>
              </w:rPr>
            </w:pPr>
            <w:r>
              <w:rPr>
                <w:lang w:eastAsia="zh-CN"/>
              </w:rPr>
              <w:t>Examples</w:t>
            </w:r>
          </w:p>
        </w:tc>
      </w:tr>
      <w:tr w:rsidR="0098092C" w14:paraId="57716591" w14:textId="77777777">
        <w:trPr>
          <w:trHeight w:val="4350"/>
        </w:trPr>
        <w:tc>
          <w:tcPr>
            <w:tcW w:w="4653" w:type="dxa"/>
          </w:tcPr>
          <w:p w14:paraId="11B2E6A5" w14:textId="77777777" w:rsidR="0098092C" w:rsidRDefault="0030498B">
            <w:pPr>
              <w:pStyle w:val="ListParagraph"/>
              <w:numPr>
                <w:ilvl w:val="0"/>
                <w:numId w:val="17"/>
              </w:numPr>
              <w:overflowPunct w:val="0"/>
              <w:autoSpaceDE w:val="0"/>
              <w:autoSpaceDN w:val="0"/>
              <w:adjustRightInd w:val="0"/>
              <w:spacing w:after="180" w:line="240" w:lineRule="auto"/>
              <w:contextualSpacing/>
              <w:jc w:val="left"/>
              <w:textAlignment w:val="baseline"/>
              <w:rPr>
                <w:rFonts w:ascii="Times New Roman" w:hAnsi="Times New Roman" w:cs="Times New Roman"/>
                <w:sz w:val="22"/>
                <w:szCs w:val="22"/>
              </w:rPr>
            </w:pPr>
            <w:r>
              <w:rPr>
                <w:rFonts w:ascii="Times New Roman" w:hAnsi="Times New Roman" w:cs="Times New Roman"/>
                <w:sz w:val="22"/>
                <w:szCs w:val="22"/>
              </w:rPr>
              <w:lastRenderedPageBreak/>
              <w:t>Option 2: Three candidate values for 16-QAM are added in the legacy table.</w:t>
            </w:r>
          </w:p>
          <w:p w14:paraId="1747016A" w14:textId="77777777" w:rsidR="0098092C" w:rsidRDefault="0098092C">
            <w:pPr>
              <w:tabs>
                <w:tab w:val="left" w:pos="1140"/>
              </w:tabs>
              <w:rPr>
                <w:lang w:eastAsia="zh-CN"/>
              </w:rPr>
            </w:pPr>
          </w:p>
        </w:tc>
        <w:tc>
          <w:tcPr>
            <w:tcW w:w="4654" w:type="dxa"/>
          </w:tcPr>
          <w:p w14:paraId="1A0DFF33" w14:textId="77777777" w:rsidR="0098092C" w:rsidRDefault="0098092C">
            <w:pPr>
              <w:rPr>
                <w:lang w:eastAsia="zh-CN"/>
              </w:rPr>
            </w:pPr>
          </w:p>
          <w:tbl>
            <w:tblPr>
              <w:tblpPr w:leftFromText="180" w:rightFromText="180" w:vertAnchor="text" w:horzAnchor="margin" w:tblpY="-29"/>
              <w:tblOverlap w:val="never"/>
              <w:tblW w:w="5724" w:type="dxa"/>
              <w:tblCellMar>
                <w:left w:w="0" w:type="dxa"/>
                <w:right w:w="0" w:type="dxa"/>
              </w:tblCellMar>
              <w:tblLook w:val="04A0" w:firstRow="1" w:lastRow="0" w:firstColumn="1" w:lastColumn="0" w:noHBand="0" w:noVBand="1"/>
            </w:tblPr>
            <w:tblGrid>
              <w:gridCol w:w="1304"/>
              <w:gridCol w:w="1531"/>
              <w:gridCol w:w="722"/>
              <w:gridCol w:w="722"/>
              <w:gridCol w:w="722"/>
              <w:gridCol w:w="723"/>
            </w:tblGrid>
            <w:tr w:rsidR="0098092C" w14:paraId="38643394" w14:textId="77777777">
              <w:trPr>
                <w:trHeight w:val="985"/>
              </w:trPr>
              <w:tc>
                <w:tcPr>
                  <w:tcW w:w="13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6040A24" w14:textId="77777777" w:rsidR="0098092C" w:rsidRDefault="0030498B">
                  <w:pPr>
                    <w:pStyle w:val="TAH"/>
                    <w:ind w:left="440" w:hanging="440"/>
                    <w:rPr>
                      <w:sz w:val="11"/>
                      <w:szCs w:val="11"/>
                    </w:rPr>
                  </w:pPr>
                  <w:r>
                    <w:rPr>
                      <w:sz w:val="11"/>
                      <w:szCs w:val="11"/>
                    </w:rPr>
                    <w:t>Reported value</w:t>
                  </w:r>
                </w:p>
              </w:tc>
              <w:tc>
                <w:tcPr>
                  <w:tcW w:w="153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405CCEA" w14:textId="77777777" w:rsidR="0098092C" w:rsidRDefault="0030498B">
                  <w:pPr>
                    <w:pStyle w:val="TAH"/>
                    <w:ind w:left="440" w:hanging="440"/>
                    <w:rPr>
                      <w:sz w:val="11"/>
                      <w:szCs w:val="11"/>
                    </w:rPr>
                  </w:pPr>
                  <w:r>
                    <w:rPr>
                      <w:sz w:val="11"/>
                      <w:szCs w:val="11"/>
                    </w:rPr>
                    <w:t>NPDCCH repetition level</w:t>
                  </w:r>
                </w:p>
              </w:tc>
              <w:tc>
                <w:tcPr>
                  <w:tcW w:w="2889" w:type="dxa"/>
                  <w:gridSpan w:val="4"/>
                  <w:tcBorders>
                    <w:top w:val="single" w:sz="8" w:space="0" w:color="auto"/>
                    <w:left w:val="nil"/>
                    <w:bottom w:val="single" w:sz="8" w:space="0" w:color="auto"/>
                    <w:right w:val="single" w:sz="8" w:space="0" w:color="auto"/>
                  </w:tcBorders>
                </w:tcPr>
                <w:p w14:paraId="6D92EB92" w14:textId="77777777" w:rsidR="0098092C" w:rsidRDefault="0030498B">
                  <w:pPr>
                    <w:pStyle w:val="TAH"/>
                    <w:ind w:left="440" w:hanging="440"/>
                    <w:rPr>
                      <w:sz w:val="11"/>
                      <w:szCs w:val="11"/>
                    </w:rPr>
                  </w:pPr>
                  <w:r>
                    <w:rPr>
                      <w:sz w:val="11"/>
                      <w:szCs w:val="11"/>
                    </w:rPr>
                    <w:t>16-QAM CQI index with NPDSCH transport block error probability not exceeding 0.1</w:t>
                  </w:r>
                </w:p>
              </w:tc>
            </w:tr>
            <w:tr w:rsidR="0098092C" w14:paraId="1D35E62E" w14:textId="77777777">
              <w:tc>
                <w:tcPr>
                  <w:tcW w:w="13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1B9233" w14:textId="77777777" w:rsidR="0098092C" w:rsidRDefault="0030498B">
                  <w:pPr>
                    <w:pStyle w:val="TAC"/>
                    <w:rPr>
                      <w:sz w:val="11"/>
                      <w:szCs w:val="11"/>
                    </w:rPr>
                  </w:pPr>
                  <w:r>
                    <w:rPr>
                      <w:sz w:val="11"/>
                      <w:szCs w:val="11"/>
                    </w:rPr>
                    <w:t>noMeasurement</w:t>
                  </w:r>
                </w:p>
              </w:tc>
              <w:tc>
                <w:tcPr>
                  <w:tcW w:w="1531" w:type="dxa"/>
                  <w:tcBorders>
                    <w:top w:val="nil"/>
                    <w:left w:val="nil"/>
                    <w:bottom w:val="single" w:sz="8" w:space="0" w:color="auto"/>
                    <w:right w:val="single" w:sz="8" w:space="0" w:color="auto"/>
                  </w:tcBorders>
                  <w:tcMar>
                    <w:top w:w="0" w:type="dxa"/>
                    <w:left w:w="108" w:type="dxa"/>
                    <w:bottom w:w="0" w:type="dxa"/>
                    <w:right w:w="108" w:type="dxa"/>
                  </w:tcMar>
                  <w:vAlign w:val="center"/>
                </w:tcPr>
                <w:p w14:paraId="77C49BC5" w14:textId="77777777" w:rsidR="0098092C" w:rsidRDefault="0030498B">
                  <w:pPr>
                    <w:pStyle w:val="TAC"/>
                    <w:rPr>
                      <w:sz w:val="11"/>
                      <w:szCs w:val="11"/>
                    </w:rPr>
                  </w:pPr>
                  <w:r>
                    <w:rPr>
                      <w:sz w:val="11"/>
                      <w:szCs w:val="11"/>
                    </w:rPr>
                    <w:t>No measurement reporting</w:t>
                  </w:r>
                </w:p>
              </w:tc>
              <w:tc>
                <w:tcPr>
                  <w:tcW w:w="2889" w:type="dxa"/>
                  <w:gridSpan w:val="4"/>
                  <w:tcBorders>
                    <w:top w:val="nil"/>
                    <w:left w:val="nil"/>
                    <w:bottom w:val="single" w:sz="8" w:space="0" w:color="auto"/>
                    <w:right w:val="single" w:sz="8" w:space="0" w:color="auto"/>
                  </w:tcBorders>
                </w:tcPr>
                <w:p w14:paraId="4C98CE79" w14:textId="77777777" w:rsidR="0098092C" w:rsidRDefault="0030498B">
                  <w:pPr>
                    <w:pStyle w:val="TAC"/>
                    <w:rPr>
                      <w:sz w:val="11"/>
                      <w:szCs w:val="11"/>
                    </w:rPr>
                  </w:pPr>
                  <w:r>
                    <w:rPr>
                      <w:sz w:val="11"/>
                      <w:szCs w:val="11"/>
                    </w:rPr>
                    <w:t>No measurement reporting</w:t>
                  </w:r>
                </w:p>
              </w:tc>
            </w:tr>
            <w:tr w:rsidR="0098092C" w14:paraId="6B127E9C" w14:textId="77777777">
              <w:tc>
                <w:tcPr>
                  <w:tcW w:w="13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7CC2D9B" w14:textId="77777777" w:rsidR="0098092C" w:rsidRDefault="0030498B">
                  <w:pPr>
                    <w:pStyle w:val="TAC"/>
                    <w:rPr>
                      <w:sz w:val="11"/>
                      <w:szCs w:val="11"/>
                    </w:rPr>
                  </w:pPr>
                  <w:r>
                    <w:rPr>
                      <w:sz w:val="11"/>
                      <w:szCs w:val="11"/>
                      <w:lang w:eastAsia="ja-JP"/>
                    </w:rPr>
                    <w:t>candidateRep-A</w:t>
                  </w:r>
                </w:p>
              </w:tc>
              <w:tc>
                <w:tcPr>
                  <w:tcW w:w="1531" w:type="dxa"/>
                  <w:tcBorders>
                    <w:top w:val="nil"/>
                    <w:left w:val="nil"/>
                    <w:bottom w:val="single" w:sz="8" w:space="0" w:color="auto"/>
                    <w:right w:val="single" w:sz="8" w:space="0" w:color="auto"/>
                  </w:tcBorders>
                  <w:tcMar>
                    <w:top w:w="0" w:type="dxa"/>
                    <w:left w:w="108" w:type="dxa"/>
                    <w:bottom w:w="0" w:type="dxa"/>
                    <w:right w:w="108" w:type="dxa"/>
                  </w:tcMar>
                  <w:vAlign w:val="center"/>
                </w:tcPr>
                <w:p w14:paraId="2EFE644F" w14:textId="77777777" w:rsidR="0098092C" w:rsidRDefault="0030498B">
                  <w:pPr>
                    <w:pStyle w:val="TAC"/>
                    <w:rPr>
                      <w:sz w:val="11"/>
                      <w:szCs w:val="11"/>
                    </w:rPr>
                  </w:pPr>
                  <w:r>
                    <w:rPr>
                      <w:sz w:val="11"/>
                      <w:szCs w:val="11"/>
                      <w:lang w:eastAsia="ja-JP"/>
                    </w:rPr>
                    <w:t>1</w:t>
                  </w:r>
                </w:p>
              </w:tc>
              <w:tc>
                <w:tcPr>
                  <w:tcW w:w="2889" w:type="dxa"/>
                  <w:gridSpan w:val="4"/>
                  <w:tcBorders>
                    <w:top w:val="nil"/>
                    <w:left w:val="nil"/>
                    <w:bottom w:val="single" w:sz="8" w:space="0" w:color="auto"/>
                    <w:right w:val="single" w:sz="8" w:space="0" w:color="auto"/>
                  </w:tcBorders>
                </w:tcPr>
                <w:p w14:paraId="705AEBBC" w14:textId="77777777" w:rsidR="0098092C" w:rsidRDefault="0030498B">
                  <w:pPr>
                    <w:pStyle w:val="TAC"/>
                    <w:rPr>
                      <w:sz w:val="11"/>
                      <w:szCs w:val="11"/>
                    </w:rPr>
                  </w:pPr>
                  <w:r>
                    <w:rPr>
                      <w:sz w:val="11"/>
                      <w:szCs w:val="11"/>
                      <w:lang w:eastAsia="ja-JP"/>
                    </w:rPr>
                    <w:t>N/A</w:t>
                  </w:r>
                </w:p>
              </w:tc>
            </w:tr>
            <w:tr w:rsidR="0098092C" w14:paraId="2E1AB8D3" w14:textId="77777777">
              <w:tc>
                <w:tcPr>
                  <w:tcW w:w="13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90157E" w14:textId="77777777" w:rsidR="0098092C" w:rsidRDefault="0030498B">
                  <w:pPr>
                    <w:pStyle w:val="TAC"/>
                    <w:rPr>
                      <w:sz w:val="11"/>
                      <w:szCs w:val="11"/>
                    </w:rPr>
                  </w:pPr>
                  <w:r>
                    <w:rPr>
                      <w:sz w:val="11"/>
                      <w:szCs w:val="11"/>
                      <w:lang w:eastAsia="ja-JP"/>
                    </w:rPr>
                    <w:t>candidateRep-B</w:t>
                  </w:r>
                </w:p>
              </w:tc>
              <w:tc>
                <w:tcPr>
                  <w:tcW w:w="1531" w:type="dxa"/>
                  <w:tcBorders>
                    <w:top w:val="nil"/>
                    <w:left w:val="nil"/>
                    <w:bottom w:val="single" w:sz="8" w:space="0" w:color="auto"/>
                    <w:right w:val="single" w:sz="8" w:space="0" w:color="auto"/>
                  </w:tcBorders>
                  <w:tcMar>
                    <w:top w:w="0" w:type="dxa"/>
                    <w:left w:w="108" w:type="dxa"/>
                    <w:bottom w:w="0" w:type="dxa"/>
                    <w:right w:w="108" w:type="dxa"/>
                  </w:tcMar>
                  <w:vAlign w:val="center"/>
                </w:tcPr>
                <w:p w14:paraId="15954F21" w14:textId="77777777" w:rsidR="0098092C" w:rsidRDefault="0030498B">
                  <w:pPr>
                    <w:pStyle w:val="TAC"/>
                    <w:rPr>
                      <w:sz w:val="11"/>
                      <w:szCs w:val="11"/>
                    </w:rPr>
                  </w:pPr>
                  <w:r>
                    <w:rPr>
                      <w:sz w:val="11"/>
                      <w:szCs w:val="11"/>
                      <w:lang w:eastAsia="ja-JP"/>
                    </w:rPr>
                    <w:t>2</w:t>
                  </w:r>
                </w:p>
              </w:tc>
              <w:tc>
                <w:tcPr>
                  <w:tcW w:w="2889" w:type="dxa"/>
                  <w:gridSpan w:val="4"/>
                  <w:tcBorders>
                    <w:top w:val="nil"/>
                    <w:left w:val="nil"/>
                    <w:bottom w:val="single" w:sz="8" w:space="0" w:color="auto"/>
                    <w:right w:val="single" w:sz="8" w:space="0" w:color="auto"/>
                  </w:tcBorders>
                </w:tcPr>
                <w:p w14:paraId="1C095BFD" w14:textId="77777777" w:rsidR="0098092C" w:rsidRDefault="0030498B">
                  <w:pPr>
                    <w:pStyle w:val="TAC"/>
                    <w:rPr>
                      <w:sz w:val="11"/>
                      <w:szCs w:val="11"/>
                    </w:rPr>
                  </w:pPr>
                  <w:r>
                    <w:rPr>
                      <w:sz w:val="11"/>
                      <w:szCs w:val="11"/>
                      <w:lang w:eastAsia="ja-JP"/>
                    </w:rPr>
                    <w:t>N/A</w:t>
                  </w:r>
                </w:p>
              </w:tc>
            </w:tr>
            <w:tr w:rsidR="0098092C" w14:paraId="51A287C6" w14:textId="77777777">
              <w:tc>
                <w:tcPr>
                  <w:tcW w:w="13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314E2B" w14:textId="77777777" w:rsidR="0098092C" w:rsidRDefault="0030498B">
                  <w:pPr>
                    <w:pStyle w:val="TAC"/>
                    <w:rPr>
                      <w:sz w:val="11"/>
                      <w:szCs w:val="11"/>
                    </w:rPr>
                  </w:pPr>
                  <w:r>
                    <w:rPr>
                      <w:sz w:val="11"/>
                      <w:szCs w:val="11"/>
                      <w:lang w:eastAsia="ja-JP"/>
                    </w:rPr>
                    <w:t>candidateRep-C</w:t>
                  </w:r>
                </w:p>
              </w:tc>
              <w:tc>
                <w:tcPr>
                  <w:tcW w:w="1531" w:type="dxa"/>
                  <w:tcBorders>
                    <w:top w:val="nil"/>
                    <w:left w:val="nil"/>
                    <w:bottom w:val="single" w:sz="8" w:space="0" w:color="auto"/>
                    <w:right w:val="single" w:sz="8" w:space="0" w:color="auto"/>
                  </w:tcBorders>
                  <w:tcMar>
                    <w:top w:w="0" w:type="dxa"/>
                    <w:left w:w="108" w:type="dxa"/>
                    <w:bottom w:w="0" w:type="dxa"/>
                    <w:right w:w="108" w:type="dxa"/>
                  </w:tcMar>
                  <w:vAlign w:val="center"/>
                </w:tcPr>
                <w:p w14:paraId="4890A774" w14:textId="77777777" w:rsidR="0098092C" w:rsidRDefault="0030498B">
                  <w:pPr>
                    <w:pStyle w:val="TAC"/>
                    <w:rPr>
                      <w:sz w:val="11"/>
                      <w:szCs w:val="11"/>
                    </w:rPr>
                  </w:pPr>
                  <w:r>
                    <w:rPr>
                      <w:sz w:val="11"/>
                      <w:szCs w:val="11"/>
                      <w:lang w:eastAsia="ja-JP"/>
                    </w:rPr>
                    <w:t>4</w:t>
                  </w:r>
                </w:p>
              </w:tc>
              <w:tc>
                <w:tcPr>
                  <w:tcW w:w="2889" w:type="dxa"/>
                  <w:gridSpan w:val="4"/>
                  <w:tcBorders>
                    <w:top w:val="nil"/>
                    <w:left w:val="nil"/>
                    <w:bottom w:val="single" w:sz="8" w:space="0" w:color="auto"/>
                    <w:right w:val="single" w:sz="8" w:space="0" w:color="auto"/>
                  </w:tcBorders>
                </w:tcPr>
                <w:p w14:paraId="7074F331" w14:textId="77777777" w:rsidR="0098092C" w:rsidRDefault="0030498B">
                  <w:pPr>
                    <w:pStyle w:val="TAC"/>
                    <w:rPr>
                      <w:sz w:val="11"/>
                      <w:szCs w:val="11"/>
                    </w:rPr>
                  </w:pPr>
                  <w:r>
                    <w:rPr>
                      <w:sz w:val="11"/>
                      <w:szCs w:val="11"/>
                      <w:lang w:eastAsia="ja-JP"/>
                    </w:rPr>
                    <w:t>N/A</w:t>
                  </w:r>
                </w:p>
              </w:tc>
            </w:tr>
            <w:tr w:rsidR="0098092C" w14:paraId="29390954" w14:textId="77777777">
              <w:tc>
                <w:tcPr>
                  <w:tcW w:w="13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3FA333" w14:textId="77777777" w:rsidR="0098092C" w:rsidRDefault="0030498B">
                  <w:pPr>
                    <w:pStyle w:val="TAC"/>
                    <w:rPr>
                      <w:sz w:val="11"/>
                      <w:szCs w:val="11"/>
                    </w:rPr>
                  </w:pPr>
                  <w:r>
                    <w:rPr>
                      <w:sz w:val="11"/>
                      <w:szCs w:val="11"/>
                      <w:lang w:eastAsia="ja-JP"/>
                    </w:rPr>
                    <w:t>candidateRep-D</w:t>
                  </w:r>
                </w:p>
              </w:tc>
              <w:tc>
                <w:tcPr>
                  <w:tcW w:w="1531" w:type="dxa"/>
                  <w:tcBorders>
                    <w:top w:val="nil"/>
                    <w:left w:val="nil"/>
                    <w:bottom w:val="single" w:sz="8" w:space="0" w:color="auto"/>
                    <w:right w:val="single" w:sz="8" w:space="0" w:color="auto"/>
                  </w:tcBorders>
                  <w:tcMar>
                    <w:top w:w="0" w:type="dxa"/>
                    <w:left w:w="108" w:type="dxa"/>
                    <w:bottom w:w="0" w:type="dxa"/>
                    <w:right w:w="108" w:type="dxa"/>
                  </w:tcMar>
                  <w:vAlign w:val="center"/>
                </w:tcPr>
                <w:p w14:paraId="1B64C76D" w14:textId="77777777" w:rsidR="0098092C" w:rsidRDefault="0030498B">
                  <w:pPr>
                    <w:pStyle w:val="TAC"/>
                    <w:rPr>
                      <w:sz w:val="11"/>
                      <w:szCs w:val="11"/>
                    </w:rPr>
                  </w:pPr>
                  <w:r>
                    <w:rPr>
                      <w:sz w:val="11"/>
                      <w:szCs w:val="11"/>
                      <w:lang w:eastAsia="ja-JP"/>
                    </w:rPr>
                    <w:t>8</w:t>
                  </w:r>
                </w:p>
              </w:tc>
              <w:tc>
                <w:tcPr>
                  <w:tcW w:w="2889" w:type="dxa"/>
                  <w:gridSpan w:val="4"/>
                  <w:tcBorders>
                    <w:top w:val="nil"/>
                    <w:left w:val="nil"/>
                    <w:bottom w:val="single" w:sz="8" w:space="0" w:color="auto"/>
                    <w:right w:val="single" w:sz="8" w:space="0" w:color="auto"/>
                  </w:tcBorders>
                </w:tcPr>
                <w:p w14:paraId="044369A8" w14:textId="77777777" w:rsidR="0098092C" w:rsidRDefault="0030498B">
                  <w:pPr>
                    <w:pStyle w:val="TAC"/>
                    <w:rPr>
                      <w:sz w:val="11"/>
                      <w:szCs w:val="11"/>
                    </w:rPr>
                  </w:pPr>
                  <w:r>
                    <w:rPr>
                      <w:sz w:val="11"/>
                      <w:szCs w:val="11"/>
                      <w:lang w:eastAsia="ja-JP"/>
                    </w:rPr>
                    <w:t>N/A</w:t>
                  </w:r>
                </w:p>
              </w:tc>
            </w:tr>
            <w:tr w:rsidR="0098092C" w14:paraId="2C6403A7" w14:textId="77777777">
              <w:tc>
                <w:tcPr>
                  <w:tcW w:w="13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27B74E" w14:textId="77777777" w:rsidR="0098092C" w:rsidRDefault="0030498B">
                  <w:pPr>
                    <w:pStyle w:val="TAC"/>
                    <w:rPr>
                      <w:sz w:val="11"/>
                      <w:szCs w:val="11"/>
                    </w:rPr>
                  </w:pPr>
                  <w:r>
                    <w:rPr>
                      <w:sz w:val="11"/>
                      <w:szCs w:val="11"/>
                      <w:lang w:eastAsia="ja-JP"/>
                    </w:rPr>
                    <w:t>candidateRep-E</w:t>
                  </w:r>
                </w:p>
              </w:tc>
              <w:tc>
                <w:tcPr>
                  <w:tcW w:w="1531" w:type="dxa"/>
                  <w:tcBorders>
                    <w:top w:val="nil"/>
                    <w:left w:val="nil"/>
                    <w:bottom w:val="single" w:sz="8" w:space="0" w:color="auto"/>
                    <w:right w:val="single" w:sz="8" w:space="0" w:color="auto"/>
                  </w:tcBorders>
                  <w:tcMar>
                    <w:top w:w="0" w:type="dxa"/>
                    <w:left w:w="108" w:type="dxa"/>
                    <w:bottom w:w="0" w:type="dxa"/>
                    <w:right w:w="108" w:type="dxa"/>
                  </w:tcMar>
                  <w:vAlign w:val="center"/>
                </w:tcPr>
                <w:p w14:paraId="6AAFF25E" w14:textId="77777777" w:rsidR="0098092C" w:rsidRDefault="0030498B">
                  <w:pPr>
                    <w:pStyle w:val="TAC"/>
                    <w:rPr>
                      <w:sz w:val="11"/>
                      <w:szCs w:val="11"/>
                    </w:rPr>
                  </w:pPr>
                  <w:r>
                    <w:rPr>
                      <w:sz w:val="11"/>
                      <w:szCs w:val="11"/>
                      <w:lang w:eastAsia="ja-JP"/>
                    </w:rPr>
                    <w:t>16</w:t>
                  </w:r>
                </w:p>
              </w:tc>
              <w:tc>
                <w:tcPr>
                  <w:tcW w:w="2889" w:type="dxa"/>
                  <w:gridSpan w:val="4"/>
                  <w:tcBorders>
                    <w:top w:val="nil"/>
                    <w:left w:val="nil"/>
                    <w:bottom w:val="single" w:sz="8" w:space="0" w:color="auto"/>
                    <w:right w:val="single" w:sz="8" w:space="0" w:color="auto"/>
                  </w:tcBorders>
                </w:tcPr>
                <w:p w14:paraId="7AF1E17A" w14:textId="77777777" w:rsidR="0098092C" w:rsidRDefault="0030498B">
                  <w:pPr>
                    <w:pStyle w:val="TAC"/>
                    <w:rPr>
                      <w:sz w:val="11"/>
                      <w:szCs w:val="11"/>
                    </w:rPr>
                  </w:pPr>
                  <w:r>
                    <w:rPr>
                      <w:sz w:val="11"/>
                      <w:szCs w:val="11"/>
                      <w:lang w:eastAsia="ja-JP"/>
                    </w:rPr>
                    <w:t>N/A</w:t>
                  </w:r>
                </w:p>
              </w:tc>
            </w:tr>
            <w:tr w:rsidR="0098092C" w14:paraId="00D95348" w14:textId="77777777">
              <w:tc>
                <w:tcPr>
                  <w:tcW w:w="13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3ECDABD" w14:textId="77777777" w:rsidR="0098092C" w:rsidRDefault="0030498B">
                  <w:pPr>
                    <w:pStyle w:val="TAC"/>
                    <w:rPr>
                      <w:sz w:val="11"/>
                      <w:szCs w:val="11"/>
                    </w:rPr>
                  </w:pPr>
                  <w:r>
                    <w:rPr>
                      <w:sz w:val="11"/>
                      <w:szCs w:val="11"/>
                      <w:lang w:eastAsia="ja-JP"/>
                    </w:rPr>
                    <w:t>candidateRep-F</w:t>
                  </w:r>
                </w:p>
              </w:tc>
              <w:tc>
                <w:tcPr>
                  <w:tcW w:w="1531" w:type="dxa"/>
                  <w:tcBorders>
                    <w:top w:val="nil"/>
                    <w:left w:val="nil"/>
                    <w:bottom w:val="single" w:sz="8" w:space="0" w:color="auto"/>
                    <w:right w:val="single" w:sz="8" w:space="0" w:color="auto"/>
                  </w:tcBorders>
                  <w:tcMar>
                    <w:top w:w="0" w:type="dxa"/>
                    <w:left w:w="108" w:type="dxa"/>
                    <w:bottom w:w="0" w:type="dxa"/>
                    <w:right w:w="108" w:type="dxa"/>
                  </w:tcMar>
                  <w:vAlign w:val="center"/>
                </w:tcPr>
                <w:p w14:paraId="00903990" w14:textId="77777777" w:rsidR="0098092C" w:rsidRDefault="0030498B">
                  <w:pPr>
                    <w:pStyle w:val="TAC"/>
                    <w:rPr>
                      <w:sz w:val="11"/>
                      <w:szCs w:val="11"/>
                    </w:rPr>
                  </w:pPr>
                  <w:r>
                    <w:rPr>
                      <w:sz w:val="11"/>
                      <w:szCs w:val="11"/>
                      <w:lang w:eastAsia="ja-JP"/>
                    </w:rPr>
                    <w:t>32</w:t>
                  </w:r>
                </w:p>
              </w:tc>
              <w:tc>
                <w:tcPr>
                  <w:tcW w:w="2889" w:type="dxa"/>
                  <w:gridSpan w:val="4"/>
                  <w:tcBorders>
                    <w:top w:val="nil"/>
                    <w:left w:val="nil"/>
                    <w:bottom w:val="single" w:sz="8" w:space="0" w:color="auto"/>
                    <w:right w:val="single" w:sz="8" w:space="0" w:color="auto"/>
                  </w:tcBorders>
                </w:tcPr>
                <w:p w14:paraId="37FD05EE" w14:textId="77777777" w:rsidR="0098092C" w:rsidRDefault="0030498B">
                  <w:pPr>
                    <w:pStyle w:val="TAC"/>
                    <w:rPr>
                      <w:sz w:val="11"/>
                      <w:szCs w:val="11"/>
                    </w:rPr>
                  </w:pPr>
                  <w:r>
                    <w:rPr>
                      <w:sz w:val="11"/>
                      <w:szCs w:val="11"/>
                      <w:lang w:eastAsia="ja-JP"/>
                    </w:rPr>
                    <w:t>N/A</w:t>
                  </w:r>
                </w:p>
              </w:tc>
            </w:tr>
            <w:tr w:rsidR="0098092C" w14:paraId="129361CF" w14:textId="77777777">
              <w:tc>
                <w:tcPr>
                  <w:tcW w:w="13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5CAB9A" w14:textId="77777777" w:rsidR="0098092C" w:rsidRDefault="0030498B">
                  <w:pPr>
                    <w:pStyle w:val="TAC"/>
                    <w:rPr>
                      <w:sz w:val="11"/>
                      <w:szCs w:val="11"/>
                    </w:rPr>
                  </w:pPr>
                  <w:r>
                    <w:rPr>
                      <w:sz w:val="11"/>
                      <w:szCs w:val="11"/>
                      <w:lang w:eastAsia="ja-JP"/>
                    </w:rPr>
                    <w:t>candidateRep-G</w:t>
                  </w:r>
                </w:p>
              </w:tc>
              <w:tc>
                <w:tcPr>
                  <w:tcW w:w="1531" w:type="dxa"/>
                  <w:tcBorders>
                    <w:top w:val="nil"/>
                    <w:left w:val="nil"/>
                    <w:bottom w:val="single" w:sz="8" w:space="0" w:color="auto"/>
                    <w:right w:val="single" w:sz="8" w:space="0" w:color="auto"/>
                  </w:tcBorders>
                  <w:tcMar>
                    <w:top w:w="0" w:type="dxa"/>
                    <w:left w:w="108" w:type="dxa"/>
                    <w:bottom w:w="0" w:type="dxa"/>
                    <w:right w:w="108" w:type="dxa"/>
                  </w:tcMar>
                  <w:vAlign w:val="center"/>
                </w:tcPr>
                <w:p w14:paraId="7A30007E" w14:textId="77777777" w:rsidR="0098092C" w:rsidRDefault="0030498B">
                  <w:pPr>
                    <w:pStyle w:val="TAC"/>
                    <w:rPr>
                      <w:sz w:val="11"/>
                      <w:szCs w:val="11"/>
                    </w:rPr>
                  </w:pPr>
                  <w:r>
                    <w:rPr>
                      <w:sz w:val="11"/>
                      <w:szCs w:val="11"/>
                      <w:lang w:eastAsia="ja-JP"/>
                    </w:rPr>
                    <w:t>64</w:t>
                  </w:r>
                </w:p>
              </w:tc>
              <w:tc>
                <w:tcPr>
                  <w:tcW w:w="2889" w:type="dxa"/>
                  <w:gridSpan w:val="4"/>
                  <w:tcBorders>
                    <w:top w:val="nil"/>
                    <w:left w:val="nil"/>
                    <w:bottom w:val="single" w:sz="8" w:space="0" w:color="auto"/>
                    <w:right w:val="single" w:sz="8" w:space="0" w:color="auto"/>
                  </w:tcBorders>
                </w:tcPr>
                <w:p w14:paraId="1E8FED68" w14:textId="77777777" w:rsidR="0098092C" w:rsidRDefault="0030498B">
                  <w:pPr>
                    <w:pStyle w:val="TAC"/>
                    <w:rPr>
                      <w:sz w:val="11"/>
                      <w:szCs w:val="11"/>
                    </w:rPr>
                  </w:pPr>
                  <w:r>
                    <w:rPr>
                      <w:sz w:val="11"/>
                      <w:szCs w:val="11"/>
                      <w:lang w:eastAsia="ja-JP"/>
                    </w:rPr>
                    <w:t>N/A</w:t>
                  </w:r>
                </w:p>
              </w:tc>
            </w:tr>
            <w:tr w:rsidR="0098092C" w14:paraId="08AB085F" w14:textId="77777777">
              <w:tc>
                <w:tcPr>
                  <w:tcW w:w="13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1C106D" w14:textId="77777777" w:rsidR="0098092C" w:rsidRDefault="0030498B">
                  <w:pPr>
                    <w:pStyle w:val="TAC"/>
                    <w:rPr>
                      <w:sz w:val="11"/>
                      <w:szCs w:val="11"/>
                    </w:rPr>
                  </w:pPr>
                  <w:r>
                    <w:rPr>
                      <w:sz w:val="11"/>
                      <w:szCs w:val="11"/>
                      <w:lang w:eastAsia="ja-JP"/>
                    </w:rPr>
                    <w:t>candidateRep-H</w:t>
                  </w:r>
                </w:p>
              </w:tc>
              <w:tc>
                <w:tcPr>
                  <w:tcW w:w="1531" w:type="dxa"/>
                  <w:tcBorders>
                    <w:top w:val="nil"/>
                    <w:left w:val="nil"/>
                    <w:bottom w:val="single" w:sz="8" w:space="0" w:color="auto"/>
                    <w:right w:val="single" w:sz="8" w:space="0" w:color="auto"/>
                  </w:tcBorders>
                  <w:tcMar>
                    <w:top w:w="0" w:type="dxa"/>
                    <w:left w:w="108" w:type="dxa"/>
                    <w:bottom w:w="0" w:type="dxa"/>
                    <w:right w:w="108" w:type="dxa"/>
                  </w:tcMar>
                  <w:vAlign w:val="center"/>
                </w:tcPr>
                <w:p w14:paraId="3EAEF15A" w14:textId="77777777" w:rsidR="0098092C" w:rsidRDefault="0030498B">
                  <w:pPr>
                    <w:pStyle w:val="TAC"/>
                    <w:rPr>
                      <w:sz w:val="11"/>
                      <w:szCs w:val="11"/>
                    </w:rPr>
                  </w:pPr>
                  <w:r>
                    <w:rPr>
                      <w:sz w:val="11"/>
                      <w:szCs w:val="11"/>
                      <w:lang w:eastAsia="ja-JP"/>
                    </w:rPr>
                    <w:t>128</w:t>
                  </w:r>
                </w:p>
              </w:tc>
              <w:tc>
                <w:tcPr>
                  <w:tcW w:w="2889" w:type="dxa"/>
                  <w:gridSpan w:val="4"/>
                  <w:tcBorders>
                    <w:top w:val="nil"/>
                    <w:left w:val="nil"/>
                    <w:bottom w:val="single" w:sz="8" w:space="0" w:color="auto"/>
                    <w:right w:val="single" w:sz="8" w:space="0" w:color="auto"/>
                  </w:tcBorders>
                </w:tcPr>
                <w:p w14:paraId="586DD5AC" w14:textId="77777777" w:rsidR="0098092C" w:rsidRDefault="0030498B">
                  <w:pPr>
                    <w:pStyle w:val="TAC"/>
                    <w:rPr>
                      <w:sz w:val="11"/>
                      <w:szCs w:val="11"/>
                    </w:rPr>
                  </w:pPr>
                  <w:r>
                    <w:rPr>
                      <w:sz w:val="11"/>
                      <w:szCs w:val="11"/>
                      <w:lang w:eastAsia="ja-JP"/>
                    </w:rPr>
                    <w:t>N/A</w:t>
                  </w:r>
                </w:p>
              </w:tc>
            </w:tr>
            <w:tr w:rsidR="0098092C" w14:paraId="0C67DD4C" w14:textId="77777777">
              <w:tc>
                <w:tcPr>
                  <w:tcW w:w="13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6CD2AB" w14:textId="77777777" w:rsidR="0098092C" w:rsidRDefault="0030498B">
                  <w:pPr>
                    <w:pStyle w:val="TAC"/>
                    <w:rPr>
                      <w:sz w:val="11"/>
                      <w:szCs w:val="11"/>
                    </w:rPr>
                  </w:pPr>
                  <w:r>
                    <w:rPr>
                      <w:sz w:val="11"/>
                      <w:szCs w:val="11"/>
                      <w:lang w:eastAsia="ja-JP"/>
                    </w:rPr>
                    <w:t>candidateRep-I</w:t>
                  </w:r>
                </w:p>
              </w:tc>
              <w:tc>
                <w:tcPr>
                  <w:tcW w:w="1531" w:type="dxa"/>
                  <w:tcBorders>
                    <w:top w:val="nil"/>
                    <w:left w:val="nil"/>
                    <w:bottom w:val="single" w:sz="8" w:space="0" w:color="auto"/>
                    <w:right w:val="single" w:sz="8" w:space="0" w:color="auto"/>
                  </w:tcBorders>
                  <w:tcMar>
                    <w:top w:w="0" w:type="dxa"/>
                    <w:left w:w="108" w:type="dxa"/>
                    <w:bottom w:w="0" w:type="dxa"/>
                    <w:right w:w="108" w:type="dxa"/>
                  </w:tcMar>
                  <w:vAlign w:val="center"/>
                </w:tcPr>
                <w:p w14:paraId="7DDABFC3" w14:textId="77777777" w:rsidR="0098092C" w:rsidRDefault="0030498B">
                  <w:pPr>
                    <w:pStyle w:val="TAC"/>
                    <w:rPr>
                      <w:sz w:val="11"/>
                      <w:szCs w:val="11"/>
                    </w:rPr>
                  </w:pPr>
                  <w:r>
                    <w:rPr>
                      <w:sz w:val="11"/>
                      <w:szCs w:val="11"/>
                      <w:lang w:eastAsia="ja-JP"/>
                    </w:rPr>
                    <w:t>256</w:t>
                  </w:r>
                </w:p>
              </w:tc>
              <w:tc>
                <w:tcPr>
                  <w:tcW w:w="2889" w:type="dxa"/>
                  <w:gridSpan w:val="4"/>
                  <w:tcBorders>
                    <w:top w:val="nil"/>
                    <w:left w:val="nil"/>
                    <w:bottom w:val="single" w:sz="8" w:space="0" w:color="auto"/>
                    <w:right w:val="single" w:sz="8" w:space="0" w:color="auto"/>
                  </w:tcBorders>
                </w:tcPr>
                <w:p w14:paraId="4BFB8D48" w14:textId="77777777" w:rsidR="0098092C" w:rsidRDefault="0030498B">
                  <w:pPr>
                    <w:pStyle w:val="TAC"/>
                    <w:rPr>
                      <w:sz w:val="11"/>
                      <w:szCs w:val="11"/>
                    </w:rPr>
                  </w:pPr>
                  <w:r>
                    <w:rPr>
                      <w:sz w:val="11"/>
                      <w:szCs w:val="11"/>
                      <w:lang w:eastAsia="ja-JP"/>
                    </w:rPr>
                    <w:t>N/A</w:t>
                  </w:r>
                </w:p>
              </w:tc>
            </w:tr>
            <w:tr w:rsidR="0098092C" w14:paraId="2CEDB15C" w14:textId="77777777">
              <w:tc>
                <w:tcPr>
                  <w:tcW w:w="13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7A173CC" w14:textId="77777777" w:rsidR="0098092C" w:rsidRDefault="0030498B">
                  <w:pPr>
                    <w:pStyle w:val="TAC"/>
                    <w:rPr>
                      <w:sz w:val="11"/>
                      <w:szCs w:val="11"/>
                    </w:rPr>
                  </w:pPr>
                  <w:r>
                    <w:rPr>
                      <w:sz w:val="11"/>
                      <w:szCs w:val="11"/>
                      <w:lang w:eastAsia="ja-JP"/>
                    </w:rPr>
                    <w:t>candidateRep-J</w:t>
                  </w:r>
                </w:p>
              </w:tc>
              <w:tc>
                <w:tcPr>
                  <w:tcW w:w="1531" w:type="dxa"/>
                  <w:tcBorders>
                    <w:top w:val="nil"/>
                    <w:left w:val="nil"/>
                    <w:bottom w:val="single" w:sz="8" w:space="0" w:color="auto"/>
                    <w:right w:val="single" w:sz="8" w:space="0" w:color="auto"/>
                  </w:tcBorders>
                  <w:tcMar>
                    <w:top w:w="0" w:type="dxa"/>
                    <w:left w:w="108" w:type="dxa"/>
                    <w:bottom w:w="0" w:type="dxa"/>
                    <w:right w:w="108" w:type="dxa"/>
                  </w:tcMar>
                  <w:vAlign w:val="center"/>
                </w:tcPr>
                <w:p w14:paraId="57E3FBA6" w14:textId="77777777" w:rsidR="0098092C" w:rsidRDefault="0030498B">
                  <w:pPr>
                    <w:pStyle w:val="TAC"/>
                    <w:rPr>
                      <w:sz w:val="11"/>
                      <w:szCs w:val="11"/>
                    </w:rPr>
                  </w:pPr>
                  <w:r>
                    <w:rPr>
                      <w:sz w:val="11"/>
                      <w:szCs w:val="11"/>
                      <w:lang w:eastAsia="ja-JP"/>
                    </w:rPr>
                    <w:t>512</w:t>
                  </w:r>
                </w:p>
              </w:tc>
              <w:tc>
                <w:tcPr>
                  <w:tcW w:w="2889" w:type="dxa"/>
                  <w:gridSpan w:val="4"/>
                  <w:tcBorders>
                    <w:top w:val="nil"/>
                    <w:left w:val="nil"/>
                    <w:bottom w:val="single" w:sz="8" w:space="0" w:color="auto"/>
                    <w:right w:val="single" w:sz="8" w:space="0" w:color="auto"/>
                  </w:tcBorders>
                </w:tcPr>
                <w:p w14:paraId="603A0564" w14:textId="77777777" w:rsidR="0098092C" w:rsidRDefault="0030498B">
                  <w:pPr>
                    <w:pStyle w:val="TAC"/>
                    <w:rPr>
                      <w:sz w:val="11"/>
                      <w:szCs w:val="11"/>
                    </w:rPr>
                  </w:pPr>
                  <w:r>
                    <w:rPr>
                      <w:sz w:val="11"/>
                      <w:szCs w:val="11"/>
                      <w:lang w:eastAsia="ja-JP"/>
                    </w:rPr>
                    <w:t>N/A</w:t>
                  </w:r>
                </w:p>
              </w:tc>
            </w:tr>
            <w:tr w:rsidR="0098092C" w14:paraId="74EE7FFC" w14:textId="77777777">
              <w:tc>
                <w:tcPr>
                  <w:tcW w:w="13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B9DCB5" w14:textId="77777777" w:rsidR="0098092C" w:rsidRDefault="0030498B">
                  <w:pPr>
                    <w:pStyle w:val="TAC"/>
                    <w:rPr>
                      <w:sz w:val="11"/>
                      <w:szCs w:val="11"/>
                    </w:rPr>
                  </w:pPr>
                  <w:r>
                    <w:rPr>
                      <w:sz w:val="11"/>
                      <w:szCs w:val="11"/>
                      <w:lang w:eastAsia="ja-JP"/>
                    </w:rPr>
                    <w:t>candidateRep-K</w:t>
                  </w:r>
                </w:p>
              </w:tc>
              <w:tc>
                <w:tcPr>
                  <w:tcW w:w="1531" w:type="dxa"/>
                  <w:tcBorders>
                    <w:top w:val="nil"/>
                    <w:left w:val="nil"/>
                    <w:bottom w:val="single" w:sz="8" w:space="0" w:color="auto"/>
                    <w:right w:val="single" w:sz="8" w:space="0" w:color="auto"/>
                  </w:tcBorders>
                  <w:tcMar>
                    <w:top w:w="0" w:type="dxa"/>
                    <w:left w:w="108" w:type="dxa"/>
                    <w:bottom w:w="0" w:type="dxa"/>
                    <w:right w:w="108" w:type="dxa"/>
                  </w:tcMar>
                  <w:vAlign w:val="center"/>
                </w:tcPr>
                <w:p w14:paraId="3654CDC4" w14:textId="77777777" w:rsidR="0098092C" w:rsidRDefault="0030498B">
                  <w:pPr>
                    <w:pStyle w:val="TAC"/>
                    <w:rPr>
                      <w:sz w:val="11"/>
                      <w:szCs w:val="11"/>
                    </w:rPr>
                  </w:pPr>
                  <w:r>
                    <w:rPr>
                      <w:sz w:val="11"/>
                      <w:szCs w:val="11"/>
                      <w:lang w:eastAsia="ja-JP"/>
                    </w:rPr>
                    <w:t>1024</w:t>
                  </w:r>
                </w:p>
              </w:tc>
              <w:tc>
                <w:tcPr>
                  <w:tcW w:w="2889" w:type="dxa"/>
                  <w:gridSpan w:val="4"/>
                  <w:tcBorders>
                    <w:top w:val="nil"/>
                    <w:left w:val="nil"/>
                    <w:bottom w:val="single" w:sz="8" w:space="0" w:color="auto"/>
                    <w:right w:val="single" w:sz="8" w:space="0" w:color="auto"/>
                  </w:tcBorders>
                </w:tcPr>
                <w:p w14:paraId="6E66B304" w14:textId="77777777" w:rsidR="0098092C" w:rsidRDefault="0030498B">
                  <w:pPr>
                    <w:pStyle w:val="TAC"/>
                    <w:rPr>
                      <w:sz w:val="11"/>
                      <w:szCs w:val="11"/>
                    </w:rPr>
                  </w:pPr>
                  <w:r>
                    <w:rPr>
                      <w:sz w:val="11"/>
                      <w:szCs w:val="11"/>
                      <w:lang w:eastAsia="ja-JP"/>
                    </w:rPr>
                    <w:t>N/A</w:t>
                  </w:r>
                </w:p>
              </w:tc>
            </w:tr>
            <w:tr w:rsidR="0098092C" w14:paraId="6A6FDCEF" w14:textId="77777777">
              <w:tc>
                <w:tcPr>
                  <w:tcW w:w="13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B0D729" w14:textId="77777777" w:rsidR="0098092C" w:rsidRDefault="0030498B">
                  <w:pPr>
                    <w:pStyle w:val="TAC"/>
                    <w:rPr>
                      <w:sz w:val="11"/>
                      <w:szCs w:val="11"/>
                    </w:rPr>
                  </w:pPr>
                  <w:r>
                    <w:rPr>
                      <w:sz w:val="11"/>
                      <w:szCs w:val="11"/>
                      <w:lang w:eastAsia="ja-JP"/>
                    </w:rPr>
                    <w:t>candidateRep-L</w:t>
                  </w:r>
                </w:p>
              </w:tc>
              <w:tc>
                <w:tcPr>
                  <w:tcW w:w="1531" w:type="dxa"/>
                  <w:tcBorders>
                    <w:top w:val="nil"/>
                    <w:left w:val="nil"/>
                    <w:bottom w:val="single" w:sz="8" w:space="0" w:color="auto"/>
                    <w:right w:val="single" w:sz="8" w:space="0" w:color="auto"/>
                  </w:tcBorders>
                  <w:tcMar>
                    <w:top w:w="0" w:type="dxa"/>
                    <w:left w:w="108" w:type="dxa"/>
                    <w:bottom w:w="0" w:type="dxa"/>
                    <w:right w:w="108" w:type="dxa"/>
                  </w:tcMar>
                  <w:vAlign w:val="center"/>
                </w:tcPr>
                <w:p w14:paraId="273B4066" w14:textId="77777777" w:rsidR="0098092C" w:rsidRDefault="0030498B">
                  <w:pPr>
                    <w:pStyle w:val="TAC"/>
                    <w:rPr>
                      <w:sz w:val="11"/>
                      <w:szCs w:val="11"/>
                    </w:rPr>
                  </w:pPr>
                  <w:r>
                    <w:rPr>
                      <w:sz w:val="11"/>
                      <w:szCs w:val="11"/>
                      <w:lang w:eastAsia="ja-JP"/>
                    </w:rPr>
                    <w:t>2048</w:t>
                  </w:r>
                </w:p>
              </w:tc>
              <w:tc>
                <w:tcPr>
                  <w:tcW w:w="2889" w:type="dxa"/>
                  <w:gridSpan w:val="4"/>
                  <w:tcBorders>
                    <w:top w:val="nil"/>
                    <w:left w:val="nil"/>
                    <w:bottom w:val="single" w:sz="8" w:space="0" w:color="auto"/>
                    <w:right w:val="single" w:sz="8" w:space="0" w:color="auto"/>
                  </w:tcBorders>
                </w:tcPr>
                <w:p w14:paraId="27225050" w14:textId="77777777" w:rsidR="0098092C" w:rsidRDefault="0030498B">
                  <w:pPr>
                    <w:pStyle w:val="TAC"/>
                    <w:rPr>
                      <w:sz w:val="11"/>
                      <w:szCs w:val="11"/>
                    </w:rPr>
                  </w:pPr>
                  <w:r>
                    <w:rPr>
                      <w:sz w:val="11"/>
                      <w:szCs w:val="11"/>
                      <w:lang w:eastAsia="ja-JP"/>
                    </w:rPr>
                    <w:t>N/A</w:t>
                  </w:r>
                </w:p>
              </w:tc>
            </w:tr>
            <w:tr w:rsidR="0098092C" w14:paraId="60498097" w14:textId="77777777">
              <w:tc>
                <w:tcPr>
                  <w:tcW w:w="13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7BAECA" w14:textId="77777777" w:rsidR="0098092C" w:rsidRDefault="0030498B">
                  <w:pPr>
                    <w:pStyle w:val="TAC"/>
                    <w:rPr>
                      <w:sz w:val="11"/>
                      <w:szCs w:val="11"/>
                    </w:rPr>
                  </w:pPr>
                  <w:r>
                    <w:rPr>
                      <w:sz w:val="11"/>
                      <w:szCs w:val="11"/>
                      <w:highlight w:val="yellow"/>
                      <w:lang w:eastAsia="ja-JP"/>
                    </w:rPr>
                    <w:t>candidateRep-M</w:t>
                  </w:r>
                </w:p>
              </w:tc>
              <w:tc>
                <w:tcPr>
                  <w:tcW w:w="1531" w:type="dxa"/>
                  <w:tcBorders>
                    <w:top w:val="nil"/>
                    <w:left w:val="nil"/>
                    <w:bottom w:val="single" w:sz="8" w:space="0" w:color="auto"/>
                    <w:right w:val="single" w:sz="8" w:space="0" w:color="auto"/>
                  </w:tcBorders>
                  <w:tcMar>
                    <w:top w:w="0" w:type="dxa"/>
                    <w:left w:w="108" w:type="dxa"/>
                    <w:bottom w:w="0" w:type="dxa"/>
                    <w:right w:w="108" w:type="dxa"/>
                  </w:tcMar>
                  <w:vAlign w:val="center"/>
                </w:tcPr>
                <w:p w14:paraId="03ED5FCA" w14:textId="77777777" w:rsidR="0098092C" w:rsidRDefault="0030498B">
                  <w:pPr>
                    <w:pStyle w:val="TAC"/>
                    <w:rPr>
                      <w:sz w:val="11"/>
                      <w:szCs w:val="11"/>
                    </w:rPr>
                  </w:pPr>
                  <w:r>
                    <w:rPr>
                      <w:sz w:val="11"/>
                      <w:szCs w:val="11"/>
                      <w:highlight w:val="yellow"/>
                      <w:lang w:eastAsia="ja-JP"/>
                    </w:rPr>
                    <w:t>1</w:t>
                  </w:r>
                </w:p>
              </w:tc>
              <w:tc>
                <w:tcPr>
                  <w:tcW w:w="722" w:type="dxa"/>
                  <w:vMerge w:val="restart"/>
                  <w:tcBorders>
                    <w:top w:val="nil"/>
                    <w:left w:val="nil"/>
                    <w:bottom w:val="single" w:sz="8" w:space="0" w:color="auto"/>
                    <w:right w:val="single" w:sz="8" w:space="0" w:color="auto"/>
                  </w:tcBorders>
                </w:tcPr>
                <w:p w14:paraId="44808B25" w14:textId="77777777" w:rsidR="0098092C" w:rsidRDefault="0030498B">
                  <w:pPr>
                    <w:pStyle w:val="TAC"/>
                    <w:rPr>
                      <w:sz w:val="11"/>
                      <w:szCs w:val="11"/>
                    </w:rPr>
                  </w:pPr>
                  <w:r>
                    <w:rPr>
                      <w:sz w:val="11"/>
                      <w:szCs w:val="11"/>
                      <w:lang w:eastAsia="ja-JP"/>
                    </w:rPr>
                    <w:t>Guard-band and Stand-alone</w:t>
                  </w:r>
                </w:p>
              </w:tc>
              <w:tc>
                <w:tcPr>
                  <w:tcW w:w="722" w:type="dxa"/>
                  <w:tcBorders>
                    <w:top w:val="nil"/>
                    <w:left w:val="nil"/>
                    <w:bottom w:val="single" w:sz="8" w:space="0" w:color="auto"/>
                    <w:right w:val="single" w:sz="8" w:space="0" w:color="auto"/>
                  </w:tcBorders>
                </w:tcPr>
                <w:p w14:paraId="1266DE37" w14:textId="77777777" w:rsidR="0098092C" w:rsidRDefault="0030498B">
                  <w:pPr>
                    <w:pStyle w:val="TAC"/>
                    <w:rPr>
                      <w:sz w:val="11"/>
                      <w:szCs w:val="11"/>
                    </w:rPr>
                  </w:pPr>
                  <w:r>
                    <w:rPr>
                      <w:sz w:val="11"/>
                      <w:szCs w:val="11"/>
                      <w:lang w:eastAsia="ja-JP"/>
                    </w:rPr>
                    <w:t>I</w:t>
                  </w:r>
                  <w:r>
                    <w:rPr>
                      <w:sz w:val="11"/>
                      <w:szCs w:val="11"/>
                      <w:vertAlign w:val="subscript"/>
                      <w:lang w:eastAsia="ja-JP"/>
                    </w:rPr>
                    <w:t>TBS</w:t>
                  </w:r>
                  <w:r>
                    <w:rPr>
                      <w:sz w:val="11"/>
                      <w:szCs w:val="11"/>
                      <w:lang w:eastAsia="ja-JP"/>
                    </w:rPr>
                    <w:t xml:space="preserve"> = 17</w:t>
                  </w:r>
                </w:p>
              </w:tc>
              <w:tc>
                <w:tcPr>
                  <w:tcW w:w="722" w:type="dxa"/>
                  <w:vMerge w:val="restart"/>
                  <w:tcBorders>
                    <w:top w:val="nil"/>
                    <w:left w:val="nil"/>
                    <w:bottom w:val="single" w:sz="8" w:space="0" w:color="auto"/>
                    <w:right w:val="single" w:sz="8" w:space="0" w:color="auto"/>
                  </w:tcBorders>
                </w:tcPr>
                <w:p w14:paraId="0F679A4F" w14:textId="77777777" w:rsidR="0098092C" w:rsidRDefault="0030498B">
                  <w:pPr>
                    <w:pStyle w:val="TAC"/>
                    <w:rPr>
                      <w:sz w:val="11"/>
                      <w:szCs w:val="11"/>
                    </w:rPr>
                  </w:pPr>
                  <w:r>
                    <w:rPr>
                      <w:sz w:val="11"/>
                      <w:szCs w:val="11"/>
                      <w:lang w:eastAsia="ja-JP"/>
                    </w:rPr>
                    <w:t> </w:t>
                  </w:r>
                </w:p>
                <w:p w14:paraId="14977044" w14:textId="77777777" w:rsidR="0098092C" w:rsidRDefault="0030498B">
                  <w:pPr>
                    <w:pStyle w:val="TAC"/>
                    <w:rPr>
                      <w:sz w:val="11"/>
                      <w:szCs w:val="11"/>
                    </w:rPr>
                  </w:pPr>
                  <w:r>
                    <w:rPr>
                      <w:sz w:val="11"/>
                      <w:szCs w:val="11"/>
                      <w:lang w:eastAsia="ja-JP"/>
                    </w:rPr>
                    <w:t>In-band</w:t>
                  </w:r>
                </w:p>
              </w:tc>
              <w:tc>
                <w:tcPr>
                  <w:tcW w:w="723" w:type="dxa"/>
                  <w:tcBorders>
                    <w:top w:val="nil"/>
                    <w:left w:val="nil"/>
                    <w:bottom w:val="single" w:sz="8" w:space="0" w:color="auto"/>
                    <w:right w:val="single" w:sz="8" w:space="0" w:color="auto"/>
                  </w:tcBorders>
                </w:tcPr>
                <w:p w14:paraId="10BA9096" w14:textId="77777777" w:rsidR="0098092C" w:rsidRDefault="0030498B">
                  <w:pPr>
                    <w:pStyle w:val="TAC"/>
                    <w:rPr>
                      <w:sz w:val="11"/>
                      <w:szCs w:val="11"/>
                    </w:rPr>
                  </w:pPr>
                  <w:r>
                    <w:rPr>
                      <w:sz w:val="11"/>
                      <w:szCs w:val="11"/>
                      <w:lang w:eastAsia="ja-JP"/>
                    </w:rPr>
                    <w:t>I</w:t>
                  </w:r>
                  <w:r>
                    <w:rPr>
                      <w:sz w:val="11"/>
                      <w:szCs w:val="11"/>
                      <w:vertAlign w:val="subscript"/>
                      <w:lang w:eastAsia="ja-JP"/>
                    </w:rPr>
                    <w:t>TBS</w:t>
                  </w:r>
                  <w:r>
                    <w:rPr>
                      <w:sz w:val="11"/>
                      <w:szCs w:val="11"/>
                      <w:lang w:eastAsia="ja-JP"/>
                    </w:rPr>
                    <w:t xml:space="preserve"> = 13</w:t>
                  </w:r>
                </w:p>
              </w:tc>
            </w:tr>
            <w:tr w:rsidR="0098092C" w14:paraId="64FBAF0E" w14:textId="77777777">
              <w:tc>
                <w:tcPr>
                  <w:tcW w:w="13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ED7003C" w14:textId="77777777" w:rsidR="0098092C" w:rsidRDefault="0030498B">
                  <w:pPr>
                    <w:pStyle w:val="TAC"/>
                    <w:rPr>
                      <w:sz w:val="11"/>
                      <w:szCs w:val="11"/>
                    </w:rPr>
                  </w:pPr>
                  <w:r>
                    <w:rPr>
                      <w:sz w:val="11"/>
                      <w:szCs w:val="11"/>
                      <w:highlight w:val="yellow"/>
                      <w:lang w:eastAsia="ja-JP"/>
                    </w:rPr>
                    <w:t>candidateRep-N</w:t>
                  </w:r>
                </w:p>
              </w:tc>
              <w:tc>
                <w:tcPr>
                  <w:tcW w:w="1531" w:type="dxa"/>
                  <w:tcBorders>
                    <w:top w:val="nil"/>
                    <w:left w:val="nil"/>
                    <w:bottom w:val="single" w:sz="8" w:space="0" w:color="auto"/>
                    <w:right w:val="single" w:sz="8" w:space="0" w:color="auto"/>
                  </w:tcBorders>
                  <w:tcMar>
                    <w:top w:w="0" w:type="dxa"/>
                    <w:left w:w="108" w:type="dxa"/>
                    <w:bottom w:w="0" w:type="dxa"/>
                    <w:right w:w="108" w:type="dxa"/>
                  </w:tcMar>
                  <w:vAlign w:val="center"/>
                </w:tcPr>
                <w:p w14:paraId="193106C5" w14:textId="77777777" w:rsidR="0098092C" w:rsidRDefault="0030498B">
                  <w:pPr>
                    <w:pStyle w:val="TAC"/>
                    <w:rPr>
                      <w:sz w:val="11"/>
                      <w:szCs w:val="11"/>
                    </w:rPr>
                  </w:pPr>
                  <w:r>
                    <w:rPr>
                      <w:sz w:val="11"/>
                      <w:szCs w:val="11"/>
                      <w:highlight w:val="yellow"/>
                      <w:lang w:eastAsia="ja-JP"/>
                    </w:rPr>
                    <w:t>1</w:t>
                  </w:r>
                </w:p>
              </w:tc>
              <w:tc>
                <w:tcPr>
                  <w:tcW w:w="0" w:type="auto"/>
                  <w:vMerge/>
                  <w:tcBorders>
                    <w:top w:val="nil"/>
                    <w:left w:val="nil"/>
                    <w:bottom w:val="single" w:sz="8" w:space="0" w:color="auto"/>
                    <w:right w:val="single" w:sz="8" w:space="0" w:color="auto"/>
                  </w:tcBorders>
                  <w:vAlign w:val="center"/>
                </w:tcPr>
                <w:p w14:paraId="08DD688B" w14:textId="77777777" w:rsidR="0098092C" w:rsidRDefault="0098092C">
                  <w:pPr>
                    <w:rPr>
                      <w:rFonts w:ascii="Arial" w:eastAsia="Times New Roman" w:hAnsi="Arial" w:cs="Arial"/>
                      <w:sz w:val="11"/>
                      <w:szCs w:val="11"/>
                      <w:lang w:eastAsia="zh-CN"/>
                    </w:rPr>
                  </w:pPr>
                </w:p>
              </w:tc>
              <w:tc>
                <w:tcPr>
                  <w:tcW w:w="722" w:type="dxa"/>
                  <w:tcBorders>
                    <w:top w:val="nil"/>
                    <w:left w:val="nil"/>
                    <w:bottom w:val="single" w:sz="8" w:space="0" w:color="auto"/>
                    <w:right w:val="single" w:sz="8" w:space="0" w:color="auto"/>
                  </w:tcBorders>
                </w:tcPr>
                <w:p w14:paraId="31006015" w14:textId="77777777" w:rsidR="0098092C" w:rsidRDefault="0030498B">
                  <w:pPr>
                    <w:pStyle w:val="TAC"/>
                    <w:rPr>
                      <w:sz w:val="11"/>
                      <w:szCs w:val="11"/>
                    </w:rPr>
                  </w:pPr>
                  <w:r>
                    <w:rPr>
                      <w:sz w:val="11"/>
                      <w:szCs w:val="11"/>
                      <w:lang w:eastAsia="ja-JP"/>
                    </w:rPr>
                    <w:t>I</w:t>
                  </w:r>
                  <w:r>
                    <w:rPr>
                      <w:sz w:val="11"/>
                      <w:szCs w:val="11"/>
                      <w:vertAlign w:val="subscript"/>
                      <w:lang w:eastAsia="ja-JP"/>
                    </w:rPr>
                    <w:t>TBS</w:t>
                  </w:r>
                  <w:r>
                    <w:rPr>
                      <w:sz w:val="11"/>
                      <w:szCs w:val="11"/>
                      <w:lang w:eastAsia="ja-JP"/>
                    </w:rPr>
                    <w:t xml:space="preserve"> = 20</w:t>
                  </w:r>
                </w:p>
              </w:tc>
              <w:tc>
                <w:tcPr>
                  <w:tcW w:w="0" w:type="auto"/>
                  <w:vMerge/>
                  <w:tcBorders>
                    <w:top w:val="nil"/>
                    <w:left w:val="nil"/>
                    <w:bottom w:val="single" w:sz="8" w:space="0" w:color="auto"/>
                    <w:right w:val="single" w:sz="8" w:space="0" w:color="auto"/>
                  </w:tcBorders>
                  <w:vAlign w:val="center"/>
                </w:tcPr>
                <w:p w14:paraId="7672D952" w14:textId="77777777" w:rsidR="0098092C" w:rsidRDefault="0098092C">
                  <w:pPr>
                    <w:rPr>
                      <w:rFonts w:ascii="Arial" w:eastAsia="Times New Roman" w:hAnsi="Arial" w:cs="Arial"/>
                      <w:sz w:val="11"/>
                      <w:szCs w:val="11"/>
                      <w:lang w:eastAsia="zh-CN"/>
                    </w:rPr>
                  </w:pPr>
                </w:p>
              </w:tc>
              <w:tc>
                <w:tcPr>
                  <w:tcW w:w="723" w:type="dxa"/>
                  <w:tcBorders>
                    <w:top w:val="nil"/>
                    <w:left w:val="nil"/>
                    <w:bottom w:val="single" w:sz="8" w:space="0" w:color="auto"/>
                    <w:right w:val="single" w:sz="8" w:space="0" w:color="auto"/>
                  </w:tcBorders>
                </w:tcPr>
                <w:p w14:paraId="2F081ADF" w14:textId="77777777" w:rsidR="0098092C" w:rsidRDefault="0030498B">
                  <w:pPr>
                    <w:pStyle w:val="TAC"/>
                    <w:rPr>
                      <w:sz w:val="11"/>
                      <w:szCs w:val="11"/>
                    </w:rPr>
                  </w:pPr>
                  <w:r>
                    <w:rPr>
                      <w:sz w:val="11"/>
                      <w:szCs w:val="11"/>
                      <w:lang w:eastAsia="ja-JP"/>
                    </w:rPr>
                    <w:t>I</w:t>
                  </w:r>
                  <w:r>
                    <w:rPr>
                      <w:sz w:val="11"/>
                      <w:szCs w:val="11"/>
                      <w:vertAlign w:val="subscript"/>
                      <w:lang w:eastAsia="ja-JP"/>
                    </w:rPr>
                    <w:t>TBS</w:t>
                  </w:r>
                  <w:r>
                    <w:rPr>
                      <w:sz w:val="11"/>
                      <w:szCs w:val="11"/>
                      <w:lang w:eastAsia="ja-JP"/>
                    </w:rPr>
                    <w:t xml:space="preserve"> = 16</w:t>
                  </w:r>
                </w:p>
              </w:tc>
            </w:tr>
            <w:tr w:rsidR="0098092C" w14:paraId="28A5335D" w14:textId="77777777">
              <w:tc>
                <w:tcPr>
                  <w:tcW w:w="13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677A852" w14:textId="77777777" w:rsidR="0098092C" w:rsidRDefault="0030498B">
                  <w:pPr>
                    <w:pStyle w:val="TAC"/>
                    <w:rPr>
                      <w:sz w:val="11"/>
                      <w:szCs w:val="11"/>
                    </w:rPr>
                  </w:pPr>
                  <w:r>
                    <w:rPr>
                      <w:sz w:val="11"/>
                      <w:szCs w:val="11"/>
                      <w:highlight w:val="yellow"/>
                      <w:lang w:eastAsia="ja-JP"/>
                    </w:rPr>
                    <w:t>candidateRep-O</w:t>
                  </w:r>
                </w:p>
              </w:tc>
              <w:tc>
                <w:tcPr>
                  <w:tcW w:w="1531" w:type="dxa"/>
                  <w:tcBorders>
                    <w:top w:val="nil"/>
                    <w:left w:val="nil"/>
                    <w:bottom w:val="single" w:sz="8" w:space="0" w:color="auto"/>
                    <w:right w:val="single" w:sz="8" w:space="0" w:color="auto"/>
                  </w:tcBorders>
                  <w:tcMar>
                    <w:top w:w="0" w:type="dxa"/>
                    <w:left w:w="108" w:type="dxa"/>
                    <w:bottom w:w="0" w:type="dxa"/>
                    <w:right w:w="108" w:type="dxa"/>
                  </w:tcMar>
                  <w:vAlign w:val="center"/>
                </w:tcPr>
                <w:p w14:paraId="57810B68" w14:textId="77777777" w:rsidR="0098092C" w:rsidRDefault="0030498B">
                  <w:pPr>
                    <w:pStyle w:val="TAC"/>
                    <w:rPr>
                      <w:sz w:val="11"/>
                      <w:szCs w:val="11"/>
                    </w:rPr>
                  </w:pPr>
                  <w:r>
                    <w:rPr>
                      <w:sz w:val="11"/>
                      <w:szCs w:val="11"/>
                      <w:highlight w:val="yellow"/>
                      <w:lang w:eastAsia="ja-JP"/>
                    </w:rPr>
                    <w:t>1</w:t>
                  </w:r>
                </w:p>
              </w:tc>
              <w:tc>
                <w:tcPr>
                  <w:tcW w:w="0" w:type="auto"/>
                  <w:vMerge/>
                  <w:tcBorders>
                    <w:top w:val="nil"/>
                    <w:left w:val="nil"/>
                    <w:bottom w:val="single" w:sz="8" w:space="0" w:color="auto"/>
                    <w:right w:val="single" w:sz="8" w:space="0" w:color="auto"/>
                  </w:tcBorders>
                  <w:vAlign w:val="center"/>
                </w:tcPr>
                <w:p w14:paraId="0C9F88C6" w14:textId="77777777" w:rsidR="0098092C" w:rsidRDefault="0098092C">
                  <w:pPr>
                    <w:rPr>
                      <w:rFonts w:ascii="Arial" w:eastAsia="Times New Roman" w:hAnsi="Arial" w:cs="Arial"/>
                      <w:sz w:val="11"/>
                      <w:szCs w:val="11"/>
                      <w:lang w:eastAsia="zh-CN"/>
                    </w:rPr>
                  </w:pPr>
                </w:p>
              </w:tc>
              <w:tc>
                <w:tcPr>
                  <w:tcW w:w="722" w:type="dxa"/>
                  <w:tcBorders>
                    <w:top w:val="nil"/>
                    <w:left w:val="nil"/>
                    <w:bottom w:val="single" w:sz="8" w:space="0" w:color="auto"/>
                    <w:right w:val="single" w:sz="8" w:space="0" w:color="auto"/>
                  </w:tcBorders>
                </w:tcPr>
                <w:p w14:paraId="5F4ECE4C" w14:textId="77777777" w:rsidR="0098092C" w:rsidRDefault="0030498B">
                  <w:pPr>
                    <w:pStyle w:val="TAC"/>
                    <w:rPr>
                      <w:sz w:val="11"/>
                      <w:szCs w:val="11"/>
                    </w:rPr>
                  </w:pPr>
                  <w:r>
                    <w:rPr>
                      <w:sz w:val="11"/>
                      <w:szCs w:val="11"/>
                      <w:lang w:eastAsia="ja-JP"/>
                    </w:rPr>
                    <w:t>I</w:t>
                  </w:r>
                  <w:r>
                    <w:rPr>
                      <w:sz w:val="11"/>
                      <w:szCs w:val="11"/>
                      <w:vertAlign w:val="subscript"/>
                      <w:lang w:eastAsia="ja-JP"/>
                    </w:rPr>
                    <w:t>TBS</w:t>
                  </w:r>
                  <w:r>
                    <w:rPr>
                      <w:sz w:val="11"/>
                      <w:szCs w:val="11"/>
                      <w:lang w:eastAsia="ja-JP"/>
                    </w:rPr>
                    <w:t xml:space="preserve"> = 21</w:t>
                  </w:r>
                </w:p>
              </w:tc>
              <w:tc>
                <w:tcPr>
                  <w:tcW w:w="0" w:type="auto"/>
                  <w:vMerge/>
                  <w:tcBorders>
                    <w:top w:val="nil"/>
                    <w:left w:val="nil"/>
                    <w:bottom w:val="single" w:sz="8" w:space="0" w:color="auto"/>
                    <w:right w:val="single" w:sz="8" w:space="0" w:color="auto"/>
                  </w:tcBorders>
                  <w:vAlign w:val="center"/>
                </w:tcPr>
                <w:p w14:paraId="6D4D268D" w14:textId="77777777" w:rsidR="0098092C" w:rsidRDefault="0098092C">
                  <w:pPr>
                    <w:rPr>
                      <w:rFonts w:ascii="Arial" w:eastAsia="Times New Roman" w:hAnsi="Arial" w:cs="Arial"/>
                      <w:sz w:val="11"/>
                      <w:szCs w:val="11"/>
                      <w:lang w:eastAsia="zh-CN"/>
                    </w:rPr>
                  </w:pPr>
                </w:p>
              </w:tc>
              <w:tc>
                <w:tcPr>
                  <w:tcW w:w="723" w:type="dxa"/>
                  <w:tcBorders>
                    <w:top w:val="nil"/>
                    <w:left w:val="nil"/>
                    <w:bottom w:val="single" w:sz="8" w:space="0" w:color="auto"/>
                    <w:right w:val="single" w:sz="8" w:space="0" w:color="auto"/>
                  </w:tcBorders>
                </w:tcPr>
                <w:p w14:paraId="43CCF379" w14:textId="77777777" w:rsidR="0098092C" w:rsidRDefault="0030498B">
                  <w:pPr>
                    <w:pStyle w:val="TAC"/>
                    <w:rPr>
                      <w:sz w:val="11"/>
                      <w:szCs w:val="11"/>
                    </w:rPr>
                  </w:pPr>
                  <w:r>
                    <w:rPr>
                      <w:sz w:val="11"/>
                      <w:szCs w:val="11"/>
                      <w:lang w:eastAsia="ja-JP"/>
                    </w:rPr>
                    <w:t>I</w:t>
                  </w:r>
                  <w:r>
                    <w:rPr>
                      <w:sz w:val="11"/>
                      <w:szCs w:val="11"/>
                      <w:vertAlign w:val="subscript"/>
                      <w:lang w:eastAsia="ja-JP"/>
                    </w:rPr>
                    <w:t>TBS</w:t>
                  </w:r>
                  <w:r>
                    <w:rPr>
                      <w:sz w:val="11"/>
                      <w:szCs w:val="11"/>
                      <w:lang w:eastAsia="ja-JP"/>
                    </w:rPr>
                    <w:t xml:space="preserve"> = 17</w:t>
                  </w:r>
                </w:p>
              </w:tc>
            </w:tr>
          </w:tbl>
          <w:p w14:paraId="64B0386C" w14:textId="77777777" w:rsidR="0098092C" w:rsidRDefault="0098092C">
            <w:pPr>
              <w:rPr>
                <w:lang w:eastAsia="zh-CN"/>
              </w:rPr>
            </w:pPr>
          </w:p>
        </w:tc>
      </w:tr>
    </w:tbl>
    <w:p w14:paraId="34525FD1" w14:textId="77777777" w:rsidR="0098092C" w:rsidRDefault="0098092C">
      <w:pPr>
        <w:rPr>
          <w:lang w:eastAsia="zh-CN"/>
        </w:rPr>
      </w:pPr>
    </w:p>
    <w:p w14:paraId="57329D3B" w14:textId="77777777" w:rsidR="0098092C" w:rsidRDefault="0030498B">
      <w:pPr>
        <w:rPr>
          <w:lang w:eastAsia="zh-CN"/>
        </w:rPr>
      </w:pPr>
      <w:r>
        <w:rPr>
          <w:rFonts w:hint="eastAsia"/>
          <w:lang w:eastAsia="zh-CN"/>
        </w:rPr>
        <w:t xml:space="preserve">Please </w:t>
      </w:r>
      <w:r>
        <w:rPr>
          <w:lang w:eastAsia="zh-CN"/>
        </w:rPr>
        <w:t>give your comments on how to address the concerns or provide further benefits:</w:t>
      </w:r>
    </w:p>
    <w:tbl>
      <w:tblPr>
        <w:tblStyle w:val="TableGrid"/>
        <w:tblW w:w="9351" w:type="dxa"/>
        <w:tblLook w:val="04A0" w:firstRow="1" w:lastRow="0" w:firstColumn="1" w:lastColumn="0" w:noHBand="0" w:noVBand="1"/>
      </w:tblPr>
      <w:tblGrid>
        <w:gridCol w:w="3102"/>
        <w:gridCol w:w="6249"/>
      </w:tblGrid>
      <w:tr w:rsidR="0098092C" w14:paraId="5A7E75FB" w14:textId="77777777">
        <w:tc>
          <w:tcPr>
            <w:tcW w:w="3102" w:type="dxa"/>
          </w:tcPr>
          <w:p w14:paraId="4BC6C523" w14:textId="77777777" w:rsidR="0098092C" w:rsidRDefault="0030498B">
            <w:pPr>
              <w:rPr>
                <w:lang w:eastAsia="zh-CN"/>
              </w:rPr>
            </w:pPr>
            <w:r>
              <w:rPr>
                <w:rFonts w:hint="eastAsia"/>
                <w:lang w:eastAsia="zh-CN"/>
              </w:rPr>
              <w:t>Moderator</w:t>
            </w:r>
          </w:p>
        </w:tc>
        <w:tc>
          <w:tcPr>
            <w:tcW w:w="6249" w:type="dxa"/>
          </w:tcPr>
          <w:p w14:paraId="2385AE5A" w14:textId="77777777" w:rsidR="0098092C" w:rsidRDefault="0030498B">
            <w:pPr>
              <w:rPr>
                <w:lang w:eastAsia="zh-CN"/>
              </w:rPr>
            </w:pPr>
            <w:r>
              <w:rPr>
                <w:rFonts w:hint="eastAsia"/>
                <w:lang w:eastAsia="zh-CN"/>
              </w:rPr>
              <w:t>Comments</w:t>
            </w:r>
          </w:p>
        </w:tc>
      </w:tr>
      <w:tr w:rsidR="0098092C" w14:paraId="58A1B53E" w14:textId="77777777">
        <w:tc>
          <w:tcPr>
            <w:tcW w:w="3102" w:type="dxa"/>
          </w:tcPr>
          <w:p w14:paraId="4080FC5E" w14:textId="77777777" w:rsidR="0098092C" w:rsidRDefault="0030498B">
            <w:pPr>
              <w:rPr>
                <w:lang w:eastAsia="zh-CN"/>
              </w:rPr>
            </w:pPr>
            <w:r>
              <w:rPr>
                <w:rFonts w:hint="eastAsia"/>
                <w:lang w:eastAsia="zh-CN"/>
              </w:rPr>
              <w:t>Moderator (Huawei)</w:t>
            </w:r>
          </w:p>
        </w:tc>
        <w:tc>
          <w:tcPr>
            <w:tcW w:w="6249" w:type="dxa"/>
          </w:tcPr>
          <w:p w14:paraId="2F5E885A" w14:textId="77777777" w:rsidR="0098092C" w:rsidRDefault="0030498B">
            <w:r>
              <w:t>The concerns to support option 2 include: large SNR gap between NPDCCH repetition 1 and 16QAM TBS, more UE complexity on hypothetical decoding of both NPDCCH and NPDSCH, and limited number of MCS entries for 16-QAM for efficient CQI reporting.</w:t>
            </w:r>
          </w:p>
        </w:tc>
      </w:tr>
      <w:tr w:rsidR="0098092C" w14:paraId="4C252322" w14:textId="77777777">
        <w:tc>
          <w:tcPr>
            <w:tcW w:w="3102" w:type="dxa"/>
          </w:tcPr>
          <w:p w14:paraId="4EB2EF7A" w14:textId="77777777" w:rsidR="0098092C" w:rsidRDefault="0030498B">
            <w:pPr>
              <w:rPr>
                <w:lang w:eastAsia="zh-CN"/>
              </w:rPr>
            </w:pPr>
            <w:r>
              <w:rPr>
                <w:rFonts w:hint="eastAsia"/>
                <w:lang w:eastAsia="zh-CN"/>
              </w:rPr>
              <w:t>L</w:t>
            </w:r>
            <w:r>
              <w:rPr>
                <w:lang w:eastAsia="zh-CN"/>
              </w:rPr>
              <w:t>enovo, MotoM</w:t>
            </w:r>
          </w:p>
        </w:tc>
        <w:tc>
          <w:tcPr>
            <w:tcW w:w="6249" w:type="dxa"/>
          </w:tcPr>
          <w:p w14:paraId="419A0100" w14:textId="77777777" w:rsidR="0098092C" w:rsidRDefault="0030498B">
            <w:pPr>
              <w:rPr>
                <w:lang w:eastAsia="zh-CN"/>
              </w:rPr>
            </w:pPr>
            <w:r>
              <w:rPr>
                <w:lang w:eastAsia="zh-CN"/>
              </w:rPr>
              <w:t>Comments above</w:t>
            </w:r>
          </w:p>
        </w:tc>
      </w:tr>
      <w:tr w:rsidR="0098092C" w14:paraId="559BAF78" w14:textId="77777777">
        <w:tc>
          <w:tcPr>
            <w:tcW w:w="3102" w:type="dxa"/>
          </w:tcPr>
          <w:p w14:paraId="47C1A9CA" w14:textId="77777777" w:rsidR="0098092C" w:rsidRDefault="0030498B">
            <w:pPr>
              <w:rPr>
                <w:lang w:eastAsia="zh-CN"/>
              </w:rPr>
            </w:pPr>
            <w:r>
              <w:rPr>
                <w:lang w:eastAsia="zh-CN"/>
              </w:rPr>
              <w:t>Ericsson v016</w:t>
            </w:r>
          </w:p>
        </w:tc>
        <w:tc>
          <w:tcPr>
            <w:tcW w:w="6249" w:type="dxa"/>
          </w:tcPr>
          <w:p w14:paraId="6B9B8D70" w14:textId="77777777" w:rsidR="0098092C" w:rsidRDefault="0030498B">
            <w:pPr>
              <w:rPr>
                <w:lang w:eastAsia="zh-CN"/>
              </w:rPr>
            </w:pPr>
            <w:r>
              <w:rPr>
                <w:lang w:eastAsia="zh-CN"/>
              </w:rPr>
              <w:t>To the Moderator:</w:t>
            </w:r>
          </w:p>
          <w:p w14:paraId="498DE079" w14:textId="77777777" w:rsidR="0098092C" w:rsidRDefault="0030498B">
            <w:pPr>
              <w:rPr>
                <w:lang w:eastAsia="zh-CN"/>
              </w:rPr>
            </w:pPr>
            <w:r>
              <w:rPr>
                <w:lang w:eastAsia="zh-CN"/>
              </w:rPr>
              <w:t>If you intend to quantify the SNR gap, I think you should compare “NPDSCH TBS index 14 with 16QAM” versus “NPDSCH TBS index 13 with QPSK”.</w:t>
            </w:r>
          </w:p>
          <w:p w14:paraId="62E95341" w14:textId="77777777" w:rsidR="0098092C" w:rsidRDefault="0030498B">
            <w:pPr>
              <w:rPr>
                <w:lang w:eastAsia="zh-CN"/>
              </w:rPr>
            </w:pPr>
            <w:r>
              <w:rPr>
                <w:lang w:eastAsia="zh-CN"/>
              </w:rPr>
              <w:t>Based on simulations, if we compare the average SNR from the TBSs associated to I_TBS index 14 for 16-QAM versus the average SNR from TBSs associated to I_TBS index 13 for QPSK, the SNR gap or ΔSNR is 9.02-8.28= 0.74 dB. So, the SNR gap is not large.</w:t>
            </w:r>
          </w:p>
          <w:p w14:paraId="2C2BC187" w14:textId="77777777" w:rsidR="0098092C" w:rsidRDefault="0030498B">
            <w:pPr>
              <w:rPr>
                <w:lang w:eastAsia="zh-CN"/>
              </w:rPr>
            </w:pPr>
            <w:r>
              <w:rPr>
                <w:lang w:eastAsia="zh-CN"/>
              </w:rPr>
              <w:t>To All:</w:t>
            </w:r>
          </w:p>
          <w:p w14:paraId="25AC1483" w14:textId="77777777" w:rsidR="0098092C" w:rsidRDefault="0030498B">
            <w:pPr>
              <w:rPr>
                <w:lang w:eastAsia="zh-CN"/>
              </w:rPr>
            </w:pPr>
            <w:r>
              <w:rPr>
                <w:lang w:eastAsia="zh-CN"/>
              </w:rPr>
              <w:t>As we explained earlier, the reports are just a recommendation on what seems to be suitable to use, hence it is sufficient to hint around which I_TBS indices a scheduling is suitable since anyhow the ultimate scheduling is up to the eNodeB. Three entries will basically hint to the eNodeB whether the radio conditions are overall perceived as very good, good or not so good, so the eNodeB can take this into account plus other aspects to perform the scheduling. With this approach we just make use of the reserved states without incurring in any other complication as e.g., having to re-design reports for QPSK, no-backward compatibility, step-sizes.</w:t>
            </w:r>
          </w:p>
        </w:tc>
      </w:tr>
      <w:tr w:rsidR="0098092C" w14:paraId="60F12D8F" w14:textId="77777777">
        <w:tc>
          <w:tcPr>
            <w:tcW w:w="3102" w:type="dxa"/>
          </w:tcPr>
          <w:p w14:paraId="50A76C2E" w14:textId="77777777" w:rsidR="0098092C" w:rsidRDefault="0030498B">
            <w:pPr>
              <w:rPr>
                <w:lang w:eastAsia="zh-CN"/>
              </w:rPr>
            </w:pPr>
            <w:r>
              <w:rPr>
                <w:rFonts w:hint="eastAsia"/>
                <w:lang w:eastAsia="zh-CN"/>
              </w:rPr>
              <w:t>ZTE, Sanechips</w:t>
            </w:r>
          </w:p>
        </w:tc>
        <w:tc>
          <w:tcPr>
            <w:tcW w:w="6249" w:type="dxa"/>
          </w:tcPr>
          <w:p w14:paraId="41EDF588" w14:textId="77777777" w:rsidR="0098092C" w:rsidRDefault="0030498B">
            <w:pPr>
              <w:rPr>
                <w:lang w:eastAsia="zh-CN"/>
              </w:rPr>
            </w:pPr>
            <w:r>
              <w:rPr>
                <w:rFonts w:hint="eastAsia"/>
                <w:lang w:eastAsia="zh-CN"/>
              </w:rPr>
              <w:t>More precise CQI report provide more higher data rate by matching the channel change. That the number of CQI values is limited to 3 should be avoided by sacrificing the data rate.</w:t>
            </w:r>
          </w:p>
        </w:tc>
      </w:tr>
      <w:tr w:rsidR="006E1378" w14:paraId="57238CA1" w14:textId="77777777">
        <w:tc>
          <w:tcPr>
            <w:tcW w:w="3102" w:type="dxa"/>
          </w:tcPr>
          <w:p w14:paraId="090A9FC6" w14:textId="4FFB6273" w:rsidR="006E1378" w:rsidRDefault="006E1378">
            <w:pPr>
              <w:rPr>
                <w:lang w:eastAsia="zh-CN"/>
              </w:rPr>
            </w:pPr>
            <w:r>
              <w:rPr>
                <w:lang w:eastAsia="zh-CN"/>
              </w:rPr>
              <w:lastRenderedPageBreak/>
              <w:t>Ericsson v018</w:t>
            </w:r>
          </w:p>
        </w:tc>
        <w:tc>
          <w:tcPr>
            <w:tcW w:w="6249" w:type="dxa"/>
          </w:tcPr>
          <w:p w14:paraId="77A02E77" w14:textId="2F3464D7" w:rsidR="006E1378" w:rsidRDefault="006E1378">
            <w:pPr>
              <w:rPr>
                <w:lang w:eastAsia="zh-CN"/>
              </w:rPr>
            </w:pPr>
            <w:r>
              <w:rPr>
                <w:lang w:eastAsia="zh-CN"/>
              </w:rPr>
              <w:t>To ZTE: As I mentioned earlier the reports are just a recommendation and the scheduling is up to the eNodeB accounting also for other aspects</w:t>
            </w:r>
            <w:r w:rsidR="00E81DE0">
              <w:rPr>
                <w:lang w:eastAsia="zh-CN"/>
              </w:rPr>
              <w:t>/factors</w:t>
            </w:r>
            <w:r>
              <w:rPr>
                <w:lang w:eastAsia="zh-CN"/>
              </w:rPr>
              <w:t>.</w:t>
            </w:r>
          </w:p>
        </w:tc>
      </w:tr>
      <w:tr w:rsidR="001B168B" w14:paraId="0F6572A3" w14:textId="77777777">
        <w:tc>
          <w:tcPr>
            <w:tcW w:w="3102" w:type="dxa"/>
          </w:tcPr>
          <w:p w14:paraId="7C46A5AC" w14:textId="41EB8EF6" w:rsidR="001B168B" w:rsidRDefault="001B168B">
            <w:pPr>
              <w:rPr>
                <w:lang w:eastAsia="zh-CN"/>
              </w:rPr>
            </w:pPr>
            <w:r>
              <w:rPr>
                <w:rFonts w:hint="eastAsia"/>
                <w:lang w:eastAsia="zh-CN"/>
              </w:rPr>
              <w:t>Moderator (Huawei)</w:t>
            </w:r>
          </w:p>
        </w:tc>
        <w:tc>
          <w:tcPr>
            <w:tcW w:w="6249" w:type="dxa"/>
          </w:tcPr>
          <w:p w14:paraId="5334AA88" w14:textId="2FE6ACE3" w:rsidR="001B168B" w:rsidRDefault="001B168B" w:rsidP="001B168B">
            <w:pPr>
              <w:rPr>
                <w:lang w:eastAsia="zh-CN"/>
              </w:rPr>
            </w:pPr>
            <w:r>
              <w:rPr>
                <w:rFonts w:hint="eastAsia"/>
                <w:lang w:eastAsia="zh-CN"/>
              </w:rPr>
              <w:t xml:space="preserve">@Ericsson, </w:t>
            </w:r>
            <w:r>
              <w:rPr>
                <w:lang w:eastAsia="zh-CN"/>
              </w:rPr>
              <w:t>could you please elaborate more on the reason of comparison on “NPDSCH TBS index 14 with 16QAM” versus “NPDSCH TBS index 13 with QPSK”? There’s no QPSK entry in option 2. In option 2, the SNR gap between “</w:t>
            </w:r>
            <w:r w:rsidRPr="001B168B">
              <w:rPr>
                <w:lang w:eastAsia="zh-CN"/>
              </w:rPr>
              <w:t>candidateRep-A</w:t>
            </w:r>
            <w:r>
              <w:rPr>
                <w:lang w:eastAsia="zh-CN"/>
              </w:rPr>
              <w:t>” and “</w:t>
            </w:r>
            <w:r w:rsidRPr="001B168B">
              <w:rPr>
                <w:lang w:eastAsia="zh-CN"/>
              </w:rPr>
              <w:t>candidateRep-M</w:t>
            </w:r>
            <w:r>
              <w:rPr>
                <w:lang w:eastAsia="zh-CN"/>
              </w:rPr>
              <w:t xml:space="preserve">” is </w:t>
            </w:r>
            <w:r w:rsidR="005D638C">
              <w:rPr>
                <w:lang w:eastAsia="zh-CN"/>
              </w:rPr>
              <w:t>larger than</w:t>
            </w:r>
            <w:r>
              <w:rPr>
                <w:lang w:eastAsia="zh-CN"/>
              </w:rPr>
              <w:t xml:space="preserve"> </w:t>
            </w:r>
            <w:r w:rsidR="005D638C">
              <w:rPr>
                <w:lang w:eastAsia="zh-CN"/>
              </w:rPr>
              <w:t xml:space="preserve">9 dB from simulation shown in [2].  How could the UE report the SNRs within this large gap? </w:t>
            </w:r>
          </w:p>
          <w:p w14:paraId="3D4EB43E" w14:textId="23BF1D2B" w:rsidR="001B168B" w:rsidRDefault="00F96123" w:rsidP="001B168B">
            <w:pPr>
              <w:rPr>
                <w:lang w:eastAsia="zh-CN"/>
              </w:rPr>
            </w:pPr>
            <w:r>
              <w:rPr>
                <w:rFonts w:hint="eastAsia"/>
                <w:lang w:eastAsia="zh-CN"/>
              </w:rPr>
              <w:t xml:space="preserve">And could you also elaborate more on your concerns about </w:t>
            </w:r>
            <w:r>
              <w:rPr>
                <w:lang w:eastAsia="zh-CN"/>
              </w:rPr>
              <w:t>“having to re-design reports for QPSK, no-backward compatibility, step-sizes”? I don’t see the impact to reports or step-sizes.</w:t>
            </w:r>
          </w:p>
        </w:tc>
      </w:tr>
      <w:tr w:rsidR="00361ECE" w14:paraId="1CC0B8E7" w14:textId="77777777">
        <w:tc>
          <w:tcPr>
            <w:tcW w:w="3102" w:type="dxa"/>
          </w:tcPr>
          <w:p w14:paraId="2AA76A05" w14:textId="0F697984" w:rsidR="00361ECE" w:rsidRDefault="001F017A">
            <w:pPr>
              <w:rPr>
                <w:lang w:eastAsia="zh-CN"/>
              </w:rPr>
            </w:pPr>
            <w:r>
              <w:rPr>
                <w:lang w:eastAsia="zh-CN"/>
              </w:rPr>
              <w:t>Nokia, NSB</w:t>
            </w:r>
          </w:p>
        </w:tc>
        <w:tc>
          <w:tcPr>
            <w:tcW w:w="6249" w:type="dxa"/>
          </w:tcPr>
          <w:p w14:paraId="739B02A0" w14:textId="1911A9E2" w:rsidR="00361ECE" w:rsidRDefault="001F017A" w:rsidP="001B168B">
            <w:pPr>
              <w:rPr>
                <w:lang w:eastAsia="zh-CN"/>
              </w:rPr>
            </w:pPr>
            <w:r>
              <w:rPr>
                <w:lang w:eastAsia="zh-CN"/>
              </w:rPr>
              <w:t xml:space="preserve">We </w:t>
            </w:r>
            <w:r w:rsidR="00A15C9A">
              <w:rPr>
                <w:lang w:eastAsia="zh-CN"/>
              </w:rPr>
              <w:t>do not prefer Option 2 due to the reasons cited by the moderator above.</w:t>
            </w:r>
          </w:p>
        </w:tc>
      </w:tr>
      <w:tr w:rsidR="00361ECE" w14:paraId="25A68811" w14:textId="77777777">
        <w:tc>
          <w:tcPr>
            <w:tcW w:w="3102" w:type="dxa"/>
          </w:tcPr>
          <w:p w14:paraId="4D3D7D9C" w14:textId="77777777" w:rsidR="00361ECE" w:rsidRDefault="00361ECE">
            <w:pPr>
              <w:rPr>
                <w:lang w:eastAsia="zh-CN"/>
              </w:rPr>
            </w:pPr>
          </w:p>
        </w:tc>
        <w:tc>
          <w:tcPr>
            <w:tcW w:w="6249" w:type="dxa"/>
          </w:tcPr>
          <w:p w14:paraId="4B08A4C9" w14:textId="77777777" w:rsidR="00361ECE" w:rsidRDefault="00361ECE" w:rsidP="001B168B">
            <w:pPr>
              <w:rPr>
                <w:lang w:eastAsia="zh-CN"/>
              </w:rPr>
            </w:pPr>
          </w:p>
        </w:tc>
      </w:tr>
    </w:tbl>
    <w:p w14:paraId="1F6DA7E9" w14:textId="267F0A49" w:rsidR="0098092C" w:rsidRDefault="0098092C">
      <w:pPr>
        <w:rPr>
          <w:lang w:eastAsia="zh-CN"/>
        </w:rPr>
      </w:pPr>
    </w:p>
    <w:p w14:paraId="47743917" w14:textId="77777777" w:rsidR="0098092C" w:rsidRDefault="0030498B">
      <w:pPr>
        <w:rPr>
          <w:b/>
          <w:i/>
          <w:u w:val="single"/>
          <w:lang w:eastAsia="zh-CN"/>
        </w:rPr>
      </w:pPr>
      <w:r>
        <w:rPr>
          <w:b/>
          <w:i/>
          <w:u w:val="single"/>
          <w:lang w:eastAsia="zh-CN"/>
        </w:rPr>
        <w:t>Option 3:</w:t>
      </w:r>
    </w:p>
    <w:tbl>
      <w:tblPr>
        <w:tblStyle w:val="TableGrid"/>
        <w:tblW w:w="0" w:type="auto"/>
        <w:tblLook w:val="04A0" w:firstRow="1" w:lastRow="0" w:firstColumn="1" w:lastColumn="0" w:noHBand="0" w:noVBand="1"/>
      </w:tblPr>
      <w:tblGrid>
        <w:gridCol w:w="4653"/>
        <w:gridCol w:w="4654"/>
      </w:tblGrid>
      <w:tr w:rsidR="0098092C" w14:paraId="692CFC1F" w14:textId="77777777">
        <w:tc>
          <w:tcPr>
            <w:tcW w:w="4653" w:type="dxa"/>
          </w:tcPr>
          <w:p w14:paraId="50BEF2CF" w14:textId="77777777" w:rsidR="0098092C" w:rsidRDefault="0030498B">
            <w:pPr>
              <w:tabs>
                <w:tab w:val="left" w:pos="1140"/>
              </w:tabs>
              <w:rPr>
                <w:lang w:eastAsia="zh-CN"/>
              </w:rPr>
            </w:pPr>
            <w:r>
              <w:rPr>
                <w:rFonts w:hint="eastAsia"/>
                <w:lang w:eastAsia="zh-CN"/>
              </w:rPr>
              <w:t>Options</w:t>
            </w:r>
          </w:p>
        </w:tc>
        <w:tc>
          <w:tcPr>
            <w:tcW w:w="4654" w:type="dxa"/>
          </w:tcPr>
          <w:p w14:paraId="4875C5AB" w14:textId="77777777" w:rsidR="0098092C" w:rsidRDefault="0030498B">
            <w:pPr>
              <w:rPr>
                <w:lang w:eastAsia="zh-CN"/>
              </w:rPr>
            </w:pPr>
            <w:r>
              <w:rPr>
                <w:lang w:eastAsia="zh-CN"/>
              </w:rPr>
              <w:t>Examples</w:t>
            </w:r>
          </w:p>
        </w:tc>
      </w:tr>
      <w:tr w:rsidR="0098092C" w14:paraId="13D86401" w14:textId="77777777">
        <w:trPr>
          <w:trHeight w:val="4350"/>
        </w:trPr>
        <w:tc>
          <w:tcPr>
            <w:tcW w:w="4653" w:type="dxa"/>
          </w:tcPr>
          <w:p w14:paraId="7DD12AA4" w14:textId="77777777" w:rsidR="0098092C" w:rsidRDefault="0030498B">
            <w:pPr>
              <w:pStyle w:val="ListParagraph"/>
              <w:numPr>
                <w:ilvl w:val="0"/>
                <w:numId w:val="17"/>
              </w:numPr>
              <w:overflowPunct w:val="0"/>
              <w:autoSpaceDE w:val="0"/>
              <w:autoSpaceDN w:val="0"/>
              <w:adjustRightInd w:val="0"/>
              <w:spacing w:after="180" w:line="240" w:lineRule="auto"/>
              <w:contextualSpacing/>
              <w:jc w:val="left"/>
              <w:textAlignment w:val="baseline"/>
              <w:rPr>
                <w:rFonts w:ascii="Times New Roman" w:hAnsi="Times New Roman" w:cs="Times New Roman"/>
                <w:sz w:val="22"/>
                <w:szCs w:val="22"/>
              </w:rPr>
            </w:pPr>
            <w:r>
              <w:rPr>
                <w:rFonts w:ascii="Times New Roman" w:hAnsi="Times New Roman" w:cs="Times New Roman"/>
                <w:sz w:val="22"/>
                <w:szCs w:val="22"/>
              </w:rPr>
              <w:t>Option 3: A new CQI table is defined for 16-QAM based on the eMTC table (CQI Tables in 36.213) as a starting point</w:t>
            </w:r>
          </w:p>
          <w:p w14:paraId="5C5DDFAB" w14:textId="77777777" w:rsidR="0098092C" w:rsidRDefault="0098092C">
            <w:pPr>
              <w:tabs>
                <w:tab w:val="left" w:pos="1140"/>
              </w:tabs>
              <w:rPr>
                <w:lang w:eastAsia="zh-CN"/>
              </w:rPr>
            </w:pPr>
          </w:p>
        </w:tc>
        <w:tc>
          <w:tcPr>
            <w:tcW w:w="4654" w:type="dxa"/>
          </w:tcPr>
          <w:p w14:paraId="185A9A56" w14:textId="77777777" w:rsidR="0098092C" w:rsidRDefault="0098092C">
            <w:pPr>
              <w:rPr>
                <w:lang w:eastAsia="zh-CN"/>
              </w:rPr>
            </w:pPr>
          </w:p>
          <w:tbl>
            <w:tblPr>
              <w:tblW w:w="0" w:type="auto"/>
              <w:jc w:val="center"/>
              <w:tblCellMar>
                <w:left w:w="0" w:type="dxa"/>
                <w:right w:w="0" w:type="dxa"/>
              </w:tblCellMar>
              <w:tblLook w:val="04A0" w:firstRow="1" w:lastRow="0" w:firstColumn="1" w:lastColumn="0" w:noHBand="0" w:noVBand="1"/>
            </w:tblPr>
            <w:tblGrid>
              <w:gridCol w:w="624"/>
              <w:gridCol w:w="809"/>
              <w:gridCol w:w="687"/>
            </w:tblGrid>
            <w:tr w:rsidR="0098092C" w14:paraId="3A85162E" w14:textId="77777777">
              <w:trPr>
                <w:jc w:val="center"/>
              </w:trPr>
              <w:tc>
                <w:tcPr>
                  <w:tcW w:w="624" w:type="dxa"/>
                  <w:tcBorders>
                    <w:top w:val="single" w:sz="8" w:space="0" w:color="auto"/>
                    <w:left w:val="single" w:sz="8" w:space="0" w:color="auto"/>
                    <w:bottom w:val="double" w:sz="4" w:space="0" w:color="auto"/>
                    <w:right w:val="single" w:sz="8" w:space="0" w:color="auto"/>
                  </w:tcBorders>
                  <w:shd w:val="clear" w:color="auto" w:fill="E0E0E0"/>
                  <w:tcMar>
                    <w:top w:w="0" w:type="dxa"/>
                    <w:left w:w="108" w:type="dxa"/>
                    <w:bottom w:w="0" w:type="dxa"/>
                    <w:right w:w="108" w:type="dxa"/>
                  </w:tcMar>
                </w:tcPr>
                <w:p w14:paraId="66DF8857" w14:textId="77777777" w:rsidR="0098092C" w:rsidRDefault="0030498B">
                  <w:pPr>
                    <w:keepNext/>
                    <w:jc w:val="center"/>
                    <w:rPr>
                      <w:sz w:val="11"/>
                      <w:szCs w:val="11"/>
                    </w:rPr>
                  </w:pPr>
                  <w:r>
                    <w:rPr>
                      <w:rFonts w:ascii="Arial" w:hAnsi="Arial" w:cs="Arial"/>
                      <w:b/>
                      <w:bCs/>
                      <w:color w:val="000000"/>
                      <w:sz w:val="11"/>
                      <w:szCs w:val="11"/>
                    </w:rPr>
                    <w:t>CQI index</w:t>
                  </w:r>
                </w:p>
              </w:tc>
              <w:tc>
                <w:tcPr>
                  <w:tcW w:w="809"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287E6D2A" w14:textId="77777777" w:rsidR="0098092C" w:rsidRDefault="0030498B">
                  <w:pPr>
                    <w:keepNext/>
                    <w:jc w:val="center"/>
                    <w:rPr>
                      <w:sz w:val="11"/>
                      <w:szCs w:val="11"/>
                    </w:rPr>
                  </w:pPr>
                  <w:r>
                    <w:rPr>
                      <w:rFonts w:ascii="Arial" w:hAnsi="Arial" w:cs="Arial"/>
                      <w:b/>
                      <w:bCs/>
                      <w:color w:val="000000"/>
                      <w:sz w:val="11"/>
                      <w:szCs w:val="11"/>
                    </w:rPr>
                    <w:t>modulation</w:t>
                  </w:r>
                </w:p>
              </w:tc>
              <w:tc>
                <w:tcPr>
                  <w:tcW w:w="648"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152EABE4" w14:textId="77777777" w:rsidR="0098092C" w:rsidRDefault="0030498B">
                  <w:pPr>
                    <w:keepNext/>
                    <w:jc w:val="center"/>
                    <w:rPr>
                      <w:sz w:val="11"/>
                      <w:szCs w:val="11"/>
                    </w:rPr>
                  </w:pPr>
                  <w:r>
                    <w:rPr>
                      <w:rFonts w:ascii="Arial" w:hAnsi="Arial" w:cs="Arial"/>
                      <w:b/>
                      <w:bCs/>
                      <w:color w:val="000000"/>
                      <w:sz w:val="11"/>
                      <w:szCs w:val="11"/>
                    </w:rPr>
                    <w:t>TBS index</w:t>
                  </w:r>
                </w:p>
              </w:tc>
            </w:tr>
            <w:tr w:rsidR="0098092C" w14:paraId="2228CBE3" w14:textId="77777777">
              <w:trPr>
                <w:jc w:val="center"/>
              </w:trPr>
              <w:tc>
                <w:tcPr>
                  <w:tcW w:w="6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EB0C013" w14:textId="77777777" w:rsidR="0098092C" w:rsidRDefault="0030498B">
                  <w:pPr>
                    <w:keepNext/>
                    <w:jc w:val="center"/>
                    <w:rPr>
                      <w:sz w:val="11"/>
                      <w:szCs w:val="11"/>
                    </w:rPr>
                  </w:pPr>
                  <w:r>
                    <w:rPr>
                      <w:rFonts w:ascii="Arial" w:hAnsi="Arial" w:cs="Arial"/>
                      <w:sz w:val="11"/>
                      <w:szCs w:val="11"/>
                      <w:lang w:eastAsia="zh-CN"/>
                    </w:rPr>
                    <w:t>0</w:t>
                  </w:r>
                </w:p>
              </w:tc>
              <w:tc>
                <w:tcPr>
                  <w:tcW w:w="809" w:type="dxa"/>
                  <w:tcBorders>
                    <w:top w:val="nil"/>
                    <w:left w:val="nil"/>
                    <w:bottom w:val="single" w:sz="8" w:space="0" w:color="auto"/>
                    <w:right w:val="single" w:sz="8" w:space="0" w:color="auto"/>
                  </w:tcBorders>
                  <w:tcMar>
                    <w:top w:w="0" w:type="dxa"/>
                    <w:left w:w="108" w:type="dxa"/>
                    <w:bottom w:w="0" w:type="dxa"/>
                    <w:right w:w="108" w:type="dxa"/>
                  </w:tcMar>
                </w:tcPr>
                <w:p w14:paraId="7DC558D0" w14:textId="77777777" w:rsidR="0098092C" w:rsidRDefault="0030498B">
                  <w:pPr>
                    <w:keepNext/>
                    <w:jc w:val="center"/>
                    <w:rPr>
                      <w:sz w:val="11"/>
                      <w:szCs w:val="11"/>
                    </w:rPr>
                  </w:pPr>
                  <w:r>
                    <w:rPr>
                      <w:rFonts w:ascii="Arial" w:hAnsi="Arial" w:cs="Arial"/>
                      <w:sz w:val="11"/>
                      <w:szCs w:val="11"/>
                    </w:rPr>
                    <w:t xml:space="preserve">QPSK </w:t>
                  </w:r>
                </w:p>
              </w:tc>
              <w:tc>
                <w:tcPr>
                  <w:tcW w:w="648" w:type="dxa"/>
                  <w:tcBorders>
                    <w:top w:val="nil"/>
                    <w:left w:val="nil"/>
                    <w:bottom w:val="single" w:sz="8" w:space="0" w:color="auto"/>
                    <w:right w:val="single" w:sz="8" w:space="0" w:color="auto"/>
                  </w:tcBorders>
                  <w:tcMar>
                    <w:top w:w="0" w:type="dxa"/>
                    <w:left w:w="108" w:type="dxa"/>
                    <w:bottom w:w="0" w:type="dxa"/>
                    <w:right w:w="108" w:type="dxa"/>
                  </w:tcMar>
                </w:tcPr>
                <w:p w14:paraId="16ED2172" w14:textId="77777777" w:rsidR="0098092C" w:rsidRDefault="0030498B">
                  <w:pPr>
                    <w:keepNext/>
                    <w:jc w:val="center"/>
                    <w:rPr>
                      <w:sz w:val="11"/>
                      <w:szCs w:val="11"/>
                    </w:rPr>
                  </w:pPr>
                  <w:r>
                    <w:rPr>
                      <w:rFonts w:ascii="Arial" w:hAnsi="Arial" w:cs="Arial"/>
                      <w:sz w:val="11"/>
                      <w:szCs w:val="11"/>
                    </w:rPr>
                    <w:t>0</w:t>
                  </w:r>
                </w:p>
              </w:tc>
            </w:tr>
            <w:tr w:rsidR="0098092C" w14:paraId="0BFFE75D" w14:textId="77777777">
              <w:trPr>
                <w:jc w:val="center"/>
              </w:trPr>
              <w:tc>
                <w:tcPr>
                  <w:tcW w:w="6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2228328" w14:textId="77777777" w:rsidR="0098092C" w:rsidRDefault="0030498B">
                  <w:pPr>
                    <w:keepNext/>
                    <w:jc w:val="center"/>
                    <w:rPr>
                      <w:sz w:val="11"/>
                      <w:szCs w:val="11"/>
                    </w:rPr>
                  </w:pPr>
                  <w:r>
                    <w:rPr>
                      <w:rFonts w:ascii="Arial" w:hAnsi="Arial" w:cs="Arial"/>
                      <w:sz w:val="11"/>
                      <w:szCs w:val="11"/>
                      <w:lang w:eastAsia="zh-CN"/>
                    </w:rPr>
                    <w:t>1</w:t>
                  </w:r>
                </w:p>
              </w:tc>
              <w:tc>
                <w:tcPr>
                  <w:tcW w:w="809" w:type="dxa"/>
                  <w:tcBorders>
                    <w:top w:val="nil"/>
                    <w:left w:val="nil"/>
                    <w:bottom w:val="single" w:sz="8" w:space="0" w:color="auto"/>
                    <w:right w:val="single" w:sz="8" w:space="0" w:color="auto"/>
                  </w:tcBorders>
                  <w:tcMar>
                    <w:top w:w="0" w:type="dxa"/>
                    <w:left w:w="108" w:type="dxa"/>
                    <w:bottom w:w="0" w:type="dxa"/>
                    <w:right w:w="108" w:type="dxa"/>
                  </w:tcMar>
                </w:tcPr>
                <w:p w14:paraId="510E5824" w14:textId="77777777" w:rsidR="0098092C" w:rsidRDefault="0030498B">
                  <w:pPr>
                    <w:keepNext/>
                    <w:jc w:val="center"/>
                    <w:rPr>
                      <w:sz w:val="11"/>
                      <w:szCs w:val="11"/>
                    </w:rPr>
                  </w:pPr>
                  <w:r>
                    <w:rPr>
                      <w:rFonts w:ascii="Arial" w:hAnsi="Arial" w:cs="Arial"/>
                      <w:sz w:val="11"/>
                      <w:szCs w:val="11"/>
                    </w:rPr>
                    <w:t xml:space="preserve">QPSK </w:t>
                  </w:r>
                </w:p>
              </w:tc>
              <w:tc>
                <w:tcPr>
                  <w:tcW w:w="648" w:type="dxa"/>
                  <w:tcBorders>
                    <w:top w:val="nil"/>
                    <w:left w:val="nil"/>
                    <w:bottom w:val="single" w:sz="8" w:space="0" w:color="auto"/>
                    <w:right w:val="single" w:sz="8" w:space="0" w:color="auto"/>
                  </w:tcBorders>
                  <w:tcMar>
                    <w:top w:w="0" w:type="dxa"/>
                    <w:left w:w="108" w:type="dxa"/>
                    <w:bottom w:w="0" w:type="dxa"/>
                    <w:right w:w="108" w:type="dxa"/>
                  </w:tcMar>
                </w:tcPr>
                <w:p w14:paraId="2E584947" w14:textId="77777777" w:rsidR="0098092C" w:rsidRDefault="0030498B">
                  <w:pPr>
                    <w:keepNext/>
                    <w:jc w:val="center"/>
                    <w:rPr>
                      <w:sz w:val="11"/>
                      <w:szCs w:val="11"/>
                    </w:rPr>
                  </w:pPr>
                  <w:r>
                    <w:rPr>
                      <w:rFonts w:ascii="Arial" w:hAnsi="Arial" w:cs="Arial"/>
                      <w:sz w:val="11"/>
                      <w:szCs w:val="11"/>
                    </w:rPr>
                    <w:t>2</w:t>
                  </w:r>
                </w:p>
              </w:tc>
            </w:tr>
            <w:tr w:rsidR="0098092C" w14:paraId="55F64883" w14:textId="77777777">
              <w:trPr>
                <w:jc w:val="center"/>
              </w:trPr>
              <w:tc>
                <w:tcPr>
                  <w:tcW w:w="6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35B8198" w14:textId="77777777" w:rsidR="0098092C" w:rsidRDefault="0030498B">
                  <w:pPr>
                    <w:keepNext/>
                    <w:jc w:val="center"/>
                    <w:rPr>
                      <w:sz w:val="11"/>
                      <w:szCs w:val="11"/>
                    </w:rPr>
                  </w:pPr>
                  <w:r>
                    <w:rPr>
                      <w:rFonts w:ascii="Arial" w:hAnsi="Arial" w:cs="Arial"/>
                      <w:sz w:val="11"/>
                      <w:szCs w:val="11"/>
                      <w:lang w:eastAsia="zh-CN"/>
                    </w:rPr>
                    <w:t>2</w:t>
                  </w:r>
                </w:p>
              </w:tc>
              <w:tc>
                <w:tcPr>
                  <w:tcW w:w="809" w:type="dxa"/>
                  <w:tcBorders>
                    <w:top w:val="nil"/>
                    <w:left w:val="nil"/>
                    <w:bottom w:val="single" w:sz="8" w:space="0" w:color="auto"/>
                    <w:right w:val="single" w:sz="8" w:space="0" w:color="auto"/>
                  </w:tcBorders>
                  <w:tcMar>
                    <w:top w:w="0" w:type="dxa"/>
                    <w:left w:w="108" w:type="dxa"/>
                    <w:bottom w:w="0" w:type="dxa"/>
                    <w:right w:w="108" w:type="dxa"/>
                  </w:tcMar>
                </w:tcPr>
                <w:p w14:paraId="1887A7DF" w14:textId="77777777" w:rsidR="0098092C" w:rsidRDefault="0030498B">
                  <w:pPr>
                    <w:keepNext/>
                    <w:jc w:val="center"/>
                    <w:rPr>
                      <w:sz w:val="11"/>
                      <w:szCs w:val="11"/>
                    </w:rPr>
                  </w:pPr>
                  <w:r>
                    <w:rPr>
                      <w:rFonts w:ascii="Arial" w:hAnsi="Arial" w:cs="Arial"/>
                      <w:sz w:val="11"/>
                      <w:szCs w:val="11"/>
                    </w:rPr>
                    <w:t xml:space="preserve">QPSK </w:t>
                  </w:r>
                </w:p>
              </w:tc>
              <w:tc>
                <w:tcPr>
                  <w:tcW w:w="648" w:type="dxa"/>
                  <w:tcBorders>
                    <w:top w:val="nil"/>
                    <w:left w:val="nil"/>
                    <w:bottom w:val="single" w:sz="8" w:space="0" w:color="auto"/>
                    <w:right w:val="single" w:sz="8" w:space="0" w:color="auto"/>
                  </w:tcBorders>
                  <w:tcMar>
                    <w:top w:w="0" w:type="dxa"/>
                    <w:left w:w="108" w:type="dxa"/>
                    <w:bottom w:w="0" w:type="dxa"/>
                    <w:right w:w="108" w:type="dxa"/>
                  </w:tcMar>
                </w:tcPr>
                <w:p w14:paraId="273FCF09" w14:textId="77777777" w:rsidR="0098092C" w:rsidRDefault="0030498B">
                  <w:pPr>
                    <w:keepNext/>
                    <w:jc w:val="center"/>
                    <w:rPr>
                      <w:sz w:val="11"/>
                      <w:szCs w:val="11"/>
                    </w:rPr>
                  </w:pPr>
                  <w:r>
                    <w:rPr>
                      <w:rFonts w:ascii="Arial" w:hAnsi="Arial" w:cs="Arial"/>
                      <w:sz w:val="11"/>
                      <w:szCs w:val="11"/>
                    </w:rPr>
                    <w:t>4</w:t>
                  </w:r>
                </w:p>
              </w:tc>
            </w:tr>
            <w:tr w:rsidR="0098092C" w14:paraId="28E6A0CE" w14:textId="77777777">
              <w:trPr>
                <w:jc w:val="center"/>
              </w:trPr>
              <w:tc>
                <w:tcPr>
                  <w:tcW w:w="6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448A4ED" w14:textId="77777777" w:rsidR="0098092C" w:rsidRDefault="0030498B">
                  <w:pPr>
                    <w:keepNext/>
                    <w:jc w:val="center"/>
                    <w:rPr>
                      <w:sz w:val="11"/>
                      <w:szCs w:val="11"/>
                    </w:rPr>
                  </w:pPr>
                  <w:r>
                    <w:rPr>
                      <w:rFonts w:ascii="Arial" w:hAnsi="Arial" w:cs="Arial"/>
                      <w:sz w:val="11"/>
                      <w:szCs w:val="11"/>
                      <w:lang w:eastAsia="zh-CN"/>
                    </w:rPr>
                    <w:t>3</w:t>
                  </w:r>
                </w:p>
              </w:tc>
              <w:tc>
                <w:tcPr>
                  <w:tcW w:w="809" w:type="dxa"/>
                  <w:tcBorders>
                    <w:top w:val="nil"/>
                    <w:left w:val="nil"/>
                    <w:bottom w:val="single" w:sz="8" w:space="0" w:color="auto"/>
                    <w:right w:val="single" w:sz="8" w:space="0" w:color="auto"/>
                  </w:tcBorders>
                  <w:tcMar>
                    <w:top w:w="0" w:type="dxa"/>
                    <w:left w:w="108" w:type="dxa"/>
                    <w:bottom w:w="0" w:type="dxa"/>
                    <w:right w:w="108" w:type="dxa"/>
                  </w:tcMar>
                </w:tcPr>
                <w:p w14:paraId="51EC020C" w14:textId="77777777" w:rsidR="0098092C" w:rsidRDefault="0030498B">
                  <w:pPr>
                    <w:keepNext/>
                    <w:jc w:val="center"/>
                    <w:rPr>
                      <w:sz w:val="11"/>
                      <w:szCs w:val="11"/>
                    </w:rPr>
                  </w:pPr>
                  <w:r>
                    <w:rPr>
                      <w:rFonts w:ascii="Arial" w:hAnsi="Arial" w:cs="Arial"/>
                      <w:sz w:val="11"/>
                      <w:szCs w:val="11"/>
                    </w:rPr>
                    <w:t>QPSK</w:t>
                  </w:r>
                </w:p>
              </w:tc>
              <w:tc>
                <w:tcPr>
                  <w:tcW w:w="648" w:type="dxa"/>
                  <w:tcBorders>
                    <w:top w:val="nil"/>
                    <w:left w:val="nil"/>
                    <w:bottom w:val="single" w:sz="8" w:space="0" w:color="auto"/>
                    <w:right w:val="single" w:sz="8" w:space="0" w:color="auto"/>
                  </w:tcBorders>
                  <w:tcMar>
                    <w:top w:w="0" w:type="dxa"/>
                    <w:left w:w="108" w:type="dxa"/>
                    <w:bottom w:w="0" w:type="dxa"/>
                    <w:right w:w="108" w:type="dxa"/>
                  </w:tcMar>
                </w:tcPr>
                <w:p w14:paraId="66175A0D" w14:textId="77777777" w:rsidR="0098092C" w:rsidRDefault="0030498B">
                  <w:pPr>
                    <w:keepNext/>
                    <w:jc w:val="center"/>
                    <w:rPr>
                      <w:sz w:val="11"/>
                      <w:szCs w:val="11"/>
                    </w:rPr>
                  </w:pPr>
                  <w:r>
                    <w:rPr>
                      <w:rFonts w:ascii="Arial" w:hAnsi="Arial" w:cs="Arial"/>
                      <w:sz w:val="11"/>
                      <w:szCs w:val="11"/>
                    </w:rPr>
                    <w:t>6</w:t>
                  </w:r>
                </w:p>
              </w:tc>
            </w:tr>
            <w:tr w:rsidR="0098092C" w14:paraId="308E09E5" w14:textId="77777777">
              <w:trPr>
                <w:jc w:val="center"/>
              </w:trPr>
              <w:tc>
                <w:tcPr>
                  <w:tcW w:w="6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2B3D0E2" w14:textId="77777777" w:rsidR="0098092C" w:rsidRDefault="0030498B">
                  <w:pPr>
                    <w:keepNext/>
                    <w:jc w:val="center"/>
                    <w:rPr>
                      <w:sz w:val="11"/>
                      <w:szCs w:val="11"/>
                    </w:rPr>
                  </w:pPr>
                  <w:r>
                    <w:rPr>
                      <w:rFonts w:ascii="Arial" w:hAnsi="Arial" w:cs="Arial"/>
                      <w:sz w:val="11"/>
                      <w:szCs w:val="11"/>
                      <w:lang w:eastAsia="zh-CN"/>
                    </w:rPr>
                    <w:t>4</w:t>
                  </w:r>
                </w:p>
              </w:tc>
              <w:tc>
                <w:tcPr>
                  <w:tcW w:w="809" w:type="dxa"/>
                  <w:tcBorders>
                    <w:top w:val="nil"/>
                    <w:left w:val="nil"/>
                    <w:bottom w:val="single" w:sz="8" w:space="0" w:color="auto"/>
                    <w:right w:val="single" w:sz="8" w:space="0" w:color="auto"/>
                  </w:tcBorders>
                  <w:tcMar>
                    <w:top w:w="0" w:type="dxa"/>
                    <w:left w:w="108" w:type="dxa"/>
                    <w:bottom w:w="0" w:type="dxa"/>
                    <w:right w:w="108" w:type="dxa"/>
                  </w:tcMar>
                </w:tcPr>
                <w:p w14:paraId="376143F8" w14:textId="77777777" w:rsidR="0098092C" w:rsidRDefault="0030498B">
                  <w:pPr>
                    <w:keepNext/>
                    <w:jc w:val="center"/>
                    <w:rPr>
                      <w:sz w:val="11"/>
                      <w:szCs w:val="11"/>
                    </w:rPr>
                  </w:pPr>
                  <w:r>
                    <w:rPr>
                      <w:rFonts w:ascii="Arial" w:hAnsi="Arial" w:cs="Arial"/>
                      <w:sz w:val="11"/>
                      <w:szCs w:val="11"/>
                    </w:rPr>
                    <w:t xml:space="preserve">QPSK </w:t>
                  </w:r>
                </w:p>
              </w:tc>
              <w:tc>
                <w:tcPr>
                  <w:tcW w:w="648" w:type="dxa"/>
                  <w:tcBorders>
                    <w:top w:val="nil"/>
                    <w:left w:val="nil"/>
                    <w:bottom w:val="single" w:sz="8" w:space="0" w:color="auto"/>
                    <w:right w:val="single" w:sz="8" w:space="0" w:color="auto"/>
                  </w:tcBorders>
                  <w:tcMar>
                    <w:top w:w="0" w:type="dxa"/>
                    <w:left w:w="108" w:type="dxa"/>
                    <w:bottom w:w="0" w:type="dxa"/>
                    <w:right w:w="108" w:type="dxa"/>
                  </w:tcMar>
                </w:tcPr>
                <w:p w14:paraId="29796114" w14:textId="77777777" w:rsidR="0098092C" w:rsidRDefault="0030498B">
                  <w:pPr>
                    <w:keepNext/>
                    <w:jc w:val="center"/>
                    <w:rPr>
                      <w:sz w:val="11"/>
                      <w:szCs w:val="11"/>
                    </w:rPr>
                  </w:pPr>
                  <w:r>
                    <w:rPr>
                      <w:rFonts w:ascii="Arial" w:hAnsi="Arial" w:cs="Arial"/>
                      <w:sz w:val="11"/>
                      <w:szCs w:val="11"/>
                    </w:rPr>
                    <w:t>8</w:t>
                  </w:r>
                </w:p>
              </w:tc>
            </w:tr>
            <w:tr w:rsidR="0098092C" w14:paraId="0FB01699" w14:textId="77777777">
              <w:trPr>
                <w:jc w:val="center"/>
              </w:trPr>
              <w:tc>
                <w:tcPr>
                  <w:tcW w:w="624" w:type="dxa"/>
                  <w:tcBorders>
                    <w:top w:val="nil"/>
                    <w:left w:val="single" w:sz="8" w:space="0" w:color="auto"/>
                    <w:bottom w:val="double" w:sz="4" w:space="0" w:color="auto"/>
                    <w:right w:val="single" w:sz="8" w:space="0" w:color="auto"/>
                  </w:tcBorders>
                  <w:tcMar>
                    <w:top w:w="0" w:type="dxa"/>
                    <w:left w:w="108" w:type="dxa"/>
                    <w:bottom w:w="0" w:type="dxa"/>
                    <w:right w:w="108" w:type="dxa"/>
                  </w:tcMar>
                </w:tcPr>
                <w:p w14:paraId="541E508F" w14:textId="77777777" w:rsidR="0098092C" w:rsidRDefault="0030498B">
                  <w:pPr>
                    <w:keepNext/>
                    <w:jc w:val="center"/>
                    <w:rPr>
                      <w:sz w:val="11"/>
                      <w:szCs w:val="11"/>
                    </w:rPr>
                  </w:pPr>
                  <w:r>
                    <w:rPr>
                      <w:rFonts w:ascii="Arial" w:hAnsi="Arial" w:cs="Arial"/>
                      <w:sz w:val="11"/>
                      <w:szCs w:val="11"/>
                      <w:lang w:eastAsia="zh-CN"/>
                    </w:rPr>
                    <w:t>5</w:t>
                  </w:r>
                </w:p>
              </w:tc>
              <w:tc>
                <w:tcPr>
                  <w:tcW w:w="809" w:type="dxa"/>
                  <w:tcBorders>
                    <w:top w:val="nil"/>
                    <w:left w:val="nil"/>
                    <w:bottom w:val="double" w:sz="4" w:space="0" w:color="auto"/>
                    <w:right w:val="single" w:sz="8" w:space="0" w:color="auto"/>
                  </w:tcBorders>
                  <w:tcMar>
                    <w:top w:w="0" w:type="dxa"/>
                    <w:left w:w="108" w:type="dxa"/>
                    <w:bottom w:w="0" w:type="dxa"/>
                    <w:right w:w="108" w:type="dxa"/>
                  </w:tcMar>
                </w:tcPr>
                <w:p w14:paraId="2A056AE6" w14:textId="77777777" w:rsidR="0098092C" w:rsidRDefault="0030498B">
                  <w:pPr>
                    <w:keepNext/>
                    <w:jc w:val="center"/>
                    <w:rPr>
                      <w:sz w:val="11"/>
                      <w:szCs w:val="11"/>
                    </w:rPr>
                  </w:pPr>
                  <w:r>
                    <w:rPr>
                      <w:rFonts w:ascii="Arial" w:hAnsi="Arial" w:cs="Arial"/>
                      <w:sz w:val="11"/>
                      <w:szCs w:val="11"/>
                    </w:rPr>
                    <w:t>QPSK</w:t>
                  </w:r>
                </w:p>
              </w:tc>
              <w:tc>
                <w:tcPr>
                  <w:tcW w:w="648" w:type="dxa"/>
                  <w:tcBorders>
                    <w:top w:val="nil"/>
                    <w:left w:val="nil"/>
                    <w:bottom w:val="double" w:sz="4" w:space="0" w:color="auto"/>
                    <w:right w:val="single" w:sz="8" w:space="0" w:color="auto"/>
                  </w:tcBorders>
                  <w:tcMar>
                    <w:top w:w="0" w:type="dxa"/>
                    <w:left w:w="108" w:type="dxa"/>
                    <w:bottom w:w="0" w:type="dxa"/>
                    <w:right w:w="108" w:type="dxa"/>
                  </w:tcMar>
                </w:tcPr>
                <w:p w14:paraId="2CE2B114" w14:textId="77777777" w:rsidR="0098092C" w:rsidRDefault="0030498B">
                  <w:pPr>
                    <w:keepNext/>
                    <w:jc w:val="center"/>
                    <w:rPr>
                      <w:sz w:val="11"/>
                      <w:szCs w:val="11"/>
                    </w:rPr>
                  </w:pPr>
                  <w:r>
                    <w:rPr>
                      <w:rFonts w:ascii="Arial" w:hAnsi="Arial" w:cs="Arial"/>
                      <w:sz w:val="11"/>
                      <w:szCs w:val="11"/>
                    </w:rPr>
                    <w:t>10</w:t>
                  </w:r>
                </w:p>
              </w:tc>
            </w:tr>
            <w:tr w:rsidR="0098092C" w14:paraId="4B4FE22D" w14:textId="77777777">
              <w:trPr>
                <w:jc w:val="center"/>
              </w:trPr>
              <w:tc>
                <w:tcPr>
                  <w:tcW w:w="6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15FA640" w14:textId="77777777" w:rsidR="0098092C" w:rsidRDefault="0030498B">
                  <w:pPr>
                    <w:keepNext/>
                    <w:jc w:val="center"/>
                    <w:rPr>
                      <w:sz w:val="11"/>
                      <w:szCs w:val="11"/>
                    </w:rPr>
                  </w:pPr>
                  <w:r>
                    <w:rPr>
                      <w:rFonts w:ascii="Arial" w:hAnsi="Arial" w:cs="Arial"/>
                      <w:sz w:val="11"/>
                      <w:szCs w:val="11"/>
                      <w:lang w:eastAsia="zh-CN"/>
                    </w:rPr>
                    <w:t>6</w:t>
                  </w:r>
                </w:p>
              </w:tc>
              <w:tc>
                <w:tcPr>
                  <w:tcW w:w="809" w:type="dxa"/>
                  <w:tcBorders>
                    <w:top w:val="nil"/>
                    <w:left w:val="nil"/>
                    <w:bottom w:val="single" w:sz="8" w:space="0" w:color="auto"/>
                    <w:right w:val="single" w:sz="8" w:space="0" w:color="auto"/>
                  </w:tcBorders>
                  <w:tcMar>
                    <w:top w:w="0" w:type="dxa"/>
                    <w:left w:w="108" w:type="dxa"/>
                    <w:bottom w:w="0" w:type="dxa"/>
                    <w:right w:w="108" w:type="dxa"/>
                  </w:tcMar>
                </w:tcPr>
                <w:p w14:paraId="7D79C7B4" w14:textId="77777777" w:rsidR="0098092C" w:rsidRDefault="0030498B">
                  <w:pPr>
                    <w:keepNext/>
                    <w:jc w:val="center"/>
                    <w:rPr>
                      <w:sz w:val="11"/>
                      <w:szCs w:val="11"/>
                    </w:rPr>
                  </w:pPr>
                  <w:r>
                    <w:rPr>
                      <w:rFonts w:ascii="Arial" w:hAnsi="Arial" w:cs="Arial"/>
                      <w:sz w:val="11"/>
                      <w:szCs w:val="11"/>
                    </w:rPr>
                    <w:t xml:space="preserve">QPSK </w:t>
                  </w:r>
                </w:p>
              </w:tc>
              <w:tc>
                <w:tcPr>
                  <w:tcW w:w="648" w:type="dxa"/>
                  <w:tcBorders>
                    <w:top w:val="nil"/>
                    <w:left w:val="nil"/>
                    <w:bottom w:val="single" w:sz="8" w:space="0" w:color="auto"/>
                    <w:right w:val="single" w:sz="8" w:space="0" w:color="auto"/>
                  </w:tcBorders>
                  <w:tcMar>
                    <w:top w:w="0" w:type="dxa"/>
                    <w:left w:w="108" w:type="dxa"/>
                    <w:bottom w:w="0" w:type="dxa"/>
                    <w:right w:w="108" w:type="dxa"/>
                  </w:tcMar>
                </w:tcPr>
                <w:p w14:paraId="43EF384E" w14:textId="77777777" w:rsidR="0098092C" w:rsidRDefault="0030498B">
                  <w:pPr>
                    <w:keepNext/>
                    <w:jc w:val="center"/>
                    <w:rPr>
                      <w:sz w:val="11"/>
                      <w:szCs w:val="11"/>
                    </w:rPr>
                  </w:pPr>
                  <w:r>
                    <w:rPr>
                      <w:rFonts w:ascii="Arial" w:hAnsi="Arial" w:cs="Arial"/>
                      <w:sz w:val="11"/>
                      <w:szCs w:val="11"/>
                    </w:rPr>
                    <w:t>12</w:t>
                  </w:r>
                </w:p>
              </w:tc>
            </w:tr>
            <w:tr w:rsidR="0098092C" w14:paraId="54AC106F" w14:textId="77777777">
              <w:trPr>
                <w:jc w:val="center"/>
              </w:trPr>
              <w:tc>
                <w:tcPr>
                  <w:tcW w:w="6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2A4AA05" w14:textId="77777777" w:rsidR="0098092C" w:rsidRDefault="0030498B">
                  <w:pPr>
                    <w:keepNext/>
                    <w:jc w:val="center"/>
                    <w:rPr>
                      <w:sz w:val="11"/>
                      <w:szCs w:val="11"/>
                    </w:rPr>
                  </w:pPr>
                  <w:r>
                    <w:rPr>
                      <w:rFonts w:ascii="Arial" w:hAnsi="Arial" w:cs="Arial"/>
                      <w:sz w:val="11"/>
                      <w:szCs w:val="11"/>
                    </w:rPr>
                    <w:t>8</w:t>
                  </w:r>
                </w:p>
              </w:tc>
              <w:tc>
                <w:tcPr>
                  <w:tcW w:w="809" w:type="dxa"/>
                  <w:tcBorders>
                    <w:top w:val="nil"/>
                    <w:left w:val="nil"/>
                    <w:bottom w:val="single" w:sz="8" w:space="0" w:color="auto"/>
                    <w:right w:val="single" w:sz="8" w:space="0" w:color="auto"/>
                  </w:tcBorders>
                  <w:tcMar>
                    <w:top w:w="0" w:type="dxa"/>
                    <w:left w:w="108" w:type="dxa"/>
                    <w:bottom w:w="0" w:type="dxa"/>
                    <w:right w:w="108" w:type="dxa"/>
                  </w:tcMar>
                </w:tcPr>
                <w:p w14:paraId="121B5B36" w14:textId="77777777" w:rsidR="0098092C" w:rsidRDefault="0030498B">
                  <w:pPr>
                    <w:keepNext/>
                    <w:jc w:val="center"/>
                    <w:rPr>
                      <w:sz w:val="11"/>
                      <w:szCs w:val="11"/>
                    </w:rPr>
                  </w:pPr>
                  <w:r>
                    <w:rPr>
                      <w:rFonts w:ascii="Arial" w:hAnsi="Arial" w:cs="Arial"/>
                      <w:sz w:val="11"/>
                      <w:szCs w:val="11"/>
                      <w:lang w:eastAsia="zh-CN"/>
                    </w:rPr>
                    <w:t>16</w:t>
                  </w:r>
                  <w:r>
                    <w:rPr>
                      <w:rFonts w:ascii="Arial" w:hAnsi="Arial" w:cs="Arial"/>
                      <w:sz w:val="11"/>
                      <w:szCs w:val="11"/>
                    </w:rPr>
                    <w:t xml:space="preserve">QAM </w:t>
                  </w:r>
                </w:p>
              </w:tc>
              <w:tc>
                <w:tcPr>
                  <w:tcW w:w="648" w:type="dxa"/>
                  <w:tcBorders>
                    <w:top w:val="nil"/>
                    <w:left w:val="nil"/>
                    <w:bottom w:val="single" w:sz="8" w:space="0" w:color="auto"/>
                    <w:right w:val="single" w:sz="8" w:space="0" w:color="auto"/>
                  </w:tcBorders>
                  <w:tcMar>
                    <w:top w:w="0" w:type="dxa"/>
                    <w:left w:w="108" w:type="dxa"/>
                    <w:bottom w:w="0" w:type="dxa"/>
                    <w:right w:w="108" w:type="dxa"/>
                  </w:tcMar>
                </w:tcPr>
                <w:p w14:paraId="3E86CE7B" w14:textId="77777777" w:rsidR="0098092C" w:rsidRDefault="0030498B">
                  <w:pPr>
                    <w:keepNext/>
                    <w:jc w:val="center"/>
                    <w:rPr>
                      <w:sz w:val="11"/>
                      <w:szCs w:val="11"/>
                    </w:rPr>
                  </w:pPr>
                  <w:r>
                    <w:rPr>
                      <w:rFonts w:ascii="Arial" w:hAnsi="Arial" w:cs="Arial"/>
                      <w:sz w:val="11"/>
                      <w:szCs w:val="11"/>
                    </w:rPr>
                    <w:t>14</w:t>
                  </w:r>
                </w:p>
              </w:tc>
            </w:tr>
            <w:tr w:rsidR="0098092C" w14:paraId="46C2FABA" w14:textId="77777777">
              <w:trPr>
                <w:jc w:val="center"/>
              </w:trPr>
              <w:tc>
                <w:tcPr>
                  <w:tcW w:w="624" w:type="dxa"/>
                  <w:tcBorders>
                    <w:top w:val="nil"/>
                    <w:left w:val="single" w:sz="8" w:space="0" w:color="auto"/>
                    <w:bottom w:val="double" w:sz="4" w:space="0" w:color="auto"/>
                    <w:right w:val="single" w:sz="8" w:space="0" w:color="auto"/>
                  </w:tcBorders>
                  <w:tcMar>
                    <w:top w:w="0" w:type="dxa"/>
                    <w:left w:w="108" w:type="dxa"/>
                    <w:bottom w:w="0" w:type="dxa"/>
                    <w:right w:w="108" w:type="dxa"/>
                  </w:tcMar>
                </w:tcPr>
                <w:p w14:paraId="67FF64AA" w14:textId="77777777" w:rsidR="0098092C" w:rsidRDefault="0030498B">
                  <w:pPr>
                    <w:keepNext/>
                    <w:jc w:val="center"/>
                    <w:rPr>
                      <w:sz w:val="11"/>
                      <w:szCs w:val="11"/>
                    </w:rPr>
                  </w:pPr>
                  <w:r>
                    <w:rPr>
                      <w:rFonts w:ascii="Arial" w:hAnsi="Arial" w:cs="Arial"/>
                      <w:sz w:val="11"/>
                      <w:szCs w:val="11"/>
                    </w:rPr>
                    <w:t>9</w:t>
                  </w:r>
                </w:p>
              </w:tc>
              <w:tc>
                <w:tcPr>
                  <w:tcW w:w="809" w:type="dxa"/>
                  <w:tcBorders>
                    <w:top w:val="nil"/>
                    <w:left w:val="nil"/>
                    <w:bottom w:val="double" w:sz="4" w:space="0" w:color="auto"/>
                    <w:right w:val="single" w:sz="8" w:space="0" w:color="auto"/>
                  </w:tcBorders>
                  <w:tcMar>
                    <w:top w:w="0" w:type="dxa"/>
                    <w:left w:w="108" w:type="dxa"/>
                    <w:bottom w:w="0" w:type="dxa"/>
                    <w:right w:w="108" w:type="dxa"/>
                  </w:tcMar>
                </w:tcPr>
                <w:p w14:paraId="4BC5AEA4" w14:textId="77777777" w:rsidR="0098092C" w:rsidRDefault="0030498B">
                  <w:pPr>
                    <w:keepNext/>
                    <w:jc w:val="center"/>
                    <w:rPr>
                      <w:sz w:val="11"/>
                      <w:szCs w:val="11"/>
                    </w:rPr>
                  </w:pPr>
                  <w:r>
                    <w:rPr>
                      <w:rFonts w:ascii="Arial" w:hAnsi="Arial" w:cs="Arial"/>
                      <w:sz w:val="11"/>
                      <w:szCs w:val="11"/>
                      <w:lang w:eastAsia="zh-CN"/>
                    </w:rPr>
                    <w:t>16</w:t>
                  </w:r>
                  <w:r>
                    <w:rPr>
                      <w:rFonts w:ascii="Arial" w:hAnsi="Arial" w:cs="Arial"/>
                      <w:sz w:val="11"/>
                      <w:szCs w:val="11"/>
                    </w:rPr>
                    <w:t xml:space="preserve">QAM </w:t>
                  </w:r>
                </w:p>
              </w:tc>
              <w:tc>
                <w:tcPr>
                  <w:tcW w:w="648" w:type="dxa"/>
                  <w:tcBorders>
                    <w:top w:val="nil"/>
                    <w:left w:val="nil"/>
                    <w:bottom w:val="double" w:sz="4" w:space="0" w:color="auto"/>
                    <w:right w:val="single" w:sz="8" w:space="0" w:color="auto"/>
                  </w:tcBorders>
                  <w:tcMar>
                    <w:top w:w="0" w:type="dxa"/>
                    <w:left w:w="108" w:type="dxa"/>
                    <w:bottom w:w="0" w:type="dxa"/>
                    <w:right w:w="108" w:type="dxa"/>
                  </w:tcMar>
                </w:tcPr>
                <w:p w14:paraId="79C99E18" w14:textId="77777777" w:rsidR="0098092C" w:rsidRDefault="0030498B">
                  <w:pPr>
                    <w:keepNext/>
                    <w:jc w:val="center"/>
                    <w:rPr>
                      <w:sz w:val="11"/>
                      <w:szCs w:val="11"/>
                    </w:rPr>
                  </w:pPr>
                  <w:r>
                    <w:rPr>
                      <w:rFonts w:ascii="Arial" w:hAnsi="Arial" w:cs="Arial"/>
                      <w:sz w:val="11"/>
                      <w:szCs w:val="11"/>
                    </w:rPr>
                    <w:t>16</w:t>
                  </w:r>
                </w:p>
              </w:tc>
            </w:tr>
            <w:tr w:rsidR="0098092C" w14:paraId="5DB494E8" w14:textId="77777777">
              <w:trPr>
                <w:jc w:val="center"/>
              </w:trPr>
              <w:tc>
                <w:tcPr>
                  <w:tcW w:w="6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1197CB9" w14:textId="77777777" w:rsidR="0098092C" w:rsidRDefault="0030498B">
                  <w:pPr>
                    <w:keepNext/>
                    <w:jc w:val="center"/>
                    <w:rPr>
                      <w:sz w:val="11"/>
                      <w:szCs w:val="11"/>
                    </w:rPr>
                  </w:pPr>
                  <w:r>
                    <w:rPr>
                      <w:rFonts w:ascii="Arial" w:hAnsi="Arial" w:cs="Arial"/>
                      <w:sz w:val="11"/>
                      <w:szCs w:val="11"/>
                    </w:rPr>
                    <w:t>10</w:t>
                  </w:r>
                </w:p>
              </w:tc>
              <w:tc>
                <w:tcPr>
                  <w:tcW w:w="809" w:type="dxa"/>
                  <w:tcBorders>
                    <w:top w:val="nil"/>
                    <w:left w:val="nil"/>
                    <w:bottom w:val="single" w:sz="8" w:space="0" w:color="auto"/>
                    <w:right w:val="single" w:sz="8" w:space="0" w:color="auto"/>
                  </w:tcBorders>
                  <w:tcMar>
                    <w:top w:w="0" w:type="dxa"/>
                    <w:left w:w="108" w:type="dxa"/>
                    <w:bottom w:w="0" w:type="dxa"/>
                    <w:right w:w="108" w:type="dxa"/>
                  </w:tcMar>
                </w:tcPr>
                <w:p w14:paraId="09D2A62B" w14:textId="77777777" w:rsidR="0098092C" w:rsidRDefault="0030498B">
                  <w:pPr>
                    <w:keepNext/>
                    <w:jc w:val="center"/>
                    <w:rPr>
                      <w:sz w:val="11"/>
                      <w:szCs w:val="11"/>
                    </w:rPr>
                  </w:pPr>
                  <w:r>
                    <w:rPr>
                      <w:rFonts w:ascii="Arial" w:hAnsi="Arial" w:cs="Arial"/>
                      <w:sz w:val="11"/>
                      <w:szCs w:val="11"/>
                      <w:lang w:eastAsia="zh-CN"/>
                    </w:rPr>
                    <w:t>16</w:t>
                  </w:r>
                  <w:r>
                    <w:rPr>
                      <w:rFonts w:ascii="Arial" w:hAnsi="Arial" w:cs="Arial"/>
                      <w:sz w:val="11"/>
                      <w:szCs w:val="11"/>
                    </w:rPr>
                    <w:t xml:space="preserve">QAM </w:t>
                  </w:r>
                </w:p>
              </w:tc>
              <w:tc>
                <w:tcPr>
                  <w:tcW w:w="648" w:type="dxa"/>
                  <w:tcBorders>
                    <w:top w:val="nil"/>
                    <w:left w:val="nil"/>
                    <w:bottom w:val="single" w:sz="8" w:space="0" w:color="auto"/>
                    <w:right w:val="single" w:sz="8" w:space="0" w:color="auto"/>
                  </w:tcBorders>
                  <w:tcMar>
                    <w:top w:w="0" w:type="dxa"/>
                    <w:left w:w="108" w:type="dxa"/>
                    <w:bottom w:w="0" w:type="dxa"/>
                    <w:right w:w="108" w:type="dxa"/>
                  </w:tcMar>
                </w:tcPr>
                <w:p w14:paraId="713D74BE" w14:textId="77777777" w:rsidR="0098092C" w:rsidRDefault="0030498B">
                  <w:pPr>
                    <w:keepNext/>
                    <w:jc w:val="center"/>
                    <w:rPr>
                      <w:sz w:val="11"/>
                      <w:szCs w:val="11"/>
                    </w:rPr>
                  </w:pPr>
                  <w:r>
                    <w:rPr>
                      <w:rFonts w:ascii="Arial" w:hAnsi="Arial" w:cs="Arial"/>
                      <w:sz w:val="11"/>
                      <w:szCs w:val="11"/>
                    </w:rPr>
                    <w:t>18</w:t>
                  </w:r>
                </w:p>
              </w:tc>
            </w:tr>
            <w:tr w:rsidR="0098092C" w14:paraId="20935ED6" w14:textId="77777777">
              <w:trPr>
                <w:jc w:val="center"/>
              </w:trPr>
              <w:tc>
                <w:tcPr>
                  <w:tcW w:w="6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3C17A18" w14:textId="77777777" w:rsidR="0098092C" w:rsidRDefault="0030498B">
                  <w:pPr>
                    <w:keepNext/>
                    <w:jc w:val="center"/>
                    <w:rPr>
                      <w:sz w:val="11"/>
                      <w:szCs w:val="11"/>
                    </w:rPr>
                  </w:pPr>
                  <w:r>
                    <w:rPr>
                      <w:rFonts w:ascii="Arial" w:hAnsi="Arial" w:cs="Arial"/>
                      <w:sz w:val="11"/>
                      <w:szCs w:val="11"/>
                    </w:rPr>
                    <w:t>11</w:t>
                  </w:r>
                </w:p>
              </w:tc>
              <w:tc>
                <w:tcPr>
                  <w:tcW w:w="809" w:type="dxa"/>
                  <w:tcBorders>
                    <w:top w:val="nil"/>
                    <w:left w:val="nil"/>
                    <w:bottom w:val="single" w:sz="8" w:space="0" w:color="auto"/>
                    <w:right w:val="single" w:sz="8" w:space="0" w:color="auto"/>
                  </w:tcBorders>
                  <w:tcMar>
                    <w:top w:w="0" w:type="dxa"/>
                    <w:left w:w="108" w:type="dxa"/>
                    <w:bottom w:w="0" w:type="dxa"/>
                    <w:right w:w="108" w:type="dxa"/>
                  </w:tcMar>
                </w:tcPr>
                <w:p w14:paraId="6075E78C" w14:textId="77777777" w:rsidR="0098092C" w:rsidRDefault="0030498B">
                  <w:pPr>
                    <w:keepNext/>
                    <w:rPr>
                      <w:sz w:val="11"/>
                      <w:szCs w:val="11"/>
                    </w:rPr>
                  </w:pPr>
                  <w:r>
                    <w:rPr>
                      <w:rFonts w:ascii="Arial" w:hAnsi="Arial" w:cs="Arial"/>
                      <w:sz w:val="11"/>
                      <w:szCs w:val="11"/>
                      <w:lang w:eastAsia="zh-CN"/>
                    </w:rPr>
                    <w:t>  16QAM</w:t>
                  </w:r>
                  <w:r>
                    <w:rPr>
                      <w:rFonts w:ascii="Arial" w:hAnsi="Arial" w:cs="Arial"/>
                      <w:sz w:val="11"/>
                      <w:szCs w:val="11"/>
                    </w:rPr>
                    <w:t xml:space="preserve"> </w:t>
                  </w:r>
                </w:p>
              </w:tc>
              <w:tc>
                <w:tcPr>
                  <w:tcW w:w="648" w:type="dxa"/>
                  <w:tcBorders>
                    <w:top w:val="nil"/>
                    <w:left w:val="nil"/>
                    <w:bottom w:val="single" w:sz="8" w:space="0" w:color="auto"/>
                    <w:right w:val="single" w:sz="8" w:space="0" w:color="auto"/>
                  </w:tcBorders>
                  <w:tcMar>
                    <w:top w:w="0" w:type="dxa"/>
                    <w:left w:w="108" w:type="dxa"/>
                    <w:bottom w:w="0" w:type="dxa"/>
                    <w:right w:w="108" w:type="dxa"/>
                  </w:tcMar>
                </w:tcPr>
                <w:p w14:paraId="2640D761" w14:textId="77777777" w:rsidR="0098092C" w:rsidRDefault="0030498B">
                  <w:pPr>
                    <w:keepNext/>
                    <w:jc w:val="center"/>
                    <w:rPr>
                      <w:sz w:val="11"/>
                      <w:szCs w:val="11"/>
                    </w:rPr>
                  </w:pPr>
                  <w:r>
                    <w:rPr>
                      <w:rFonts w:ascii="Arial" w:hAnsi="Arial" w:cs="Arial"/>
                      <w:sz w:val="11"/>
                      <w:szCs w:val="11"/>
                      <w:lang w:eastAsia="zh-CN"/>
                    </w:rPr>
                    <w:t>20</w:t>
                  </w:r>
                </w:p>
              </w:tc>
            </w:tr>
            <w:tr w:rsidR="0098092C" w14:paraId="70F97827" w14:textId="77777777">
              <w:trPr>
                <w:jc w:val="center"/>
              </w:trPr>
              <w:tc>
                <w:tcPr>
                  <w:tcW w:w="6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0A9ECDE" w14:textId="77777777" w:rsidR="0098092C" w:rsidRDefault="0030498B">
                  <w:pPr>
                    <w:keepNext/>
                    <w:jc w:val="center"/>
                    <w:rPr>
                      <w:sz w:val="11"/>
                      <w:szCs w:val="11"/>
                    </w:rPr>
                  </w:pPr>
                  <w:r>
                    <w:rPr>
                      <w:rFonts w:ascii="Arial" w:hAnsi="Arial" w:cs="Arial"/>
                      <w:sz w:val="11"/>
                      <w:szCs w:val="11"/>
                    </w:rPr>
                    <w:t>12</w:t>
                  </w:r>
                </w:p>
              </w:tc>
              <w:tc>
                <w:tcPr>
                  <w:tcW w:w="809" w:type="dxa"/>
                  <w:tcBorders>
                    <w:top w:val="nil"/>
                    <w:left w:val="nil"/>
                    <w:bottom w:val="single" w:sz="8" w:space="0" w:color="auto"/>
                    <w:right w:val="single" w:sz="8" w:space="0" w:color="auto"/>
                  </w:tcBorders>
                  <w:tcMar>
                    <w:top w:w="0" w:type="dxa"/>
                    <w:left w:w="108" w:type="dxa"/>
                    <w:bottom w:w="0" w:type="dxa"/>
                    <w:right w:w="108" w:type="dxa"/>
                  </w:tcMar>
                </w:tcPr>
                <w:p w14:paraId="21F0D22C" w14:textId="77777777" w:rsidR="0098092C" w:rsidRDefault="0030498B">
                  <w:pPr>
                    <w:keepNext/>
                    <w:jc w:val="center"/>
                    <w:rPr>
                      <w:sz w:val="11"/>
                      <w:szCs w:val="11"/>
                    </w:rPr>
                  </w:pPr>
                  <w:r>
                    <w:rPr>
                      <w:rFonts w:ascii="Arial" w:hAnsi="Arial" w:cs="Arial"/>
                      <w:sz w:val="11"/>
                      <w:szCs w:val="11"/>
                      <w:lang w:eastAsia="zh-CN"/>
                    </w:rPr>
                    <w:t>Reserved</w:t>
                  </w:r>
                </w:p>
              </w:tc>
              <w:tc>
                <w:tcPr>
                  <w:tcW w:w="648" w:type="dxa"/>
                  <w:tcBorders>
                    <w:top w:val="nil"/>
                    <w:left w:val="nil"/>
                    <w:bottom w:val="single" w:sz="8" w:space="0" w:color="auto"/>
                    <w:right w:val="single" w:sz="8" w:space="0" w:color="auto"/>
                  </w:tcBorders>
                  <w:tcMar>
                    <w:top w:w="0" w:type="dxa"/>
                    <w:left w:w="108" w:type="dxa"/>
                    <w:bottom w:w="0" w:type="dxa"/>
                    <w:right w:w="108" w:type="dxa"/>
                  </w:tcMar>
                </w:tcPr>
                <w:p w14:paraId="2EBBAD70" w14:textId="77777777" w:rsidR="0098092C" w:rsidRDefault="0030498B">
                  <w:pPr>
                    <w:keepNext/>
                    <w:jc w:val="center"/>
                    <w:rPr>
                      <w:sz w:val="11"/>
                      <w:szCs w:val="11"/>
                    </w:rPr>
                  </w:pPr>
                  <w:r>
                    <w:rPr>
                      <w:rFonts w:ascii="Arial" w:hAnsi="Arial" w:cs="Arial"/>
                      <w:sz w:val="11"/>
                      <w:szCs w:val="11"/>
                      <w:lang w:eastAsia="zh-CN"/>
                    </w:rPr>
                    <w:t>Reserved</w:t>
                  </w:r>
                </w:p>
              </w:tc>
            </w:tr>
            <w:tr w:rsidR="0098092C" w14:paraId="5D160732" w14:textId="77777777">
              <w:trPr>
                <w:jc w:val="center"/>
              </w:trPr>
              <w:tc>
                <w:tcPr>
                  <w:tcW w:w="6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D836189" w14:textId="77777777" w:rsidR="0098092C" w:rsidRDefault="0030498B">
                  <w:pPr>
                    <w:keepNext/>
                    <w:jc w:val="center"/>
                    <w:rPr>
                      <w:sz w:val="11"/>
                      <w:szCs w:val="11"/>
                    </w:rPr>
                  </w:pPr>
                  <w:r>
                    <w:rPr>
                      <w:rFonts w:ascii="Arial" w:hAnsi="Arial" w:cs="Arial"/>
                      <w:sz w:val="11"/>
                      <w:szCs w:val="11"/>
                    </w:rPr>
                    <w:t>13</w:t>
                  </w:r>
                </w:p>
              </w:tc>
              <w:tc>
                <w:tcPr>
                  <w:tcW w:w="809" w:type="dxa"/>
                  <w:tcBorders>
                    <w:top w:val="nil"/>
                    <w:left w:val="nil"/>
                    <w:bottom w:val="single" w:sz="8" w:space="0" w:color="auto"/>
                    <w:right w:val="single" w:sz="8" w:space="0" w:color="auto"/>
                  </w:tcBorders>
                  <w:tcMar>
                    <w:top w:w="0" w:type="dxa"/>
                    <w:left w:w="108" w:type="dxa"/>
                    <w:bottom w:w="0" w:type="dxa"/>
                    <w:right w:w="108" w:type="dxa"/>
                  </w:tcMar>
                </w:tcPr>
                <w:p w14:paraId="244197DE" w14:textId="77777777" w:rsidR="0098092C" w:rsidRDefault="0030498B">
                  <w:pPr>
                    <w:keepNext/>
                    <w:jc w:val="center"/>
                    <w:rPr>
                      <w:sz w:val="11"/>
                      <w:szCs w:val="11"/>
                    </w:rPr>
                  </w:pPr>
                  <w:r>
                    <w:rPr>
                      <w:rFonts w:ascii="Arial" w:hAnsi="Arial" w:cs="Arial"/>
                      <w:sz w:val="11"/>
                      <w:szCs w:val="11"/>
                      <w:lang w:eastAsia="zh-CN"/>
                    </w:rPr>
                    <w:t>Reserved</w:t>
                  </w:r>
                </w:p>
              </w:tc>
              <w:tc>
                <w:tcPr>
                  <w:tcW w:w="648" w:type="dxa"/>
                  <w:tcBorders>
                    <w:top w:val="nil"/>
                    <w:left w:val="nil"/>
                    <w:bottom w:val="single" w:sz="8" w:space="0" w:color="auto"/>
                    <w:right w:val="single" w:sz="8" w:space="0" w:color="auto"/>
                  </w:tcBorders>
                  <w:tcMar>
                    <w:top w:w="0" w:type="dxa"/>
                    <w:left w:w="108" w:type="dxa"/>
                    <w:bottom w:w="0" w:type="dxa"/>
                    <w:right w:w="108" w:type="dxa"/>
                  </w:tcMar>
                </w:tcPr>
                <w:p w14:paraId="036BE3FD" w14:textId="77777777" w:rsidR="0098092C" w:rsidRDefault="0030498B">
                  <w:pPr>
                    <w:keepNext/>
                    <w:jc w:val="center"/>
                    <w:rPr>
                      <w:sz w:val="11"/>
                      <w:szCs w:val="11"/>
                    </w:rPr>
                  </w:pPr>
                  <w:r>
                    <w:rPr>
                      <w:rFonts w:ascii="Arial" w:hAnsi="Arial" w:cs="Arial"/>
                      <w:sz w:val="11"/>
                      <w:szCs w:val="11"/>
                      <w:lang w:eastAsia="zh-CN"/>
                    </w:rPr>
                    <w:t>Reserved</w:t>
                  </w:r>
                </w:p>
              </w:tc>
            </w:tr>
            <w:tr w:rsidR="0098092C" w14:paraId="78DAB793" w14:textId="77777777">
              <w:trPr>
                <w:jc w:val="center"/>
              </w:trPr>
              <w:tc>
                <w:tcPr>
                  <w:tcW w:w="6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1F0266" w14:textId="77777777" w:rsidR="0098092C" w:rsidRDefault="0030498B">
                  <w:pPr>
                    <w:keepNext/>
                    <w:jc w:val="center"/>
                    <w:rPr>
                      <w:sz w:val="11"/>
                      <w:szCs w:val="11"/>
                    </w:rPr>
                  </w:pPr>
                  <w:r>
                    <w:rPr>
                      <w:rFonts w:ascii="Arial" w:hAnsi="Arial" w:cs="Arial"/>
                      <w:sz w:val="11"/>
                      <w:szCs w:val="11"/>
                    </w:rPr>
                    <w:t>14</w:t>
                  </w:r>
                </w:p>
              </w:tc>
              <w:tc>
                <w:tcPr>
                  <w:tcW w:w="809" w:type="dxa"/>
                  <w:tcBorders>
                    <w:top w:val="nil"/>
                    <w:left w:val="nil"/>
                    <w:bottom w:val="single" w:sz="8" w:space="0" w:color="auto"/>
                    <w:right w:val="single" w:sz="8" w:space="0" w:color="auto"/>
                  </w:tcBorders>
                  <w:tcMar>
                    <w:top w:w="0" w:type="dxa"/>
                    <w:left w:w="108" w:type="dxa"/>
                    <w:bottom w:w="0" w:type="dxa"/>
                    <w:right w:w="108" w:type="dxa"/>
                  </w:tcMar>
                </w:tcPr>
                <w:p w14:paraId="0DABD8DA" w14:textId="77777777" w:rsidR="0098092C" w:rsidRDefault="0030498B">
                  <w:pPr>
                    <w:keepNext/>
                    <w:jc w:val="center"/>
                    <w:rPr>
                      <w:sz w:val="11"/>
                      <w:szCs w:val="11"/>
                    </w:rPr>
                  </w:pPr>
                  <w:r>
                    <w:rPr>
                      <w:rFonts w:ascii="Arial" w:hAnsi="Arial" w:cs="Arial"/>
                      <w:sz w:val="11"/>
                      <w:szCs w:val="11"/>
                      <w:lang w:eastAsia="zh-CN"/>
                    </w:rPr>
                    <w:t>Reserved</w:t>
                  </w:r>
                  <w:r>
                    <w:rPr>
                      <w:rFonts w:ascii="Arial" w:hAnsi="Arial" w:cs="Arial"/>
                      <w:sz w:val="11"/>
                      <w:szCs w:val="11"/>
                    </w:rPr>
                    <w:t xml:space="preserve"> </w:t>
                  </w:r>
                </w:p>
              </w:tc>
              <w:tc>
                <w:tcPr>
                  <w:tcW w:w="648" w:type="dxa"/>
                  <w:tcBorders>
                    <w:top w:val="nil"/>
                    <w:left w:val="nil"/>
                    <w:bottom w:val="single" w:sz="8" w:space="0" w:color="auto"/>
                    <w:right w:val="single" w:sz="8" w:space="0" w:color="auto"/>
                  </w:tcBorders>
                  <w:tcMar>
                    <w:top w:w="0" w:type="dxa"/>
                    <w:left w:w="108" w:type="dxa"/>
                    <w:bottom w:w="0" w:type="dxa"/>
                    <w:right w:w="108" w:type="dxa"/>
                  </w:tcMar>
                </w:tcPr>
                <w:p w14:paraId="14AAD5DA" w14:textId="77777777" w:rsidR="0098092C" w:rsidRDefault="0030498B">
                  <w:pPr>
                    <w:keepNext/>
                    <w:jc w:val="center"/>
                    <w:rPr>
                      <w:sz w:val="11"/>
                      <w:szCs w:val="11"/>
                    </w:rPr>
                  </w:pPr>
                  <w:r>
                    <w:rPr>
                      <w:rFonts w:ascii="Arial" w:hAnsi="Arial" w:cs="Arial"/>
                      <w:sz w:val="11"/>
                      <w:szCs w:val="11"/>
                      <w:lang w:eastAsia="zh-CN"/>
                    </w:rPr>
                    <w:t>Reserved</w:t>
                  </w:r>
                </w:p>
              </w:tc>
            </w:tr>
            <w:tr w:rsidR="0098092C" w14:paraId="4A3DD5EB" w14:textId="77777777">
              <w:trPr>
                <w:jc w:val="center"/>
              </w:trPr>
              <w:tc>
                <w:tcPr>
                  <w:tcW w:w="6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9C1891F" w14:textId="77777777" w:rsidR="0098092C" w:rsidRDefault="0030498B">
                  <w:pPr>
                    <w:keepNext/>
                    <w:jc w:val="center"/>
                    <w:rPr>
                      <w:sz w:val="11"/>
                      <w:szCs w:val="11"/>
                    </w:rPr>
                  </w:pPr>
                  <w:r>
                    <w:rPr>
                      <w:rFonts w:ascii="Arial" w:hAnsi="Arial" w:cs="Arial"/>
                      <w:sz w:val="11"/>
                      <w:szCs w:val="11"/>
                    </w:rPr>
                    <w:t>15</w:t>
                  </w:r>
                </w:p>
              </w:tc>
              <w:tc>
                <w:tcPr>
                  <w:tcW w:w="809" w:type="dxa"/>
                  <w:tcBorders>
                    <w:top w:val="nil"/>
                    <w:left w:val="nil"/>
                    <w:bottom w:val="single" w:sz="8" w:space="0" w:color="auto"/>
                    <w:right w:val="single" w:sz="8" w:space="0" w:color="auto"/>
                  </w:tcBorders>
                  <w:tcMar>
                    <w:top w:w="0" w:type="dxa"/>
                    <w:left w:w="108" w:type="dxa"/>
                    <w:bottom w:w="0" w:type="dxa"/>
                    <w:right w:w="108" w:type="dxa"/>
                  </w:tcMar>
                </w:tcPr>
                <w:p w14:paraId="10B65AE2" w14:textId="77777777" w:rsidR="0098092C" w:rsidRDefault="0030498B">
                  <w:pPr>
                    <w:keepNext/>
                    <w:jc w:val="center"/>
                    <w:rPr>
                      <w:sz w:val="11"/>
                      <w:szCs w:val="11"/>
                    </w:rPr>
                  </w:pPr>
                  <w:r>
                    <w:rPr>
                      <w:rFonts w:ascii="Arial" w:hAnsi="Arial" w:cs="Arial"/>
                      <w:sz w:val="11"/>
                      <w:szCs w:val="11"/>
                      <w:lang w:eastAsia="zh-CN"/>
                    </w:rPr>
                    <w:t>Reserved</w:t>
                  </w:r>
                  <w:r>
                    <w:rPr>
                      <w:rFonts w:ascii="Arial" w:hAnsi="Arial" w:cs="Arial"/>
                      <w:sz w:val="11"/>
                      <w:szCs w:val="11"/>
                    </w:rPr>
                    <w:t xml:space="preserve"> </w:t>
                  </w:r>
                </w:p>
              </w:tc>
              <w:tc>
                <w:tcPr>
                  <w:tcW w:w="648" w:type="dxa"/>
                  <w:tcBorders>
                    <w:top w:val="nil"/>
                    <w:left w:val="nil"/>
                    <w:bottom w:val="single" w:sz="8" w:space="0" w:color="auto"/>
                    <w:right w:val="single" w:sz="8" w:space="0" w:color="auto"/>
                  </w:tcBorders>
                  <w:tcMar>
                    <w:top w:w="0" w:type="dxa"/>
                    <w:left w:w="108" w:type="dxa"/>
                    <w:bottom w:w="0" w:type="dxa"/>
                    <w:right w:w="108" w:type="dxa"/>
                  </w:tcMar>
                </w:tcPr>
                <w:p w14:paraId="3EC943E1" w14:textId="77777777" w:rsidR="0098092C" w:rsidRDefault="0030498B">
                  <w:pPr>
                    <w:keepNext/>
                    <w:jc w:val="center"/>
                    <w:rPr>
                      <w:sz w:val="11"/>
                      <w:szCs w:val="11"/>
                    </w:rPr>
                  </w:pPr>
                  <w:r>
                    <w:rPr>
                      <w:rFonts w:ascii="Arial" w:hAnsi="Arial" w:cs="Arial"/>
                      <w:sz w:val="11"/>
                      <w:szCs w:val="11"/>
                      <w:lang w:eastAsia="zh-CN"/>
                    </w:rPr>
                    <w:t>Reserved</w:t>
                  </w:r>
                </w:p>
              </w:tc>
            </w:tr>
          </w:tbl>
          <w:p w14:paraId="414487A4" w14:textId="77777777" w:rsidR="0098092C" w:rsidRDefault="0098092C">
            <w:pPr>
              <w:rPr>
                <w:lang w:eastAsia="zh-CN"/>
              </w:rPr>
            </w:pPr>
          </w:p>
          <w:p w14:paraId="7D146E4C" w14:textId="77777777" w:rsidR="0098092C" w:rsidRDefault="0098092C">
            <w:pPr>
              <w:rPr>
                <w:lang w:eastAsia="zh-CN"/>
              </w:rPr>
            </w:pPr>
          </w:p>
        </w:tc>
      </w:tr>
    </w:tbl>
    <w:p w14:paraId="6F8140B8" w14:textId="77777777" w:rsidR="0098092C" w:rsidRDefault="0098092C">
      <w:pPr>
        <w:rPr>
          <w:lang w:eastAsia="zh-CN"/>
        </w:rPr>
      </w:pPr>
    </w:p>
    <w:p w14:paraId="4C9CC230" w14:textId="77777777" w:rsidR="0098092C" w:rsidRDefault="0030498B">
      <w:pPr>
        <w:rPr>
          <w:lang w:eastAsia="zh-CN"/>
        </w:rPr>
      </w:pPr>
      <w:r>
        <w:rPr>
          <w:rFonts w:hint="eastAsia"/>
          <w:lang w:eastAsia="zh-CN"/>
        </w:rPr>
        <w:t xml:space="preserve">Please </w:t>
      </w:r>
      <w:r>
        <w:rPr>
          <w:lang w:eastAsia="zh-CN"/>
        </w:rPr>
        <w:t>give your comments on how to address the concerns or provide further benefits:</w:t>
      </w:r>
    </w:p>
    <w:tbl>
      <w:tblPr>
        <w:tblStyle w:val="TableGrid"/>
        <w:tblW w:w="9351" w:type="dxa"/>
        <w:tblLook w:val="04A0" w:firstRow="1" w:lastRow="0" w:firstColumn="1" w:lastColumn="0" w:noHBand="0" w:noVBand="1"/>
      </w:tblPr>
      <w:tblGrid>
        <w:gridCol w:w="3102"/>
        <w:gridCol w:w="6249"/>
      </w:tblGrid>
      <w:tr w:rsidR="0098092C" w14:paraId="537D10FE" w14:textId="77777777">
        <w:tc>
          <w:tcPr>
            <w:tcW w:w="3102" w:type="dxa"/>
          </w:tcPr>
          <w:p w14:paraId="34D28248" w14:textId="77777777" w:rsidR="0098092C" w:rsidRDefault="0030498B">
            <w:pPr>
              <w:rPr>
                <w:lang w:eastAsia="zh-CN"/>
              </w:rPr>
            </w:pPr>
            <w:r>
              <w:rPr>
                <w:rFonts w:hint="eastAsia"/>
                <w:lang w:eastAsia="zh-CN"/>
              </w:rPr>
              <w:t>Moderator</w:t>
            </w:r>
          </w:p>
        </w:tc>
        <w:tc>
          <w:tcPr>
            <w:tcW w:w="6249" w:type="dxa"/>
          </w:tcPr>
          <w:p w14:paraId="0ADCCBA4" w14:textId="77777777" w:rsidR="0098092C" w:rsidRDefault="0030498B">
            <w:pPr>
              <w:rPr>
                <w:lang w:eastAsia="zh-CN"/>
              </w:rPr>
            </w:pPr>
            <w:r>
              <w:rPr>
                <w:rFonts w:hint="eastAsia"/>
                <w:lang w:eastAsia="zh-CN"/>
              </w:rPr>
              <w:t>Comments</w:t>
            </w:r>
          </w:p>
        </w:tc>
      </w:tr>
      <w:tr w:rsidR="0098092C" w14:paraId="7750C3DC" w14:textId="77777777">
        <w:tc>
          <w:tcPr>
            <w:tcW w:w="3102" w:type="dxa"/>
          </w:tcPr>
          <w:p w14:paraId="0001C5E1" w14:textId="77777777" w:rsidR="0098092C" w:rsidRDefault="0030498B">
            <w:pPr>
              <w:rPr>
                <w:lang w:eastAsia="zh-CN"/>
              </w:rPr>
            </w:pPr>
            <w:r>
              <w:rPr>
                <w:rFonts w:hint="eastAsia"/>
                <w:lang w:eastAsia="zh-CN"/>
              </w:rPr>
              <w:t>Moderator (Huawei)</w:t>
            </w:r>
          </w:p>
        </w:tc>
        <w:tc>
          <w:tcPr>
            <w:tcW w:w="6249" w:type="dxa"/>
          </w:tcPr>
          <w:p w14:paraId="5F1107E7" w14:textId="77777777" w:rsidR="0098092C" w:rsidRDefault="0030498B">
            <w:r>
              <w:rPr>
                <w:rFonts w:hint="eastAsia"/>
              </w:rPr>
              <w:t>The concerns to support option 3 include: no</w:t>
            </w:r>
            <w:r>
              <w:t>t</w:t>
            </w:r>
            <w:r>
              <w:rPr>
                <w:rFonts w:hint="eastAsia"/>
              </w:rPr>
              <w:t xml:space="preserve"> backward compatible, </w:t>
            </w:r>
            <w:r>
              <w:t xml:space="preserve">out of scope of WID, and </w:t>
            </w:r>
            <w:r>
              <w:rPr>
                <w:rFonts w:hint="eastAsia"/>
              </w:rPr>
              <w:t>additional signaling</w:t>
            </w:r>
            <w:r>
              <w:t>.</w:t>
            </w:r>
          </w:p>
          <w:p w14:paraId="2B69077B" w14:textId="77777777" w:rsidR="0098092C" w:rsidRDefault="0030498B">
            <w:r>
              <w:lastRenderedPageBreak/>
              <w:t>As discussed on GTW session, the clarification from Mr chair is clear that the framework includes the measurement, triggering and reporting. All options here are proposing new tables, there are no essential difference between them.</w:t>
            </w:r>
          </w:p>
        </w:tc>
      </w:tr>
      <w:tr w:rsidR="0098092C" w14:paraId="3E2972C9" w14:textId="77777777">
        <w:tc>
          <w:tcPr>
            <w:tcW w:w="3102" w:type="dxa"/>
          </w:tcPr>
          <w:p w14:paraId="7076C861" w14:textId="77777777" w:rsidR="0098092C" w:rsidRDefault="0030498B">
            <w:pPr>
              <w:rPr>
                <w:lang w:eastAsia="zh-CN"/>
              </w:rPr>
            </w:pPr>
            <w:r>
              <w:rPr>
                <w:rFonts w:hint="eastAsia"/>
                <w:lang w:eastAsia="zh-CN"/>
              </w:rPr>
              <w:lastRenderedPageBreak/>
              <w:t>L</w:t>
            </w:r>
            <w:r>
              <w:rPr>
                <w:lang w:eastAsia="zh-CN"/>
              </w:rPr>
              <w:t>enovo, MotoM</w:t>
            </w:r>
          </w:p>
        </w:tc>
        <w:tc>
          <w:tcPr>
            <w:tcW w:w="6249" w:type="dxa"/>
          </w:tcPr>
          <w:p w14:paraId="17F21C04" w14:textId="77777777" w:rsidR="0098092C" w:rsidRDefault="0030498B">
            <w:pPr>
              <w:rPr>
                <w:lang w:eastAsia="zh-CN"/>
              </w:rPr>
            </w:pPr>
            <w:r>
              <w:rPr>
                <w:lang w:eastAsia="zh-CN"/>
              </w:rPr>
              <w:t>Comments above</w:t>
            </w:r>
          </w:p>
        </w:tc>
      </w:tr>
      <w:tr w:rsidR="0098092C" w14:paraId="392ED79F" w14:textId="77777777">
        <w:tc>
          <w:tcPr>
            <w:tcW w:w="3102" w:type="dxa"/>
          </w:tcPr>
          <w:p w14:paraId="57255EBD" w14:textId="77777777" w:rsidR="0098092C" w:rsidRDefault="0030498B">
            <w:pPr>
              <w:rPr>
                <w:lang w:eastAsia="zh-CN"/>
              </w:rPr>
            </w:pPr>
            <w:r>
              <w:rPr>
                <w:lang w:eastAsia="zh-CN"/>
              </w:rPr>
              <w:t>Ericsson v016</w:t>
            </w:r>
          </w:p>
        </w:tc>
        <w:tc>
          <w:tcPr>
            <w:tcW w:w="6249" w:type="dxa"/>
          </w:tcPr>
          <w:p w14:paraId="4FB04AB5" w14:textId="77777777" w:rsidR="0098092C" w:rsidRDefault="0030498B">
            <w:pPr>
              <w:rPr>
                <w:lang w:eastAsia="zh-CN"/>
              </w:rPr>
            </w:pPr>
            <w:r>
              <w:rPr>
                <w:lang w:eastAsia="zh-CN"/>
              </w:rPr>
              <w:t>Beyond the interpretation of the WID, Option-3 is no backward compatible, to make use of the legacy CQI reporting table, additionally signaling will be required. Moreover, Option-3 re-designs the QPSK reports.</w:t>
            </w:r>
          </w:p>
        </w:tc>
      </w:tr>
      <w:tr w:rsidR="0098092C" w14:paraId="49A3273C" w14:textId="77777777">
        <w:tc>
          <w:tcPr>
            <w:tcW w:w="3102" w:type="dxa"/>
          </w:tcPr>
          <w:p w14:paraId="5512CEBE" w14:textId="77777777" w:rsidR="0098092C" w:rsidRDefault="0030498B">
            <w:pPr>
              <w:rPr>
                <w:lang w:eastAsia="zh-CN"/>
              </w:rPr>
            </w:pPr>
            <w:r>
              <w:rPr>
                <w:rFonts w:hint="eastAsia"/>
                <w:lang w:eastAsia="zh-CN"/>
              </w:rPr>
              <w:t>ZTE, Sanechips</w:t>
            </w:r>
          </w:p>
        </w:tc>
        <w:tc>
          <w:tcPr>
            <w:tcW w:w="6249" w:type="dxa"/>
          </w:tcPr>
          <w:p w14:paraId="4D924303" w14:textId="77777777" w:rsidR="0098092C" w:rsidRDefault="0030498B">
            <w:pPr>
              <w:rPr>
                <w:szCs w:val="20"/>
                <w:lang w:eastAsia="zh-CN"/>
              </w:rPr>
            </w:pPr>
            <w:r>
              <w:rPr>
                <w:rFonts w:hint="eastAsia"/>
                <w:szCs w:val="20"/>
                <w:lang w:eastAsia="zh-CN"/>
              </w:rPr>
              <w:t xml:space="preserve">From our understanding, for NPDCCH report, it is the same with legacy. For the NPDSCH report, new table is used. The channel quality for NPDSCH and NPDCCH can be reported separately based on different triggering signaling. Therefore, NPDSCH report would not impact on the NPDCCH report and they are independent from each other. </w:t>
            </w:r>
          </w:p>
          <w:p w14:paraId="7F21AAD2" w14:textId="77777777" w:rsidR="0098092C" w:rsidRDefault="0030498B">
            <w:pPr>
              <w:rPr>
                <w:szCs w:val="20"/>
                <w:lang w:eastAsia="zh-CN"/>
              </w:rPr>
            </w:pPr>
            <w:r>
              <w:rPr>
                <w:rFonts w:hint="eastAsia"/>
                <w:szCs w:val="20"/>
                <w:lang w:eastAsia="zh-CN"/>
              </w:rPr>
              <w:t>@</w:t>
            </w:r>
            <w:r>
              <w:rPr>
                <w:lang w:eastAsia="zh-CN"/>
              </w:rPr>
              <w:t>Ericsson</w:t>
            </w:r>
            <w:r>
              <w:rPr>
                <w:rFonts w:hint="eastAsia"/>
                <w:lang w:eastAsia="zh-CN"/>
              </w:rPr>
              <w:t>, based on the above analysis, c</w:t>
            </w:r>
            <w:r>
              <w:rPr>
                <w:rFonts w:hint="eastAsia"/>
                <w:szCs w:val="20"/>
                <w:lang w:eastAsia="zh-CN"/>
              </w:rPr>
              <w:t>ould you please clarify what</w:t>
            </w:r>
            <w:r>
              <w:rPr>
                <w:szCs w:val="20"/>
                <w:lang w:eastAsia="zh-CN"/>
              </w:rPr>
              <w:t>’</w:t>
            </w:r>
            <w:r>
              <w:rPr>
                <w:rFonts w:hint="eastAsia"/>
                <w:szCs w:val="20"/>
                <w:lang w:eastAsia="zh-CN"/>
              </w:rPr>
              <w:t>s the back compatible issue here?</w:t>
            </w:r>
          </w:p>
        </w:tc>
      </w:tr>
      <w:tr w:rsidR="006E1378" w14:paraId="0422C43C" w14:textId="77777777">
        <w:tc>
          <w:tcPr>
            <w:tcW w:w="3102" w:type="dxa"/>
          </w:tcPr>
          <w:p w14:paraId="5A934368" w14:textId="44CEDCCE" w:rsidR="006E1378" w:rsidRDefault="006E1378">
            <w:pPr>
              <w:rPr>
                <w:lang w:eastAsia="zh-CN"/>
              </w:rPr>
            </w:pPr>
            <w:r>
              <w:rPr>
                <w:lang w:eastAsia="zh-CN"/>
              </w:rPr>
              <w:t>Ericsson v018</w:t>
            </w:r>
          </w:p>
        </w:tc>
        <w:tc>
          <w:tcPr>
            <w:tcW w:w="6249" w:type="dxa"/>
          </w:tcPr>
          <w:p w14:paraId="5E8DE1F8" w14:textId="3424699F" w:rsidR="006E1378" w:rsidRDefault="006E1378">
            <w:pPr>
              <w:rPr>
                <w:szCs w:val="20"/>
                <w:lang w:eastAsia="zh-CN"/>
              </w:rPr>
            </w:pPr>
            <w:r>
              <w:rPr>
                <w:szCs w:val="20"/>
                <w:lang w:eastAsia="zh-CN"/>
              </w:rPr>
              <w:t>To ZTE: You have the answer in your own comment “</w:t>
            </w:r>
            <w:r w:rsidRPr="006E1378">
              <w:rPr>
                <w:rFonts w:hint="eastAsia"/>
                <w:i/>
                <w:iCs/>
                <w:szCs w:val="20"/>
                <w:lang w:eastAsia="zh-CN"/>
              </w:rPr>
              <w:t>For the NPDSCH report, new table is used. The channel quality for NPDSCH and NPDCCH can be reported separately based on different triggering signaling</w:t>
            </w:r>
            <w:r>
              <w:rPr>
                <w:szCs w:val="20"/>
                <w:lang w:eastAsia="zh-CN"/>
              </w:rPr>
              <w:t>”</w:t>
            </w:r>
          </w:p>
        </w:tc>
      </w:tr>
      <w:tr w:rsidR="00637507" w14:paraId="65FE6A3A" w14:textId="77777777">
        <w:tc>
          <w:tcPr>
            <w:tcW w:w="3102" w:type="dxa"/>
          </w:tcPr>
          <w:p w14:paraId="66FB6A6F" w14:textId="3F38515E" w:rsidR="00637507" w:rsidRDefault="00637507">
            <w:pPr>
              <w:rPr>
                <w:lang w:eastAsia="zh-CN"/>
              </w:rPr>
            </w:pPr>
            <w:r>
              <w:rPr>
                <w:rFonts w:hint="eastAsia"/>
                <w:lang w:eastAsia="zh-CN"/>
              </w:rPr>
              <w:t>Moderator (Huawei)</w:t>
            </w:r>
          </w:p>
        </w:tc>
        <w:tc>
          <w:tcPr>
            <w:tcW w:w="6249" w:type="dxa"/>
          </w:tcPr>
          <w:p w14:paraId="562F0C79" w14:textId="5D327B78" w:rsidR="00637507" w:rsidRDefault="00637507" w:rsidP="00637507">
            <w:pPr>
              <w:rPr>
                <w:szCs w:val="20"/>
                <w:lang w:eastAsia="zh-CN"/>
              </w:rPr>
            </w:pPr>
            <w:r>
              <w:rPr>
                <w:rFonts w:hint="eastAsia"/>
                <w:szCs w:val="20"/>
                <w:lang w:eastAsia="zh-CN"/>
              </w:rPr>
              <w:t xml:space="preserve">@Ericsson, for me, if 16-QAM is configured, anyway at least the new table will be used, </w:t>
            </w:r>
            <w:r>
              <w:rPr>
                <w:szCs w:val="20"/>
                <w:lang w:eastAsia="zh-CN"/>
              </w:rPr>
              <w:t>new</w:t>
            </w:r>
            <w:r>
              <w:rPr>
                <w:rFonts w:hint="eastAsia"/>
                <w:szCs w:val="20"/>
                <w:lang w:eastAsia="zh-CN"/>
              </w:rPr>
              <w:t xml:space="preserve"> signaling for the new table is needed. </w:t>
            </w:r>
            <w:r>
              <w:rPr>
                <w:szCs w:val="20"/>
                <w:lang w:eastAsia="zh-CN"/>
              </w:rPr>
              <w:t>Could you elaborate more on the critical issue on this?</w:t>
            </w:r>
          </w:p>
        </w:tc>
      </w:tr>
      <w:tr w:rsidR="00637507" w14:paraId="0B7FC1BE" w14:textId="77777777">
        <w:tc>
          <w:tcPr>
            <w:tcW w:w="3102" w:type="dxa"/>
          </w:tcPr>
          <w:p w14:paraId="2135648B" w14:textId="57E1B195" w:rsidR="00637507" w:rsidRDefault="00A15C9A">
            <w:pPr>
              <w:rPr>
                <w:lang w:eastAsia="zh-CN"/>
              </w:rPr>
            </w:pPr>
            <w:r>
              <w:rPr>
                <w:lang w:eastAsia="zh-CN"/>
              </w:rPr>
              <w:t>Nokia, NSB</w:t>
            </w:r>
          </w:p>
        </w:tc>
        <w:tc>
          <w:tcPr>
            <w:tcW w:w="6249" w:type="dxa"/>
          </w:tcPr>
          <w:p w14:paraId="185EE4E4" w14:textId="08996CF2" w:rsidR="00637507" w:rsidRDefault="00A15C9A">
            <w:pPr>
              <w:rPr>
                <w:szCs w:val="20"/>
                <w:lang w:eastAsia="zh-CN"/>
              </w:rPr>
            </w:pPr>
            <w:r>
              <w:rPr>
                <w:szCs w:val="20"/>
                <w:lang w:eastAsia="zh-CN"/>
              </w:rPr>
              <w:t>We support Option 3</w:t>
            </w:r>
            <w:r>
              <w:rPr>
                <w:lang w:eastAsia="zh-CN"/>
              </w:rPr>
              <w:t xml:space="preserve"> and are </w:t>
            </w:r>
            <w:r>
              <w:rPr>
                <w:lang w:eastAsia="zh-CN"/>
              </w:rPr>
              <w:t xml:space="preserve">open to discussion on </w:t>
            </w:r>
            <w:r>
              <w:rPr>
                <w:lang w:eastAsia="zh-CN"/>
              </w:rPr>
              <w:t>switching</w:t>
            </w:r>
            <w:r>
              <w:rPr>
                <w:lang w:eastAsia="zh-CN"/>
              </w:rPr>
              <w:t xml:space="preserve"> between legacy table and new table when UE is configured with 16-QAM.</w:t>
            </w:r>
          </w:p>
        </w:tc>
      </w:tr>
    </w:tbl>
    <w:p w14:paraId="132506D6" w14:textId="77777777" w:rsidR="0098092C" w:rsidRDefault="0098092C">
      <w:pPr>
        <w:rPr>
          <w:lang w:eastAsia="zh-CN"/>
        </w:rPr>
      </w:pPr>
    </w:p>
    <w:p w14:paraId="0E83F1A6" w14:textId="77777777" w:rsidR="0098092C" w:rsidRDefault="0098092C">
      <w:pPr>
        <w:rPr>
          <w:lang w:eastAsia="zh-CN"/>
        </w:rPr>
      </w:pPr>
    </w:p>
    <w:p w14:paraId="76DA1FBA" w14:textId="77777777" w:rsidR="0098092C" w:rsidRDefault="0098092C">
      <w:pPr>
        <w:rPr>
          <w:lang w:eastAsia="zh-CN"/>
        </w:rPr>
      </w:pPr>
    </w:p>
    <w:p w14:paraId="29002C24" w14:textId="77777777" w:rsidR="0098092C" w:rsidRDefault="0030498B">
      <w:pPr>
        <w:pStyle w:val="Heading1"/>
        <w:rPr>
          <w:lang w:eastAsia="zh-CN"/>
        </w:rPr>
      </w:pPr>
      <w:r>
        <w:rPr>
          <w:lang w:eastAsia="zh-CN"/>
        </w:rPr>
        <w:t xml:space="preserve">Previous </w:t>
      </w:r>
      <w:r>
        <w:rPr>
          <w:rFonts w:hint="eastAsia"/>
          <w:lang w:eastAsia="zh-CN"/>
        </w:rPr>
        <w:t>Discussion</w:t>
      </w:r>
    </w:p>
    <w:p w14:paraId="06AA2771" w14:textId="77777777" w:rsidR="0098092C" w:rsidRDefault="0030498B">
      <w:pPr>
        <w:pStyle w:val="Heading2"/>
        <w:rPr>
          <w:lang w:eastAsia="zh-CN"/>
        </w:rPr>
      </w:pPr>
      <w:r>
        <w:rPr>
          <w:lang w:eastAsia="zh-CN"/>
        </w:rPr>
        <w:t>Applicability</w:t>
      </w:r>
    </w:p>
    <w:p w14:paraId="48B7BCAB" w14:textId="77777777" w:rsidR="0098092C" w:rsidRDefault="0030498B">
      <w:pPr>
        <w:pStyle w:val="Heading3"/>
      </w:pPr>
      <w:r>
        <w:rPr>
          <w:lang w:eastAsia="zh-CN"/>
        </w:rPr>
        <w:t>Issue 1: Applicability</w:t>
      </w:r>
    </w:p>
    <w:p w14:paraId="4BCDC2D0" w14:textId="77777777" w:rsidR="0098092C" w:rsidRDefault="0030498B">
      <w:r>
        <w:rPr>
          <w:rFonts w:hint="eastAsia"/>
        </w:rPr>
        <w:t xml:space="preserve">The </w:t>
      </w:r>
      <w:r>
        <w:t>following are proposed:</w:t>
      </w:r>
    </w:p>
    <w:tbl>
      <w:tblPr>
        <w:tblStyle w:val="TableGrid"/>
        <w:tblW w:w="0" w:type="auto"/>
        <w:tblLook w:val="04A0" w:firstRow="1" w:lastRow="0" w:firstColumn="1" w:lastColumn="0" w:noHBand="0" w:noVBand="1"/>
      </w:tblPr>
      <w:tblGrid>
        <w:gridCol w:w="1555"/>
        <w:gridCol w:w="7752"/>
      </w:tblGrid>
      <w:tr w:rsidR="0098092C" w14:paraId="3B1720E4" w14:textId="77777777">
        <w:tc>
          <w:tcPr>
            <w:tcW w:w="1555" w:type="dxa"/>
          </w:tcPr>
          <w:p w14:paraId="2FB78579" w14:textId="77777777" w:rsidR="0098092C" w:rsidRDefault="0030498B">
            <w:pPr>
              <w:rPr>
                <w:szCs w:val="20"/>
              </w:rPr>
            </w:pPr>
            <w:r>
              <w:rPr>
                <w:rFonts w:hint="eastAsia"/>
                <w:szCs w:val="20"/>
              </w:rPr>
              <w:t>S</w:t>
            </w:r>
            <w:r>
              <w:rPr>
                <w:szCs w:val="20"/>
              </w:rPr>
              <w:t>ourcing</w:t>
            </w:r>
          </w:p>
        </w:tc>
        <w:tc>
          <w:tcPr>
            <w:tcW w:w="7752" w:type="dxa"/>
          </w:tcPr>
          <w:p w14:paraId="2E88399E" w14:textId="77777777" w:rsidR="0098092C" w:rsidRDefault="0030498B">
            <w:pPr>
              <w:rPr>
                <w:szCs w:val="20"/>
              </w:rPr>
            </w:pPr>
            <w:r>
              <w:rPr>
                <w:rFonts w:hint="eastAsia"/>
                <w:szCs w:val="20"/>
              </w:rPr>
              <w:t>proposals</w:t>
            </w:r>
          </w:p>
        </w:tc>
      </w:tr>
      <w:tr w:rsidR="0098092C" w14:paraId="587BECEA" w14:textId="77777777">
        <w:tc>
          <w:tcPr>
            <w:tcW w:w="1555" w:type="dxa"/>
          </w:tcPr>
          <w:p w14:paraId="0155910A" w14:textId="77777777" w:rsidR="0098092C" w:rsidRDefault="0030498B">
            <w:pPr>
              <w:rPr>
                <w:szCs w:val="20"/>
              </w:rPr>
            </w:pPr>
            <w:r>
              <w:rPr>
                <w:rFonts w:hint="eastAsia"/>
                <w:szCs w:val="20"/>
              </w:rPr>
              <w:t>[2]</w:t>
            </w:r>
          </w:p>
        </w:tc>
        <w:tc>
          <w:tcPr>
            <w:tcW w:w="7752" w:type="dxa"/>
          </w:tcPr>
          <w:p w14:paraId="4AA9E7AD" w14:textId="77777777" w:rsidR="0098092C" w:rsidRDefault="0030498B">
            <w:pPr>
              <w:rPr>
                <w:b/>
              </w:rPr>
            </w:pPr>
            <w:r>
              <w:rPr>
                <w:b/>
              </w:rPr>
              <w:t>Proposal 5: Support 16-QAM for NPDSCH in PUR procedure.</w:t>
            </w:r>
          </w:p>
          <w:p w14:paraId="7329B6C8" w14:textId="77777777" w:rsidR="0098092C" w:rsidRDefault="0030498B">
            <w:pPr>
              <w:numPr>
                <w:ilvl w:val="0"/>
                <w:numId w:val="14"/>
              </w:numPr>
              <w:autoSpaceDE/>
              <w:autoSpaceDN/>
              <w:adjustRightInd/>
              <w:snapToGrid/>
              <w:spacing w:after="0" w:line="240" w:lineRule="auto"/>
              <w:ind w:leftChars="364" w:left="1161"/>
              <w:jc w:val="left"/>
              <w:rPr>
                <w:b/>
              </w:rPr>
            </w:pPr>
            <w:r>
              <w:rPr>
                <w:b/>
              </w:rPr>
              <w:t>CSI report is not supported/expected during PUR procedure.</w:t>
            </w:r>
          </w:p>
          <w:p w14:paraId="22560148" w14:textId="77777777" w:rsidR="0098092C" w:rsidRDefault="0098092C">
            <w:pPr>
              <w:rPr>
                <w:szCs w:val="20"/>
              </w:rPr>
            </w:pPr>
          </w:p>
        </w:tc>
      </w:tr>
      <w:tr w:rsidR="0098092C" w14:paraId="78A67389" w14:textId="77777777">
        <w:tc>
          <w:tcPr>
            <w:tcW w:w="1555" w:type="dxa"/>
          </w:tcPr>
          <w:p w14:paraId="253CAAF8" w14:textId="77777777" w:rsidR="0098092C" w:rsidRDefault="0030498B">
            <w:pPr>
              <w:rPr>
                <w:szCs w:val="20"/>
              </w:rPr>
            </w:pPr>
            <w:r>
              <w:rPr>
                <w:rFonts w:hint="eastAsia"/>
                <w:szCs w:val="20"/>
              </w:rPr>
              <w:t>[4]</w:t>
            </w:r>
          </w:p>
        </w:tc>
        <w:tc>
          <w:tcPr>
            <w:tcW w:w="7752" w:type="dxa"/>
          </w:tcPr>
          <w:p w14:paraId="2377BD65" w14:textId="77777777" w:rsidR="0098092C" w:rsidRDefault="0030498B">
            <w:pPr>
              <w:rPr>
                <w:b/>
                <w:bCs/>
                <w:lang w:eastAsia="en-GB"/>
              </w:rPr>
            </w:pPr>
            <w:r>
              <w:rPr>
                <w:b/>
                <w:bCs/>
                <w:lang w:eastAsia="en-GB"/>
              </w:rPr>
              <w:t>Proposal 8: Support 16-QAM for NPDSCH in PUR procedure. CSI report is not expected during PUR procedure.</w:t>
            </w:r>
          </w:p>
          <w:p w14:paraId="43A9823D" w14:textId="77777777" w:rsidR="0098092C" w:rsidRDefault="0030498B">
            <w:pPr>
              <w:spacing w:after="0"/>
              <w:rPr>
                <w:b/>
                <w:bCs/>
                <w:lang w:eastAsia="en-GB"/>
              </w:rPr>
            </w:pPr>
            <w:r>
              <w:rPr>
                <w:b/>
                <w:bCs/>
                <w:lang w:eastAsia="en-GB"/>
              </w:rPr>
              <w:t xml:space="preserve">Proposal 9: For supporting 16-QAM in PUR procedure, </w:t>
            </w:r>
          </w:p>
          <w:p w14:paraId="58F640FD" w14:textId="77777777" w:rsidR="0098092C" w:rsidRDefault="0030498B">
            <w:pPr>
              <w:pStyle w:val="ListParagraph"/>
              <w:numPr>
                <w:ilvl w:val="0"/>
                <w:numId w:val="18"/>
              </w:numPr>
              <w:overflowPunct w:val="0"/>
              <w:autoSpaceDE w:val="0"/>
              <w:autoSpaceDN w:val="0"/>
              <w:adjustRightInd w:val="0"/>
              <w:spacing w:after="180" w:line="240" w:lineRule="auto"/>
              <w:contextualSpacing/>
              <w:textAlignment w:val="baseline"/>
              <w:rPr>
                <w:b/>
                <w:bCs/>
                <w:lang w:eastAsia="en-GB"/>
              </w:rPr>
            </w:pPr>
            <w:r>
              <w:rPr>
                <w:b/>
                <w:bCs/>
                <w:lang w:eastAsia="en-GB"/>
              </w:rPr>
              <w:lastRenderedPageBreak/>
              <w:t>One IE is introduced in pur-PhysicalConfig to enable the use of 16-QAM in NPUSCH</w:t>
            </w:r>
          </w:p>
          <w:p w14:paraId="7A281A26" w14:textId="77777777" w:rsidR="0098092C" w:rsidRDefault="0030498B">
            <w:pPr>
              <w:pStyle w:val="ListParagraph"/>
              <w:numPr>
                <w:ilvl w:val="1"/>
                <w:numId w:val="18"/>
              </w:numPr>
              <w:overflowPunct w:val="0"/>
              <w:autoSpaceDE w:val="0"/>
              <w:autoSpaceDN w:val="0"/>
              <w:adjustRightInd w:val="0"/>
              <w:spacing w:after="180" w:line="240" w:lineRule="auto"/>
              <w:contextualSpacing/>
              <w:textAlignment w:val="baseline"/>
              <w:rPr>
                <w:b/>
                <w:bCs/>
                <w:lang w:eastAsia="en-GB"/>
              </w:rPr>
            </w:pPr>
            <w:r>
              <w:rPr>
                <w:b/>
                <w:bCs/>
                <w:lang w:eastAsia="en-GB"/>
              </w:rPr>
              <w:t>The field multiTone in npusch-MCS in PUR NPUSCH configuration is modified to include MCS 0-21.</w:t>
            </w:r>
          </w:p>
          <w:p w14:paraId="6F8027C0" w14:textId="77777777" w:rsidR="0098092C" w:rsidRDefault="0030498B">
            <w:pPr>
              <w:pStyle w:val="ListParagraph"/>
              <w:numPr>
                <w:ilvl w:val="0"/>
                <w:numId w:val="18"/>
              </w:numPr>
              <w:overflowPunct w:val="0"/>
              <w:autoSpaceDE w:val="0"/>
              <w:autoSpaceDN w:val="0"/>
              <w:adjustRightInd w:val="0"/>
              <w:spacing w:after="180" w:line="240" w:lineRule="auto"/>
              <w:contextualSpacing/>
              <w:textAlignment w:val="baseline"/>
              <w:rPr>
                <w:b/>
                <w:bCs/>
                <w:lang w:eastAsia="en-GB"/>
              </w:rPr>
            </w:pPr>
            <w:r>
              <w:rPr>
                <w:b/>
                <w:bCs/>
                <w:lang w:eastAsia="en-GB"/>
              </w:rPr>
              <w:t>One IE is introduced in pur-PhysicalConfig to enable the use of 16-QAM in NPDSCH</w:t>
            </w:r>
          </w:p>
          <w:p w14:paraId="2281EC02" w14:textId="77777777" w:rsidR="0098092C" w:rsidRDefault="0030498B">
            <w:pPr>
              <w:pStyle w:val="ListParagraph"/>
              <w:numPr>
                <w:ilvl w:val="1"/>
                <w:numId w:val="18"/>
              </w:numPr>
              <w:overflowPunct w:val="0"/>
              <w:autoSpaceDE w:val="0"/>
              <w:autoSpaceDN w:val="0"/>
              <w:adjustRightInd w:val="0"/>
              <w:spacing w:after="180" w:line="240" w:lineRule="auto"/>
              <w:contextualSpacing/>
              <w:textAlignment w:val="baseline"/>
              <w:rPr>
                <w:b/>
                <w:bCs/>
                <w:lang w:eastAsia="en-GB"/>
              </w:rPr>
            </w:pPr>
            <w:r>
              <w:rPr>
                <w:b/>
                <w:bCs/>
                <w:lang w:eastAsia="en-GB"/>
              </w:rPr>
              <w:t>Power ratios of NRS and NPDSCH are given in pur-PhysicalConfig</w:t>
            </w:r>
          </w:p>
          <w:p w14:paraId="6D47DAEC" w14:textId="77777777" w:rsidR="0098092C" w:rsidRDefault="0098092C">
            <w:pPr>
              <w:rPr>
                <w:szCs w:val="20"/>
              </w:rPr>
            </w:pPr>
          </w:p>
        </w:tc>
      </w:tr>
      <w:tr w:rsidR="0098092C" w14:paraId="73EAFB3A" w14:textId="77777777">
        <w:tc>
          <w:tcPr>
            <w:tcW w:w="1555" w:type="dxa"/>
          </w:tcPr>
          <w:p w14:paraId="24AB4CE0" w14:textId="77777777" w:rsidR="0098092C" w:rsidRDefault="0030498B">
            <w:pPr>
              <w:rPr>
                <w:szCs w:val="20"/>
              </w:rPr>
            </w:pPr>
            <w:r>
              <w:rPr>
                <w:rFonts w:hint="eastAsia"/>
                <w:szCs w:val="20"/>
              </w:rPr>
              <w:lastRenderedPageBreak/>
              <w:t>[8]</w:t>
            </w:r>
          </w:p>
        </w:tc>
        <w:tc>
          <w:tcPr>
            <w:tcW w:w="7752" w:type="dxa"/>
          </w:tcPr>
          <w:p w14:paraId="5AB0FBD3" w14:textId="77777777" w:rsidR="0098092C" w:rsidRDefault="0030498B">
            <w:pPr>
              <w:pStyle w:val="Observation"/>
              <w:numPr>
                <w:ilvl w:val="0"/>
                <w:numId w:val="0"/>
              </w:numPr>
              <w:spacing w:line="240" w:lineRule="auto"/>
              <w:ind w:left="360" w:hanging="360"/>
            </w:pPr>
            <w:bookmarkStart w:id="3" w:name="_Toc83293664"/>
            <w:bookmarkStart w:id="4" w:name="_Toc82635157"/>
            <w:r>
              <w:rPr>
                <w:lang w:val="en-US"/>
              </w:rPr>
              <w:t xml:space="preserve">Observation 11 </w:t>
            </w:r>
            <w:r>
              <w:t>The applicability of 16-QAM in DL for PUR is less transparent and the use-case less evident than 16-QAM in UL for PUR. Therefore, the pre-configuration of 16-QAM for PUR should decouple UL and DL.</w:t>
            </w:r>
            <w:bookmarkEnd w:id="3"/>
            <w:bookmarkEnd w:id="4"/>
          </w:p>
          <w:p w14:paraId="52B9AE4F" w14:textId="77777777" w:rsidR="0098092C" w:rsidRDefault="0030498B">
            <w:pPr>
              <w:pStyle w:val="Observation"/>
              <w:numPr>
                <w:ilvl w:val="0"/>
                <w:numId w:val="0"/>
              </w:numPr>
              <w:spacing w:line="240" w:lineRule="auto"/>
              <w:ind w:left="360" w:hanging="360"/>
            </w:pPr>
            <w:bookmarkStart w:id="5" w:name="_Toc83293665"/>
            <w:bookmarkStart w:id="6" w:name="_Toc82635158"/>
            <w:r>
              <w:t>Observation 12 Given that the potential agreements touching upon the applicability of 16-QAM in DL for PUR were lengthy discussed and they address observation 11, we are ok with agreeing on them.</w:t>
            </w:r>
            <w:bookmarkEnd w:id="5"/>
            <w:bookmarkEnd w:id="6"/>
          </w:p>
          <w:p w14:paraId="3860F2AD" w14:textId="77777777" w:rsidR="0098092C" w:rsidRDefault="0030498B">
            <w:pPr>
              <w:pStyle w:val="Proposal"/>
              <w:numPr>
                <w:ilvl w:val="0"/>
                <w:numId w:val="0"/>
              </w:numPr>
              <w:spacing w:line="240" w:lineRule="auto"/>
              <w:ind w:left="1701" w:hanging="1701"/>
              <w:rPr>
                <w:lang w:val="en-US"/>
              </w:rPr>
            </w:pPr>
            <w:bookmarkStart w:id="7" w:name="_Toc83293673"/>
            <w:r>
              <w:rPr>
                <w:lang w:val="en-US"/>
              </w:rPr>
              <w:t>Proposal 6 Support 16-QAM for NPDSCH in PUR procedure</w:t>
            </w:r>
            <w:bookmarkEnd w:id="7"/>
          </w:p>
          <w:p w14:paraId="7A4AB8DA" w14:textId="77777777" w:rsidR="0098092C" w:rsidRDefault="0030498B">
            <w:pPr>
              <w:pStyle w:val="Proposal"/>
              <w:numPr>
                <w:ilvl w:val="0"/>
                <w:numId w:val="19"/>
              </w:numPr>
              <w:spacing w:line="240" w:lineRule="auto"/>
              <w:rPr>
                <w:lang w:val="en-US"/>
              </w:rPr>
            </w:pPr>
            <w:bookmarkStart w:id="8" w:name="_Toc83293674"/>
            <w:r>
              <w:rPr>
                <w:lang w:val="en-US"/>
              </w:rPr>
              <w:t>CSI report is not supported/expected during PUR procedure</w:t>
            </w:r>
            <w:bookmarkEnd w:id="8"/>
          </w:p>
          <w:p w14:paraId="1FA27384" w14:textId="77777777" w:rsidR="0098092C" w:rsidRDefault="0030498B">
            <w:pPr>
              <w:pStyle w:val="Proposal"/>
              <w:numPr>
                <w:ilvl w:val="0"/>
                <w:numId w:val="0"/>
              </w:numPr>
              <w:spacing w:line="240" w:lineRule="auto"/>
              <w:ind w:left="1701" w:hanging="1701"/>
              <w:rPr>
                <w:lang w:val="en-US"/>
              </w:rPr>
            </w:pPr>
            <w:bookmarkStart w:id="9" w:name="_Toc83293675"/>
            <w:r>
              <w:rPr>
                <w:lang w:val="en-US"/>
              </w:rPr>
              <w:t>Proposal 7 To support 16-QAM for NPDSCH and NPUSCH in PUR procedure,</w:t>
            </w:r>
            <w:bookmarkEnd w:id="9"/>
          </w:p>
          <w:p w14:paraId="36364D38" w14:textId="77777777" w:rsidR="0098092C" w:rsidRDefault="0030498B">
            <w:pPr>
              <w:pStyle w:val="Proposal"/>
              <w:numPr>
                <w:ilvl w:val="0"/>
                <w:numId w:val="19"/>
              </w:numPr>
              <w:spacing w:line="240" w:lineRule="auto"/>
              <w:rPr>
                <w:lang w:val="en-US"/>
              </w:rPr>
            </w:pPr>
            <w:bookmarkStart w:id="10" w:name="_Toc83293676"/>
            <w:r>
              <w:rPr>
                <w:lang w:val="en-US"/>
              </w:rPr>
              <w:t xml:space="preserve">16-QAM can be enabled/disabled by UE specific RRC signaling in </w:t>
            </w:r>
            <w:r>
              <w:rPr>
                <w:i/>
                <w:iCs/>
                <w:lang w:val="en-US"/>
              </w:rPr>
              <w:t>PUR-Config-NB</w:t>
            </w:r>
            <w:r>
              <w:rPr>
                <w:lang w:val="en-US"/>
              </w:rPr>
              <w:t xml:space="preserve"> for NPDSCH and NPUSCH separately.</w:t>
            </w:r>
            <w:bookmarkEnd w:id="10"/>
          </w:p>
          <w:p w14:paraId="5C3D3502" w14:textId="77777777" w:rsidR="0098092C" w:rsidRDefault="0030498B">
            <w:pPr>
              <w:pStyle w:val="Proposal"/>
              <w:numPr>
                <w:ilvl w:val="1"/>
                <w:numId w:val="19"/>
              </w:numPr>
              <w:spacing w:line="240" w:lineRule="auto"/>
              <w:rPr>
                <w:lang w:val="en-US"/>
              </w:rPr>
            </w:pPr>
            <w:bookmarkStart w:id="11" w:name="_Toc83293677"/>
            <w:r>
              <w:rPr>
                <w:lang w:val="en-US"/>
              </w:rPr>
              <w:t xml:space="preserve">When 16-QAM is enabled for NPUSCH, the MCS indices, RU indices and UL power control parameter are indicated in </w:t>
            </w:r>
            <w:r>
              <w:rPr>
                <w:i/>
                <w:iCs/>
                <w:lang w:val="en-US"/>
              </w:rPr>
              <w:t>PUR-Config-NB</w:t>
            </w:r>
            <w:r>
              <w:rPr>
                <w:lang w:val="en-US"/>
              </w:rPr>
              <w:t>.</w:t>
            </w:r>
            <w:bookmarkEnd w:id="11"/>
          </w:p>
          <w:p w14:paraId="33277B7F" w14:textId="77777777" w:rsidR="0098092C" w:rsidRDefault="0030498B">
            <w:pPr>
              <w:pStyle w:val="Proposal"/>
              <w:numPr>
                <w:ilvl w:val="2"/>
                <w:numId w:val="19"/>
              </w:numPr>
              <w:spacing w:line="240" w:lineRule="auto"/>
              <w:rPr>
                <w:lang w:val="en-US"/>
              </w:rPr>
            </w:pPr>
            <w:bookmarkStart w:id="12" w:name="_Toc83293678"/>
            <w:r>
              <w:rPr>
                <w:lang w:val="en-US"/>
              </w:rPr>
              <w:t>Note1: It’s up to RAN2 whether a new parameter or the legacy parameter is used to indicate the RU indices.</w:t>
            </w:r>
            <w:bookmarkEnd w:id="12"/>
          </w:p>
          <w:p w14:paraId="0CB994F3" w14:textId="77777777" w:rsidR="0098092C" w:rsidRDefault="0030498B">
            <w:pPr>
              <w:pStyle w:val="Proposal"/>
              <w:numPr>
                <w:ilvl w:val="2"/>
                <w:numId w:val="19"/>
              </w:numPr>
              <w:spacing w:line="240" w:lineRule="auto"/>
              <w:rPr>
                <w:lang w:val="en-US"/>
              </w:rPr>
            </w:pPr>
            <w:bookmarkStart w:id="13" w:name="_Toc83293679"/>
            <w:r>
              <w:rPr>
                <w:lang w:val="en-US"/>
              </w:rPr>
              <w:t>Note 2: There may be additional parameters if agreed.</w:t>
            </w:r>
            <w:bookmarkEnd w:id="13"/>
          </w:p>
          <w:p w14:paraId="4693F1A3" w14:textId="77777777" w:rsidR="0098092C" w:rsidRDefault="0030498B">
            <w:pPr>
              <w:pStyle w:val="Proposal"/>
              <w:numPr>
                <w:ilvl w:val="1"/>
                <w:numId w:val="19"/>
              </w:numPr>
              <w:spacing w:line="240" w:lineRule="auto"/>
              <w:rPr>
                <w:lang w:val="en-US"/>
              </w:rPr>
            </w:pPr>
            <w:bookmarkStart w:id="14" w:name="_Toc83293680"/>
            <w:r>
              <w:rPr>
                <w:lang w:val="en-US"/>
              </w:rPr>
              <w:t xml:space="preserve">When 16-QAM is enabled for NPDSCH, the DL power allocation is indicated in </w:t>
            </w:r>
            <w:r>
              <w:rPr>
                <w:i/>
                <w:iCs/>
                <w:lang w:val="en-US"/>
              </w:rPr>
              <w:t>PUR-Config-NB</w:t>
            </w:r>
            <w:r>
              <w:rPr>
                <w:lang w:val="en-US"/>
              </w:rPr>
              <w:t>.</w:t>
            </w:r>
            <w:bookmarkEnd w:id="14"/>
          </w:p>
          <w:p w14:paraId="34A9DF5E" w14:textId="77777777" w:rsidR="0098092C" w:rsidRDefault="0098092C">
            <w:pPr>
              <w:rPr>
                <w:szCs w:val="20"/>
                <w:lang w:val="en-GB"/>
              </w:rPr>
            </w:pPr>
          </w:p>
        </w:tc>
      </w:tr>
    </w:tbl>
    <w:p w14:paraId="18B4D75C" w14:textId="77777777" w:rsidR="0098092C" w:rsidRDefault="0098092C">
      <w:pPr>
        <w:spacing w:line="240" w:lineRule="auto"/>
      </w:pPr>
    </w:p>
    <w:p w14:paraId="6CB69E7D" w14:textId="77777777" w:rsidR="0098092C" w:rsidRDefault="0030498B">
      <w:pPr>
        <w:spacing w:line="240" w:lineRule="auto"/>
      </w:pPr>
      <w:r>
        <w:rPr>
          <w:rFonts w:hint="eastAsia"/>
        </w:rPr>
        <w:t xml:space="preserve">On the support of 16-QAM for NPDSCH in PUR procedure, all companies with inputs proposed to support it without enhancement of CSI reporting. </w:t>
      </w:r>
      <w:r>
        <w:t>Therefore, the following is proposed:</w:t>
      </w:r>
    </w:p>
    <w:p w14:paraId="34EB18D9" w14:textId="77777777" w:rsidR="0098092C" w:rsidRDefault="0030498B">
      <w:pPr>
        <w:pStyle w:val="Caption"/>
        <w:jc w:val="left"/>
        <w:rPr>
          <w:sz w:val="22"/>
        </w:rPr>
      </w:pPr>
      <w:r>
        <w:t xml:space="preserve">Proposal 1: </w:t>
      </w:r>
      <w:r>
        <w:rPr>
          <w:sz w:val="22"/>
        </w:rPr>
        <w:t>Support 16-QAM for NPDSCH in PUR procedure</w:t>
      </w:r>
    </w:p>
    <w:p w14:paraId="3A2504FD" w14:textId="77777777" w:rsidR="0098092C" w:rsidRDefault="0030498B">
      <w:pPr>
        <w:pStyle w:val="Caption"/>
        <w:numPr>
          <w:ilvl w:val="0"/>
          <w:numId w:val="12"/>
        </w:numPr>
        <w:jc w:val="left"/>
        <w:rPr>
          <w:sz w:val="22"/>
        </w:rPr>
      </w:pPr>
      <w:r>
        <w:rPr>
          <w:sz w:val="22"/>
        </w:rPr>
        <w:t>CSI report is not supported/expected during PUR procedure.</w:t>
      </w:r>
    </w:p>
    <w:p w14:paraId="393D34AE" w14:textId="77777777" w:rsidR="0098092C" w:rsidRDefault="0030498B">
      <w:pPr>
        <w:spacing w:line="240" w:lineRule="auto"/>
      </w:pPr>
      <w:r>
        <w:rPr>
          <w:rFonts w:hint="eastAsia"/>
        </w:rPr>
        <w:t xml:space="preserve">The details of RRC parameters can be discussed in the dedicated email </w:t>
      </w:r>
      <w:r>
        <w:t>thread for RRC parameters.</w:t>
      </w:r>
    </w:p>
    <w:p w14:paraId="7C1AB7B9" w14:textId="77777777" w:rsidR="0098092C" w:rsidRDefault="0098092C">
      <w:pPr>
        <w:spacing w:line="240" w:lineRule="auto"/>
      </w:pPr>
    </w:p>
    <w:p w14:paraId="28071D1C" w14:textId="77777777" w:rsidR="0098092C" w:rsidRDefault="0030498B">
      <w:pPr>
        <w:spacing w:line="240" w:lineRule="auto"/>
      </w:pPr>
      <w:r>
        <w:rPr>
          <w:rFonts w:hint="eastAsia"/>
        </w:rPr>
        <w:t xml:space="preserve">Please input your comments </w:t>
      </w:r>
      <w:r>
        <w:t>for the above proposal</w:t>
      </w:r>
      <w:r>
        <w:rPr>
          <w:rFonts w:hint="eastAsia"/>
        </w:rPr>
        <w:t>:</w:t>
      </w:r>
    </w:p>
    <w:tbl>
      <w:tblPr>
        <w:tblStyle w:val="TableGrid"/>
        <w:tblW w:w="0" w:type="auto"/>
        <w:tblLook w:val="04A0" w:firstRow="1" w:lastRow="0" w:firstColumn="1" w:lastColumn="0" w:noHBand="0" w:noVBand="1"/>
      </w:tblPr>
      <w:tblGrid>
        <w:gridCol w:w="1838"/>
        <w:gridCol w:w="7469"/>
      </w:tblGrid>
      <w:tr w:rsidR="0098092C" w14:paraId="5C18DA97" w14:textId="77777777">
        <w:tc>
          <w:tcPr>
            <w:tcW w:w="1838" w:type="dxa"/>
          </w:tcPr>
          <w:p w14:paraId="33F47A0A" w14:textId="77777777" w:rsidR="0098092C" w:rsidRDefault="0030498B">
            <w:pPr>
              <w:rPr>
                <w:szCs w:val="20"/>
              </w:rPr>
            </w:pPr>
            <w:r>
              <w:rPr>
                <w:rFonts w:hint="eastAsia"/>
                <w:szCs w:val="20"/>
              </w:rPr>
              <w:t>Comp</w:t>
            </w:r>
            <w:r>
              <w:rPr>
                <w:szCs w:val="20"/>
              </w:rPr>
              <w:t>anies</w:t>
            </w:r>
          </w:p>
        </w:tc>
        <w:tc>
          <w:tcPr>
            <w:tcW w:w="7469" w:type="dxa"/>
          </w:tcPr>
          <w:p w14:paraId="44FA9452" w14:textId="77777777" w:rsidR="0098092C" w:rsidRDefault="0030498B">
            <w:pPr>
              <w:rPr>
                <w:szCs w:val="20"/>
              </w:rPr>
            </w:pPr>
            <w:r>
              <w:rPr>
                <w:rFonts w:hint="eastAsia"/>
                <w:szCs w:val="20"/>
              </w:rPr>
              <w:t>Comments</w:t>
            </w:r>
          </w:p>
        </w:tc>
      </w:tr>
      <w:tr w:rsidR="0098092C" w14:paraId="0269D1FC" w14:textId="77777777">
        <w:tc>
          <w:tcPr>
            <w:tcW w:w="1838" w:type="dxa"/>
          </w:tcPr>
          <w:p w14:paraId="4086B3AA" w14:textId="77777777" w:rsidR="0098092C" w:rsidRDefault="0030498B">
            <w:pPr>
              <w:rPr>
                <w:sz w:val="20"/>
                <w:szCs w:val="20"/>
              </w:rPr>
            </w:pPr>
            <w:r>
              <w:rPr>
                <w:sz w:val="20"/>
                <w:szCs w:val="20"/>
              </w:rPr>
              <w:t>Ericsson</w:t>
            </w:r>
          </w:p>
        </w:tc>
        <w:tc>
          <w:tcPr>
            <w:tcW w:w="7469" w:type="dxa"/>
          </w:tcPr>
          <w:p w14:paraId="0AA74E50" w14:textId="77777777" w:rsidR="0098092C" w:rsidRDefault="0030498B">
            <w:pPr>
              <w:spacing w:line="240" w:lineRule="auto"/>
              <w:rPr>
                <w:sz w:val="20"/>
                <w:szCs w:val="20"/>
              </w:rPr>
            </w:pPr>
            <w:r>
              <w:rPr>
                <w:sz w:val="20"/>
                <w:szCs w:val="20"/>
              </w:rPr>
              <w:t>In the previous e-meeting we said that we could accept proposal 1 subject to have an agreement for enabling/disabling and having separately DL and UL 16QAM in the PUR configuration. Towards the end of the previous e-meeting the following proposals were drafted, which should be agreed together.</w:t>
            </w:r>
          </w:p>
          <w:p w14:paraId="4F740676" w14:textId="77777777" w:rsidR="0098092C" w:rsidRDefault="0030498B">
            <w:pPr>
              <w:rPr>
                <w:sz w:val="18"/>
                <w:szCs w:val="18"/>
              </w:rPr>
            </w:pPr>
            <w:r>
              <w:rPr>
                <w:rFonts w:hint="eastAsia"/>
                <w:sz w:val="18"/>
                <w:szCs w:val="18"/>
              </w:rPr>
              <w:lastRenderedPageBreak/>
              <w:t> </w:t>
            </w:r>
          </w:p>
          <w:p w14:paraId="3128CDEF" w14:textId="77777777" w:rsidR="0098092C" w:rsidRDefault="0030498B">
            <w:pPr>
              <w:rPr>
                <w:sz w:val="18"/>
                <w:szCs w:val="18"/>
              </w:rPr>
            </w:pPr>
            <w:r>
              <w:rPr>
                <w:b/>
                <w:bCs/>
                <w:sz w:val="18"/>
                <w:szCs w:val="18"/>
                <w:highlight w:val="yellow"/>
              </w:rPr>
              <w:t>Potential agreement</w:t>
            </w:r>
            <w:r>
              <w:rPr>
                <w:b/>
                <w:bCs/>
                <w:sz w:val="18"/>
                <w:szCs w:val="18"/>
              </w:rPr>
              <w:t>: To support 16-QAM for NPDSCH and NPUSCH in PUR procedure,</w:t>
            </w:r>
          </w:p>
          <w:p w14:paraId="05712757" w14:textId="77777777" w:rsidR="0098092C" w:rsidRDefault="0030498B">
            <w:pPr>
              <w:rPr>
                <w:sz w:val="18"/>
                <w:szCs w:val="18"/>
              </w:rPr>
            </w:pPr>
            <w:r>
              <w:rPr>
                <w:sz w:val="18"/>
                <w:szCs w:val="18"/>
              </w:rPr>
              <w:t xml:space="preserve">·       </w:t>
            </w:r>
            <w:r>
              <w:rPr>
                <w:b/>
                <w:bCs/>
                <w:sz w:val="18"/>
                <w:szCs w:val="18"/>
              </w:rPr>
              <w:t xml:space="preserve">16-QAM can be enabled/disabled by UE specific RRC signaling in </w:t>
            </w:r>
            <w:r>
              <w:rPr>
                <w:b/>
                <w:bCs/>
                <w:i/>
                <w:iCs/>
                <w:sz w:val="18"/>
                <w:szCs w:val="18"/>
              </w:rPr>
              <w:t>PUR-Config-NB</w:t>
            </w:r>
            <w:r>
              <w:rPr>
                <w:b/>
                <w:bCs/>
                <w:sz w:val="18"/>
                <w:szCs w:val="18"/>
              </w:rPr>
              <w:t xml:space="preserve"> for NPDSCH and NPUSCH separately </w:t>
            </w:r>
          </w:p>
          <w:p w14:paraId="60FEDC17" w14:textId="77777777" w:rsidR="0098092C" w:rsidRDefault="0030498B">
            <w:pPr>
              <w:ind w:left="567"/>
              <w:rPr>
                <w:sz w:val="18"/>
                <w:szCs w:val="18"/>
              </w:rPr>
            </w:pPr>
            <w:r>
              <w:rPr>
                <w:sz w:val="18"/>
                <w:szCs w:val="18"/>
              </w:rPr>
              <w:t xml:space="preserve">·           </w:t>
            </w:r>
            <w:r>
              <w:rPr>
                <w:b/>
                <w:bCs/>
                <w:sz w:val="18"/>
                <w:szCs w:val="18"/>
              </w:rPr>
              <w:t xml:space="preserve">When 16-QAM is enabled for NPUSCH, the MCS indices, RU indices and UL power control parameter are indicated in </w:t>
            </w:r>
            <w:r>
              <w:rPr>
                <w:b/>
                <w:bCs/>
                <w:i/>
                <w:iCs/>
                <w:sz w:val="18"/>
                <w:szCs w:val="18"/>
              </w:rPr>
              <w:t>PUR-Config-NB</w:t>
            </w:r>
          </w:p>
          <w:p w14:paraId="2C4E53FF" w14:textId="77777777" w:rsidR="0098092C" w:rsidRDefault="0030498B">
            <w:pPr>
              <w:ind w:left="1134"/>
              <w:rPr>
                <w:sz w:val="18"/>
                <w:szCs w:val="18"/>
              </w:rPr>
            </w:pPr>
            <w:r>
              <w:rPr>
                <w:sz w:val="18"/>
                <w:szCs w:val="18"/>
              </w:rPr>
              <w:t xml:space="preserve">·         </w:t>
            </w:r>
            <w:r>
              <w:rPr>
                <w:rFonts w:hint="eastAsia"/>
                <w:b/>
                <w:bCs/>
                <w:sz w:val="18"/>
                <w:szCs w:val="18"/>
              </w:rPr>
              <w:t>Note1: It</w:t>
            </w:r>
            <w:r>
              <w:rPr>
                <w:b/>
                <w:bCs/>
                <w:sz w:val="18"/>
                <w:szCs w:val="18"/>
              </w:rPr>
              <w:t>’</w:t>
            </w:r>
            <w:r>
              <w:rPr>
                <w:rFonts w:hint="eastAsia"/>
                <w:b/>
                <w:bCs/>
                <w:sz w:val="18"/>
                <w:szCs w:val="18"/>
              </w:rPr>
              <w:t>s up to RAN2 whether a new parameter or the legacy parameter is used to indicate the RU indices</w:t>
            </w:r>
          </w:p>
          <w:p w14:paraId="53F917DB" w14:textId="77777777" w:rsidR="0098092C" w:rsidRDefault="0030498B">
            <w:pPr>
              <w:ind w:left="1134"/>
              <w:rPr>
                <w:sz w:val="18"/>
                <w:szCs w:val="18"/>
              </w:rPr>
            </w:pPr>
            <w:r>
              <w:rPr>
                <w:sz w:val="18"/>
                <w:szCs w:val="18"/>
              </w:rPr>
              <w:t xml:space="preserve">·         </w:t>
            </w:r>
            <w:r>
              <w:rPr>
                <w:rFonts w:hint="eastAsia"/>
                <w:b/>
                <w:bCs/>
                <w:sz w:val="18"/>
                <w:szCs w:val="18"/>
              </w:rPr>
              <w:t>Note 2: There may be additional parameters if agreed.</w:t>
            </w:r>
          </w:p>
          <w:p w14:paraId="16150B92" w14:textId="77777777" w:rsidR="0098092C" w:rsidRDefault="0030498B">
            <w:pPr>
              <w:ind w:left="567"/>
              <w:rPr>
                <w:sz w:val="18"/>
                <w:szCs w:val="18"/>
              </w:rPr>
            </w:pPr>
            <w:r>
              <w:rPr>
                <w:sz w:val="18"/>
                <w:szCs w:val="18"/>
              </w:rPr>
              <w:t xml:space="preserve">·           </w:t>
            </w:r>
            <w:r>
              <w:rPr>
                <w:b/>
                <w:bCs/>
                <w:sz w:val="18"/>
                <w:szCs w:val="18"/>
              </w:rPr>
              <w:t xml:space="preserve">When 16-QAM is enabled for NPDSCH, the DL power allocation is indicated in </w:t>
            </w:r>
            <w:r>
              <w:rPr>
                <w:b/>
                <w:bCs/>
                <w:i/>
                <w:iCs/>
                <w:sz w:val="18"/>
                <w:szCs w:val="18"/>
              </w:rPr>
              <w:t>PUR-Config-NB</w:t>
            </w:r>
          </w:p>
          <w:p w14:paraId="40699FCE" w14:textId="77777777" w:rsidR="0098092C" w:rsidRDefault="0098092C">
            <w:pPr>
              <w:rPr>
                <w:b/>
                <w:bCs/>
                <w:sz w:val="18"/>
                <w:szCs w:val="18"/>
                <w:highlight w:val="yellow"/>
              </w:rPr>
            </w:pPr>
          </w:p>
          <w:p w14:paraId="2F246B6B" w14:textId="77777777" w:rsidR="0098092C" w:rsidRDefault="0030498B">
            <w:pPr>
              <w:rPr>
                <w:sz w:val="18"/>
                <w:szCs w:val="18"/>
              </w:rPr>
            </w:pPr>
            <w:r>
              <w:rPr>
                <w:b/>
                <w:bCs/>
                <w:sz w:val="18"/>
                <w:szCs w:val="18"/>
                <w:highlight w:val="yellow"/>
              </w:rPr>
              <w:t>Potential agreement</w:t>
            </w:r>
            <w:r>
              <w:rPr>
                <w:b/>
                <w:bCs/>
                <w:sz w:val="18"/>
                <w:szCs w:val="18"/>
              </w:rPr>
              <w:t>: Support 16-QAM for NPDSCH in PUR procedure</w:t>
            </w:r>
          </w:p>
          <w:p w14:paraId="2339A996" w14:textId="77777777" w:rsidR="0098092C" w:rsidRDefault="0030498B">
            <w:pPr>
              <w:rPr>
                <w:sz w:val="18"/>
                <w:szCs w:val="18"/>
              </w:rPr>
            </w:pPr>
            <w:r>
              <w:rPr>
                <w:sz w:val="18"/>
                <w:szCs w:val="18"/>
              </w:rPr>
              <w:t xml:space="preserve">·       </w:t>
            </w:r>
            <w:r>
              <w:rPr>
                <w:b/>
                <w:bCs/>
                <w:sz w:val="18"/>
                <w:szCs w:val="18"/>
              </w:rPr>
              <w:t>CSI report is not supported/expected during PUR procedure</w:t>
            </w:r>
          </w:p>
          <w:p w14:paraId="762B9E6E" w14:textId="77777777" w:rsidR="0098092C" w:rsidRDefault="0098092C">
            <w:pPr>
              <w:spacing w:line="240" w:lineRule="auto"/>
              <w:rPr>
                <w:rFonts w:eastAsia="Times New Roman"/>
                <w:b/>
                <w:szCs w:val="20"/>
              </w:rPr>
            </w:pPr>
          </w:p>
        </w:tc>
      </w:tr>
      <w:tr w:rsidR="0098092C" w14:paraId="21704B85" w14:textId="77777777">
        <w:tc>
          <w:tcPr>
            <w:tcW w:w="1838" w:type="dxa"/>
          </w:tcPr>
          <w:p w14:paraId="30A952F1" w14:textId="77777777" w:rsidR="0098092C" w:rsidRDefault="0030498B">
            <w:pPr>
              <w:rPr>
                <w:rFonts w:asciiTheme="minorHAnsi" w:hAnsiTheme="minorHAnsi" w:cstheme="minorHAnsi"/>
                <w:szCs w:val="20"/>
                <w:lang w:eastAsia="zh-CN"/>
              </w:rPr>
            </w:pPr>
            <w:r>
              <w:rPr>
                <w:rFonts w:asciiTheme="minorHAnsi" w:hAnsiTheme="minorHAnsi" w:cstheme="minorHAnsi"/>
                <w:szCs w:val="20"/>
                <w:lang w:eastAsia="zh-CN"/>
              </w:rPr>
              <w:lastRenderedPageBreak/>
              <w:t>Lenovo, MotoM</w:t>
            </w:r>
          </w:p>
        </w:tc>
        <w:tc>
          <w:tcPr>
            <w:tcW w:w="7469" w:type="dxa"/>
          </w:tcPr>
          <w:p w14:paraId="6ADFA956" w14:textId="77777777" w:rsidR="0098092C" w:rsidRDefault="0030498B">
            <w:pPr>
              <w:spacing w:line="240" w:lineRule="auto"/>
              <w:rPr>
                <w:rFonts w:asciiTheme="minorHAnsi" w:hAnsiTheme="minorHAnsi" w:cstheme="minorHAnsi"/>
                <w:lang w:eastAsia="zh-CN"/>
              </w:rPr>
            </w:pPr>
            <w:r>
              <w:rPr>
                <w:rFonts w:asciiTheme="minorHAnsi" w:hAnsiTheme="minorHAnsi" w:cstheme="minorHAnsi"/>
                <w:lang w:eastAsia="zh-CN"/>
              </w:rPr>
              <w:t>Although we have some concern on how does eNB determine the suitable MCS for PDSCH, especially 16QAM if there is no CSI reporting during PUR procedure, we are OK to the proposal if majority companies believe it can work.</w:t>
            </w:r>
          </w:p>
        </w:tc>
      </w:tr>
      <w:tr w:rsidR="0098092C" w14:paraId="4B268E4A" w14:textId="77777777">
        <w:tc>
          <w:tcPr>
            <w:tcW w:w="1838" w:type="dxa"/>
          </w:tcPr>
          <w:p w14:paraId="6C0DE9C8" w14:textId="77777777" w:rsidR="0098092C" w:rsidRDefault="0030498B">
            <w:pPr>
              <w:rPr>
                <w:szCs w:val="20"/>
                <w:lang w:eastAsia="zh-CN"/>
              </w:rPr>
            </w:pPr>
            <w:r>
              <w:rPr>
                <w:rFonts w:hint="eastAsia"/>
                <w:szCs w:val="20"/>
                <w:lang w:eastAsia="zh-CN"/>
              </w:rPr>
              <w:t>MTK</w:t>
            </w:r>
          </w:p>
        </w:tc>
        <w:tc>
          <w:tcPr>
            <w:tcW w:w="7469" w:type="dxa"/>
          </w:tcPr>
          <w:p w14:paraId="6CCE8DE5" w14:textId="77777777" w:rsidR="0098092C" w:rsidRDefault="0030498B">
            <w:pPr>
              <w:rPr>
                <w:szCs w:val="20"/>
                <w:lang w:eastAsia="zh-CN"/>
              </w:rPr>
            </w:pPr>
            <w:r>
              <w:rPr>
                <w:szCs w:val="20"/>
                <w:lang w:eastAsia="zh-CN"/>
              </w:rPr>
              <w:t>W</w:t>
            </w:r>
            <w:r>
              <w:rPr>
                <w:rFonts w:hint="eastAsia"/>
                <w:szCs w:val="20"/>
                <w:lang w:eastAsia="zh-CN"/>
              </w:rPr>
              <w:t>e</w:t>
            </w:r>
            <w:r>
              <w:rPr>
                <w:szCs w:val="20"/>
                <w:lang w:eastAsia="zh-CN"/>
              </w:rPr>
              <w:t xml:space="preserve"> are ok to the proposal and think Ericsson’s is also ok. For Lenovo’s concern, actually Network could request UE to report CQI by MAC CE before releasing it. Of course, it leaves to network private implementation.</w:t>
            </w:r>
          </w:p>
        </w:tc>
      </w:tr>
      <w:tr w:rsidR="0098092C" w14:paraId="51128C02" w14:textId="77777777">
        <w:tc>
          <w:tcPr>
            <w:tcW w:w="1838" w:type="dxa"/>
          </w:tcPr>
          <w:p w14:paraId="212D8FB7" w14:textId="77777777" w:rsidR="0098092C" w:rsidRDefault="0030498B">
            <w:pPr>
              <w:rPr>
                <w:szCs w:val="20"/>
                <w:lang w:eastAsia="zh-CN"/>
              </w:rPr>
            </w:pPr>
            <w:r>
              <w:rPr>
                <w:rFonts w:hint="eastAsia"/>
                <w:szCs w:val="20"/>
                <w:lang w:eastAsia="zh-CN"/>
              </w:rPr>
              <w:t>H</w:t>
            </w:r>
            <w:r>
              <w:rPr>
                <w:szCs w:val="20"/>
                <w:lang w:eastAsia="zh-CN"/>
              </w:rPr>
              <w:t>uawei, HiSilicon</w:t>
            </w:r>
          </w:p>
        </w:tc>
        <w:tc>
          <w:tcPr>
            <w:tcW w:w="7469" w:type="dxa"/>
          </w:tcPr>
          <w:p w14:paraId="6BEF295B" w14:textId="77777777" w:rsidR="0098092C" w:rsidRDefault="0030498B">
            <w:pPr>
              <w:rPr>
                <w:szCs w:val="20"/>
                <w:lang w:eastAsia="zh-CN"/>
              </w:rPr>
            </w:pPr>
            <w:r>
              <w:rPr>
                <w:szCs w:val="20"/>
                <w:lang w:eastAsia="zh-CN"/>
              </w:rPr>
              <w:t>We are fine with proposal 1</w:t>
            </w:r>
          </w:p>
        </w:tc>
      </w:tr>
      <w:tr w:rsidR="0098092C" w14:paraId="6C6550EF" w14:textId="77777777">
        <w:tc>
          <w:tcPr>
            <w:tcW w:w="1838" w:type="dxa"/>
          </w:tcPr>
          <w:p w14:paraId="4F91FD9F" w14:textId="77777777" w:rsidR="0098092C" w:rsidRDefault="0030498B">
            <w:pPr>
              <w:rPr>
                <w:szCs w:val="20"/>
                <w:lang w:eastAsia="zh-CN"/>
              </w:rPr>
            </w:pPr>
            <w:r>
              <w:rPr>
                <w:szCs w:val="20"/>
                <w:lang w:eastAsia="zh-CN"/>
              </w:rPr>
              <w:t>Nokia, NSB</w:t>
            </w:r>
          </w:p>
        </w:tc>
        <w:tc>
          <w:tcPr>
            <w:tcW w:w="7469" w:type="dxa"/>
          </w:tcPr>
          <w:p w14:paraId="2EBB8EE2" w14:textId="77777777" w:rsidR="0098092C" w:rsidRDefault="0030498B">
            <w:pPr>
              <w:rPr>
                <w:szCs w:val="20"/>
                <w:lang w:eastAsia="zh-CN"/>
              </w:rPr>
            </w:pPr>
            <w:r>
              <w:rPr>
                <w:szCs w:val="20"/>
                <w:lang w:eastAsia="zh-CN"/>
              </w:rPr>
              <w:t>We support proposal 1. We are OK to also agree together with the configuration proposal as suggested by Ericsson.</w:t>
            </w:r>
          </w:p>
        </w:tc>
      </w:tr>
      <w:tr w:rsidR="0098092C" w14:paraId="26A15129" w14:textId="77777777">
        <w:tc>
          <w:tcPr>
            <w:tcW w:w="1838" w:type="dxa"/>
          </w:tcPr>
          <w:p w14:paraId="05DEE30E" w14:textId="77777777" w:rsidR="0098092C" w:rsidRDefault="0030498B">
            <w:pPr>
              <w:rPr>
                <w:szCs w:val="20"/>
                <w:lang w:eastAsia="zh-CN"/>
              </w:rPr>
            </w:pPr>
            <w:r>
              <w:rPr>
                <w:rFonts w:hint="eastAsia"/>
                <w:szCs w:val="20"/>
                <w:lang w:eastAsia="zh-CN"/>
              </w:rPr>
              <w:t>ZTE, Sanechips</w:t>
            </w:r>
          </w:p>
        </w:tc>
        <w:tc>
          <w:tcPr>
            <w:tcW w:w="7469" w:type="dxa"/>
          </w:tcPr>
          <w:p w14:paraId="52B937DF" w14:textId="77777777" w:rsidR="0098092C" w:rsidRDefault="0030498B">
            <w:pPr>
              <w:rPr>
                <w:szCs w:val="20"/>
                <w:lang w:eastAsia="zh-CN"/>
              </w:rPr>
            </w:pPr>
            <w:r>
              <w:rPr>
                <w:rFonts w:hint="eastAsia"/>
                <w:szCs w:val="20"/>
                <w:lang w:eastAsia="zh-CN"/>
              </w:rPr>
              <w:t>We are fine with the FL proposal 1.</w:t>
            </w:r>
          </w:p>
        </w:tc>
      </w:tr>
      <w:tr w:rsidR="0098092C" w14:paraId="64E0CE47" w14:textId="77777777">
        <w:trPr>
          <w:trHeight w:val="90"/>
        </w:trPr>
        <w:tc>
          <w:tcPr>
            <w:tcW w:w="1838" w:type="dxa"/>
          </w:tcPr>
          <w:p w14:paraId="15B361FF" w14:textId="77777777" w:rsidR="0098092C" w:rsidRDefault="0030498B">
            <w:pPr>
              <w:rPr>
                <w:szCs w:val="20"/>
                <w:lang w:eastAsia="zh-CN"/>
              </w:rPr>
            </w:pPr>
            <w:r>
              <w:rPr>
                <w:rFonts w:hint="eastAsia"/>
                <w:szCs w:val="20"/>
                <w:lang w:eastAsia="zh-CN"/>
              </w:rPr>
              <w:t>Moderator (Huawei)</w:t>
            </w:r>
          </w:p>
        </w:tc>
        <w:tc>
          <w:tcPr>
            <w:tcW w:w="7469" w:type="dxa"/>
          </w:tcPr>
          <w:p w14:paraId="1DC32DC9" w14:textId="77777777" w:rsidR="0098092C" w:rsidRDefault="0030498B">
            <w:pPr>
              <w:rPr>
                <w:szCs w:val="20"/>
                <w:lang w:eastAsia="zh-CN"/>
              </w:rPr>
            </w:pPr>
            <w:r>
              <w:rPr>
                <w:rFonts w:hint="eastAsia"/>
                <w:szCs w:val="20"/>
                <w:lang w:eastAsia="zh-CN"/>
              </w:rPr>
              <w:t>According to comments, the proposals are updated as below:</w:t>
            </w:r>
          </w:p>
          <w:p w14:paraId="63C029B2" w14:textId="77777777" w:rsidR="0098092C" w:rsidRDefault="0030498B">
            <w:pPr>
              <w:pStyle w:val="Caption"/>
              <w:jc w:val="left"/>
              <w:rPr>
                <w:sz w:val="22"/>
              </w:rPr>
            </w:pPr>
            <w:r>
              <w:t xml:space="preserve">Proposal 1: </w:t>
            </w:r>
            <w:r>
              <w:rPr>
                <w:sz w:val="22"/>
              </w:rPr>
              <w:t>Support 16-QAM for NPDSCH in PUR procedure</w:t>
            </w:r>
          </w:p>
          <w:p w14:paraId="5E0C7BE9" w14:textId="77777777" w:rsidR="0098092C" w:rsidRDefault="0030498B">
            <w:pPr>
              <w:pStyle w:val="Caption"/>
              <w:numPr>
                <w:ilvl w:val="0"/>
                <w:numId w:val="12"/>
              </w:numPr>
              <w:jc w:val="left"/>
              <w:rPr>
                <w:sz w:val="22"/>
              </w:rPr>
            </w:pPr>
            <w:r>
              <w:rPr>
                <w:sz w:val="22"/>
              </w:rPr>
              <w:t>CSI report is not supported/expected during PUR procedure.</w:t>
            </w:r>
          </w:p>
          <w:p w14:paraId="1FFA8937" w14:textId="77777777" w:rsidR="0098092C" w:rsidRDefault="0030498B">
            <w:r>
              <w:rPr>
                <w:b/>
                <w:bCs/>
              </w:rPr>
              <w:t>Proposal 1A: To support 16-QAM for NPDSCH and NPUSCH in PUR procedure,</w:t>
            </w:r>
          </w:p>
          <w:p w14:paraId="696EC836" w14:textId="77777777" w:rsidR="0098092C" w:rsidRDefault="0030498B">
            <w:pPr>
              <w:pStyle w:val="Caption"/>
              <w:numPr>
                <w:ilvl w:val="0"/>
                <w:numId w:val="12"/>
              </w:numPr>
              <w:jc w:val="left"/>
              <w:rPr>
                <w:sz w:val="22"/>
              </w:rPr>
            </w:pPr>
            <w:r>
              <w:rPr>
                <w:sz w:val="22"/>
              </w:rPr>
              <w:t xml:space="preserve">16-QAM can be enabled/disabled by UE specific RRC signaling in </w:t>
            </w:r>
            <w:r>
              <w:rPr>
                <w:i/>
                <w:iCs/>
                <w:sz w:val="22"/>
              </w:rPr>
              <w:t>PUR-Config-NB</w:t>
            </w:r>
            <w:r>
              <w:rPr>
                <w:sz w:val="22"/>
              </w:rPr>
              <w:t xml:space="preserve"> for NPDSCH and NPUSCH separately </w:t>
            </w:r>
          </w:p>
          <w:p w14:paraId="5A03B986" w14:textId="77777777" w:rsidR="0098092C" w:rsidRDefault="0030498B">
            <w:pPr>
              <w:pStyle w:val="Caption"/>
              <w:numPr>
                <w:ilvl w:val="1"/>
                <w:numId w:val="12"/>
              </w:numPr>
              <w:jc w:val="left"/>
              <w:rPr>
                <w:sz w:val="22"/>
              </w:rPr>
            </w:pPr>
            <w:r>
              <w:rPr>
                <w:sz w:val="22"/>
              </w:rPr>
              <w:t xml:space="preserve">When 16-QAM is enabled for NPUSCH, the MCS indices, RU indices and UL power control parameter are indicated in </w:t>
            </w:r>
            <w:r>
              <w:rPr>
                <w:i/>
                <w:iCs/>
                <w:sz w:val="22"/>
              </w:rPr>
              <w:t>PUR-Config-NB</w:t>
            </w:r>
          </w:p>
          <w:p w14:paraId="5BF137D3" w14:textId="77777777" w:rsidR="0098092C" w:rsidRDefault="0030498B">
            <w:pPr>
              <w:pStyle w:val="Caption"/>
              <w:numPr>
                <w:ilvl w:val="2"/>
                <w:numId w:val="12"/>
              </w:numPr>
              <w:jc w:val="left"/>
              <w:rPr>
                <w:sz w:val="22"/>
              </w:rPr>
            </w:pPr>
            <w:r>
              <w:rPr>
                <w:rFonts w:hint="eastAsia"/>
                <w:sz w:val="22"/>
              </w:rPr>
              <w:t>Note1: It</w:t>
            </w:r>
            <w:r>
              <w:rPr>
                <w:sz w:val="22"/>
              </w:rPr>
              <w:t>’</w:t>
            </w:r>
            <w:r>
              <w:rPr>
                <w:rFonts w:hint="eastAsia"/>
                <w:sz w:val="22"/>
              </w:rPr>
              <w:t>s up to RAN2 whether a new parameter or the legacy parameter is used to indicate the RU indices</w:t>
            </w:r>
          </w:p>
          <w:p w14:paraId="4FF773F1" w14:textId="77777777" w:rsidR="0098092C" w:rsidRDefault="0030498B">
            <w:pPr>
              <w:pStyle w:val="Caption"/>
              <w:numPr>
                <w:ilvl w:val="2"/>
                <w:numId w:val="12"/>
              </w:numPr>
              <w:jc w:val="left"/>
              <w:rPr>
                <w:sz w:val="22"/>
              </w:rPr>
            </w:pPr>
            <w:r>
              <w:rPr>
                <w:rFonts w:hint="eastAsia"/>
                <w:sz w:val="22"/>
              </w:rPr>
              <w:t>Note 2: There may be additional parameters if agreed.</w:t>
            </w:r>
          </w:p>
          <w:p w14:paraId="6327B9AB" w14:textId="77777777" w:rsidR="0098092C" w:rsidRDefault="0030498B">
            <w:pPr>
              <w:pStyle w:val="Caption"/>
              <w:numPr>
                <w:ilvl w:val="0"/>
                <w:numId w:val="12"/>
              </w:numPr>
              <w:jc w:val="left"/>
            </w:pPr>
            <w:r>
              <w:rPr>
                <w:sz w:val="22"/>
              </w:rPr>
              <w:t>When</w:t>
            </w:r>
            <w:r>
              <w:rPr>
                <w:bCs w:val="0"/>
              </w:rPr>
              <w:t xml:space="preserve"> 16-QAM is enabled for NPDSCH, the DL power allocation is indicated in </w:t>
            </w:r>
            <w:r>
              <w:rPr>
                <w:bCs w:val="0"/>
                <w:i/>
                <w:iCs/>
              </w:rPr>
              <w:t>PUR-Config-NB</w:t>
            </w:r>
          </w:p>
          <w:p w14:paraId="060ABC27" w14:textId="77777777" w:rsidR="0098092C" w:rsidRDefault="0098092C">
            <w:pPr>
              <w:rPr>
                <w:szCs w:val="20"/>
                <w:lang w:eastAsia="zh-CN"/>
              </w:rPr>
            </w:pPr>
          </w:p>
        </w:tc>
      </w:tr>
      <w:tr w:rsidR="0098092C" w14:paraId="753E9647" w14:textId="77777777">
        <w:tc>
          <w:tcPr>
            <w:tcW w:w="1838" w:type="dxa"/>
          </w:tcPr>
          <w:p w14:paraId="1F5656C8" w14:textId="77777777" w:rsidR="0098092C" w:rsidRDefault="0030498B">
            <w:pPr>
              <w:rPr>
                <w:szCs w:val="20"/>
                <w:lang w:eastAsia="zh-CN"/>
              </w:rPr>
            </w:pPr>
            <w:r>
              <w:rPr>
                <w:rFonts w:hint="eastAsia"/>
                <w:szCs w:val="20"/>
                <w:lang w:eastAsia="zh-CN"/>
              </w:rPr>
              <w:lastRenderedPageBreak/>
              <w:t>ZTE, Sanechips</w:t>
            </w:r>
          </w:p>
        </w:tc>
        <w:tc>
          <w:tcPr>
            <w:tcW w:w="7469" w:type="dxa"/>
          </w:tcPr>
          <w:p w14:paraId="4E4BFA17" w14:textId="77777777" w:rsidR="0098092C" w:rsidRDefault="0030498B">
            <w:pPr>
              <w:rPr>
                <w:szCs w:val="20"/>
                <w:lang w:eastAsia="zh-CN"/>
              </w:rPr>
            </w:pPr>
            <w:r>
              <w:rPr>
                <w:rFonts w:hint="eastAsia"/>
                <w:szCs w:val="20"/>
                <w:lang w:eastAsia="zh-CN"/>
              </w:rPr>
              <w:t>We are fine with proposal 1.</w:t>
            </w:r>
          </w:p>
          <w:p w14:paraId="53C6307A" w14:textId="77777777" w:rsidR="0098092C" w:rsidRDefault="0030498B">
            <w:pPr>
              <w:rPr>
                <w:szCs w:val="20"/>
                <w:lang w:eastAsia="zh-CN"/>
              </w:rPr>
            </w:pPr>
            <w:r>
              <w:rPr>
                <w:rFonts w:hint="eastAsia"/>
                <w:szCs w:val="20"/>
                <w:lang w:eastAsia="zh-CN"/>
              </w:rPr>
              <w:t xml:space="preserve">For proposal1A, it is overlapped with the discussion in 8.19.9. we do not have strong view here. Both leave it to RAN2 or follow the majority are fine with us. </w:t>
            </w:r>
          </w:p>
        </w:tc>
      </w:tr>
      <w:tr w:rsidR="0098092C" w14:paraId="1BC93980" w14:textId="77777777">
        <w:tc>
          <w:tcPr>
            <w:tcW w:w="1838" w:type="dxa"/>
          </w:tcPr>
          <w:p w14:paraId="7D181973" w14:textId="77777777" w:rsidR="0098092C" w:rsidRDefault="0030498B">
            <w:pPr>
              <w:rPr>
                <w:szCs w:val="20"/>
                <w:lang w:eastAsia="zh-CN"/>
              </w:rPr>
            </w:pPr>
            <w:r>
              <w:rPr>
                <w:szCs w:val="20"/>
                <w:lang w:eastAsia="zh-CN"/>
              </w:rPr>
              <w:t>Qualcomm</w:t>
            </w:r>
          </w:p>
        </w:tc>
        <w:tc>
          <w:tcPr>
            <w:tcW w:w="7469" w:type="dxa"/>
          </w:tcPr>
          <w:p w14:paraId="20955421" w14:textId="77777777" w:rsidR="0098092C" w:rsidRDefault="0030498B">
            <w:pPr>
              <w:rPr>
                <w:szCs w:val="20"/>
                <w:lang w:eastAsia="zh-CN"/>
              </w:rPr>
            </w:pPr>
            <w:r>
              <w:rPr>
                <w:szCs w:val="20"/>
                <w:lang w:eastAsia="zh-CN"/>
              </w:rPr>
              <w:t>We are fine with both proposals.</w:t>
            </w:r>
          </w:p>
        </w:tc>
      </w:tr>
      <w:tr w:rsidR="0098092C" w14:paraId="0C600E52" w14:textId="77777777">
        <w:tc>
          <w:tcPr>
            <w:tcW w:w="1838" w:type="dxa"/>
          </w:tcPr>
          <w:p w14:paraId="11AFB03B" w14:textId="77777777" w:rsidR="0098092C" w:rsidRDefault="0030498B">
            <w:pPr>
              <w:rPr>
                <w:szCs w:val="20"/>
                <w:lang w:eastAsia="zh-CN"/>
              </w:rPr>
            </w:pPr>
            <w:r>
              <w:rPr>
                <w:szCs w:val="20"/>
                <w:lang w:eastAsia="zh-CN"/>
              </w:rPr>
              <w:t>Nokia, NSB</w:t>
            </w:r>
          </w:p>
        </w:tc>
        <w:tc>
          <w:tcPr>
            <w:tcW w:w="7469" w:type="dxa"/>
          </w:tcPr>
          <w:p w14:paraId="1C087AE9" w14:textId="77777777" w:rsidR="0098092C" w:rsidRDefault="0030498B">
            <w:pPr>
              <w:rPr>
                <w:szCs w:val="20"/>
                <w:lang w:eastAsia="zh-CN"/>
              </w:rPr>
            </w:pPr>
            <w:r>
              <w:rPr>
                <w:szCs w:val="20"/>
                <w:lang w:eastAsia="zh-CN"/>
              </w:rPr>
              <w:t>We are fine with both proposals.</w:t>
            </w:r>
          </w:p>
        </w:tc>
      </w:tr>
      <w:tr w:rsidR="0098092C" w14:paraId="3EFFB072" w14:textId="77777777">
        <w:tc>
          <w:tcPr>
            <w:tcW w:w="1838" w:type="dxa"/>
          </w:tcPr>
          <w:p w14:paraId="5C1212D0" w14:textId="77777777" w:rsidR="0098092C" w:rsidRDefault="0030498B">
            <w:pPr>
              <w:rPr>
                <w:szCs w:val="20"/>
                <w:lang w:eastAsia="zh-CN"/>
              </w:rPr>
            </w:pPr>
            <w:r>
              <w:rPr>
                <w:szCs w:val="20"/>
                <w:lang w:eastAsia="zh-CN"/>
              </w:rPr>
              <w:t>Ericsson v011</w:t>
            </w:r>
          </w:p>
        </w:tc>
        <w:tc>
          <w:tcPr>
            <w:tcW w:w="7469" w:type="dxa"/>
          </w:tcPr>
          <w:p w14:paraId="3C68AA27" w14:textId="77777777" w:rsidR="0098092C" w:rsidRDefault="0030498B">
            <w:pPr>
              <w:rPr>
                <w:szCs w:val="20"/>
                <w:lang w:eastAsia="zh-CN"/>
              </w:rPr>
            </w:pPr>
            <w:r>
              <w:rPr>
                <w:szCs w:val="20"/>
                <w:lang w:eastAsia="zh-CN"/>
              </w:rPr>
              <w:t>We are fine with both proposals. About ZTE comment, rather than a potential overlap of Proposal 1A with the UE feature list, the potential overlap seems to occur mainly with respect to proposals 1 and 2 of the RRC parameter list discussion.</w:t>
            </w:r>
          </w:p>
          <w:p w14:paraId="165465EC" w14:textId="77777777" w:rsidR="0098092C" w:rsidRDefault="0030498B">
            <w:pPr>
              <w:rPr>
                <w:szCs w:val="20"/>
                <w:lang w:eastAsia="zh-CN"/>
              </w:rPr>
            </w:pPr>
            <w:r>
              <w:rPr>
                <w:szCs w:val="20"/>
                <w:lang w:eastAsia="zh-CN"/>
              </w:rPr>
              <w:t>To avoid any sort of misunderstanding, we would be fine with simplifying proposal 1A as follows:</w:t>
            </w:r>
          </w:p>
          <w:p w14:paraId="3ED6DAB6" w14:textId="77777777" w:rsidR="0098092C" w:rsidRDefault="0030498B">
            <w:r>
              <w:rPr>
                <w:b/>
                <w:bCs/>
              </w:rPr>
              <w:t>Proposal 1A: To support 16-QAM for NPDSCH and NPUSCH in PUR procedure,</w:t>
            </w:r>
          </w:p>
          <w:p w14:paraId="53915900" w14:textId="77777777" w:rsidR="0098092C" w:rsidRDefault="0030498B">
            <w:pPr>
              <w:pStyle w:val="Caption"/>
              <w:numPr>
                <w:ilvl w:val="0"/>
                <w:numId w:val="12"/>
              </w:numPr>
              <w:jc w:val="left"/>
              <w:rPr>
                <w:sz w:val="22"/>
              </w:rPr>
            </w:pPr>
            <w:r>
              <w:rPr>
                <w:sz w:val="22"/>
              </w:rPr>
              <w:t xml:space="preserve">16-QAM can be enabled/disabled by UE specific RRC signaling for NPDSCH and NPUSCH separately </w:t>
            </w:r>
          </w:p>
          <w:p w14:paraId="0A102986" w14:textId="77777777" w:rsidR="0098092C" w:rsidRDefault="0030498B">
            <w:pPr>
              <w:pStyle w:val="Caption"/>
              <w:numPr>
                <w:ilvl w:val="1"/>
                <w:numId w:val="12"/>
              </w:numPr>
              <w:jc w:val="left"/>
            </w:pPr>
            <w:r>
              <w:rPr>
                <w:sz w:val="22"/>
              </w:rPr>
              <w:t>The corresponding configurations and signaling details are up to RAN2</w:t>
            </w:r>
          </w:p>
          <w:p w14:paraId="2915A8F6" w14:textId="77777777" w:rsidR="0098092C" w:rsidRDefault="0098092C">
            <w:pPr>
              <w:rPr>
                <w:szCs w:val="20"/>
                <w:lang w:eastAsia="zh-CN"/>
              </w:rPr>
            </w:pPr>
          </w:p>
        </w:tc>
      </w:tr>
      <w:tr w:rsidR="0098092C" w14:paraId="6982A7B0" w14:textId="77777777">
        <w:tc>
          <w:tcPr>
            <w:tcW w:w="1838" w:type="dxa"/>
          </w:tcPr>
          <w:p w14:paraId="7220DF66" w14:textId="77777777" w:rsidR="0098092C" w:rsidRDefault="0030498B">
            <w:pPr>
              <w:rPr>
                <w:szCs w:val="20"/>
                <w:lang w:eastAsia="zh-CN"/>
              </w:rPr>
            </w:pPr>
            <w:r>
              <w:rPr>
                <w:rFonts w:hint="eastAsia"/>
                <w:szCs w:val="20"/>
                <w:lang w:eastAsia="zh-CN"/>
              </w:rPr>
              <w:t>Lenovo,</w:t>
            </w:r>
            <w:r>
              <w:rPr>
                <w:szCs w:val="20"/>
                <w:lang w:eastAsia="zh-CN"/>
              </w:rPr>
              <w:t xml:space="preserve"> MotoM</w:t>
            </w:r>
          </w:p>
        </w:tc>
        <w:tc>
          <w:tcPr>
            <w:tcW w:w="7469" w:type="dxa"/>
          </w:tcPr>
          <w:p w14:paraId="72275206" w14:textId="77777777" w:rsidR="0098092C" w:rsidRDefault="0030498B">
            <w:pPr>
              <w:rPr>
                <w:szCs w:val="20"/>
                <w:lang w:eastAsia="zh-CN"/>
              </w:rPr>
            </w:pPr>
            <w:r>
              <w:rPr>
                <w:szCs w:val="20"/>
                <w:lang w:eastAsia="zh-CN"/>
              </w:rPr>
              <w:t>We are fine with the proposal by E/// v011</w:t>
            </w:r>
          </w:p>
        </w:tc>
      </w:tr>
      <w:tr w:rsidR="0098092C" w14:paraId="67FF4FE2" w14:textId="77777777">
        <w:tc>
          <w:tcPr>
            <w:tcW w:w="1838" w:type="dxa"/>
          </w:tcPr>
          <w:p w14:paraId="54680059" w14:textId="77777777" w:rsidR="0098092C" w:rsidRDefault="0030498B">
            <w:pPr>
              <w:rPr>
                <w:szCs w:val="20"/>
                <w:lang w:eastAsia="zh-CN"/>
              </w:rPr>
            </w:pPr>
            <w:r>
              <w:rPr>
                <w:rFonts w:hint="eastAsia"/>
                <w:szCs w:val="20"/>
                <w:lang w:eastAsia="zh-CN"/>
              </w:rPr>
              <w:t>MTK</w:t>
            </w:r>
          </w:p>
        </w:tc>
        <w:tc>
          <w:tcPr>
            <w:tcW w:w="7469" w:type="dxa"/>
          </w:tcPr>
          <w:p w14:paraId="34E24860" w14:textId="77777777" w:rsidR="0098092C" w:rsidRDefault="0030498B">
            <w:pPr>
              <w:rPr>
                <w:szCs w:val="20"/>
                <w:lang w:eastAsia="zh-CN"/>
              </w:rPr>
            </w:pPr>
            <w:r>
              <w:rPr>
                <w:szCs w:val="20"/>
                <w:lang w:eastAsia="zh-CN"/>
              </w:rPr>
              <w:t>We are fine with the proposal by E/// v011</w:t>
            </w:r>
          </w:p>
        </w:tc>
      </w:tr>
      <w:tr w:rsidR="0098092C" w14:paraId="66CF12CE" w14:textId="77777777">
        <w:tc>
          <w:tcPr>
            <w:tcW w:w="1838" w:type="dxa"/>
          </w:tcPr>
          <w:p w14:paraId="48A8761B" w14:textId="77777777" w:rsidR="0098092C" w:rsidRDefault="0030498B">
            <w:pPr>
              <w:rPr>
                <w:szCs w:val="20"/>
                <w:lang w:eastAsia="zh-CN"/>
              </w:rPr>
            </w:pPr>
            <w:r>
              <w:rPr>
                <w:rFonts w:hint="eastAsia"/>
                <w:szCs w:val="20"/>
                <w:lang w:eastAsia="zh-CN"/>
              </w:rPr>
              <w:t>Moderator (Huawei)</w:t>
            </w:r>
          </w:p>
        </w:tc>
        <w:tc>
          <w:tcPr>
            <w:tcW w:w="7469" w:type="dxa"/>
          </w:tcPr>
          <w:p w14:paraId="01C7BDF5" w14:textId="77777777" w:rsidR="0098092C" w:rsidRDefault="0030498B">
            <w:pPr>
              <w:rPr>
                <w:szCs w:val="20"/>
                <w:lang w:eastAsia="zh-CN"/>
              </w:rPr>
            </w:pPr>
            <w:r>
              <w:rPr>
                <w:szCs w:val="20"/>
                <w:lang w:eastAsia="zh-CN"/>
              </w:rPr>
              <w:t>There’s no further comment for proposal 1, and it seems the modification of proposal 1A from Ericsson can be acceptable and also avoids the collisions of views with the email thread of RRC parameter.</w:t>
            </w:r>
          </w:p>
        </w:tc>
      </w:tr>
    </w:tbl>
    <w:p w14:paraId="31114886" w14:textId="77777777" w:rsidR="0098092C" w:rsidRDefault="0098092C">
      <w:pPr>
        <w:rPr>
          <w:b/>
        </w:rPr>
      </w:pPr>
    </w:p>
    <w:p w14:paraId="7F18056E" w14:textId="77777777" w:rsidR="0098092C" w:rsidRDefault="0030498B">
      <w:pPr>
        <w:pStyle w:val="Heading2"/>
        <w:rPr>
          <w:lang w:eastAsia="zh-CN"/>
        </w:rPr>
      </w:pPr>
      <w:r>
        <w:rPr>
          <w:lang w:eastAsia="zh-CN"/>
        </w:rPr>
        <w:t>DCI</w:t>
      </w:r>
    </w:p>
    <w:p w14:paraId="57955B79" w14:textId="77777777" w:rsidR="0098092C" w:rsidRDefault="0030498B">
      <w:pPr>
        <w:pStyle w:val="Heading3"/>
      </w:pPr>
      <w:r>
        <w:rPr>
          <w:lang w:eastAsia="zh-CN"/>
        </w:rPr>
        <w:t>Issue 2: DCI design</w:t>
      </w:r>
    </w:p>
    <w:p w14:paraId="17E31D62" w14:textId="77777777" w:rsidR="0098092C" w:rsidRDefault="0030498B">
      <w:r>
        <w:rPr>
          <w:rFonts w:hint="eastAsia"/>
        </w:rPr>
        <w:t xml:space="preserve">The </w:t>
      </w:r>
      <w:r>
        <w:t>following are proposed:</w:t>
      </w:r>
    </w:p>
    <w:tbl>
      <w:tblPr>
        <w:tblStyle w:val="TableGrid"/>
        <w:tblW w:w="0" w:type="auto"/>
        <w:tblLook w:val="04A0" w:firstRow="1" w:lastRow="0" w:firstColumn="1" w:lastColumn="0" w:noHBand="0" w:noVBand="1"/>
      </w:tblPr>
      <w:tblGrid>
        <w:gridCol w:w="1555"/>
        <w:gridCol w:w="7752"/>
      </w:tblGrid>
      <w:tr w:rsidR="0098092C" w14:paraId="561D83F2" w14:textId="77777777">
        <w:tc>
          <w:tcPr>
            <w:tcW w:w="1555" w:type="dxa"/>
          </w:tcPr>
          <w:p w14:paraId="7EEAE5B4" w14:textId="77777777" w:rsidR="0098092C" w:rsidRDefault="0030498B">
            <w:pPr>
              <w:rPr>
                <w:szCs w:val="20"/>
              </w:rPr>
            </w:pPr>
            <w:r>
              <w:rPr>
                <w:rFonts w:hint="eastAsia"/>
                <w:szCs w:val="20"/>
              </w:rPr>
              <w:t>S</w:t>
            </w:r>
            <w:r>
              <w:rPr>
                <w:szCs w:val="20"/>
              </w:rPr>
              <w:t>ourcing</w:t>
            </w:r>
          </w:p>
        </w:tc>
        <w:tc>
          <w:tcPr>
            <w:tcW w:w="7752" w:type="dxa"/>
          </w:tcPr>
          <w:p w14:paraId="147B37EF" w14:textId="77777777" w:rsidR="0098092C" w:rsidRDefault="0030498B">
            <w:pPr>
              <w:rPr>
                <w:szCs w:val="20"/>
              </w:rPr>
            </w:pPr>
            <w:r>
              <w:rPr>
                <w:rFonts w:hint="eastAsia"/>
                <w:szCs w:val="20"/>
              </w:rPr>
              <w:t>proposals</w:t>
            </w:r>
          </w:p>
        </w:tc>
      </w:tr>
      <w:tr w:rsidR="0098092C" w14:paraId="2FB56071" w14:textId="77777777">
        <w:tc>
          <w:tcPr>
            <w:tcW w:w="1555" w:type="dxa"/>
          </w:tcPr>
          <w:p w14:paraId="455BB6A0" w14:textId="77777777" w:rsidR="0098092C" w:rsidRDefault="0030498B">
            <w:pPr>
              <w:rPr>
                <w:szCs w:val="20"/>
              </w:rPr>
            </w:pPr>
            <w:r>
              <w:rPr>
                <w:rFonts w:hint="eastAsia"/>
                <w:szCs w:val="20"/>
              </w:rPr>
              <w:t>[2]</w:t>
            </w:r>
          </w:p>
        </w:tc>
        <w:tc>
          <w:tcPr>
            <w:tcW w:w="7752" w:type="dxa"/>
          </w:tcPr>
          <w:p w14:paraId="6A79FE8D" w14:textId="77777777" w:rsidR="0098092C" w:rsidRDefault="0030498B">
            <w:pPr>
              <w:rPr>
                <w:b/>
                <w:lang w:eastAsia="zh-CN"/>
              </w:rPr>
            </w:pPr>
            <w:r>
              <w:rPr>
                <w:b/>
                <w:lang w:eastAsia="zh-CN"/>
              </w:rPr>
              <w:t>Proposal 1: The reserved state to indicate the use of 16QAM in DCI format N0 and DCI format N1 should be “1111”.</w:t>
            </w:r>
          </w:p>
          <w:p w14:paraId="65274CAC" w14:textId="77777777" w:rsidR="0098092C" w:rsidRDefault="0098092C">
            <w:pPr>
              <w:rPr>
                <w:szCs w:val="20"/>
              </w:rPr>
            </w:pPr>
          </w:p>
        </w:tc>
      </w:tr>
    </w:tbl>
    <w:p w14:paraId="5C418F7D" w14:textId="77777777" w:rsidR="0098092C" w:rsidRDefault="0098092C"/>
    <w:p w14:paraId="5A2A9057" w14:textId="77777777" w:rsidR="0098092C" w:rsidRDefault="0030498B">
      <w:r>
        <w:rPr>
          <w:rFonts w:hint="eastAsia"/>
        </w:rPr>
        <w:t>There</w:t>
      </w:r>
      <w:r>
        <w:t>’s only one proposal for the DCI design, regarding the reserved state for indication of 16-QAM. To complete the remaining issue, the following is proposed:</w:t>
      </w:r>
    </w:p>
    <w:p w14:paraId="2DF042F5" w14:textId="77777777" w:rsidR="0098092C" w:rsidRDefault="0030498B">
      <w:r>
        <w:rPr>
          <w:b/>
          <w:lang w:eastAsia="zh-CN"/>
        </w:rPr>
        <w:t>Proposal 2: The reserved state to indicate the use of 16QAM in DCI format N0 and DCI format N1 should be “1111”.</w:t>
      </w:r>
    </w:p>
    <w:p w14:paraId="75457350" w14:textId="77777777" w:rsidR="0098092C" w:rsidRDefault="0098092C"/>
    <w:p w14:paraId="0465BAC1" w14:textId="77777777" w:rsidR="0098092C" w:rsidRDefault="0030498B">
      <w:r>
        <w:rPr>
          <w:rFonts w:hint="eastAsia"/>
        </w:rPr>
        <w:t>Please input your comments regarding the above proposal:</w:t>
      </w:r>
    </w:p>
    <w:tbl>
      <w:tblPr>
        <w:tblStyle w:val="TableGrid"/>
        <w:tblW w:w="0" w:type="auto"/>
        <w:tblLook w:val="04A0" w:firstRow="1" w:lastRow="0" w:firstColumn="1" w:lastColumn="0" w:noHBand="0" w:noVBand="1"/>
      </w:tblPr>
      <w:tblGrid>
        <w:gridCol w:w="1838"/>
        <w:gridCol w:w="7469"/>
      </w:tblGrid>
      <w:tr w:rsidR="0098092C" w14:paraId="3EAF672D" w14:textId="77777777">
        <w:tc>
          <w:tcPr>
            <w:tcW w:w="1838" w:type="dxa"/>
          </w:tcPr>
          <w:p w14:paraId="4DBA26CD" w14:textId="77777777" w:rsidR="0098092C" w:rsidRDefault="0030498B">
            <w:pPr>
              <w:rPr>
                <w:szCs w:val="20"/>
              </w:rPr>
            </w:pPr>
            <w:r>
              <w:rPr>
                <w:rFonts w:hint="eastAsia"/>
                <w:szCs w:val="20"/>
              </w:rPr>
              <w:t>Comp</w:t>
            </w:r>
            <w:r>
              <w:rPr>
                <w:szCs w:val="20"/>
              </w:rPr>
              <w:t>anies</w:t>
            </w:r>
          </w:p>
        </w:tc>
        <w:tc>
          <w:tcPr>
            <w:tcW w:w="7469" w:type="dxa"/>
          </w:tcPr>
          <w:p w14:paraId="796F5226" w14:textId="77777777" w:rsidR="0098092C" w:rsidRDefault="0030498B">
            <w:pPr>
              <w:rPr>
                <w:szCs w:val="20"/>
              </w:rPr>
            </w:pPr>
            <w:r>
              <w:rPr>
                <w:rFonts w:hint="eastAsia"/>
                <w:szCs w:val="20"/>
              </w:rPr>
              <w:t>Comments</w:t>
            </w:r>
          </w:p>
        </w:tc>
      </w:tr>
      <w:tr w:rsidR="0098092C" w14:paraId="4F898929" w14:textId="77777777">
        <w:tc>
          <w:tcPr>
            <w:tcW w:w="1838" w:type="dxa"/>
          </w:tcPr>
          <w:p w14:paraId="6A160E6C" w14:textId="77777777" w:rsidR="0098092C" w:rsidRDefault="0030498B">
            <w:pPr>
              <w:rPr>
                <w:sz w:val="20"/>
                <w:szCs w:val="20"/>
              </w:rPr>
            </w:pPr>
            <w:r>
              <w:rPr>
                <w:sz w:val="20"/>
                <w:szCs w:val="20"/>
              </w:rPr>
              <w:lastRenderedPageBreak/>
              <w:t>Ericsson</w:t>
            </w:r>
          </w:p>
        </w:tc>
        <w:tc>
          <w:tcPr>
            <w:tcW w:w="7469" w:type="dxa"/>
          </w:tcPr>
          <w:p w14:paraId="6B3446B5" w14:textId="77777777" w:rsidR="0098092C" w:rsidRDefault="0030498B">
            <w:pPr>
              <w:rPr>
                <w:sz w:val="20"/>
                <w:szCs w:val="20"/>
              </w:rPr>
            </w:pPr>
            <w:r>
              <w:rPr>
                <w:sz w:val="20"/>
                <w:szCs w:val="20"/>
              </w:rPr>
              <w:t>We are OK with proposal 2.</w:t>
            </w:r>
          </w:p>
        </w:tc>
      </w:tr>
      <w:tr w:rsidR="0098092C" w14:paraId="72E5C64C" w14:textId="77777777">
        <w:tc>
          <w:tcPr>
            <w:tcW w:w="1838" w:type="dxa"/>
          </w:tcPr>
          <w:p w14:paraId="6A5FCA06" w14:textId="77777777" w:rsidR="0098092C" w:rsidRDefault="0030498B">
            <w:pPr>
              <w:rPr>
                <w:rFonts w:asciiTheme="minorHAnsi" w:hAnsiTheme="minorHAnsi" w:cstheme="minorHAnsi"/>
                <w:szCs w:val="20"/>
                <w:lang w:eastAsia="zh-CN"/>
              </w:rPr>
            </w:pPr>
            <w:r>
              <w:rPr>
                <w:rFonts w:asciiTheme="minorHAnsi" w:hAnsiTheme="minorHAnsi" w:cstheme="minorHAnsi"/>
                <w:szCs w:val="20"/>
                <w:lang w:eastAsia="zh-CN"/>
              </w:rPr>
              <w:t>Lenovo, MotoM</w:t>
            </w:r>
          </w:p>
        </w:tc>
        <w:tc>
          <w:tcPr>
            <w:tcW w:w="7469" w:type="dxa"/>
          </w:tcPr>
          <w:p w14:paraId="77D64A1A" w14:textId="77777777" w:rsidR="0098092C" w:rsidRDefault="0030498B">
            <w:pPr>
              <w:rPr>
                <w:rFonts w:asciiTheme="minorHAnsi" w:hAnsiTheme="minorHAnsi" w:cstheme="minorHAnsi"/>
                <w:lang w:eastAsia="zh-CN"/>
              </w:rPr>
            </w:pPr>
            <w:r>
              <w:rPr>
                <w:rFonts w:asciiTheme="minorHAnsi" w:hAnsiTheme="minorHAnsi" w:cstheme="minorHAnsi"/>
                <w:lang w:eastAsia="zh-CN"/>
              </w:rPr>
              <w:t>Support proposal 2</w:t>
            </w:r>
          </w:p>
        </w:tc>
      </w:tr>
      <w:tr w:rsidR="0098092C" w14:paraId="21617808" w14:textId="77777777">
        <w:tc>
          <w:tcPr>
            <w:tcW w:w="1838" w:type="dxa"/>
          </w:tcPr>
          <w:p w14:paraId="73F53F60" w14:textId="77777777" w:rsidR="0098092C" w:rsidRDefault="0030498B">
            <w:pPr>
              <w:rPr>
                <w:szCs w:val="20"/>
                <w:lang w:eastAsia="zh-CN"/>
              </w:rPr>
            </w:pPr>
            <w:r>
              <w:rPr>
                <w:szCs w:val="20"/>
                <w:lang w:eastAsia="zh-CN"/>
              </w:rPr>
              <w:t>MTK</w:t>
            </w:r>
          </w:p>
        </w:tc>
        <w:tc>
          <w:tcPr>
            <w:tcW w:w="7469" w:type="dxa"/>
          </w:tcPr>
          <w:p w14:paraId="228D4A20" w14:textId="77777777" w:rsidR="0098092C" w:rsidRDefault="0030498B">
            <w:pPr>
              <w:rPr>
                <w:szCs w:val="20"/>
                <w:lang w:eastAsia="zh-CN"/>
              </w:rPr>
            </w:pPr>
            <w:r>
              <w:rPr>
                <w:szCs w:val="20"/>
                <w:lang w:eastAsia="zh-CN"/>
              </w:rPr>
              <w:t>Ok with proposal2.</w:t>
            </w:r>
          </w:p>
        </w:tc>
      </w:tr>
      <w:tr w:rsidR="0098092C" w14:paraId="42964F28" w14:textId="77777777">
        <w:tc>
          <w:tcPr>
            <w:tcW w:w="1838" w:type="dxa"/>
          </w:tcPr>
          <w:p w14:paraId="33468C8B" w14:textId="77777777" w:rsidR="0098092C" w:rsidRDefault="0030498B">
            <w:pPr>
              <w:rPr>
                <w:szCs w:val="20"/>
                <w:lang w:eastAsia="zh-CN"/>
              </w:rPr>
            </w:pPr>
            <w:r>
              <w:rPr>
                <w:rFonts w:hint="eastAsia"/>
                <w:szCs w:val="20"/>
                <w:lang w:eastAsia="zh-CN"/>
              </w:rPr>
              <w:t>H</w:t>
            </w:r>
            <w:r>
              <w:rPr>
                <w:szCs w:val="20"/>
                <w:lang w:eastAsia="zh-CN"/>
              </w:rPr>
              <w:t>uawei, HiSilicon</w:t>
            </w:r>
          </w:p>
        </w:tc>
        <w:tc>
          <w:tcPr>
            <w:tcW w:w="7469" w:type="dxa"/>
          </w:tcPr>
          <w:p w14:paraId="348A8ED5" w14:textId="77777777" w:rsidR="0098092C" w:rsidRDefault="0030498B">
            <w:pPr>
              <w:rPr>
                <w:szCs w:val="20"/>
                <w:lang w:eastAsia="zh-CN"/>
              </w:rPr>
            </w:pPr>
            <w:r>
              <w:rPr>
                <w:szCs w:val="20"/>
                <w:lang w:eastAsia="zh-CN"/>
              </w:rPr>
              <w:t>We are fine with this proposal</w:t>
            </w:r>
          </w:p>
        </w:tc>
      </w:tr>
      <w:tr w:rsidR="0098092C" w14:paraId="568A530C" w14:textId="77777777">
        <w:tc>
          <w:tcPr>
            <w:tcW w:w="1838" w:type="dxa"/>
          </w:tcPr>
          <w:p w14:paraId="1B6779D7" w14:textId="77777777" w:rsidR="0098092C" w:rsidRDefault="0030498B">
            <w:pPr>
              <w:rPr>
                <w:szCs w:val="20"/>
                <w:lang w:eastAsia="zh-CN"/>
              </w:rPr>
            </w:pPr>
            <w:r>
              <w:rPr>
                <w:szCs w:val="20"/>
                <w:lang w:eastAsia="zh-CN"/>
              </w:rPr>
              <w:t>Nokia, NSB</w:t>
            </w:r>
          </w:p>
        </w:tc>
        <w:tc>
          <w:tcPr>
            <w:tcW w:w="7469" w:type="dxa"/>
          </w:tcPr>
          <w:p w14:paraId="6BB9EB72" w14:textId="77777777" w:rsidR="0098092C" w:rsidRDefault="0030498B">
            <w:pPr>
              <w:rPr>
                <w:szCs w:val="20"/>
                <w:lang w:eastAsia="zh-CN"/>
              </w:rPr>
            </w:pPr>
            <w:r>
              <w:rPr>
                <w:szCs w:val="20"/>
                <w:lang w:eastAsia="zh-CN"/>
              </w:rPr>
              <w:t>We are OK with proposal 2.</w:t>
            </w:r>
          </w:p>
        </w:tc>
      </w:tr>
      <w:tr w:rsidR="0098092C" w14:paraId="60F101BC" w14:textId="77777777">
        <w:tc>
          <w:tcPr>
            <w:tcW w:w="1838" w:type="dxa"/>
          </w:tcPr>
          <w:p w14:paraId="13A0DD16" w14:textId="77777777" w:rsidR="0098092C" w:rsidRDefault="0030498B">
            <w:pPr>
              <w:rPr>
                <w:szCs w:val="20"/>
                <w:lang w:eastAsia="zh-CN"/>
              </w:rPr>
            </w:pPr>
            <w:r>
              <w:rPr>
                <w:rFonts w:hint="eastAsia"/>
                <w:szCs w:val="20"/>
                <w:lang w:eastAsia="zh-CN"/>
              </w:rPr>
              <w:t>ZTE, Sanechips</w:t>
            </w:r>
          </w:p>
        </w:tc>
        <w:tc>
          <w:tcPr>
            <w:tcW w:w="7469" w:type="dxa"/>
          </w:tcPr>
          <w:p w14:paraId="1D4E53C9" w14:textId="77777777" w:rsidR="0098092C" w:rsidRDefault="0030498B">
            <w:pPr>
              <w:rPr>
                <w:szCs w:val="20"/>
                <w:lang w:eastAsia="zh-CN"/>
              </w:rPr>
            </w:pPr>
            <w:r>
              <w:rPr>
                <w:rFonts w:hint="eastAsia"/>
                <w:szCs w:val="20"/>
                <w:lang w:eastAsia="zh-CN"/>
              </w:rPr>
              <w:t>OK with proposal2.</w:t>
            </w:r>
          </w:p>
        </w:tc>
      </w:tr>
      <w:tr w:rsidR="0098092C" w14:paraId="0044C964" w14:textId="77777777">
        <w:tc>
          <w:tcPr>
            <w:tcW w:w="1838" w:type="dxa"/>
          </w:tcPr>
          <w:p w14:paraId="18DC8096" w14:textId="77777777" w:rsidR="0098092C" w:rsidRDefault="0030498B">
            <w:pPr>
              <w:rPr>
                <w:szCs w:val="20"/>
                <w:lang w:eastAsia="zh-CN"/>
              </w:rPr>
            </w:pPr>
            <w:r>
              <w:rPr>
                <w:szCs w:val="20"/>
                <w:lang w:eastAsia="zh-CN"/>
              </w:rPr>
              <w:t>Qualcomm</w:t>
            </w:r>
          </w:p>
        </w:tc>
        <w:tc>
          <w:tcPr>
            <w:tcW w:w="7469" w:type="dxa"/>
          </w:tcPr>
          <w:p w14:paraId="5E3DB48F" w14:textId="77777777" w:rsidR="0098092C" w:rsidRDefault="0030498B">
            <w:pPr>
              <w:rPr>
                <w:szCs w:val="20"/>
                <w:lang w:eastAsia="zh-CN"/>
              </w:rPr>
            </w:pPr>
            <w:r>
              <w:rPr>
                <w:szCs w:val="20"/>
                <w:lang w:eastAsia="zh-CN"/>
              </w:rPr>
              <w:t>OK</w:t>
            </w:r>
          </w:p>
        </w:tc>
      </w:tr>
    </w:tbl>
    <w:p w14:paraId="69EEA2F8" w14:textId="77777777" w:rsidR="0098092C" w:rsidRDefault="0098092C"/>
    <w:p w14:paraId="02EEF34B" w14:textId="77777777" w:rsidR="0098092C" w:rsidRDefault="0098092C"/>
    <w:p w14:paraId="23F83507" w14:textId="77777777" w:rsidR="0098092C" w:rsidRDefault="0030498B">
      <w:pPr>
        <w:pStyle w:val="Heading2"/>
        <w:rPr>
          <w:lang w:eastAsia="zh-CN"/>
        </w:rPr>
      </w:pPr>
      <w:r>
        <w:rPr>
          <w:lang w:eastAsia="zh-CN"/>
        </w:rPr>
        <w:t>Power allocation and power control</w:t>
      </w:r>
    </w:p>
    <w:p w14:paraId="04170A8A" w14:textId="77777777" w:rsidR="0098092C" w:rsidRDefault="0030498B">
      <w:pPr>
        <w:pStyle w:val="Heading3"/>
      </w:pPr>
      <w:r>
        <w:rPr>
          <w:lang w:eastAsia="zh-CN"/>
        </w:rPr>
        <w:t>Issue 3: downlink power allocation</w:t>
      </w:r>
    </w:p>
    <w:p w14:paraId="02FC1512" w14:textId="77777777" w:rsidR="0098092C" w:rsidRDefault="0030498B">
      <w:r>
        <w:rPr>
          <w:rFonts w:hint="eastAsia"/>
        </w:rPr>
        <w:t xml:space="preserve">The </w:t>
      </w:r>
      <w:r>
        <w:t>following are proposed:</w:t>
      </w:r>
    </w:p>
    <w:tbl>
      <w:tblPr>
        <w:tblStyle w:val="TableGrid"/>
        <w:tblW w:w="0" w:type="auto"/>
        <w:tblLook w:val="04A0" w:firstRow="1" w:lastRow="0" w:firstColumn="1" w:lastColumn="0" w:noHBand="0" w:noVBand="1"/>
      </w:tblPr>
      <w:tblGrid>
        <w:gridCol w:w="1555"/>
        <w:gridCol w:w="7752"/>
      </w:tblGrid>
      <w:tr w:rsidR="0098092C" w14:paraId="11F443E6" w14:textId="77777777">
        <w:tc>
          <w:tcPr>
            <w:tcW w:w="1555" w:type="dxa"/>
          </w:tcPr>
          <w:p w14:paraId="1BC10B37" w14:textId="77777777" w:rsidR="0098092C" w:rsidRDefault="0030498B">
            <w:pPr>
              <w:rPr>
                <w:szCs w:val="20"/>
              </w:rPr>
            </w:pPr>
            <w:r>
              <w:rPr>
                <w:rFonts w:hint="eastAsia"/>
                <w:szCs w:val="20"/>
              </w:rPr>
              <w:t>S</w:t>
            </w:r>
            <w:r>
              <w:rPr>
                <w:szCs w:val="20"/>
              </w:rPr>
              <w:t>ourcing</w:t>
            </w:r>
          </w:p>
        </w:tc>
        <w:tc>
          <w:tcPr>
            <w:tcW w:w="7752" w:type="dxa"/>
          </w:tcPr>
          <w:p w14:paraId="57D7EEE2" w14:textId="77777777" w:rsidR="0098092C" w:rsidRDefault="0030498B">
            <w:pPr>
              <w:rPr>
                <w:szCs w:val="20"/>
              </w:rPr>
            </w:pPr>
            <w:r>
              <w:rPr>
                <w:rFonts w:hint="eastAsia"/>
                <w:szCs w:val="20"/>
              </w:rPr>
              <w:t>proposals</w:t>
            </w:r>
          </w:p>
        </w:tc>
      </w:tr>
      <w:tr w:rsidR="0098092C" w14:paraId="73E39BDA" w14:textId="77777777">
        <w:tc>
          <w:tcPr>
            <w:tcW w:w="1555" w:type="dxa"/>
          </w:tcPr>
          <w:p w14:paraId="62DD8254" w14:textId="77777777" w:rsidR="0098092C" w:rsidRDefault="0030498B">
            <w:pPr>
              <w:rPr>
                <w:szCs w:val="20"/>
              </w:rPr>
            </w:pPr>
            <w:r>
              <w:rPr>
                <w:rFonts w:hint="eastAsia"/>
                <w:szCs w:val="20"/>
              </w:rPr>
              <w:t>[2]</w:t>
            </w:r>
          </w:p>
        </w:tc>
        <w:tc>
          <w:tcPr>
            <w:tcW w:w="7752" w:type="dxa"/>
          </w:tcPr>
          <w:p w14:paraId="66DDBE0F" w14:textId="77777777" w:rsidR="0098092C" w:rsidRDefault="0030498B">
            <w:pPr>
              <w:rPr>
                <w:b/>
                <w:bCs/>
                <w:szCs w:val="21"/>
                <w:lang w:eastAsia="zh-CN"/>
              </w:rPr>
            </w:pPr>
            <w:r>
              <w:rPr>
                <w:b/>
                <w:bCs/>
                <w:szCs w:val="21"/>
                <w:lang w:eastAsia="zh-CN"/>
              </w:rPr>
              <w:t>Proposal 3: Confirm the WA of the DL power allocation for in-band deployments.</w:t>
            </w:r>
          </w:p>
          <w:p w14:paraId="63D134B7" w14:textId="77777777" w:rsidR="0098092C" w:rsidRDefault="0030498B">
            <w:pPr>
              <w:shd w:val="clear" w:color="auto" w:fill="FFFFFF"/>
              <w:ind w:leftChars="100" w:left="220"/>
              <w:rPr>
                <w:b/>
                <w:highlight w:val="darkYellow"/>
                <w:lang w:eastAsia="zh-CN"/>
              </w:rPr>
            </w:pPr>
            <w:r>
              <w:rPr>
                <w:b/>
                <w:highlight w:val="darkYellow"/>
                <w:lang w:eastAsia="zh-CN"/>
              </w:rPr>
              <w:t xml:space="preserve">Working Assumption </w:t>
            </w:r>
          </w:p>
          <w:p w14:paraId="6BE04691" w14:textId="77777777" w:rsidR="0098092C" w:rsidRDefault="0030498B">
            <w:pPr>
              <w:shd w:val="clear" w:color="auto" w:fill="FFFFFF"/>
              <w:ind w:leftChars="100" w:left="220"/>
              <w:rPr>
                <w:rFonts w:cs="Times"/>
                <w:b/>
                <w:szCs w:val="20"/>
                <w:lang w:eastAsia="ja-JP"/>
              </w:rPr>
            </w:pPr>
            <w:r>
              <w:rPr>
                <w:rFonts w:cs="Times"/>
                <w:b/>
                <w:szCs w:val="20"/>
                <w:lang w:eastAsia="ja-JP"/>
              </w:rPr>
              <w:t>For downlink power allocation to support 16QAM:</w:t>
            </w:r>
          </w:p>
          <w:p w14:paraId="16000CB5" w14:textId="77777777" w:rsidR="0098092C" w:rsidRDefault="0030498B">
            <w:pPr>
              <w:numPr>
                <w:ilvl w:val="0"/>
                <w:numId w:val="13"/>
              </w:numPr>
              <w:autoSpaceDE/>
              <w:autoSpaceDN/>
              <w:adjustRightInd/>
              <w:snapToGrid/>
              <w:spacing w:after="0" w:line="240" w:lineRule="auto"/>
              <w:ind w:leftChars="264" w:left="941"/>
              <w:jc w:val="left"/>
              <w:rPr>
                <w:rFonts w:cs="Times"/>
                <w:b/>
                <w:szCs w:val="20"/>
                <w:lang w:eastAsia="ja-JP"/>
              </w:rPr>
            </w:pPr>
            <w:r>
              <w:rPr>
                <w:rFonts w:cs="Times"/>
                <w:b/>
                <w:szCs w:val="20"/>
                <w:lang w:eastAsia="ja-JP"/>
              </w:rPr>
              <w:t xml:space="preserve">For inband deployments, a power ratio is signaled in addition to the signalling for standalone and guard-band deployments which in this case applies to “symbols with NRS” and “symbols without NRS nor CRS”. </w:t>
            </w:r>
          </w:p>
          <w:p w14:paraId="1AF4421D" w14:textId="77777777" w:rsidR="0098092C" w:rsidRDefault="0030498B">
            <w:pPr>
              <w:numPr>
                <w:ilvl w:val="1"/>
                <w:numId w:val="14"/>
              </w:numPr>
              <w:autoSpaceDE/>
              <w:autoSpaceDN/>
              <w:adjustRightInd/>
              <w:snapToGrid/>
              <w:spacing w:after="0" w:line="240" w:lineRule="auto"/>
              <w:ind w:leftChars="591" w:left="1660"/>
              <w:jc w:val="left"/>
              <w:rPr>
                <w:rFonts w:cs="Times"/>
                <w:b/>
                <w:szCs w:val="20"/>
                <w:lang w:eastAsia="ja-JP"/>
              </w:rPr>
            </w:pPr>
            <w:r>
              <w:rPr>
                <w:rFonts w:cs="Times"/>
                <w:b/>
                <w:szCs w:val="20"/>
                <w:lang w:eastAsia="ja-JP"/>
              </w:rPr>
              <w:t>the power ratio between NPDSCH EPRE and NRS EPRE in symbols with CRS is signalled</w:t>
            </w:r>
          </w:p>
          <w:p w14:paraId="27991B84" w14:textId="77777777" w:rsidR="0098092C" w:rsidRDefault="0030498B">
            <w:pPr>
              <w:numPr>
                <w:ilvl w:val="1"/>
                <w:numId w:val="14"/>
              </w:numPr>
              <w:autoSpaceDE/>
              <w:autoSpaceDN/>
              <w:adjustRightInd/>
              <w:snapToGrid/>
              <w:spacing w:after="0" w:line="240" w:lineRule="auto"/>
              <w:ind w:leftChars="591" w:left="1660"/>
              <w:jc w:val="left"/>
              <w:rPr>
                <w:rFonts w:cs="Times"/>
                <w:b/>
                <w:szCs w:val="20"/>
                <w:lang w:eastAsia="ja-JP"/>
              </w:rPr>
            </w:pPr>
            <w:r>
              <w:rPr>
                <w:rFonts w:cs="Times"/>
                <w:b/>
                <w:szCs w:val="20"/>
                <w:lang w:eastAsia="ja-JP"/>
              </w:rPr>
              <w:t>the signalling is UE specific</w:t>
            </w:r>
          </w:p>
          <w:p w14:paraId="37C16DA5" w14:textId="77777777" w:rsidR="0098092C" w:rsidRDefault="0030498B">
            <w:pPr>
              <w:ind w:leftChars="100" w:left="220"/>
              <w:rPr>
                <w:b/>
                <w:lang w:eastAsia="ar-SA"/>
              </w:rPr>
            </w:pPr>
            <w:r>
              <w:rPr>
                <w:rFonts w:hint="cs"/>
                <w:b/>
                <w:lang w:eastAsia="ar-SA"/>
              </w:rPr>
              <w:t>N</w:t>
            </w:r>
            <w:r>
              <w:rPr>
                <w:b/>
                <w:lang w:eastAsia="ar-SA"/>
              </w:rPr>
              <w:t xml:space="preserve">ote: </w:t>
            </w:r>
            <w:r>
              <w:rPr>
                <w:rFonts w:cs="Times"/>
                <w:b/>
                <w:szCs w:val="20"/>
                <w:lang w:eastAsia="ja-JP"/>
              </w:rPr>
              <w:t>“symbols with NRS” and “symbols without NRS nor CRS” have the same power.</w:t>
            </w:r>
          </w:p>
          <w:p w14:paraId="129832DA" w14:textId="77777777" w:rsidR="0098092C" w:rsidRDefault="0098092C">
            <w:pPr>
              <w:rPr>
                <w:szCs w:val="20"/>
              </w:rPr>
            </w:pPr>
          </w:p>
        </w:tc>
      </w:tr>
      <w:tr w:rsidR="0098092C" w14:paraId="76C2C45D" w14:textId="77777777">
        <w:tc>
          <w:tcPr>
            <w:tcW w:w="1555" w:type="dxa"/>
          </w:tcPr>
          <w:p w14:paraId="7DDEDF0C" w14:textId="77777777" w:rsidR="0098092C" w:rsidRDefault="0030498B">
            <w:pPr>
              <w:rPr>
                <w:szCs w:val="20"/>
              </w:rPr>
            </w:pPr>
            <w:r>
              <w:rPr>
                <w:rFonts w:hint="eastAsia"/>
                <w:szCs w:val="20"/>
              </w:rPr>
              <w:t>[3]</w:t>
            </w:r>
          </w:p>
        </w:tc>
        <w:tc>
          <w:tcPr>
            <w:tcW w:w="7752" w:type="dxa"/>
          </w:tcPr>
          <w:p w14:paraId="6A1FBC14" w14:textId="77777777" w:rsidR="0098092C" w:rsidRDefault="0030498B">
            <w:pPr>
              <w:shd w:val="clear" w:color="auto" w:fill="FFFFFF"/>
              <w:rPr>
                <w:b/>
                <w:bCs/>
                <w:lang w:eastAsia="zh-CN"/>
              </w:rPr>
            </w:pPr>
            <w:r>
              <w:rPr>
                <w:b/>
                <w:bCs/>
                <w:u w:val="single"/>
                <w:lang w:eastAsia="zh-CN"/>
              </w:rPr>
              <w:t>Proposal 1:</w:t>
            </w:r>
            <w:r>
              <w:rPr>
                <w:b/>
                <w:bCs/>
                <w:lang w:eastAsia="zh-CN"/>
              </w:rPr>
              <w:t xml:space="preserve"> Confirm the following working assumption:</w:t>
            </w:r>
          </w:p>
          <w:p w14:paraId="5E7F3AAF" w14:textId="77777777" w:rsidR="0098092C" w:rsidRDefault="0030498B">
            <w:pPr>
              <w:shd w:val="clear" w:color="auto" w:fill="FFFFFF"/>
              <w:ind w:left="360"/>
              <w:rPr>
                <w:rFonts w:cs="Times"/>
                <w:b/>
                <w:bCs/>
                <w:lang w:eastAsia="ja-JP"/>
              </w:rPr>
            </w:pPr>
            <w:r>
              <w:rPr>
                <w:rFonts w:cs="Times"/>
                <w:b/>
                <w:bCs/>
                <w:lang w:eastAsia="ja-JP"/>
              </w:rPr>
              <w:t>For downlink power allocation to support 16QAM:</w:t>
            </w:r>
          </w:p>
          <w:p w14:paraId="51FB293C" w14:textId="77777777" w:rsidR="0098092C" w:rsidRDefault="0030498B">
            <w:pPr>
              <w:numPr>
                <w:ilvl w:val="0"/>
                <w:numId w:val="13"/>
              </w:numPr>
              <w:autoSpaceDE/>
              <w:autoSpaceDN/>
              <w:adjustRightInd/>
              <w:snapToGrid/>
              <w:spacing w:after="0" w:line="240" w:lineRule="auto"/>
              <w:ind w:left="1080"/>
              <w:jc w:val="left"/>
              <w:rPr>
                <w:rFonts w:cs="Times"/>
                <w:b/>
                <w:bCs/>
                <w:lang w:eastAsia="ja-JP"/>
              </w:rPr>
            </w:pPr>
            <w:r>
              <w:rPr>
                <w:rFonts w:cs="Times"/>
                <w:b/>
                <w:bCs/>
                <w:lang w:eastAsia="ja-JP"/>
              </w:rPr>
              <w:t xml:space="preserve">For inband deployments, a power ratio is signaled in addition to the signalling for standalone and guard-band deployments which in this case applies to “symbols with NRS” and “symbols without NRS nor CRS”. </w:t>
            </w:r>
          </w:p>
          <w:p w14:paraId="2B69BE96" w14:textId="77777777" w:rsidR="0098092C" w:rsidRDefault="0030498B">
            <w:pPr>
              <w:numPr>
                <w:ilvl w:val="1"/>
                <w:numId w:val="14"/>
              </w:numPr>
              <w:autoSpaceDE/>
              <w:autoSpaceDN/>
              <w:adjustRightInd/>
              <w:snapToGrid/>
              <w:spacing w:after="0" w:line="240" w:lineRule="auto"/>
              <w:ind w:left="1800"/>
              <w:jc w:val="left"/>
              <w:rPr>
                <w:rFonts w:cs="Times"/>
                <w:b/>
                <w:bCs/>
                <w:lang w:eastAsia="ja-JP"/>
              </w:rPr>
            </w:pPr>
            <w:r>
              <w:rPr>
                <w:rFonts w:cs="Times"/>
                <w:b/>
                <w:bCs/>
                <w:lang w:eastAsia="ja-JP"/>
              </w:rPr>
              <w:t>the power ratio between NPDSCH EPRE and NRS EPRE in symbols with CRS is signalled</w:t>
            </w:r>
          </w:p>
          <w:p w14:paraId="12C14787" w14:textId="77777777" w:rsidR="0098092C" w:rsidRDefault="0030498B">
            <w:pPr>
              <w:numPr>
                <w:ilvl w:val="1"/>
                <w:numId w:val="14"/>
              </w:numPr>
              <w:autoSpaceDE/>
              <w:autoSpaceDN/>
              <w:adjustRightInd/>
              <w:snapToGrid/>
              <w:spacing w:after="0" w:line="240" w:lineRule="auto"/>
              <w:ind w:left="1800"/>
              <w:jc w:val="left"/>
              <w:rPr>
                <w:rFonts w:cs="Times"/>
                <w:b/>
                <w:bCs/>
                <w:lang w:eastAsia="ja-JP"/>
              </w:rPr>
            </w:pPr>
            <w:r>
              <w:rPr>
                <w:rFonts w:cs="Times"/>
                <w:b/>
                <w:bCs/>
                <w:lang w:eastAsia="ja-JP"/>
              </w:rPr>
              <w:t>the signalling is UE specific</w:t>
            </w:r>
          </w:p>
          <w:p w14:paraId="1BE1C104" w14:textId="77777777" w:rsidR="0098092C" w:rsidRDefault="0030498B">
            <w:pPr>
              <w:ind w:left="360"/>
              <w:rPr>
                <w:b/>
                <w:bCs/>
                <w:lang w:eastAsia="ar-SA"/>
              </w:rPr>
            </w:pPr>
            <w:r>
              <w:rPr>
                <w:rFonts w:hint="cs"/>
                <w:b/>
                <w:bCs/>
                <w:lang w:eastAsia="ar-SA"/>
              </w:rPr>
              <w:t>N</w:t>
            </w:r>
            <w:r>
              <w:rPr>
                <w:b/>
                <w:bCs/>
                <w:lang w:eastAsia="ar-SA"/>
              </w:rPr>
              <w:t xml:space="preserve">ote: </w:t>
            </w:r>
            <w:r>
              <w:rPr>
                <w:rFonts w:cs="Times"/>
                <w:b/>
                <w:bCs/>
                <w:lang w:eastAsia="ja-JP"/>
              </w:rPr>
              <w:t>“symbols with NRS” and “symbols without NRS nor CRS” have the same power.</w:t>
            </w:r>
          </w:p>
          <w:p w14:paraId="3EB6680E" w14:textId="77777777" w:rsidR="0098092C" w:rsidRDefault="0098092C">
            <w:pPr>
              <w:rPr>
                <w:szCs w:val="20"/>
              </w:rPr>
            </w:pPr>
          </w:p>
        </w:tc>
      </w:tr>
      <w:tr w:rsidR="0098092C" w14:paraId="3DCE45AE" w14:textId="77777777">
        <w:tc>
          <w:tcPr>
            <w:tcW w:w="1555" w:type="dxa"/>
          </w:tcPr>
          <w:p w14:paraId="28F4177A" w14:textId="77777777" w:rsidR="0098092C" w:rsidRDefault="0030498B">
            <w:pPr>
              <w:rPr>
                <w:szCs w:val="20"/>
              </w:rPr>
            </w:pPr>
            <w:r>
              <w:rPr>
                <w:rFonts w:hint="eastAsia"/>
                <w:szCs w:val="20"/>
              </w:rPr>
              <w:t>[4]</w:t>
            </w:r>
          </w:p>
        </w:tc>
        <w:tc>
          <w:tcPr>
            <w:tcW w:w="7752" w:type="dxa"/>
          </w:tcPr>
          <w:p w14:paraId="3735682E" w14:textId="77777777" w:rsidR="0098092C" w:rsidRDefault="0030498B">
            <w:pPr>
              <w:rPr>
                <w:b/>
                <w:bCs/>
              </w:rPr>
            </w:pPr>
            <w:r>
              <w:rPr>
                <w:b/>
                <w:bCs/>
              </w:rPr>
              <w:t xml:space="preserve">Proposal 4: Confirm the working assumption on downlink power allocation for in-band deployment. </w:t>
            </w:r>
          </w:p>
          <w:p w14:paraId="16EA83C8" w14:textId="77777777" w:rsidR="0098092C" w:rsidRDefault="0098092C">
            <w:pPr>
              <w:rPr>
                <w:szCs w:val="20"/>
              </w:rPr>
            </w:pPr>
          </w:p>
        </w:tc>
      </w:tr>
      <w:tr w:rsidR="0098092C" w14:paraId="19586601" w14:textId="77777777">
        <w:tc>
          <w:tcPr>
            <w:tcW w:w="1555" w:type="dxa"/>
          </w:tcPr>
          <w:p w14:paraId="2D53FCA1" w14:textId="77777777" w:rsidR="0098092C" w:rsidRDefault="0030498B">
            <w:pPr>
              <w:rPr>
                <w:szCs w:val="20"/>
              </w:rPr>
            </w:pPr>
            <w:r>
              <w:rPr>
                <w:rFonts w:hint="eastAsia"/>
                <w:szCs w:val="20"/>
              </w:rPr>
              <w:lastRenderedPageBreak/>
              <w:t>[5]</w:t>
            </w:r>
          </w:p>
        </w:tc>
        <w:tc>
          <w:tcPr>
            <w:tcW w:w="7752" w:type="dxa"/>
          </w:tcPr>
          <w:p w14:paraId="0A0F6CDB" w14:textId="77777777" w:rsidR="0098092C" w:rsidRDefault="0030498B">
            <w:pPr>
              <w:spacing w:beforeLines="50" w:before="120" w:afterLines="50"/>
              <w:rPr>
                <w:b/>
                <w:i/>
                <w:sz w:val="20"/>
                <w:szCs w:val="20"/>
                <w:lang w:eastAsia="zh-CN"/>
              </w:rPr>
            </w:pPr>
            <w:r>
              <w:rPr>
                <w:b/>
                <w:i/>
                <w:sz w:val="20"/>
                <w:szCs w:val="20"/>
                <w:lang w:eastAsia="zh-CN"/>
              </w:rPr>
              <w:t xml:space="preserve">Proposal 2: Confirm the working assumption for DL power allocation for </w:t>
            </w:r>
            <w:r>
              <w:rPr>
                <w:rFonts w:hint="eastAsia"/>
                <w:b/>
                <w:i/>
                <w:sz w:val="20"/>
                <w:szCs w:val="20"/>
                <w:lang w:eastAsia="zh-CN"/>
              </w:rPr>
              <w:t>inband</w:t>
            </w:r>
            <w:r>
              <w:rPr>
                <w:b/>
                <w:i/>
                <w:sz w:val="20"/>
                <w:szCs w:val="20"/>
                <w:lang w:eastAsia="zh-CN"/>
              </w:rPr>
              <w:t xml:space="preserve"> case.</w:t>
            </w:r>
          </w:p>
          <w:p w14:paraId="0CCFC229" w14:textId="77777777" w:rsidR="0098092C" w:rsidRDefault="0098092C">
            <w:pPr>
              <w:rPr>
                <w:szCs w:val="20"/>
              </w:rPr>
            </w:pPr>
          </w:p>
        </w:tc>
      </w:tr>
      <w:tr w:rsidR="0098092C" w14:paraId="069311CF" w14:textId="77777777">
        <w:tc>
          <w:tcPr>
            <w:tcW w:w="1555" w:type="dxa"/>
          </w:tcPr>
          <w:p w14:paraId="6F4DF64C" w14:textId="77777777" w:rsidR="0098092C" w:rsidRDefault="0030498B">
            <w:pPr>
              <w:rPr>
                <w:szCs w:val="20"/>
              </w:rPr>
            </w:pPr>
            <w:r>
              <w:rPr>
                <w:rFonts w:hint="eastAsia"/>
                <w:szCs w:val="20"/>
              </w:rPr>
              <w:t>[6]</w:t>
            </w:r>
          </w:p>
        </w:tc>
        <w:tc>
          <w:tcPr>
            <w:tcW w:w="7752" w:type="dxa"/>
          </w:tcPr>
          <w:p w14:paraId="1CEEBBD2" w14:textId="77777777" w:rsidR="0098092C" w:rsidRDefault="0030498B">
            <w:pPr>
              <w:spacing w:before="120" w:afterLines="100" w:after="240"/>
              <w:rPr>
                <w:b/>
                <w:bCs/>
                <w:i/>
                <w:iCs/>
                <w:lang w:eastAsia="zh-CN"/>
              </w:rPr>
            </w:pPr>
            <w:r>
              <w:rPr>
                <w:b/>
                <w:bCs/>
                <w:i/>
                <w:iCs/>
                <w:lang w:eastAsia="zh-CN"/>
              </w:rPr>
              <w:t xml:space="preserve">Proposal 1: Confirm the working assumption for </w:t>
            </w:r>
            <w:r>
              <w:rPr>
                <w:b/>
                <w:bCs/>
                <w:i/>
                <w:iCs/>
                <w:lang w:eastAsia="ja-JP"/>
              </w:rPr>
              <w:t xml:space="preserve">downlink power allocation </w:t>
            </w:r>
            <w:r>
              <w:rPr>
                <w:rFonts w:hint="eastAsia"/>
                <w:b/>
                <w:bCs/>
                <w:i/>
                <w:iCs/>
                <w:lang w:eastAsia="zh-CN"/>
              </w:rPr>
              <w:t xml:space="preserve">for </w:t>
            </w:r>
            <w:r>
              <w:rPr>
                <w:b/>
                <w:bCs/>
                <w:i/>
                <w:iCs/>
                <w:lang w:eastAsia="ja-JP"/>
              </w:rPr>
              <w:t>inband deployments</w:t>
            </w:r>
            <w:r>
              <w:rPr>
                <w:rFonts w:hint="eastAsia"/>
                <w:b/>
                <w:bCs/>
                <w:i/>
                <w:iCs/>
                <w:lang w:eastAsia="zh-CN"/>
              </w:rPr>
              <w:t>.</w:t>
            </w:r>
          </w:p>
          <w:p w14:paraId="0DA824A9" w14:textId="77777777" w:rsidR="0098092C" w:rsidRDefault="0098092C">
            <w:pPr>
              <w:rPr>
                <w:szCs w:val="20"/>
              </w:rPr>
            </w:pPr>
          </w:p>
        </w:tc>
      </w:tr>
      <w:tr w:rsidR="0098092C" w14:paraId="0A71D58B" w14:textId="77777777">
        <w:tc>
          <w:tcPr>
            <w:tcW w:w="1555" w:type="dxa"/>
          </w:tcPr>
          <w:p w14:paraId="531EDE55" w14:textId="77777777" w:rsidR="0098092C" w:rsidRDefault="0030498B">
            <w:pPr>
              <w:rPr>
                <w:szCs w:val="20"/>
              </w:rPr>
            </w:pPr>
            <w:r>
              <w:rPr>
                <w:rFonts w:hint="eastAsia"/>
                <w:szCs w:val="20"/>
              </w:rPr>
              <w:t>[8]</w:t>
            </w:r>
          </w:p>
        </w:tc>
        <w:tc>
          <w:tcPr>
            <w:tcW w:w="7752" w:type="dxa"/>
          </w:tcPr>
          <w:p w14:paraId="62443C31" w14:textId="77777777" w:rsidR="0098092C" w:rsidRDefault="0030498B">
            <w:pPr>
              <w:pStyle w:val="Observation"/>
              <w:numPr>
                <w:ilvl w:val="0"/>
                <w:numId w:val="0"/>
              </w:numPr>
              <w:spacing w:line="240" w:lineRule="auto"/>
              <w:ind w:left="360" w:hanging="360"/>
            </w:pPr>
            <w:bookmarkStart w:id="15" w:name="_Toc83293652"/>
            <w:bookmarkStart w:id="16" w:name="_Toc82635145"/>
            <w:r>
              <w:t>Observation 9 If the WA for In-band deployments is confirmed:</w:t>
            </w:r>
            <w:bookmarkEnd w:id="15"/>
            <w:bookmarkEnd w:id="16"/>
          </w:p>
          <w:p w14:paraId="6EC6116B" w14:textId="77777777" w:rsidR="0098092C" w:rsidRDefault="0030498B">
            <w:pPr>
              <w:pStyle w:val="Observation"/>
              <w:numPr>
                <w:ilvl w:val="0"/>
                <w:numId w:val="20"/>
              </w:numPr>
              <w:spacing w:line="240" w:lineRule="auto"/>
            </w:pPr>
            <w:bookmarkStart w:id="17" w:name="_Toc83293653"/>
            <w:bookmarkStart w:id="18" w:name="_Toc82635146"/>
            <w:r>
              <w:t>The power ratio to be signalled does not have a dependency on the PCI case.</w:t>
            </w:r>
            <w:bookmarkEnd w:id="17"/>
            <w:bookmarkEnd w:id="18"/>
          </w:p>
          <w:p w14:paraId="3F972C1C" w14:textId="77777777" w:rsidR="0098092C" w:rsidRDefault="0030498B">
            <w:pPr>
              <w:pStyle w:val="Observation"/>
              <w:numPr>
                <w:ilvl w:val="0"/>
                <w:numId w:val="20"/>
              </w:numPr>
              <w:spacing w:line="240" w:lineRule="auto"/>
            </w:pPr>
            <w:bookmarkStart w:id="19" w:name="_Toc82635147"/>
            <w:bookmarkStart w:id="20" w:name="_Toc83293654"/>
            <w:r>
              <w:t>The deployment modes will all use the same DL power allocation framework based on signalling power ratios.</w:t>
            </w:r>
            <w:bookmarkEnd w:id="19"/>
            <w:bookmarkEnd w:id="20"/>
          </w:p>
          <w:p w14:paraId="2583F9ED" w14:textId="77777777" w:rsidR="0098092C" w:rsidRDefault="0030498B">
            <w:pPr>
              <w:pStyle w:val="Observation"/>
              <w:numPr>
                <w:ilvl w:val="0"/>
                <w:numId w:val="20"/>
              </w:numPr>
              <w:spacing w:line="240" w:lineRule="auto"/>
            </w:pPr>
            <w:bookmarkStart w:id="21" w:name="_Toc83293655"/>
            <w:bookmarkStart w:id="22" w:name="_Toc82635148"/>
            <w:r>
              <w:t>The in-band case will not be different in terms of complexity, specification impact and nature than the recently confirmed Working Assumption for Stand-alone and Guard-band deployments.</w:t>
            </w:r>
            <w:bookmarkEnd w:id="21"/>
            <w:bookmarkEnd w:id="22"/>
          </w:p>
          <w:p w14:paraId="5317C513" w14:textId="77777777" w:rsidR="0098092C" w:rsidRDefault="0030498B">
            <w:pPr>
              <w:pStyle w:val="Proposal"/>
              <w:numPr>
                <w:ilvl w:val="0"/>
                <w:numId w:val="0"/>
              </w:numPr>
              <w:spacing w:line="240" w:lineRule="auto"/>
              <w:ind w:left="1701" w:hanging="1701"/>
            </w:pPr>
            <w:bookmarkStart w:id="23" w:name="_Toc83293670"/>
            <w:r>
              <w:t>Proposal 4 Confirm the following Working Assumption from RAN1# 106-e related the DL power allocation for in-band deployments.</w:t>
            </w:r>
            <w:bookmarkEnd w:id="23"/>
          </w:p>
          <w:p w14:paraId="51F04AC9" w14:textId="77777777" w:rsidR="0098092C" w:rsidRDefault="0098092C">
            <w:pPr>
              <w:rPr>
                <w:szCs w:val="20"/>
                <w:lang w:val="en-GB"/>
              </w:rPr>
            </w:pPr>
          </w:p>
        </w:tc>
      </w:tr>
    </w:tbl>
    <w:p w14:paraId="4C19E4C7" w14:textId="77777777" w:rsidR="0098092C" w:rsidRDefault="0098092C">
      <w:pPr>
        <w:spacing w:line="240" w:lineRule="auto"/>
      </w:pPr>
    </w:p>
    <w:p w14:paraId="186A7160" w14:textId="77777777" w:rsidR="0098092C" w:rsidRDefault="0030498B">
      <w:pPr>
        <w:autoSpaceDE/>
        <w:autoSpaceDN/>
        <w:adjustRightInd/>
        <w:snapToGrid/>
        <w:spacing w:line="240" w:lineRule="auto"/>
        <w:jc w:val="left"/>
        <w:rPr>
          <w:rFonts w:ascii="Times" w:eastAsia="MS Mincho" w:hAnsi="Times" w:cs="Times"/>
          <w:lang w:val="en-GB" w:eastAsia="ja-JP"/>
        </w:rPr>
      </w:pPr>
      <w:r>
        <w:rPr>
          <w:rFonts w:ascii="Times" w:eastAsia="MS Mincho" w:hAnsi="Times" w:cs="Times" w:hint="eastAsia"/>
          <w:lang w:val="en-GB" w:eastAsia="ja-JP"/>
        </w:rPr>
        <w:t xml:space="preserve">All companies with inputs proposed to confirm </w:t>
      </w:r>
      <w:r>
        <w:rPr>
          <w:rFonts w:ascii="Times" w:eastAsia="MS Mincho" w:hAnsi="Times" w:cs="Times"/>
          <w:lang w:val="en-GB" w:eastAsia="ja-JP"/>
        </w:rPr>
        <w:t>the working assumption, therefore, the following is proposed:</w:t>
      </w:r>
    </w:p>
    <w:p w14:paraId="468C2380" w14:textId="77777777" w:rsidR="0098092C" w:rsidRDefault="0030498B">
      <w:pPr>
        <w:autoSpaceDE/>
        <w:autoSpaceDN/>
        <w:adjustRightInd/>
        <w:snapToGrid/>
        <w:spacing w:line="240" w:lineRule="auto"/>
        <w:jc w:val="left"/>
        <w:rPr>
          <w:rFonts w:ascii="Times" w:eastAsia="MS Mincho" w:hAnsi="Times" w:cs="Times"/>
          <w:b/>
          <w:lang w:val="en-GB" w:eastAsia="ja-JP"/>
        </w:rPr>
      </w:pPr>
      <w:r>
        <w:rPr>
          <w:rFonts w:ascii="Times" w:eastAsia="MS Mincho" w:hAnsi="Times" w:cs="Times"/>
          <w:b/>
          <w:lang w:val="en-GB" w:eastAsia="ja-JP"/>
        </w:rPr>
        <w:t>Proposal 3: confirm the following working assumption:</w:t>
      </w:r>
    </w:p>
    <w:p w14:paraId="093AC51D" w14:textId="77777777" w:rsidR="0098092C" w:rsidRDefault="0030498B">
      <w:pPr>
        <w:shd w:val="clear" w:color="auto" w:fill="FFFFFF"/>
        <w:ind w:leftChars="200" w:left="440"/>
        <w:rPr>
          <w:b/>
          <w:highlight w:val="darkYellow"/>
          <w:lang w:eastAsia="zh-CN"/>
        </w:rPr>
      </w:pPr>
      <w:r>
        <w:rPr>
          <w:b/>
          <w:highlight w:val="darkYellow"/>
          <w:lang w:eastAsia="zh-CN"/>
        </w:rPr>
        <w:t xml:space="preserve">Working Assumption </w:t>
      </w:r>
    </w:p>
    <w:p w14:paraId="2EA89452" w14:textId="77777777" w:rsidR="0098092C" w:rsidRDefault="0030498B">
      <w:pPr>
        <w:shd w:val="clear" w:color="auto" w:fill="FFFFFF"/>
        <w:ind w:leftChars="200" w:left="440"/>
        <w:rPr>
          <w:rFonts w:cs="Times"/>
          <w:b/>
          <w:lang w:eastAsia="ja-JP"/>
        </w:rPr>
      </w:pPr>
      <w:r>
        <w:rPr>
          <w:rFonts w:cs="Times"/>
          <w:b/>
          <w:lang w:eastAsia="ja-JP"/>
        </w:rPr>
        <w:t>For downlink power allocation to support 16QAM:</w:t>
      </w:r>
    </w:p>
    <w:p w14:paraId="144EDCC4" w14:textId="77777777" w:rsidR="0098092C" w:rsidRDefault="0030498B">
      <w:pPr>
        <w:numPr>
          <w:ilvl w:val="0"/>
          <w:numId w:val="13"/>
        </w:numPr>
        <w:autoSpaceDE/>
        <w:autoSpaceDN/>
        <w:adjustRightInd/>
        <w:snapToGrid/>
        <w:spacing w:after="0" w:line="240" w:lineRule="auto"/>
        <w:ind w:leftChars="364" w:left="1161"/>
        <w:jc w:val="left"/>
        <w:rPr>
          <w:rFonts w:cs="Times"/>
          <w:b/>
          <w:lang w:eastAsia="ja-JP"/>
        </w:rPr>
      </w:pPr>
      <w:r>
        <w:rPr>
          <w:rFonts w:cs="Times"/>
          <w:b/>
          <w:lang w:eastAsia="ja-JP"/>
        </w:rPr>
        <w:t xml:space="preserve">For inband deployments, a power ratio is signaled in addition to the signalling for standalone and guard-band deployments which in this case applies to “symbols with NRS” and “symbols without NRS nor CRS”. </w:t>
      </w:r>
    </w:p>
    <w:p w14:paraId="30780FEA" w14:textId="77777777" w:rsidR="0098092C" w:rsidRDefault="0030498B">
      <w:pPr>
        <w:numPr>
          <w:ilvl w:val="1"/>
          <w:numId w:val="14"/>
        </w:numPr>
        <w:autoSpaceDE/>
        <w:autoSpaceDN/>
        <w:adjustRightInd/>
        <w:snapToGrid/>
        <w:spacing w:after="0" w:line="240" w:lineRule="auto"/>
        <w:ind w:leftChars="691" w:left="1880"/>
        <w:jc w:val="left"/>
        <w:rPr>
          <w:rFonts w:cs="Times"/>
          <w:b/>
          <w:lang w:eastAsia="ja-JP"/>
        </w:rPr>
      </w:pPr>
      <w:r>
        <w:rPr>
          <w:rFonts w:cs="Times"/>
          <w:b/>
          <w:lang w:eastAsia="ja-JP"/>
        </w:rPr>
        <w:t>the power ratio between NPDSCH EPRE and NRS EPRE in symbols with CRS is signalled</w:t>
      </w:r>
    </w:p>
    <w:p w14:paraId="09074D24" w14:textId="77777777" w:rsidR="0098092C" w:rsidRDefault="0030498B">
      <w:pPr>
        <w:numPr>
          <w:ilvl w:val="1"/>
          <w:numId w:val="14"/>
        </w:numPr>
        <w:autoSpaceDE/>
        <w:autoSpaceDN/>
        <w:adjustRightInd/>
        <w:snapToGrid/>
        <w:spacing w:after="0" w:line="240" w:lineRule="auto"/>
        <w:ind w:leftChars="691" w:left="1880"/>
        <w:jc w:val="left"/>
        <w:rPr>
          <w:rFonts w:cs="Times"/>
          <w:b/>
          <w:lang w:eastAsia="ja-JP"/>
        </w:rPr>
      </w:pPr>
      <w:r>
        <w:rPr>
          <w:rFonts w:cs="Times"/>
          <w:b/>
          <w:lang w:eastAsia="ja-JP"/>
        </w:rPr>
        <w:t>the signalling is UE specific</w:t>
      </w:r>
    </w:p>
    <w:p w14:paraId="78271C57" w14:textId="77777777" w:rsidR="0098092C" w:rsidRDefault="0030498B">
      <w:pPr>
        <w:spacing w:line="240" w:lineRule="auto"/>
        <w:ind w:leftChars="200" w:left="440"/>
        <w:rPr>
          <w:b/>
        </w:rPr>
      </w:pPr>
      <w:r>
        <w:rPr>
          <w:rFonts w:hint="cs"/>
          <w:b/>
          <w:lang w:eastAsia="ar-SA"/>
        </w:rPr>
        <w:t>N</w:t>
      </w:r>
      <w:r>
        <w:rPr>
          <w:b/>
          <w:lang w:eastAsia="ar-SA"/>
        </w:rPr>
        <w:t xml:space="preserve">ote: </w:t>
      </w:r>
      <w:r>
        <w:rPr>
          <w:rFonts w:cs="Times"/>
          <w:b/>
          <w:lang w:eastAsia="ja-JP"/>
        </w:rPr>
        <w:t>“symbols with NRS” and “symbols without NRS nor CRS” have the same power.</w:t>
      </w:r>
    </w:p>
    <w:p w14:paraId="0F7733A3" w14:textId="77777777" w:rsidR="0098092C" w:rsidRDefault="0098092C">
      <w:pPr>
        <w:autoSpaceDE/>
        <w:autoSpaceDN/>
        <w:adjustRightInd/>
        <w:snapToGrid/>
        <w:spacing w:after="0"/>
        <w:rPr>
          <w:b/>
          <w:szCs w:val="21"/>
          <w:lang w:eastAsia="zh-CN"/>
        </w:rPr>
      </w:pPr>
    </w:p>
    <w:p w14:paraId="6B04BBC5" w14:textId="77777777" w:rsidR="0098092C" w:rsidRDefault="0030498B">
      <w:r>
        <w:rPr>
          <w:rFonts w:hint="eastAsia"/>
        </w:rPr>
        <w:t>Please input your comments regarding the above proposal:</w:t>
      </w:r>
    </w:p>
    <w:tbl>
      <w:tblPr>
        <w:tblStyle w:val="TableGrid"/>
        <w:tblW w:w="0" w:type="auto"/>
        <w:tblLook w:val="04A0" w:firstRow="1" w:lastRow="0" w:firstColumn="1" w:lastColumn="0" w:noHBand="0" w:noVBand="1"/>
      </w:tblPr>
      <w:tblGrid>
        <w:gridCol w:w="1838"/>
        <w:gridCol w:w="7469"/>
      </w:tblGrid>
      <w:tr w:rsidR="0098092C" w14:paraId="07138025" w14:textId="77777777">
        <w:tc>
          <w:tcPr>
            <w:tcW w:w="1838" w:type="dxa"/>
          </w:tcPr>
          <w:p w14:paraId="2FA46051" w14:textId="77777777" w:rsidR="0098092C" w:rsidRDefault="0030498B">
            <w:pPr>
              <w:rPr>
                <w:szCs w:val="20"/>
              </w:rPr>
            </w:pPr>
            <w:r>
              <w:rPr>
                <w:rFonts w:hint="eastAsia"/>
                <w:szCs w:val="20"/>
              </w:rPr>
              <w:t>Comp</w:t>
            </w:r>
            <w:r>
              <w:rPr>
                <w:szCs w:val="20"/>
              </w:rPr>
              <w:t>anies</w:t>
            </w:r>
          </w:p>
        </w:tc>
        <w:tc>
          <w:tcPr>
            <w:tcW w:w="7469" w:type="dxa"/>
          </w:tcPr>
          <w:p w14:paraId="500FBEB2" w14:textId="77777777" w:rsidR="0098092C" w:rsidRDefault="0030498B">
            <w:pPr>
              <w:rPr>
                <w:szCs w:val="20"/>
              </w:rPr>
            </w:pPr>
            <w:r>
              <w:rPr>
                <w:rFonts w:hint="eastAsia"/>
                <w:szCs w:val="20"/>
              </w:rPr>
              <w:t>Comments</w:t>
            </w:r>
          </w:p>
        </w:tc>
      </w:tr>
      <w:tr w:rsidR="0098092C" w14:paraId="797710A9" w14:textId="77777777">
        <w:tc>
          <w:tcPr>
            <w:tcW w:w="1838" w:type="dxa"/>
          </w:tcPr>
          <w:p w14:paraId="1227B7E1" w14:textId="77777777" w:rsidR="0098092C" w:rsidRDefault="0030498B">
            <w:pPr>
              <w:rPr>
                <w:sz w:val="20"/>
                <w:szCs w:val="20"/>
              </w:rPr>
            </w:pPr>
            <w:r>
              <w:rPr>
                <w:sz w:val="20"/>
                <w:szCs w:val="20"/>
              </w:rPr>
              <w:t>Ericsson</w:t>
            </w:r>
          </w:p>
        </w:tc>
        <w:tc>
          <w:tcPr>
            <w:tcW w:w="7469" w:type="dxa"/>
          </w:tcPr>
          <w:p w14:paraId="18C5DB34" w14:textId="77777777" w:rsidR="0098092C" w:rsidRDefault="0030498B">
            <w:pPr>
              <w:rPr>
                <w:sz w:val="20"/>
                <w:szCs w:val="20"/>
              </w:rPr>
            </w:pPr>
            <w:r>
              <w:rPr>
                <w:sz w:val="20"/>
                <w:szCs w:val="20"/>
              </w:rPr>
              <w:t>We are OK with proposal 3.</w:t>
            </w:r>
          </w:p>
        </w:tc>
      </w:tr>
      <w:tr w:rsidR="0098092C" w14:paraId="358F771A" w14:textId="77777777">
        <w:tc>
          <w:tcPr>
            <w:tcW w:w="1838" w:type="dxa"/>
          </w:tcPr>
          <w:p w14:paraId="67C71B21" w14:textId="77777777" w:rsidR="0098092C" w:rsidRDefault="0030498B">
            <w:pPr>
              <w:rPr>
                <w:rFonts w:asciiTheme="minorHAnsi" w:hAnsiTheme="minorHAnsi" w:cstheme="minorHAnsi"/>
                <w:szCs w:val="20"/>
                <w:lang w:eastAsia="zh-CN"/>
              </w:rPr>
            </w:pPr>
            <w:r>
              <w:rPr>
                <w:rFonts w:asciiTheme="minorHAnsi" w:hAnsiTheme="minorHAnsi" w:cstheme="minorHAnsi"/>
                <w:szCs w:val="20"/>
                <w:lang w:eastAsia="zh-CN"/>
              </w:rPr>
              <w:t>Lenovo, MotoM</w:t>
            </w:r>
          </w:p>
        </w:tc>
        <w:tc>
          <w:tcPr>
            <w:tcW w:w="7469" w:type="dxa"/>
          </w:tcPr>
          <w:p w14:paraId="5C68A504" w14:textId="77777777" w:rsidR="0098092C" w:rsidRDefault="0030498B">
            <w:pPr>
              <w:rPr>
                <w:lang w:eastAsia="zh-CN"/>
              </w:rPr>
            </w:pPr>
            <w:r>
              <w:rPr>
                <w:rFonts w:asciiTheme="minorHAnsi" w:hAnsiTheme="minorHAnsi" w:cstheme="minorHAnsi"/>
                <w:lang w:eastAsia="zh-CN"/>
              </w:rPr>
              <w:t>Support proposal 3</w:t>
            </w:r>
          </w:p>
        </w:tc>
      </w:tr>
      <w:tr w:rsidR="0098092C" w14:paraId="51F86BF5" w14:textId="77777777">
        <w:tc>
          <w:tcPr>
            <w:tcW w:w="1838" w:type="dxa"/>
          </w:tcPr>
          <w:p w14:paraId="5BD8E275" w14:textId="77777777" w:rsidR="0098092C" w:rsidRDefault="0030498B">
            <w:pPr>
              <w:rPr>
                <w:szCs w:val="20"/>
                <w:lang w:eastAsia="zh-CN"/>
              </w:rPr>
            </w:pPr>
            <w:r>
              <w:rPr>
                <w:szCs w:val="20"/>
                <w:lang w:eastAsia="zh-CN"/>
              </w:rPr>
              <w:t>MTK</w:t>
            </w:r>
          </w:p>
        </w:tc>
        <w:tc>
          <w:tcPr>
            <w:tcW w:w="7469" w:type="dxa"/>
          </w:tcPr>
          <w:p w14:paraId="2A747D52" w14:textId="77777777" w:rsidR="0098092C" w:rsidRDefault="0030498B">
            <w:pPr>
              <w:rPr>
                <w:szCs w:val="20"/>
                <w:lang w:eastAsia="zh-CN"/>
              </w:rPr>
            </w:pPr>
            <w:r>
              <w:rPr>
                <w:szCs w:val="20"/>
                <w:lang w:eastAsia="zh-CN"/>
              </w:rPr>
              <w:t>Ok with proposal3.</w:t>
            </w:r>
          </w:p>
        </w:tc>
      </w:tr>
      <w:tr w:rsidR="0098092C" w14:paraId="74A02A56" w14:textId="77777777">
        <w:tc>
          <w:tcPr>
            <w:tcW w:w="1838" w:type="dxa"/>
          </w:tcPr>
          <w:p w14:paraId="4252868C" w14:textId="77777777" w:rsidR="0098092C" w:rsidRDefault="0030498B">
            <w:pPr>
              <w:rPr>
                <w:szCs w:val="20"/>
                <w:lang w:eastAsia="zh-CN"/>
              </w:rPr>
            </w:pPr>
            <w:r>
              <w:rPr>
                <w:rFonts w:hint="eastAsia"/>
                <w:szCs w:val="20"/>
                <w:lang w:eastAsia="zh-CN"/>
              </w:rPr>
              <w:t>H</w:t>
            </w:r>
            <w:r>
              <w:rPr>
                <w:szCs w:val="20"/>
                <w:lang w:eastAsia="zh-CN"/>
              </w:rPr>
              <w:t>uawei, HiSilicon</w:t>
            </w:r>
          </w:p>
        </w:tc>
        <w:tc>
          <w:tcPr>
            <w:tcW w:w="7469" w:type="dxa"/>
          </w:tcPr>
          <w:p w14:paraId="73007BF4" w14:textId="77777777" w:rsidR="0098092C" w:rsidRDefault="0030498B">
            <w:pPr>
              <w:rPr>
                <w:szCs w:val="20"/>
                <w:lang w:eastAsia="zh-CN"/>
              </w:rPr>
            </w:pPr>
            <w:r>
              <w:rPr>
                <w:szCs w:val="20"/>
                <w:lang w:eastAsia="zh-CN"/>
              </w:rPr>
              <w:t>We are fine with this proposal</w:t>
            </w:r>
          </w:p>
        </w:tc>
      </w:tr>
      <w:tr w:rsidR="0098092C" w14:paraId="5BAC307F" w14:textId="77777777">
        <w:tc>
          <w:tcPr>
            <w:tcW w:w="1838" w:type="dxa"/>
          </w:tcPr>
          <w:p w14:paraId="3F851842" w14:textId="77777777" w:rsidR="0098092C" w:rsidRDefault="0030498B">
            <w:pPr>
              <w:rPr>
                <w:szCs w:val="20"/>
                <w:lang w:eastAsia="zh-CN"/>
              </w:rPr>
            </w:pPr>
            <w:r>
              <w:rPr>
                <w:szCs w:val="20"/>
                <w:lang w:eastAsia="zh-CN"/>
              </w:rPr>
              <w:t>Nokia, NSB</w:t>
            </w:r>
          </w:p>
        </w:tc>
        <w:tc>
          <w:tcPr>
            <w:tcW w:w="7469" w:type="dxa"/>
          </w:tcPr>
          <w:p w14:paraId="70006EEB" w14:textId="77777777" w:rsidR="0098092C" w:rsidRDefault="0030498B">
            <w:pPr>
              <w:rPr>
                <w:szCs w:val="20"/>
                <w:lang w:eastAsia="zh-CN"/>
              </w:rPr>
            </w:pPr>
            <w:r>
              <w:rPr>
                <w:szCs w:val="20"/>
                <w:lang w:eastAsia="zh-CN"/>
              </w:rPr>
              <w:t>We support proposal 3.</w:t>
            </w:r>
          </w:p>
        </w:tc>
      </w:tr>
      <w:tr w:rsidR="0098092C" w14:paraId="757B034F" w14:textId="77777777">
        <w:tc>
          <w:tcPr>
            <w:tcW w:w="1838" w:type="dxa"/>
          </w:tcPr>
          <w:p w14:paraId="77CD4D2D" w14:textId="77777777" w:rsidR="0098092C" w:rsidRDefault="0030498B">
            <w:pPr>
              <w:rPr>
                <w:szCs w:val="20"/>
                <w:lang w:eastAsia="zh-CN"/>
              </w:rPr>
            </w:pPr>
            <w:r>
              <w:rPr>
                <w:rFonts w:hint="eastAsia"/>
                <w:szCs w:val="20"/>
                <w:lang w:eastAsia="zh-CN"/>
              </w:rPr>
              <w:lastRenderedPageBreak/>
              <w:t>ZTE, Sanechips</w:t>
            </w:r>
          </w:p>
        </w:tc>
        <w:tc>
          <w:tcPr>
            <w:tcW w:w="7469" w:type="dxa"/>
          </w:tcPr>
          <w:p w14:paraId="1A16BDC6" w14:textId="77777777" w:rsidR="0098092C" w:rsidRDefault="0030498B">
            <w:pPr>
              <w:rPr>
                <w:szCs w:val="20"/>
                <w:lang w:eastAsia="zh-CN"/>
              </w:rPr>
            </w:pPr>
            <w:r>
              <w:rPr>
                <w:rFonts w:hint="eastAsia"/>
                <w:szCs w:val="20"/>
                <w:lang w:eastAsia="zh-CN"/>
              </w:rPr>
              <w:t>OK with proposal3.</w:t>
            </w:r>
          </w:p>
        </w:tc>
      </w:tr>
      <w:tr w:rsidR="0098092C" w14:paraId="2D9E1796" w14:textId="77777777">
        <w:tc>
          <w:tcPr>
            <w:tcW w:w="1838" w:type="dxa"/>
          </w:tcPr>
          <w:p w14:paraId="0B3AD840" w14:textId="77777777" w:rsidR="0098092C" w:rsidRDefault="0030498B">
            <w:pPr>
              <w:rPr>
                <w:szCs w:val="20"/>
                <w:lang w:eastAsia="zh-CN"/>
              </w:rPr>
            </w:pPr>
            <w:r>
              <w:rPr>
                <w:szCs w:val="20"/>
                <w:lang w:eastAsia="zh-CN"/>
              </w:rPr>
              <w:t>Qualcomm</w:t>
            </w:r>
          </w:p>
        </w:tc>
        <w:tc>
          <w:tcPr>
            <w:tcW w:w="7469" w:type="dxa"/>
          </w:tcPr>
          <w:p w14:paraId="6B86CE1D" w14:textId="77777777" w:rsidR="0098092C" w:rsidRDefault="0030498B">
            <w:pPr>
              <w:rPr>
                <w:szCs w:val="20"/>
                <w:lang w:eastAsia="zh-CN"/>
              </w:rPr>
            </w:pPr>
            <w:r>
              <w:rPr>
                <w:szCs w:val="20"/>
                <w:lang w:eastAsia="zh-CN"/>
              </w:rPr>
              <w:t>OK with proposal 3.</w:t>
            </w:r>
          </w:p>
        </w:tc>
      </w:tr>
    </w:tbl>
    <w:p w14:paraId="24FBA272" w14:textId="77777777" w:rsidR="0098092C" w:rsidRDefault="0098092C">
      <w:pPr>
        <w:autoSpaceDE/>
        <w:autoSpaceDN/>
        <w:adjustRightInd/>
        <w:snapToGrid/>
        <w:spacing w:after="0"/>
        <w:rPr>
          <w:b/>
          <w:szCs w:val="21"/>
          <w:lang w:eastAsia="zh-CN"/>
        </w:rPr>
      </w:pPr>
    </w:p>
    <w:p w14:paraId="6493B7CB" w14:textId="77777777" w:rsidR="0098092C" w:rsidRDefault="0098092C">
      <w:pPr>
        <w:autoSpaceDE/>
        <w:autoSpaceDN/>
        <w:adjustRightInd/>
        <w:snapToGrid/>
        <w:spacing w:after="0"/>
        <w:rPr>
          <w:b/>
          <w:szCs w:val="21"/>
          <w:lang w:eastAsia="zh-CN"/>
        </w:rPr>
      </w:pPr>
    </w:p>
    <w:p w14:paraId="11FED26C" w14:textId="77777777" w:rsidR="0098092C" w:rsidRDefault="0030498B">
      <w:pPr>
        <w:pStyle w:val="Heading3"/>
      </w:pPr>
      <w:r>
        <w:rPr>
          <w:lang w:eastAsia="zh-CN"/>
        </w:rPr>
        <w:t>Issue 4: uplink power control</w:t>
      </w:r>
    </w:p>
    <w:p w14:paraId="77DB2D62" w14:textId="77777777" w:rsidR="0098092C" w:rsidRDefault="0030498B">
      <w:r>
        <w:rPr>
          <w:rFonts w:hint="eastAsia"/>
        </w:rPr>
        <w:t xml:space="preserve">The </w:t>
      </w:r>
      <w:r>
        <w:t>following are proposed:</w:t>
      </w:r>
    </w:p>
    <w:tbl>
      <w:tblPr>
        <w:tblStyle w:val="TableGrid"/>
        <w:tblW w:w="0" w:type="auto"/>
        <w:tblLook w:val="04A0" w:firstRow="1" w:lastRow="0" w:firstColumn="1" w:lastColumn="0" w:noHBand="0" w:noVBand="1"/>
      </w:tblPr>
      <w:tblGrid>
        <w:gridCol w:w="1555"/>
        <w:gridCol w:w="7752"/>
      </w:tblGrid>
      <w:tr w:rsidR="0098092C" w14:paraId="6816FCD9" w14:textId="77777777">
        <w:tc>
          <w:tcPr>
            <w:tcW w:w="1555" w:type="dxa"/>
          </w:tcPr>
          <w:p w14:paraId="2E68F2A0" w14:textId="77777777" w:rsidR="0098092C" w:rsidRDefault="0030498B">
            <w:pPr>
              <w:rPr>
                <w:szCs w:val="20"/>
              </w:rPr>
            </w:pPr>
            <w:r>
              <w:rPr>
                <w:rFonts w:hint="eastAsia"/>
                <w:szCs w:val="20"/>
              </w:rPr>
              <w:t>S</w:t>
            </w:r>
            <w:r>
              <w:rPr>
                <w:szCs w:val="20"/>
              </w:rPr>
              <w:t>ourcing</w:t>
            </w:r>
          </w:p>
        </w:tc>
        <w:tc>
          <w:tcPr>
            <w:tcW w:w="7752" w:type="dxa"/>
          </w:tcPr>
          <w:p w14:paraId="0B30BEDE" w14:textId="77777777" w:rsidR="0098092C" w:rsidRDefault="0030498B">
            <w:pPr>
              <w:rPr>
                <w:szCs w:val="20"/>
              </w:rPr>
            </w:pPr>
            <w:r>
              <w:rPr>
                <w:rFonts w:hint="eastAsia"/>
                <w:szCs w:val="20"/>
              </w:rPr>
              <w:t>proposals</w:t>
            </w:r>
          </w:p>
        </w:tc>
      </w:tr>
      <w:tr w:rsidR="0098092C" w14:paraId="3EAA59A0" w14:textId="77777777">
        <w:tc>
          <w:tcPr>
            <w:tcW w:w="1555" w:type="dxa"/>
          </w:tcPr>
          <w:p w14:paraId="54EF057F" w14:textId="77777777" w:rsidR="0098092C" w:rsidRDefault="0030498B">
            <w:pPr>
              <w:rPr>
                <w:szCs w:val="20"/>
              </w:rPr>
            </w:pPr>
            <w:r>
              <w:rPr>
                <w:rFonts w:hint="eastAsia"/>
                <w:szCs w:val="20"/>
              </w:rPr>
              <w:t>[2]</w:t>
            </w:r>
          </w:p>
        </w:tc>
        <w:tc>
          <w:tcPr>
            <w:tcW w:w="7752" w:type="dxa"/>
          </w:tcPr>
          <w:p w14:paraId="70B2ABDB" w14:textId="77777777" w:rsidR="0098092C" w:rsidRDefault="0030498B">
            <w:pPr>
              <w:rPr>
                <w:b/>
              </w:rPr>
            </w:pPr>
            <w:r>
              <w:rPr>
                <w:b/>
              </w:rPr>
              <w:t>Proposal 4</w:t>
            </w:r>
            <w:r>
              <w:rPr>
                <w:rFonts w:hint="eastAsia"/>
                <w:b/>
              </w:rPr>
              <w:t>：</w:t>
            </w:r>
            <w:r>
              <w:rPr>
                <w:b/>
              </w:rPr>
              <w:t>Option 1 should be supported for uplink power control for 16QAM.</w:t>
            </w:r>
          </w:p>
          <w:p w14:paraId="1177DEC8" w14:textId="77777777" w:rsidR="0098092C" w:rsidRDefault="0098092C">
            <w:pPr>
              <w:rPr>
                <w:szCs w:val="20"/>
              </w:rPr>
            </w:pPr>
          </w:p>
        </w:tc>
      </w:tr>
      <w:tr w:rsidR="0098092C" w14:paraId="191DB360" w14:textId="77777777">
        <w:tc>
          <w:tcPr>
            <w:tcW w:w="1555" w:type="dxa"/>
          </w:tcPr>
          <w:p w14:paraId="283D2718" w14:textId="77777777" w:rsidR="0098092C" w:rsidRDefault="0030498B">
            <w:pPr>
              <w:rPr>
                <w:szCs w:val="20"/>
              </w:rPr>
            </w:pPr>
            <w:r>
              <w:rPr>
                <w:rFonts w:hint="eastAsia"/>
                <w:szCs w:val="20"/>
              </w:rPr>
              <w:t>[3]</w:t>
            </w:r>
          </w:p>
        </w:tc>
        <w:tc>
          <w:tcPr>
            <w:tcW w:w="7752" w:type="dxa"/>
          </w:tcPr>
          <w:p w14:paraId="4D1180A3" w14:textId="77777777" w:rsidR="0098092C" w:rsidRDefault="0030498B">
            <w:pPr>
              <w:rPr>
                <w:b/>
                <w:bCs/>
              </w:rPr>
            </w:pPr>
            <w:r>
              <w:rPr>
                <w:b/>
                <w:bCs/>
                <w:u w:val="single"/>
              </w:rPr>
              <w:t>Proposal 2:</w:t>
            </w:r>
            <w:r>
              <w:rPr>
                <w:b/>
                <w:bCs/>
              </w:rPr>
              <w:t xml:space="preserve"> Include a configuration flag in </w:t>
            </w:r>
            <w:r>
              <w:rPr>
                <w:b/>
                <w:bCs/>
                <w:i/>
                <w:iCs/>
              </w:rPr>
              <w:t>PUR-Config</w:t>
            </w:r>
            <w:r>
              <w:rPr>
                <w:b/>
                <w:bCs/>
              </w:rPr>
              <w:t xml:space="preserve"> to enable 16-QAM (row 6 in RRC parameter list).</w:t>
            </w:r>
          </w:p>
          <w:p w14:paraId="3380BA8B" w14:textId="77777777" w:rsidR="0098092C" w:rsidRDefault="0030498B">
            <w:pPr>
              <w:rPr>
                <w:b/>
                <w:bCs/>
              </w:rPr>
            </w:pPr>
            <w:r>
              <w:rPr>
                <w:b/>
                <w:bCs/>
                <w:u w:val="single"/>
              </w:rPr>
              <w:t>Proposal 3:</w:t>
            </w:r>
            <w:r>
              <w:rPr>
                <w:b/>
                <w:bCs/>
              </w:rPr>
              <w:t xml:space="preserve"> For uplink power control, introduce the following specification changes:</w:t>
            </w:r>
          </w:p>
          <w:p w14:paraId="6C812B5A" w14:textId="77777777" w:rsidR="0098092C" w:rsidRDefault="0030498B">
            <w:pPr>
              <w:pStyle w:val="ListParagraph"/>
              <w:numPr>
                <w:ilvl w:val="0"/>
                <w:numId w:val="21"/>
              </w:numPr>
              <w:overflowPunct w:val="0"/>
              <w:autoSpaceDE w:val="0"/>
              <w:autoSpaceDN w:val="0"/>
              <w:adjustRightInd w:val="0"/>
              <w:spacing w:after="180" w:line="240" w:lineRule="auto"/>
              <w:contextualSpacing/>
              <w:jc w:val="left"/>
              <w:textAlignment w:val="baseline"/>
              <w:rPr>
                <w:b/>
                <w:bCs/>
              </w:rPr>
            </w:pPr>
            <w:r>
              <w:rPr>
                <w:b/>
                <w:bCs/>
              </w:rPr>
              <w:t xml:space="preserve">Add a correction term </w:t>
            </w:r>
            <m:oMath>
              <m:sSub>
                <m:sSubPr>
                  <m:ctrlPr>
                    <w:rPr>
                      <w:rFonts w:ascii="Cambria Math" w:hAnsi="Cambria Math"/>
                      <w:b/>
                      <w:bCs/>
                      <w:i/>
                    </w:rPr>
                  </m:ctrlPr>
                </m:sSubPr>
                <m:e>
                  <m:r>
                    <m:rPr>
                      <m:sty m:val="b"/>
                    </m:rPr>
                    <w:rPr>
                      <w:rFonts w:ascii="Cambria Math" w:hAnsi="Cambria Math"/>
                    </w:rPr>
                    <m:t>Δ</m:t>
                  </m:r>
                  <m:ctrlPr>
                    <w:rPr>
                      <w:rFonts w:ascii="Cambria Math" w:hAnsi="Cambria Math"/>
                      <w:b/>
                      <w:bCs/>
                    </w:rPr>
                  </m:ctrlPr>
                </m:e>
                <m:sub>
                  <m:r>
                    <m:rPr>
                      <m:sty m:val="bi"/>
                    </m:rPr>
                    <w:rPr>
                      <w:rFonts w:ascii="Cambria Math" w:hAnsi="Cambria Math"/>
                    </w:rPr>
                    <m:t>TF</m:t>
                  </m:r>
                </m:sub>
              </m:sSub>
            </m:oMath>
            <w:r>
              <w:rPr>
                <w:b/>
                <w:bCs/>
              </w:rPr>
              <w:t xml:space="preserve"> in the power control equation following the same definition as in LTE (Option 1).</w:t>
            </w:r>
          </w:p>
          <w:p w14:paraId="32691920" w14:textId="77777777" w:rsidR="0098092C" w:rsidRDefault="0030498B">
            <w:pPr>
              <w:pStyle w:val="ListParagraph"/>
              <w:numPr>
                <w:ilvl w:val="0"/>
                <w:numId w:val="21"/>
              </w:numPr>
              <w:overflowPunct w:val="0"/>
              <w:autoSpaceDE w:val="0"/>
              <w:autoSpaceDN w:val="0"/>
              <w:adjustRightInd w:val="0"/>
              <w:spacing w:after="180" w:line="240" w:lineRule="auto"/>
              <w:contextualSpacing/>
              <w:jc w:val="left"/>
              <w:textAlignment w:val="baseline"/>
              <w:rPr>
                <w:b/>
                <w:bCs/>
              </w:rPr>
            </w:pPr>
            <w:r>
              <w:rPr>
                <w:b/>
                <w:bCs/>
              </w:rPr>
              <w:t xml:space="preserve">Add a configuration parameter </w:t>
            </w:r>
            <w:r>
              <w:rPr>
                <w:b/>
                <w:bCs/>
                <w:i/>
                <w:iCs/>
              </w:rPr>
              <w:t>deltaMCS-Enabled</w:t>
            </w:r>
          </w:p>
          <w:p w14:paraId="04F5BD2A" w14:textId="77777777" w:rsidR="0098092C" w:rsidRDefault="0030498B">
            <w:pPr>
              <w:pStyle w:val="ListParagraph"/>
              <w:numPr>
                <w:ilvl w:val="0"/>
                <w:numId w:val="21"/>
              </w:numPr>
              <w:overflowPunct w:val="0"/>
              <w:autoSpaceDE w:val="0"/>
              <w:autoSpaceDN w:val="0"/>
              <w:adjustRightInd w:val="0"/>
              <w:spacing w:after="180" w:line="240" w:lineRule="auto"/>
              <w:contextualSpacing/>
              <w:jc w:val="left"/>
              <w:textAlignment w:val="baseline"/>
              <w:rPr>
                <w:b/>
                <w:bCs/>
              </w:rPr>
            </w:pPr>
            <w:r>
              <w:rPr>
                <w:b/>
                <w:bCs/>
              </w:rPr>
              <w:t>Add the definition of BPRE as in LTE.</w:t>
            </w:r>
          </w:p>
          <w:p w14:paraId="6266B43F" w14:textId="77777777" w:rsidR="0098092C" w:rsidRDefault="0098092C">
            <w:pPr>
              <w:rPr>
                <w:szCs w:val="20"/>
              </w:rPr>
            </w:pPr>
          </w:p>
        </w:tc>
      </w:tr>
      <w:tr w:rsidR="0098092C" w14:paraId="0CD661CA" w14:textId="77777777">
        <w:tc>
          <w:tcPr>
            <w:tcW w:w="1555" w:type="dxa"/>
          </w:tcPr>
          <w:p w14:paraId="23771F3A" w14:textId="77777777" w:rsidR="0098092C" w:rsidRDefault="0030498B">
            <w:pPr>
              <w:rPr>
                <w:szCs w:val="20"/>
              </w:rPr>
            </w:pPr>
            <w:r>
              <w:rPr>
                <w:rFonts w:hint="eastAsia"/>
                <w:szCs w:val="20"/>
              </w:rPr>
              <w:t>[4]</w:t>
            </w:r>
          </w:p>
        </w:tc>
        <w:tc>
          <w:tcPr>
            <w:tcW w:w="7752" w:type="dxa"/>
          </w:tcPr>
          <w:p w14:paraId="2BF5B423" w14:textId="77777777" w:rsidR="0098092C" w:rsidRDefault="0030498B">
            <w:pPr>
              <w:rPr>
                <w:b/>
                <w:bCs/>
                <w:lang w:eastAsia="en-GB"/>
              </w:rPr>
            </w:pPr>
            <w:r>
              <w:rPr>
                <w:b/>
                <w:bCs/>
                <w:lang w:eastAsia="en-GB"/>
              </w:rPr>
              <w:t xml:space="preserve">Proposal 5: A new uplink power control term </w:t>
            </w:r>
            <m:oMath>
              <m:sSub>
                <m:sSubPr>
                  <m:ctrlPr>
                    <w:rPr>
                      <w:rFonts w:ascii="Cambria Math" w:hAnsi="Cambria Math"/>
                      <w:b/>
                      <w:bCs/>
                      <w:i/>
                      <w:iCs/>
                    </w:rPr>
                  </m:ctrlPr>
                </m:sSubPr>
                <m:e>
                  <m:r>
                    <m:rPr>
                      <m:sty m:val="bi"/>
                    </m:rPr>
                    <w:rPr>
                      <w:rFonts w:ascii="Cambria Math" w:hAnsi="Cambria Math"/>
                    </w:rPr>
                    <m:t>∆</m:t>
                  </m:r>
                </m:e>
                <m:sub>
                  <m:r>
                    <m:rPr>
                      <m:sty m:val="bi"/>
                    </m:rPr>
                    <w:rPr>
                      <w:rFonts w:ascii="Cambria Math" w:hAnsi="Cambria Math"/>
                    </w:rPr>
                    <m:t>TF</m:t>
                  </m:r>
                </m:sub>
              </m:sSub>
            </m:oMath>
            <w:r>
              <w:rPr>
                <w:b/>
                <w:bCs/>
                <w:iCs/>
              </w:rPr>
              <w:t xml:space="preserve"> </w:t>
            </w:r>
            <w:r>
              <w:rPr>
                <w:b/>
                <w:bCs/>
                <w:lang w:eastAsia="en-GB"/>
              </w:rPr>
              <w:t xml:space="preserve">is introduced in the uplink power control as follows </w:t>
            </w:r>
          </w:p>
          <w:p w14:paraId="0C0C61CF" w14:textId="77777777" w:rsidR="0098092C" w:rsidRDefault="00A15C9A">
            <w:pPr>
              <w:rPr>
                <w:b/>
                <w:bCs/>
                <w:lang w:val="sv-SE" w:eastAsia="en-GB"/>
              </w:rPr>
            </w:pPr>
            <m:oMathPara>
              <m:oMath>
                <m:sSub>
                  <m:sSubPr>
                    <m:ctrlPr>
                      <w:rPr>
                        <w:rFonts w:ascii="Cambria Math" w:hAnsi="Cambria Math"/>
                        <w:i/>
                      </w:rPr>
                    </m:ctrlPr>
                  </m:sSubPr>
                  <m:e>
                    <m:r>
                      <w:rPr>
                        <w:rFonts w:ascii="Cambria Math"/>
                      </w:rPr>
                      <m:t>P</m:t>
                    </m:r>
                  </m:e>
                  <m:sub>
                    <m:r>
                      <m:rPr>
                        <m:nor/>
                      </m:rPr>
                      <w:rPr>
                        <w:rFonts w:ascii="Cambria Math"/>
                        <w:lang w:val="sv-SE"/>
                      </w:rPr>
                      <m:t>NPUSCH,c</m:t>
                    </m:r>
                    <m:ctrlPr>
                      <w:rPr>
                        <w:rFonts w:ascii="Cambria Math" w:hAnsi="Cambria Math"/>
                      </w:rPr>
                    </m:ctrlPr>
                  </m:sub>
                </m:sSub>
                <m:r>
                  <w:rPr>
                    <w:rFonts w:ascii="Cambria Math"/>
                    <w:lang w:val="sv-SE"/>
                  </w:rPr>
                  <m:t>(</m:t>
                </m:r>
                <m:r>
                  <w:rPr>
                    <w:rFonts w:ascii="Cambria Math"/>
                  </w:rPr>
                  <m:t>i</m:t>
                </m:r>
                <m:r>
                  <w:rPr>
                    <w:rFonts w:ascii="Cambria Math"/>
                    <w:lang w:val="sv-SE"/>
                  </w:rPr>
                  <m:t>)=</m:t>
                </m:r>
                <m:func>
                  <m:funcPr>
                    <m:ctrlPr>
                      <w:rPr>
                        <w:rFonts w:ascii="Cambria Math" w:hAnsi="Cambria Math"/>
                        <w:i/>
                      </w:rPr>
                    </m:ctrlPr>
                  </m:funcPr>
                  <m:fName>
                    <m:r>
                      <w:rPr>
                        <w:rFonts w:ascii="Cambria Math"/>
                      </w:rPr>
                      <m:t>min</m:t>
                    </m:r>
                  </m:fName>
                  <m:e>
                    <m:d>
                      <m:dPr>
                        <m:begChr m:val="{"/>
                        <m:endChr m:val="}"/>
                        <m:ctrlPr>
                          <w:rPr>
                            <w:rFonts w:ascii="Cambria Math" w:hAnsi="Cambria Math"/>
                            <w:i/>
                          </w:rPr>
                        </m:ctrlPr>
                      </m:dPr>
                      <m:e>
                        <m:eqArr>
                          <m:eqArrPr>
                            <m:ctrlPr>
                              <w:rPr>
                                <w:rFonts w:ascii="Cambria Math" w:hAnsi="Cambria Math"/>
                                <w:i/>
                              </w:rPr>
                            </m:ctrlPr>
                          </m:eqArrPr>
                          <m:e>
                            <m:r>
                              <w:rPr>
                                <w:rFonts w:ascii="Cambria Math"/>
                                <w:lang w:val="sv-SE"/>
                              </w:rPr>
                              <m:t>&amp;</m:t>
                            </m:r>
                            <m:sSub>
                              <m:sSubPr>
                                <m:ctrlPr>
                                  <w:rPr>
                                    <w:rFonts w:ascii="Cambria Math" w:hAnsi="Cambria Math"/>
                                    <w:i/>
                                  </w:rPr>
                                </m:ctrlPr>
                              </m:sSubPr>
                              <m:e>
                                <m:r>
                                  <w:rPr>
                                    <w:rFonts w:ascii="Cambria Math"/>
                                  </w:rPr>
                                  <m:t>P</m:t>
                                </m:r>
                              </m:e>
                              <m:sub>
                                <m:r>
                                  <m:rPr>
                                    <m:nor/>
                                  </m:rPr>
                                  <w:rPr>
                                    <w:rFonts w:ascii="Cambria Math"/>
                                    <w:lang w:val="sv-SE"/>
                                  </w:rPr>
                                  <m:t>CMAX</m:t>
                                </m:r>
                                <m:r>
                                  <m:rPr>
                                    <m:sty m:val="p"/>
                                  </m:rPr>
                                  <w:rPr>
                                    <w:rFonts w:ascii="Cambria Math"/>
                                    <w:lang w:val="sv-SE"/>
                                  </w:rPr>
                                  <m:t>,</m:t>
                                </m:r>
                                <m:r>
                                  <w:rPr>
                                    <w:rFonts w:ascii="Cambria Math"/>
                                  </w:rPr>
                                  <m:t>c</m:t>
                                </m:r>
                                <m:ctrlPr>
                                  <w:rPr>
                                    <w:rFonts w:ascii="Cambria Math" w:hAnsi="Cambria Math"/>
                                  </w:rPr>
                                </m:ctrlPr>
                              </m:sub>
                            </m:sSub>
                            <m:r>
                              <w:rPr>
                                <w:rFonts w:ascii="Cambria Math"/>
                                <w:lang w:val="sv-SE"/>
                              </w:rPr>
                              <m:t>(</m:t>
                            </m:r>
                            <m:r>
                              <w:rPr>
                                <w:rFonts w:ascii="Cambria Math"/>
                              </w:rPr>
                              <m:t>i</m:t>
                            </m:r>
                            <m:r>
                              <w:rPr>
                                <w:rFonts w:ascii="Cambria Math"/>
                                <w:lang w:val="sv-SE"/>
                              </w:rPr>
                              <m:t>),</m:t>
                            </m:r>
                          </m:e>
                          <m:e>
                            <m:r>
                              <w:rPr>
                                <w:rFonts w:ascii="Cambria Math"/>
                                <w:lang w:val="sv-SE"/>
                              </w:rPr>
                              <m:t>&amp;10</m:t>
                            </m:r>
                            <m:func>
                              <m:funcPr>
                                <m:ctrlPr>
                                  <w:rPr>
                                    <w:rFonts w:ascii="Cambria Math" w:hAnsi="Cambria Math"/>
                                    <w:i/>
                                  </w:rPr>
                                </m:ctrlPr>
                              </m:funcPr>
                              <m:fName>
                                <m:sSub>
                                  <m:sSubPr>
                                    <m:ctrlPr>
                                      <w:rPr>
                                        <w:rFonts w:ascii="Cambria Math" w:hAnsi="Cambria Math"/>
                                        <w:i/>
                                      </w:rPr>
                                    </m:ctrlPr>
                                  </m:sSubPr>
                                  <m:e>
                                    <m:r>
                                      <w:rPr>
                                        <w:rFonts w:ascii="Cambria Math"/>
                                      </w:rPr>
                                      <m:t>log</m:t>
                                    </m:r>
                                  </m:e>
                                  <m:sub>
                                    <m:r>
                                      <w:rPr>
                                        <w:rFonts w:ascii="Cambria Math"/>
                                        <w:lang w:val="sv-SE"/>
                                      </w:rPr>
                                      <m:t>10</m:t>
                                    </m:r>
                                  </m:sub>
                                </m:sSub>
                              </m:fName>
                              <m:e>
                                <m:r>
                                  <w:rPr>
                                    <w:rFonts w:ascii="Cambria Math"/>
                                    <w:lang w:val="sv-SE"/>
                                  </w:rPr>
                                  <m:t>(</m:t>
                                </m:r>
                              </m:e>
                            </m:func>
                            <m:sSub>
                              <m:sSubPr>
                                <m:ctrlPr>
                                  <w:rPr>
                                    <w:rFonts w:ascii="Cambria Math" w:hAnsi="Cambria Math"/>
                                    <w:i/>
                                  </w:rPr>
                                </m:ctrlPr>
                              </m:sSubPr>
                              <m:e>
                                <m:r>
                                  <w:rPr>
                                    <w:rFonts w:ascii="Cambria Math"/>
                                  </w:rPr>
                                  <m:t>M</m:t>
                                </m:r>
                              </m:e>
                              <m:sub>
                                <m:r>
                                  <m:rPr>
                                    <m:nor/>
                                  </m:rPr>
                                  <w:rPr>
                                    <w:rFonts w:ascii="Cambria Math"/>
                                    <w:lang w:val="sv-SE"/>
                                  </w:rPr>
                                  <m:t>NPUSCH,c</m:t>
                                </m:r>
                                <m:ctrlPr>
                                  <w:rPr>
                                    <w:rFonts w:ascii="Cambria Math" w:hAnsi="Cambria Math"/>
                                  </w:rPr>
                                </m:ctrlPr>
                              </m:sub>
                            </m:sSub>
                            <m:r>
                              <w:rPr>
                                <w:rFonts w:ascii="Cambria Math"/>
                                <w:lang w:val="sv-SE"/>
                              </w:rPr>
                              <m:t>(</m:t>
                            </m:r>
                            <m:r>
                              <w:rPr>
                                <w:rFonts w:ascii="Cambria Math"/>
                              </w:rPr>
                              <m:t>i</m:t>
                            </m:r>
                            <m:r>
                              <w:rPr>
                                <w:rFonts w:ascii="Cambria Math"/>
                                <w:lang w:val="sv-SE"/>
                              </w:rPr>
                              <m:t>))+</m:t>
                            </m:r>
                            <m:sSub>
                              <m:sSubPr>
                                <m:ctrlPr>
                                  <w:rPr>
                                    <w:rFonts w:ascii="Cambria Math" w:hAnsi="Cambria Math"/>
                                    <w:i/>
                                  </w:rPr>
                                </m:ctrlPr>
                              </m:sSubPr>
                              <m:e>
                                <m:r>
                                  <w:rPr>
                                    <w:rFonts w:ascii="Cambria Math"/>
                                  </w:rPr>
                                  <m:t>P</m:t>
                                </m:r>
                              </m:e>
                              <m:sub>
                                <m:r>
                                  <m:rPr>
                                    <m:nor/>
                                  </m:rPr>
                                  <w:rPr>
                                    <w:rFonts w:ascii="Cambria Math"/>
                                    <w:lang w:val="sv-SE"/>
                                  </w:rPr>
                                  <m:t>O_NPUSCH,c</m:t>
                                </m:r>
                                <m:ctrlPr>
                                  <w:rPr>
                                    <w:rFonts w:ascii="Cambria Math" w:hAnsi="Cambria Math"/>
                                  </w:rPr>
                                </m:ctrlPr>
                              </m:sub>
                            </m:sSub>
                            <m:r>
                              <w:rPr>
                                <w:rFonts w:ascii="Cambria Math"/>
                                <w:lang w:val="sv-SE"/>
                              </w:rPr>
                              <m:t>(</m:t>
                            </m:r>
                            <m:r>
                              <w:rPr>
                                <w:rFonts w:ascii="Cambria Math"/>
                              </w:rPr>
                              <m:t>j</m:t>
                            </m:r>
                            <m:r>
                              <w:rPr>
                                <w:rFonts w:ascii="Cambria Math"/>
                                <w:lang w:val="sv-SE"/>
                              </w:rPr>
                              <m:t>)+</m:t>
                            </m:r>
                            <m:sSub>
                              <m:sSubPr>
                                <m:ctrlPr>
                                  <w:rPr>
                                    <w:rFonts w:ascii="Cambria Math" w:hAnsi="Cambria Math"/>
                                    <w:b/>
                                    <w:bCs/>
                                    <w:i/>
                                    <w:iCs/>
                                  </w:rPr>
                                </m:ctrlPr>
                              </m:sSubPr>
                              <m:e>
                                <m:r>
                                  <m:rPr>
                                    <m:sty m:val="bi"/>
                                  </m:rPr>
                                  <w:rPr>
                                    <w:rFonts w:ascii="Cambria Math" w:hAnsi="Cambria Math"/>
                                    <w:lang w:val="sv-SE"/>
                                  </w:rPr>
                                  <m:t>∆</m:t>
                                </m:r>
                              </m:e>
                              <m:sub>
                                <m:r>
                                  <m:rPr>
                                    <m:sty m:val="bi"/>
                                  </m:rPr>
                                  <w:rPr>
                                    <w:rFonts w:ascii="Cambria Math" w:hAnsi="Cambria Math"/>
                                  </w:rPr>
                                  <m:t>TF</m:t>
                                </m:r>
                              </m:sub>
                            </m:sSub>
                            <m:r>
                              <w:rPr>
                                <w:rFonts w:ascii="Cambria Math"/>
                                <w:lang w:val="sv-SE"/>
                              </w:rPr>
                              <m:t>+</m:t>
                            </m:r>
                            <m:sSub>
                              <m:sSubPr>
                                <m:ctrlPr>
                                  <w:rPr>
                                    <w:rFonts w:ascii="Cambria Math" w:hAnsi="Cambria Math"/>
                                    <w:i/>
                                  </w:rPr>
                                </m:ctrlPr>
                              </m:sSubPr>
                              <m:e>
                                <m:r>
                                  <w:rPr>
                                    <w:rFonts w:ascii="Cambria Math"/>
                                  </w:rPr>
                                  <m:t>α</m:t>
                                </m:r>
                              </m:e>
                              <m:sub>
                                <m:r>
                                  <w:rPr>
                                    <w:rFonts w:ascii="Cambria Math"/>
                                  </w:rPr>
                                  <m:t>c</m:t>
                                </m:r>
                              </m:sub>
                            </m:sSub>
                            <m:r>
                              <w:rPr>
                                <w:rFonts w:ascii="Cambria Math"/>
                                <w:lang w:val="sv-SE"/>
                              </w:rPr>
                              <m:t>(</m:t>
                            </m:r>
                            <m:r>
                              <w:rPr>
                                <w:rFonts w:ascii="Cambria Math"/>
                              </w:rPr>
                              <m:t>j</m:t>
                            </m:r>
                            <m:r>
                              <w:rPr>
                                <w:rFonts w:ascii="Cambria Math"/>
                                <w:lang w:val="sv-SE"/>
                              </w:rPr>
                              <m:t>)</m:t>
                            </m:r>
                            <m:r>
                              <w:rPr>
                                <w:rFonts w:ascii="Cambria Math" w:hAnsi="Cambria Math" w:cs="Cambria Math"/>
                                <w:lang w:val="sv-SE"/>
                              </w:rPr>
                              <m:t>⋅</m:t>
                            </m:r>
                            <m:r>
                              <w:rPr>
                                <w:rFonts w:ascii="Cambria Math"/>
                              </w:rPr>
                              <m:t>P</m:t>
                            </m:r>
                            <m:sSub>
                              <m:sSubPr>
                                <m:ctrlPr>
                                  <w:rPr>
                                    <w:rFonts w:ascii="Cambria Math" w:hAnsi="Cambria Math"/>
                                    <w:i/>
                                  </w:rPr>
                                </m:ctrlPr>
                              </m:sSubPr>
                              <m:e>
                                <m:r>
                                  <w:rPr>
                                    <w:rFonts w:ascii="Cambria Math"/>
                                  </w:rPr>
                                  <m:t>L</m:t>
                                </m:r>
                              </m:e>
                              <m:sub>
                                <m:r>
                                  <w:rPr>
                                    <w:rFonts w:ascii="Cambria Math"/>
                                  </w:rPr>
                                  <m:t>c</m:t>
                                </m:r>
                              </m:sub>
                            </m:sSub>
                          </m:e>
                        </m:eqArr>
                      </m:e>
                    </m:d>
                  </m:e>
                </m:func>
              </m:oMath>
            </m:oMathPara>
          </w:p>
          <w:p w14:paraId="5210F36D" w14:textId="77777777" w:rsidR="0098092C" w:rsidRDefault="0030498B">
            <w:pPr>
              <w:rPr>
                <w:b/>
                <w:bCs/>
                <w:lang w:eastAsia="en-GB"/>
              </w:rPr>
            </w:pPr>
            <w:r>
              <w:rPr>
                <w:b/>
                <w:bCs/>
                <w:lang w:eastAsia="en-GB"/>
              </w:rPr>
              <w:t xml:space="preserve">and enabled via RRC configuration. </w:t>
            </w:r>
          </w:p>
          <w:p w14:paraId="6F578366" w14:textId="77777777" w:rsidR="0098092C" w:rsidRDefault="0030498B">
            <w:pPr>
              <w:rPr>
                <w:b/>
                <w:bCs/>
                <w:lang w:eastAsia="en-GB"/>
              </w:rPr>
            </w:pPr>
            <w:r>
              <w:rPr>
                <w:b/>
                <w:bCs/>
                <w:lang w:eastAsia="en-GB"/>
              </w:rPr>
              <w:t>Proposal 6: For the new uplink power control term, select one of the options below –</w:t>
            </w:r>
          </w:p>
          <w:p w14:paraId="0B58C1FD" w14:textId="77777777" w:rsidR="0098092C" w:rsidRDefault="0030498B">
            <w:pPr>
              <w:pStyle w:val="ListParagraph"/>
              <w:numPr>
                <w:ilvl w:val="0"/>
                <w:numId w:val="22"/>
              </w:numPr>
              <w:spacing w:after="120" w:line="240" w:lineRule="auto"/>
              <w:ind w:left="567" w:hanging="283"/>
              <w:rPr>
                <w:b/>
                <w:bCs/>
              </w:rPr>
            </w:pPr>
            <w:r>
              <w:rPr>
                <w:b/>
                <w:bCs/>
              </w:rPr>
              <w:t xml:space="preserve">Option 1: Reuse the LTE definition simplified for NB-IoT: </w:t>
            </w:r>
            <m:oMath>
              <m:sSub>
                <m:sSubPr>
                  <m:ctrlPr>
                    <w:rPr>
                      <w:rFonts w:ascii="Cambria Math" w:hAnsi="Cambria Math"/>
                      <w:b/>
                      <w:bCs/>
                    </w:rPr>
                  </m:ctrlPr>
                </m:sSubPr>
                <m:e>
                  <m:r>
                    <m:rPr>
                      <m:sty m:val="b"/>
                    </m:rPr>
                    <w:rPr>
                      <w:rFonts w:ascii="Cambria Math" w:hAnsi="Cambria Math"/>
                    </w:rPr>
                    <m:t>∆</m:t>
                  </m:r>
                </m:e>
                <m:sub>
                  <m:r>
                    <m:rPr>
                      <m:sty m:val="bi"/>
                    </m:rPr>
                    <w:rPr>
                      <w:rFonts w:ascii="Cambria Math" w:hAnsi="Cambria Math"/>
                    </w:rPr>
                    <m:t>TF</m:t>
                  </m:r>
                  <m:r>
                    <m:rPr>
                      <m:sty m:val="b"/>
                    </m:rPr>
                    <w:rPr>
                      <w:rFonts w:ascii="Cambria Math" w:hAnsi="Cambria Math"/>
                    </w:rPr>
                    <m:t>,</m:t>
                  </m:r>
                  <m:r>
                    <m:rPr>
                      <m:sty m:val="bi"/>
                    </m:rPr>
                    <w:rPr>
                      <w:rFonts w:ascii="Cambria Math" w:hAnsi="Cambria Math"/>
                    </w:rPr>
                    <m:t>c</m:t>
                  </m:r>
                </m:sub>
              </m:sSub>
              <m:d>
                <m:dPr>
                  <m:ctrlPr>
                    <w:rPr>
                      <w:rFonts w:ascii="Cambria Math" w:hAnsi="Cambria Math"/>
                      <w:b/>
                      <w:bCs/>
                    </w:rPr>
                  </m:ctrlPr>
                </m:dPr>
                <m:e>
                  <m:r>
                    <m:rPr>
                      <m:sty m:val="bi"/>
                    </m:rPr>
                    <w:rPr>
                      <w:rFonts w:ascii="Cambria Math" w:hAnsi="Cambria Math"/>
                    </w:rPr>
                    <m:t>i</m:t>
                  </m:r>
                </m:e>
              </m:d>
              <m:r>
                <m:rPr>
                  <m:sty m:val="b"/>
                </m:rPr>
                <w:rPr>
                  <w:rFonts w:ascii="Cambria Math" w:hAnsi="Cambria Math"/>
                </w:rPr>
                <m:t>=10</m:t>
              </m:r>
              <m:sSub>
                <m:sSubPr>
                  <m:ctrlPr>
                    <w:rPr>
                      <w:rFonts w:ascii="Cambria Math" w:hAnsi="Cambria Math"/>
                      <w:b/>
                      <w:bCs/>
                    </w:rPr>
                  </m:ctrlPr>
                </m:sSubPr>
                <m:e>
                  <m:r>
                    <m:rPr>
                      <m:sty m:val="b"/>
                    </m:rPr>
                    <w:rPr>
                      <w:rFonts w:ascii="Cambria Math" w:hAnsi="Cambria Math"/>
                    </w:rPr>
                    <m:t>log</m:t>
                  </m:r>
                </m:e>
                <m:sub>
                  <m:r>
                    <m:rPr>
                      <m:sty m:val="b"/>
                    </m:rPr>
                    <w:rPr>
                      <w:rFonts w:ascii="Cambria Math" w:hAnsi="Cambria Math"/>
                    </w:rPr>
                    <m:t>10</m:t>
                  </m:r>
                </m:sub>
              </m:sSub>
              <m:d>
                <m:dPr>
                  <m:ctrlPr>
                    <w:rPr>
                      <w:rFonts w:ascii="Cambria Math" w:hAnsi="Cambria Math"/>
                      <w:b/>
                      <w:bCs/>
                    </w:rPr>
                  </m:ctrlPr>
                </m:dPr>
                <m:e>
                  <m:d>
                    <m:dPr>
                      <m:ctrlPr>
                        <w:rPr>
                          <w:rFonts w:ascii="Cambria Math" w:hAnsi="Cambria Math"/>
                          <w:b/>
                          <w:bCs/>
                        </w:rPr>
                      </m:ctrlPr>
                    </m:dPr>
                    <m:e>
                      <m:sSup>
                        <m:sSupPr>
                          <m:ctrlPr>
                            <w:rPr>
                              <w:rFonts w:ascii="Cambria Math" w:hAnsi="Cambria Math"/>
                              <w:b/>
                              <w:bCs/>
                            </w:rPr>
                          </m:ctrlPr>
                        </m:sSupPr>
                        <m:e>
                          <m:r>
                            <m:rPr>
                              <m:sty m:val="b"/>
                            </m:rPr>
                            <w:rPr>
                              <w:rFonts w:ascii="Cambria Math" w:hAnsi="Cambria Math"/>
                            </w:rPr>
                            <m:t>2</m:t>
                          </m:r>
                        </m:e>
                        <m:sup>
                          <m:r>
                            <m:rPr>
                              <m:sty m:val="bi"/>
                            </m:rPr>
                            <w:rPr>
                              <w:rFonts w:ascii="Cambria Math" w:hAnsi="Cambria Math"/>
                            </w:rPr>
                            <m:t>BPRE</m:t>
                          </m:r>
                          <m:r>
                            <m:rPr>
                              <m:sty m:val="b"/>
                            </m:rPr>
                            <w:rPr>
                              <w:rFonts w:ascii="Cambria Math" w:hAnsi="Cambria Math"/>
                            </w:rPr>
                            <m:t>∙</m:t>
                          </m:r>
                          <m:sSub>
                            <m:sSubPr>
                              <m:ctrlPr>
                                <w:rPr>
                                  <w:rFonts w:ascii="Cambria Math" w:hAnsi="Cambria Math"/>
                                  <w:b/>
                                  <w:bCs/>
                                </w:rPr>
                              </m:ctrlPr>
                            </m:sSubPr>
                            <m:e>
                              <m:r>
                                <m:rPr>
                                  <m:sty m:val="bi"/>
                                </m:rPr>
                                <w:rPr>
                                  <w:rFonts w:ascii="Cambria Math" w:hAnsi="Cambria Math"/>
                                </w:rPr>
                                <m:t>K</m:t>
                              </m:r>
                            </m:e>
                            <m:sub>
                              <m:r>
                                <m:rPr>
                                  <m:sty m:val="bi"/>
                                </m:rPr>
                                <w:rPr>
                                  <w:rFonts w:ascii="Cambria Math" w:hAnsi="Cambria Math"/>
                                </w:rPr>
                                <m:t>s</m:t>
                              </m:r>
                            </m:sub>
                          </m:sSub>
                        </m:sup>
                      </m:sSup>
                      <m:r>
                        <m:rPr>
                          <m:sty m:val="b"/>
                        </m:rPr>
                        <w:rPr>
                          <w:rFonts w:ascii="Cambria Math" w:hAnsi="Cambria Math"/>
                        </w:rPr>
                        <m:t>-1</m:t>
                      </m:r>
                    </m:e>
                  </m:d>
                </m:e>
              </m:d>
            </m:oMath>
            <w:r>
              <w:rPr>
                <w:rFonts w:hint="eastAsia"/>
                <w:b/>
                <w:bCs/>
              </w:rPr>
              <w:t xml:space="preserve"> </w:t>
            </w:r>
            <w:r>
              <w:rPr>
                <w:b/>
                <w:bCs/>
              </w:rPr>
              <w:t xml:space="preserve">for </w:t>
            </w:r>
            <m:oMath>
              <m:sSub>
                <m:sSubPr>
                  <m:ctrlPr>
                    <w:rPr>
                      <w:rFonts w:ascii="Cambria Math" w:hAnsi="Cambria Math"/>
                      <w:b/>
                      <w:bCs/>
                    </w:rPr>
                  </m:ctrlPr>
                </m:sSubPr>
                <m:e>
                  <m:r>
                    <m:rPr>
                      <m:sty m:val="bi"/>
                    </m:rPr>
                    <w:rPr>
                      <w:rFonts w:ascii="Cambria Math" w:hAnsi="Cambria Math"/>
                    </w:rPr>
                    <m:t>K</m:t>
                  </m:r>
                </m:e>
                <m:sub>
                  <m:r>
                    <m:rPr>
                      <m:sty m:val="bi"/>
                    </m:rPr>
                    <w:rPr>
                      <w:rFonts w:ascii="Cambria Math" w:hAnsi="Cambria Math"/>
                    </w:rPr>
                    <m:t>s</m:t>
                  </m:r>
                </m:sub>
              </m:sSub>
              <m:r>
                <m:rPr>
                  <m:sty m:val="bi"/>
                </m:rPr>
                <w:rPr>
                  <w:rFonts w:ascii="Cambria Math" w:hAnsi="Cambria Math"/>
                </w:rPr>
                <m:t>=1.25</m:t>
              </m:r>
            </m:oMath>
            <w:r>
              <w:rPr>
                <w:rFonts w:hint="eastAsia"/>
                <w:b/>
                <w:bCs/>
              </w:rPr>
              <w:t xml:space="preserve"> and </w:t>
            </w:r>
            <m:oMath>
              <m:sSub>
                <m:sSubPr>
                  <m:ctrlPr>
                    <w:rPr>
                      <w:rFonts w:ascii="Cambria Math" w:hAnsi="Cambria Math"/>
                      <w:b/>
                      <w:bCs/>
                    </w:rPr>
                  </m:ctrlPr>
                </m:sSubPr>
                <m:e>
                  <m:r>
                    <m:rPr>
                      <m:sty m:val="b"/>
                    </m:rPr>
                    <w:rPr>
                      <w:rFonts w:ascii="Cambria Math" w:hAnsi="Cambria Math"/>
                    </w:rPr>
                    <m:t>∆</m:t>
                  </m:r>
                </m:e>
                <m:sub>
                  <m:r>
                    <m:rPr>
                      <m:sty m:val="bi"/>
                    </m:rPr>
                    <w:rPr>
                      <w:rFonts w:ascii="Cambria Math" w:hAnsi="Cambria Math"/>
                    </w:rPr>
                    <m:t>TF</m:t>
                  </m:r>
                  <m:r>
                    <m:rPr>
                      <m:sty m:val="b"/>
                    </m:rPr>
                    <w:rPr>
                      <w:rFonts w:ascii="Cambria Math" w:hAnsi="Cambria Math"/>
                    </w:rPr>
                    <m:t>,</m:t>
                  </m:r>
                  <m:r>
                    <m:rPr>
                      <m:sty m:val="bi"/>
                    </m:rPr>
                    <w:rPr>
                      <w:rFonts w:ascii="Cambria Math" w:hAnsi="Cambria Math"/>
                    </w:rPr>
                    <m:t>c</m:t>
                  </m:r>
                </m:sub>
              </m:sSub>
              <m:d>
                <m:dPr>
                  <m:ctrlPr>
                    <w:rPr>
                      <w:rFonts w:ascii="Cambria Math" w:hAnsi="Cambria Math"/>
                      <w:b/>
                      <w:bCs/>
                    </w:rPr>
                  </m:ctrlPr>
                </m:dPr>
                <m:e>
                  <m:r>
                    <m:rPr>
                      <m:sty m:val="bi"/>
                    </m:rPr>
                    <w:rPr>
                      <w:rFonts w:ascii="Cambria Math" w:hAnsi="Cambria Math"/>
                    </w:rPr>
                    <m:t>i</m:t>
                  </m:r>
                </m:e>
              </m:d>
              <m:r>
                <m:rPr>
                  <m:sty m:val="bi"/>
                </m:rPr>
                <w:rPr>
                  <w:rFonts w:ascii="Cambria Math" w:hAnsi="Cambria Math"/>
                </w:rPr>
                <m:t>=0</m:t>
              </m:r>
            </m:oMath>
            <w:r>
              <w:rPr>
                <w:rFonts w:hint="eastAsia"/>
                <w:b/>
                <w:bCs/>
              </w:rPr>
              <w:t xml:space="preserve"> </w:t>
            </w:r>
            <w:r>
              <w:rPr>
                <w:b/>
                <w:bCs/>
              </w:rPr>
              <w:t xml:space="preserve">for </w:t>
            </w:r>
            <m:oMath>
              <m:sSub>
                <m:sSubPr>
                  <m:ctrlPr>
                    <w:rPr>
                      <w:rFonts w:ascii="Cambria Math" w:hAnsi="Cambria Math"/>
                      <w:b/>
                      <w:bCs/>
                    </w:rPr>
                  </m:ctrlPr>
                </m:sSubPr>
                <m:e>
                  <m:r>
                    <m:rPr>
                      <m:sty m:val="bi"/>
                    </m:rPr>
                    <w:rPr>
                      <w:rFonts w:ascii="Cambria Math" w:hAnsi="Cambria Math"/>
                    </w:rPr>
                    <m:t>K</m:t>
                  </m:r>
                </m:e>
                <m:sub>
                  <m:r>
                    <m:rPr>
                      <m:sty m:val="bi"/>
                    </m:rPr>
                    <w:rPr>
                      <w:rFonts w:ascii="Cambria Math" w:hAnsi="Cambria Math"/>
                    </w:rPr>
                    <m:t>s</m:t>
                  </m:r>
                </m:sub>
              </m:sSub>
              <m:r>
                <m:rPr>
                  <m:sty m:val="bi"/>
                </m:rPr>
                <w:rPr>
                  <w:rFonts w:ascii="Cambria Math" w:hAnsi="Cambria Math"/>
                </w:rPr>
                <m:t>=0</m:t>
              </m:r>
            </m:oMath>
            <w:r>
              <w:rPr>
                <w:rFonts w:hint="eastAsia"/>
                <w:b/>
                <w:bCs/>
              </w:rPr>
              <w:t xml:space="preserve">, where </w:t>
            </w:r>
            <m:oMath>
              <m:sSub>
                <m:sSubPr>
                  <m:ctrlPr>
                    <w:rPr>
                      <w:rFonts w:ascii="Cambria Math" w:hAnsi="Cambria Math"/>
                      <w:b/>
                      <w:bCs/>
                    </w:rPr>
                  </m:ctrlPr>
                </m:sSubPr>
                <m:e>
                  <m:r>
                    <m:rPr>
                      <m:sty m:val="bi"/>
                    </m:rPr>
                    <w:rPr>
                      <w:rFonts w:ascii="Cambria Math" w:hAnsi="Cambria Math"/>
                    </w:rPr>
                    <m:t>K</m:t>
                  </m:r>
                </m:e>
                <m:sub>
                  <m:r>
                    <m:rPr>
                      <m:sty m:val="bi"/>
                    </m:rPr>
                    <w:rPr>
                      <w:rFonts w:ascii="Cambria Math" w:hAnsi="Cambria Math"/>
                    </w:rPr>
                    <m:t>s</m:t>
                  </m:r>
                </m:sub>
              </m:sSub>
            </m:oMath>
            <w:r>
              <w:rPr>
                <w:rFonts w:hint="eastAsia"/>
                <w:b/>
                <w:bCs/>
              </w:rPr>
              <w:t xml:space="preserve"> is given by higher layer parameter </w:t>
            </w:r>
            <w:r>
              <w:rPr>
                <w:b/>
                <w:bCs/>
                <w:i/>
              </w:rPr>
              <w:t>deltaMCS-Enabled</w:t>
            </w:r>
            <w:r>
              <w:rPr>
                <w:b/>
                <w:bCs/>
              </w:rPr>
              <w:t xml:space="preserve">, and </w:t>
            </w:r>
            <m:oMath>
              <m:r>
                <m:rPr>
                  <m:sty m:val="bi"/>
                </m:rPr>
                <w:rPr>
                  <w:rFonts w:ascii="Cambria Math" w:hAnsi="Cambria Math"/>
                </w:rPr>
                <m:t>BPRE=</m:t>
              </m:r>
              <m:f>
                <m:fPr>
                  <m:ctrlPr>
                    <w:rPr>
                      <w:rFonts w:ascii="Cambria Math" w:hAnsi="Cambria Math"/>
                      <w:b/>
                      <w:bCs/>
                      <w:i/>
                    </w:rPr>
                  </m:ctrlPr>
                </m:fPr>
                <m:num>
                  <m:r>
                    <m:rPr>
                      <m:sty m:val="bi"/>
                    </m:rPr>
                    <w:rPr>
                      <w:rFonts w:ascii="Cambria Math" w:hAnsi="Cambria Math"/>
                    </w:rPr>
                    <m:t>K</m:t>
                  </m:r>
                </m:num>
                <m:den>
                  <m:sSub>
                    <m:sSubPr>
                      <m:ctrlPr>
                        <w:rPr>
                          <w:rFonts w:ascii="Cambria Math" w:hAnsi="Cambria Math"/>
                          <w:b/>
                          <w:bCs/>
                          <w:i/>
                        </w:rPr>
                      </m:ctrlPr>
                    </m:sSubPr>
                    <m:e>
                      <m:r>
                        <m:rPr>
                          <m:sty m:val="bi"/>
                        </m:rPr>
                        <w:rPr>
                          <w:rFonts w:ascii="Cambria Math" w:hAnsi="Cambria Math"/>
                        </w:rPr>
                        <m:t>N</m:t>
                      </m:r>
                    </m:e>
                    <m:sub>
                      <m:r>
                        <m:rPr>
                          <m:sty m:val="bi"/>
                        </m:rPr>
                        <w:rPr>
                          <w:rFonts w:ascii="Cambria Math" w:hAnsi="Cambria Math"/>
                        </w:rPr>
                        <m:t>RE</m:t>
                      </m:r>
                    </m:sub>
                  </m:sSub>
                </m:den>
              </m:f>
            </m:oMath>
            <w:r>
              <w:rPr>
                <w:b/>
                <w:bCs/>
              </w:rPr>
              <w:t xml:space="preserve"> where K is the code block size.</w:t>
            </w:r>
          </w:p>
          <w:p w14:paraId="6716C9F8" w14:textId="77777777" w:rsidR="0098092C" w:rsidRDefault="0030498B">
            <w:pPr>
              <w:pStyle w:val="ListParagraph"/>
              <w:numPr>
                <w:ilvl w:val="0"/>
                <w:numId w:val="22"/>
              </w:numPr>
              <w:spacing w:after="120" w:line="240" w:lineRule="auto"/>
              <w:ind w:left="567" w:hanging="283"/>
            </w:pPr>
            <w:r>
              <w:rPr>
                <w:b/>
                <w:bCs/>
              </w:rPr>
              <w:t xml:space="preserve">Option 2: </w:t>
            </w:r>
            <m:oMath>
              <m:sSub>
                <m:sSubPr>
                  <m:ctrlPr>
                    <w:rPr>
                      <w:rFonts w:ascii="Cambria Math" w:hAnsi="Cambria Math"/>
                      <w:b/>
                      <w:bCs/>
                    </w:rPr>
                  </m:ctrlPr>
                </m:sSubPr>
                <m:e>
                  <m:r>
                    <m:rPr>
                      <m:sty m:val="b"/>
                    </m:rPr>
                    <w:rPr>
                      <w:rFonts w:ascii="Cambria Math" w:hAnsi="Cambria Math"/>
                    </w:rPr>
                    <m:t>∆</m:t>
                  </m:r>
                </m:e>
                <m:sub>
                  <m:r>
                    <m:rPr>
                      <m:sty m:val="bi"/>
                    </m:rPr>
                    <w:rPr>
                      <w:rFonts w:ascii="Cambria Math" w:hAnsi="Cambria Math"/>
                    </w:rPr>
                    <m:t>TF</m:t>
                  </m:r>
                  <m:r>
                    <m:rPr>
                      <m:sty m:val="b"/>
                    </m:rPr>
                    <w:rPr>
                      <w:rFonts w:ascii="Cambria Math" w:hAnsi="Cambria Math"/>
                    </w:rPr>
                    <m:t>,</m:t>
                  </m:r>
                  <m:r>
                    <m:rPr>
                      <m:sty m:val="bi"/>
                    </m:rPr>
                    <w:rPr>
                      <w:rFonts w:ascii="Cambria Math" w:hAnsi="Cambria Math"/>
                    </w:rPr>
                    <m:t>c</m:t>
                  </m:r>
                </m:sub>
              </m:sSub>
            </m:oMath>
            <w:r>
              <w:rPr>
                <w:rFonts w:hint="eastAsia"/>
                <w:b/>
                <w:bCs/>
              </w:rPr>
              <w:t xml:space="preserve"> </w:t>
            </w:r>
            <w:r>
              <w:rPr>
                <w:b/>
                <w:bCs/>
              </w:rPr>
              <w:t>is given in table based on MCS index if enabled, 0 otherwise.</w:t>
            </w:r>
          </w:p>
          <w:p w14:paraId="704F1EBC" w14:textId="77777777" w:rsidR="0098092C" w:rsidRDefault="0030498B">
            <w:pPr>
              <w:rPr>
                <w:b/>
                <w:bCs/>
                <w:lang w:eastAsia="en-GB"/>
              </w:rPr>
            </w:pPr>
            <w:r>
              <w:rPr>
                <w:b/>
                <w:bCs/>
                <w:lang w:eastAsia="en-GB"/>
              </w:rPr>
              <w:t>Proposal 7: Close-loop power control for 16-QAM is not supported in Rel-17.</w:t>
            </w:r>
          </w:p>
          <w:p w14:paraId="265B04DD" w14:textId="77777777" w:rsidR="0098092C" w:rsidRDefault="0098092C">
            <w:pPr>
              <w:rPr>
                <w:szCs w:val="20"/>
              </w:rPr>
            </w:pPr>
          </w:p>
        </w:tc>
      </w:tr>
      <w:tr w:rsidR="0098092C" w14:paraId="3AB81E89" w14:textId="77777777">
        <w:tc>
          <w:tcPr>
            <w:tcW w:w="1555" w:type="dxa"/>
          </w:tcPr>
          <w:p w14:paraId="17722B26" w14:textId="77777777" w:rsidR="0098092C" w:rsidRDefault="0030498B">
            <w:pPr>
              <w:rPr>
                <w:szCs w:val="20"/>
              </w:rPr>
            </w:pPr>
            <w:r>
              <w:rPr>
                <w:rFonts w:hint="eastAsia"/>
                <w:szCs w:val="20"/>
              </w:rPr>
              <w:t>[5]</w:t>
            </w:r>
          </w:p>
        </w:tc>
        <w:tc>
          <w:tcPr>
            <w:tcW w:w="7752" w:type="dxa"/>
          </w:tcPr>
          <w:p w14:paraId="11EDFD17" w14:textId="77777777" w:rsidR="0098092C" w:rsidRDefault="0030498B">
            <w:pPr>
              <w:rPr>
                <w:bCs/>
                <w:sz w:val="20"/>
                <w:szCs w:val="20"/>
                <w:lang w:eastAsia="zh-CN"/>
              </w:rPr>
            </w:pPr>
            <w:r>
              <w:rPr>
                <w:bCs/>
                <w:sz w:val="20"/>
                <w:szCs w:val="20"/>
              </w:rPr>
              <w:t xml:space="preserve">Similar as defined in LTE, </w:t>
            </w:r>
            <m:oMath>
              <m:sSub>
                <m:sSubPr>
                  <m:ctrlPr>
                    <w:rPr>
                      <w:rFonts w:ascii="Cambria Math" w:eastAsia="Cambria Math" w:hAnsi="Cambria Math"/>
                      <w:i/>
                      <w:sz w:val="20"/>
                      <w:szCs w:val="20"/>
                    </w:rPr>
                  </m:ctrlPr>
                </m:sSubPr>
                <m:e>
                  <m:r>
                    <w:rPr>
                      <w:rFonts w:ascii="Cambria Math" w:eastAsia="Cambria Math" w:hAnsi="Cambria Math"/>
                      <w:sz w:val="20"/>
                      <w:szCs w:val="20"/>
                    </w:rPr>
                    <m:t>∆</m:t>
                  </m:r>
                </m:e>
                <m:sub>
                  <m:r>
                    <w:rPr>
                      <w:rFonts w:ascii="Cambria Math" w:eastAsia="Cambria Math" w:hAnsi="Cambria Math"/>
                      <w:sz w:val="20"/>
                      <w:szCs w:val="20"/>
                    </w:rPr>
                    <m:t>TF</m:t>
                  </m:r>
                </m:sub>
              </m:sSub>
            </m:oMath>
            <w:r>
              <w:rPr>
                <w:rFonts w:hint="eastAsia"/>
                <w:sz w:val="20"/>
                <w:szCs w:val="20"/>
                <w:lang w:eastAsia="zh-CN"/>
              </w:rPr>
              <w:t xml:space="preserve"> </w:t>
            </w:r>
            <w:r>
              <w:rPr>
                <w:sz w:val="20"/>
                <w:szCs w:val="20"/>
                <w:lang w:eastAsia="zh-CN"/>
              </w:rPr>
              <w:t>is determined as:</w:t>
            </w:r>
          </w:p>
          <w:p w14:paraId="72131C3E" w14:textId="77777777" w:rsidR="0098092C" w:rsidRDefault="0030498B">
            <w:pPr>
              <w:rPr>
                <w:sz w:val="20"/>
                <w:szCs w:val="20"/>
              </w:rPr>
            </w:pPr>
            <w:r>
              <w:rPr>
                <w:sz w:val="20"/>
                <w:szCs w:val="20"/>
              </w:rPr>
              <w:t xml:space="preserve"> </w:t>
            </w:r>
            <m:oMath>
              <m:sSub>
                <m:sSubPr>
                  <m:ctrlPr>
                    <w:rPr>
                      <w:rFonts w:ascii="Cambria Math" w:eastAsia="Cambria Math" w:hAnsi="Cambria Math"/>
                      <w:i/>
                      <w:sz w:val="20"/>
                      <w:szCs w:val="20"/>
                    </w:rPr>
                  </m:ctrlPr>
                </m:sSubPr>
                <m:e>
                  <m:r>
                    <w:rPr>
                      <w:rFonts w:ascii="Cambria Math" w:eastAsia="Cambria Math" w:hAnsi="Cambria Math"/>
                      <w:sz w:val="20"/>
                      <w:szCs w:val="20"/>
                    </w:rPr>
                    <m:t>∆</m:t>
                  </m:r>
                </m:e>
                <m:sub>
                  <m:r>
                    <w:rPr>
                      <w:rFonts w:ascii="Cambria Math" w:eastAsia="Cambria Math" w:hAnsi="Cambria Math"/>
                      <w:sz w:val="20"/>
                      <w:szCs w:val="20"/>
                    </w:rPr>
                    <m:t>TF</m:t>
                  </m:r>
                </m:sub>
              </m:sSub>
              <m:r>
                <m:rPr>
                  <m:sty m:val="p"/>
                </m:rPr>
                <w:rPr>
                  <w:rFonts w:ascii="Cambria Math" w:eastAsia="Cambria Math" w:hAnsi="Cambria Math"/>
                  <w:sz w:val="20"/>
                  <w:szCs w:val="20"/>
                </w:rPr>
                <m:t>(i)=10</m:t>
              </m:r>
              <m:sSub>
                <m:sSubPr>
                  <m:ctrlPr>
                    <w:rPr>
                      <w:rFonts w:ascii="Cambria Math" w:eastAsia="Cambria Math" w:hAnsi="Cambria Math"/>
                      <w:sz w:val="20"/>
                      <w:szCs w:val="20"/>
                    </w:rPr>
                  </m:ctrlPr>
                </m:sSubPr>
                <m:e>
                  <m:r>
                    <m:rPr>
                      <m:sty m:val="p"/>
                    </m:rPr>
                    <w:rPr>
                      <w:rFonts w:ascii="Cambria Math" w:eastAsia="Cambria Math" w:hAnsi="Cambria Math"/>
                      <w:sz w:val="20"/>
                      <w:szCs w:val="20"/>
                    </w:rPr>
                    <m:t>log</m:t>
                  </m:r>
                </m:e>
                <m:sub>
                  <m:r>
                    <w:rPr>
                      <w:rFonts w:ascii="Cambria Math" w:eastAsia="Cambria Math" w:hAnsi="Cambria Math"/>
                      <w:sz w:val="20"/>
                      <w:szCs w:val="20"/>
                    </w:rPr>
                    <m:t>10</m:t>
                  </m:r>
                </m:sub>
              </m:sSub>
              <m:d>
                <m:dPr>
                  <m:ctrlPr>
                    <w:rPr>
                      <w:rFonts w:ascii="Cambria Math" w:eastAsia="Cambria Math" w:hAnsi="Cambria Math"/>
                      <w:i/>
                      <w:sz w:val="20"/>
                      <w:szCs w:val="20"/>
                    </w:rPr>
                  </m:ctrlPr>
                </m:dPr>
                <m:e>
                  <m:sSup>
                    <m:sSupPr>
                      <m:ctrlPr>
                        <w:rPr>
                          <w:rFonts w:ascii="Cambria Math" w:eastAsia="Cambria Math" w:hAnsi="Cambria Math"/>
                          <w:i/>
                          <w:sz w:val="20"/>
                          <w:szCs w:val="20"/>
                        </w:rPr>
                      </m:ctrlPr>
                    </m:sSupPr>
                    <m:e>
                      <m:r>
                        <w:rPr>
                          <w:rFonts w:ascii="Cambria Math" w:eastAsia="Cambria Math" w:hAnsi="Cambria Math"/>
                          <w:sz w:val="20"/>
                          <w:szCs w:val="20"/>
                        </w:rPr>
                        <m:t>2</m:t>
                      </m:r>
                    </m:e>
                    <m:sup>
                      <m:r>
                        <w:rPr>
                          <w:rFonts w:ascii="Cambria Math" w:eastAsia="Cambria Math" w:hAnsi="Cambria Math"/>
                          <w:sz w:val="20"/>
                          <w:szCs w:val="20"/>
                        </w:rPr>
                        <m:t>BPER∙</m:t>
                      </m:r>
                      <m:sSub>
                        <m:sSubPr>
                          <m:ctrlPr>
                            <w:rPr>
                              <w:rFonts w:ascii="Cambria Math" w:eastAsia="Cambria Math" w:hAnsi="Cambria Math"/>
                              <w:i/>
                              <w:sz w:val="20"/>
                              <w:szCs w:val="20"/>
                            </w:rPr>
                          </m:ctrlPr>
                        </m:sSubPr>
                        <m:e>
                          <m:r>
                            <w:rPr>
                              <w:rFonts w:ascii="Cambria Math" w:eastAsia="Cambria Math" w:hAnsi="Cambria Math"/>
                              <w:sz w:val="20"/>
                              <w:szCs w:val="20"/>
                            </w:rPr>
                            <m:t>K</m:t>
                          </m:r>
                        </m:e>
                        <m:sub>
                          <m:r>
                            <w:rPr>
                              <w:rFonts w:ascii="Cambria Math" w:eastAsia="Cambria Math" w:hAnsi="Cambria Math"/>
                              <w:sz w:val="20"/>
                              <w:szCs w:val="20"/>
                            </w:rPr>
                            <m:t>s</m:t>
                          </m:r>
                        </m:sub>
                      </m:sSub>
                    </m:sup>
                  </m:sSup>
                  <m:r>
                    <w:rPr>
                      <w:rFonts w:ascii="Cambria Math" w:eastAsia="Cambria Math" w:hAnsi="Cambria Math"/>
                      <w:sz w:val="20"/>
                      <w:szCs w:val="20"/>
                    </w:rPr>
                    <m:t>-1</m:t>
                  </m:r>
                </m:e>
              </m:d>
            </m:oMath>
            <w:r>
              <w:rPr>
                <w:sz w:val="20"/>
                <w:szCs w:val="20"/>
                <w:lang w:eastAsia="zh-CN"/>
              </w:rPr>
              <w:t xml:space="preserve"> </w:t>
            </w:r>
            <w:r>
              <w:rPr>
                <w:sz w:val="20"/>
                <w:szCs w:val="20"/>
              </w:rPr>
              <w:t xml:space="preserve">for </w:t>
            </w:r>
            <m:oMath>
              <m:sSub>
                <m:sSubPr>
                  <m:ctrlPr>
                    <w:rPr>
                      <w:rFonts w:ascii="Cambria Math" w:eastAsia="Cambria Math" w:hAnsi="Cambria Math"/>
                      <w:i/>
                      <w:sz w:val="20"/>
                      <w:szCs w:val="20"/>
                    </w:rPr>
                  </m:ctrlPr>
                </m:sSubPr>
                <m:e>
                  <m:r>
                    <w:rPr>
                      <w:rFonts w:ascii="Cambria Math" w:eastAsia="Cambria Math" w:hAnsi="Cambria Math"/>
                      <w:sz w:val="20"/>
                      <w:szCs w:val="20"/>
                    </w:rPr>
                    <m:t>K</m:t>
                  </m:r>
                </m:e>
                <m:sub>
                  <m:r>
                    <w:rPr>
                      <w:rFonts w:ascii="Cambria Math" w:eastAsia="Cambria Math" w:hAnsi="Cambria Math"/>
                      <w:sz w:val="20"/>
                      <w:szCs w:val="20"/>
                    </w:rPr>
                    <m:t>s</m:t>
                  </m:r>
                </m:sub>
              </m:sSub>
              <m:r>
                <m:rPr>
                  <m:sty m:val="p"/>
                </m:rPr>
                <w:rPr>
                  <w:rFonts w:ascii="Cambria Math" w:eastAsia="Cambria Math" w:hAnsi="Cambria Math"/>
                  <w:sz w:val="20"/>
                  <w:szCs w:val="20"/>
                </w:rPr>
                <m:t>=1.25</m:t>
              </m:r>
            </m:oMath>
            <w:r>
              <w:rPr>
                <w:sz w:val="20"/>
                <w:szCs w:val="20"/>
                <w:lang w:eastAsia="zh-CN"/>
              </w:rPr>
              <w:t xml:space="preserve"> </w:t>
            </w:r>
            <w:r>
              <w:rPr>
                <w:sz w:val="20"/>
                <w:szCs w:val="20"/>
              </w:rPr>
              <w:t xml:space="preserve">and </w:t>
            </w:r>
            <m:oMath>
              <m:sSub>
                <m:sSubPr>
                  <m:ctrlPr>
                    <w:rPr>
                      <w:rFonts w:ascii="Cambria Math" w:eastAsia="Cambria Math" w:hAnsi="Cambria Math"/>
                      <w:i/>
                      <w:sz w:val="20"/>
                      <w:szCs w:val="20"/>
                    </w:rPr>
                  </m:ctrlPr>
                </m:sSubPr>
                <m:e>
                  <m:r>
                    <w:rPr>
                      <w:rFonts w:ascii="Cambria Math" w:eastAsia="Cambria Math" w:hAnsi="Cambria Math"/>
                      <w:sz w:val="20"/>
                      <w:szCs w:val="20"/>
                    </w:rPr>
                    <m:t>∆</m:t>
                  </m:r>
                </m:e>
                <m:sub>
                  <m:r>
                    <w:rPr>
                      <w:rFonts w:ascii="Cambria Math" w:eastAsia="Cambria Math" w:hAnsi="Cambria Math"/>
                      <w:sz w:val="20"/>
                      <w:szCs w:val="20"/>
                    </w:rPr>
                    <m:t>TF</m:t>
                  </m:r>
                </m:sub>
              </m:sSub>
              <m:r>
                <m:rPr>
                  <m:sty m:val="p"/>
                </m:rPr>
                <w:rPr>
                  <w:rFonts w:ascii="Cambria Math" w:eastAsia="Cambria Math" w:hAnsi="Cambria Math"/>
                  <w:sz w:val="20"/>
                  <w:szCs w:val="20"/>
                </w:rPr>
                <m:t>(i)=0</m:t>
              </m:r>
            </m:oMath>
            <w:r>
              <w:rPr>
                <w:sz w:val="20"/>
                <w:szCs w:val="20"/>
              </w:rPr>
              <w:t xml:space="preserve"> for </w:t>
            </w:r>
            <m:oMath>
              <m:sSub>
                <m:sSubPr>
                  <m:ctrlPr>
                    <w:rPr>
                      <w:rFonts w:ascii="Cambria Math" w:eastAsia="Cambria Math" w:hAnsi="Cambria Math"/>
                      <w:i/>
                      <w:sz w:val="20"/>
                      <w:szCs w:val="20"/>
                    </w:rPr>
                  </m:ctrlPr>
                </m:sSubPr>
                <m:e>
                  <m:r>
                    <w:rPr>
                      <w:rFonts w:ascii="Cambria Math" w:eastAsia="Cambria Math" w:hAnsi="Cambria Math"/>
                      <w:sz w:val="20"/>
                      <w:szCs w:val="20"/>
                    </w:rPr>
                    <m:t>K</m:t>
                  </m:r>
                </m:e>
                <m:sub>
                  <m:r>
                    <w:rPr>
                      <w:rFonts w:ascii="Cambria Math" w:eastAsia="Cambria Math" w:hAnsi="Cambria Math"/>
                      <w:sz w:val="20"/>
                      <w:szCs w:val="20"/>
                    </w:rPr>
                    <m:t>s</m:t>
                  </m:r>
                </m:sub>
              </m:sSub>
              <m:r>
                <m:rPr>
                  <m:sty m:val="p"/>
                </m:rPr>
                <w:rPr>
                  <w:rFonts w:ascii="Cambria Math" w:eastAsia="Cambria Math" w:hAnsi="Cambria Math"/>
                  <w:sz w:val="20"/>
                  <w:szCs w:val="20"/>
                </w:rPr>
                <m:t>=0</m:t>
              </m:r>
            </m:oMath>
            <w:r>
              <w:rPr>
                <w:rFonts w:hint="eastAsia"/>
                <w:sz w:val="20"/>
                <w:szCs w:val="20"/>
                <w:lang w:eastAsia="zh-CN"/>
              </w:rPr>
              <w:t>,</w:t>
            </w:r>
            <w:r>
              <w:rPr>
                <w:sz w:val="20"/>
                <w:szCs w:val="20"/>
                <w:lang w:eastAsia="zh-CN"/>
              </w:rPr>
              <w:t xml:space="preserve"> </w:t>
            </w:r>
            <w:r>
              <w:rPr>
                <w:sz w:val="20"/>
                <w:szCs w:val="20"/>
              </w:rPr>
              <w:t xml:space="preserve">where </w:t>
            </w:r>
            <m:oMath>
              <m:sSub>
                <m:sSubPr>
                  <m:ctrlPr>
                    <w:rPr>
                      <w:rFonts w:ascii="Cambria Math" w:eastAsia="Cambria Math" w:hAnsi="Cambria Math"/>
                      <w:i/>
                      <w:sz w:val="20"/>
                      <w:szCs w:val="20"/>
                    </w:rPr>
                  </m:ctrlPr>
                </m:sSubPr>
                <m:e>
                  <m:r>
                    <w:rPr>
                      <w:rFonts w:ascii="Cambria Math" w:eastAsia="Cambria Math" w:hAnsi="Cambria Math"/>
                      <w:sz w:val="20"/>
                      <w:szCs w:val="20"/>
                    </w:rPr>
                    <m:t>K</m:t>
                  </m:r>
                </m:e>
                <m:sub>
                  <m:r>
                    <w:rPr>
                      <w:rFonts w:ascii="Cambria Math" w:eastAsia="Cambria Math" w:hAnsi="Cambria Math"/>
                      <w:sz w:val="20"/>
                      <w:szCs w:val="20"/>
                    </w:rPr>
                    <m:t>s</m:t>
                  </m:r>
                </m:sub>
              </m:sSub>
            </m:oMath>
            <w:r>
              <w:rPr>
                <w:sz w:val="20"/>
                <w:szCs w:val="20"/>
              </w:rPr>
              <w:t xml:space="preserve"> is given by higher layers parameter.</w:t>
            </w:r>
          </w:p>
          <w:p w14:paraId="622F5BE6" w14:textId="77777777" w:rsidR="0098092C" w:rsidRDefault="0030498B">
            <w:pPr>
              <w:pStyle w:val="ListParagraph"/>
              <w:numPr>
                <w:ilvl w:val="0"/>
                <w:numId w:val="23"/>
              </w:numPr>
              <w:snapToGrid w:val="0"/>
              <w:spacing w:line="240" w:lineRule="auto"/>
              <w:jc w:val="left"/>
              <w:rPr>
                <w:rFonts w:ascii="Times New Roman" w:hAnsi="Times New Roman"/>
                <w:sz w:val="20"/>
                <w:szCs w:val="20"/>
              </w:rPr>
            </w:pPr>
            <m:oMath>
              <m:r>
                <w:rPr>
                  <w:rFonts w:ascii="Cambria Math" w:eastAsia="Cambria Math" w:hAnsi="Cambria Math"/>
                  <w:sz w:val="20"/>
                  <w:szCs w:val="20"/>
                </w:rPr>
                <m:t>BPER=</m:t>
              </m:r>
              <m:sSub>
                <m:sSubPr>
                  <m:ctrlPr>
                    <w:rPr>
                      <w:rFonts w:ascii="Cambria Math" w:eastAsiaTheme="minorEastAsia" w:hAnsi="Cambria Math"/>
                      <w:i/>
                      <w:sz w:val="20"/>
                      <w:szCs w:val="20"/>
                    </w:rPr>
                  </m:ctrlPr>
                </m:sSubPr>
                <m:e>
                  <m:r>
                    <w:rPr>
                      <w:rFonts w:ascii="Cambria Math" w:eastAsiaTheme="minorEastAsia" w:hAnsi="Cambria Math"/>
                      <w:sz w:val="20"/>
                      <w:szCs w:val="20"/>
                    </w:rPr>
                    <m:t>K</m:t>
                  </m:r>
                </m:e>
                <m:sub>
                  <m:r>
                    <w:rPr>
                      <w:rFonts w:ascii="Cambria Math" w:eastAsiaTheme="minorEastAsia" w:hAnsi="Cambria Math"/>
                      <w:sz w:val="20"/>
                      <w:szCs w:val="20"/>
                    </w:rPr>
                    <m:t>c</m:t>
                  </m:r>
                </m:sub>
              </m:sSub>
              <m:r>
                <w:rPr>
                  <w:rFonts w:ascii="Cambria Math" w:eastAsia="Cambria Math" w:hAnsi="Cambria Math"/>
                  <w:sz w:val="20"/>
                  <w:szCs w:val="20"/>
                </w:rPr>
                <m:t>/</m:t>
              </m:r>
              <m:sSub>
                <m:sSubPr>
                  <m:ctrlPr>
                    <w:rPr>
                      <w:rFonts w:ascii="Cambria Math" w:eastAsia="Cambria Math" w:hAnsi="Cambria Math"/>
                      <w:i/>
                      <w:sz w:val="20"/>
                      <w:szCs w:val="20"/>
                    </w:rPr>
                  </m:ctrlPr>
                </m:sSubPr>
                <m:e>
                  <m:r>
                    <w:rPr>
                      <w:rFonts w:ascii="Cambria Math" w:eastAsia="Cambria Math" w:hAnsi="Cambria Math"/>
                      <w:sz w:val="20"/>
                      <w:szCs w:val="20"/>
                    </w:rPr>
                    <m:t>N</m:t>
                  </m:r>
                </m:e>
                <m:sub>
                  <m:r>
                    <w:rPr>
                      <w:rFonts w:ascii="Cambria Math" w:eastAsia="Cambria Math" w:hAnsi="Cambria Math"/>
                      <w:sz w:val="20"/>
                      <w:szCs w:val="20"/>
                    </w:rPr>
                    <m:t>R</m:t>
                  </m:r>
                  <m:r>
                    <w:rPr>
                      <w:rFonts w:ascii="Cambria Math" w:eastAsiaTheme="minorEastAsia" w:hAnsi="Cambria Math"/>
                      <w:sz w:val="20"/>
                      <w:szCs w:val="20"/>
                    </w:rPr>
                    <m:t>E</m:t>
                  </m:r>
                </m:sub>
              </m:sSub>
            </m:oMath>
            <w:r>
              <w:rPr>
                <w:rFonts w:ascii="Times New Roman" w:hAnsi="Times New Roman"/>
                <w:sz w:val="20"/>
                <w:szCs w:val="20"/>
              </w:rPr>
              <w:t xml:space="preserve"> where </w:t>
            </w:r>
            <m:oMath>
              <m:sSub>
                <m:sSubPr>
                  <m:ctrlPr>
                    <w:rPr>
                      <w:rFonts w:ascii="Cambria Math" w:eastAsiaTheme="minorEastAsia" w:hAnsi="Cambria Math"/>
                      <w:i/>
                      <w:sz w:val="20"/>
                      <w:szCs w:val="20"/>
                    </w:rPr>
                  </m:ctrlPr>
                </m:sSubPr>
                <m:e>
                  <m:r>
                    <w:rPr>
                      <w:rFonts w:ascii="Cambria Math" w:eastAsiaTheme="minorEastAsia" w:hAnsi="Cambria Math"/>
                      <w:sz w:val="20"/>
                      <w:szCs w:val="20"/>
                    </w:rPr>
                    <m:t>K</m:t>
                  </m:r>
                </m:e>
                <m:sub>
                  <m:r>
                    <w:rPr>
                      <w:rFonts w:ascii="Cambria Math" w:eastAsiaTheme="minorEastAsia" w:hAnsi="Cambria Math"/>
                      <w:sz w:val="20"/>
                      <w:szCs w:val="20"/>
                    </w:rPr>
                    <m:t>c</m:t>
                  </m:r>
                </m:sub>
              </m:sSub>
            </m:oMath>
            <w:r>
              <w:rPr>
                <w:rFonts w:ascii="Times New Roman" w:hAnsi="Times New Roman"/>
                <w:sz w:val="20"/>
                <w:szCs w:val="20"/>
              </w:rPr>
              <w:t xml:space="preserve"> is the code block size and </w:t>
            </w:r>
            <m:oMath>
              <m:sSub>
                <m:sSubPr>
                  <m:ctrlPr>
                    <w:rPr>
                      <w:rFonts w:ascii="Cambria Math" w:eastAsia="Cambria Math" w:hAnsi="Cambria Math"/>
                      <w:i/>
                      <w:sz w:val="20"/>
                      <w:szCs w:val="20"/>
                    </w:rPr>
                  </m:ctrlPr>
                </m:sSubPr>
                <m:e>
                  <m:r>
                    <w:rPr>
                      <w:rFonts w:ascii="Cambria Math" w:eastAsia="Cambria Math" w:hAnsi="Cambria Math"/>
                      <w:sz w:val="20"/>
                      <w:szCs w:val="20"/>
                    </w:rPr>
                    <m:t>N</m:t>
                  </m:r>
                </m:e>
                <m:sub>
                  <m:r>
                    <w:rPr>
                      <w:rFonts w:ascii="Cambria Math" w:eastAsia="Cambria Math" w:hAnsi="Cambria Math"/>
                      <w:sz w:val="20"/>
                      <w:szCs w:val="20"/>
                    </w:rPr>
                    <m:t>R</m:t>
                  </m:r>
                  <m:r>
                    <w:rPr>
                      <w:rFonts w:ascii="Cambria Math" w:eastAsiaTheme="minorEastAsia" w:hAnsi="Cambria Math"/>
                      <w:sz w:val="20"/>
                      <w:szCs w:val="20"/>
                    </w:rPr>
                    <m:t>E</m:t>
                  </m:r>
                </m:sub>
              </m:sSub>
            </m:oMath>
            <w:r>
              <w:rPr>
                <w:rFonts w:ascii="Times New Roman" w:hAnsi="Times New Roman"/>
                <w:sz w:val="20"/>
                <w:szCs w:val="20"/>
              </w:rPr>
              <w:t xml:space="preserve"> is the number of resource elements determined as </w:t>
            </w:r>
            <m:oMath>
              <m:sSub>
                <m:sSubPr>
                  <m:ctrlPr>
                    <w:rPr>
                      <w:rFonts w:ascii="Cambria Math" w:eastAsia="Cambria Math" w:hAnsi="Cambria Math"/>
                      <w:i/>
                      <w:sz w:val="20"/>
                      <w:szCs w:val="20"/>
                    </w:rPr>
                  </m:ctrlPr>
                </m:sSubPr>
                <m:e>
                  <m:r>
                    <w:rPr>
                      <w:rFonts w:ascii="Cambria Math" w:eastAsia="Cambria Math" w:hAnsi="Cambria Math"/>
                      <w:sz w:val="20"/>
                      <w:szCs w:val="20"/>
                    </w:rPr>
                    <m:t>N</m:t>
                  </m:r>
                </m:e>
                <m:sub>
                  <m:r>
                    <w:rPr>
                      <w:rFonts w:ascii="Cambria Math" w:eastAsia="Cambria Math" w:hAnsi="Cambria Math"/>
                      <w:sz w:val="20"/>
                      <w:szCs w:val="20"/>
                    </w:rPr>
                    <m:t>RE</m:t>
                  </m:r>
                </m:sub>
              </m:sSub>
              <m:r>
                <m:rPr>
                  <m:sty m:val="p"/>
                </m:rPr>
                <w:rPr>
                  <w:rFonts w:ascii="Cambria Math" w:eastAsia="Cambria Math" w:hAnsi="Cambria Math"/>
                  <w:sz w:val="20"/>
                  <w:szCs w:val="20"/>
                </w:rPr>
                <m:t>=(</m:t>
              </m:r>
              <m:sSubSup>
                <m:sSubSupPr>
                  <m:ctrlPr>
                    <w:rPr>
                      <w:rFonts w:ascii="Cambria Math" w:eastAsia="Cambria Math" w:hAnsi="Cambria Math"/>
                      <w:sz w:val="20"/>
                      <w:szCs w:val="20"/>
                    </w:rPr>
                  </m:ctrlPr>
                </m:sSubSupPr>
                <m:e>
                  <m:r>
                    <w:rPr>
                      <w:rFonts w:ascii="Cambria Math" w:eastAsia="Cambria Math" w:hAnsi="Cambria Math"/>
                      <w:sz w:val="20"/>
                      <w:szCs w:val="20"/>
                    </w:rPr>
                    <m:t>N</m:t>
                  </m:r>
                </m:e>
                <m:sub>
                  <m:r>
                    <w:rPr>
                      <w:rFonts w:ascii="Cambria Math" w:eastAsia="Cambria Math" w:hAnsi="Cambria Math"/>
                      <w:sz w:val="20"/>
                      <w:szCs w:val="20"/>
                    </w:rPr>
                    <m:t>symb</m:t>
                  </m:r>
                </m:sub>
                <m:sup>
                  <m:r>
                    <w:rPr>
                      <w:rFonts w:ascii="Cambria Math" w:eastAsia="Cambria Math" w:hAnsi="Cambria Math"/>
                      <w:sz w:val="20"/>
                      <w:szCs w:val="20"/>
                    </w:rPr>
                    <m:t>UL</m:t>
                  </m:r>
                </m:sup>
              </m:sSubSup>
              <m:r>
                <m:rPr>
                  <m:sty m:val="p"/>
                </m:rPr>
                <w:rPr>
                  <w:rFonts w:ascii="Cambria Math" w:eastAsia="Cambria Math" w:hAnsi="Cambria Math"/>
                  <w:sz w:val="20"/>
                  <w:szCs w:val="20"/>
                </w:rPr>
                <m:t>-1)</m:t>
              </m:r>
              <m:sSubSup>
                <m:sSubSupPr>
                  <m:ctrlPr>
                    <w:rPr>
                      <w:rFonts w:ascii="Cambria Math" w:eastAsia="Cambria Math" w:hAnsi="Cambria Math"/>
                      <w:sz w:val="20"/>
                      <w:szCs w:val="20"/>
                    </w:rPr>
                  </m:ctrlPr>
                </m:sSubSupPr>
                <m:e>
                  <m:r>
                    <w:rPr>
                      <w:rFonts w:ascii="Cambria Math" w:eastAsia="Cambria Math" w:hAnsi="Cambria Math"/>
                      <w:sz w:val="20"/>
                      <w:szCs w:val="20"/>
                    </w:rPr>
                    <m:t>N</m:t>
                  </m:r>
                </m:e>
                <m:sub>
                  <m:r>
                    <w:rPr>
                      <w:rFonts w:ascii="Cambria Math" w:eastAsia="Cambria Math" w:hAnsi="Cambria Math"/>
                      <w:sz w:val="20"/>
                      <w:szCs w:val="20"/>
                    </w:rPr>
                    <m:t>slots</m:t>
                  </m:r>
                </m:sub>
                <m:sup>
                  <m:r>
                    <w:rPr>
                      <w:rFonts w:ascii="Cambria Math" w:eastAsia="Cambria Math" w:hAnsi="Cambria Math"/>
                      <w:sz w:val="20"/>
                      <w:szCs w:val="20"/>
                    </w:rPr>
                    <m:t>UL</m:t>
                  </m:r>
                </m:sup>
              </m:sSubSup>
              <m:sSubSup>
                <m:sSubSupPr>
                  <m:ctrlPr>
                    <w:rPr>
                      <w:rFonts w:ascii="Cambria Math" w:eastAsia="Cambria Math" w:hAnsi="Cambria Math"/>
                      <w:sz w:val="20"/>
                      <w:szCs w:val="20"/>
                    </w:rPr>
                  </m:ctrlPr>
                </m:sSubSupPr>
                <m:e>
                  <m:r>
                    <w:rPr>
                      <w:rFonts w:ascii="Cambria Math" w:eastAsia="Cambria Math" w:hAnsi="Cambria Math"/>
                      <w:sz w:val="20"/>
                      <w:szCs w:val="20"/>
                    </w:rPr>
                    <m:t>N</m:t>
                  </m:r>
                </m:e>
                <m:sub>
                  <m:r>
                    <w:rPr>
                      <w:rFonts w:ascii="Cambria Math" w:eastAsia="Cambria Math" w:hAnsi="Cambria Math"/>
                      <w:sz w:val="20"/>
                      <w:szCs w:val="20"/>
                    </w:rPr>
                    <m:t>sc</m:t>
                  </m:r>
                </m:sub>
                <m:sup>
                  <m:r>
                    <w:rPr>
                      <w:rFonts w:ascii="Cambria Math" w:eastAsia="Cambria Math" w:hAnsi="Cambria Math"/>
                      <w:sz w:val="20"/>
                      <w:szCs w:val="20"/>
                    </w:rPr>
                    <m:t>RU</m:t>
                  </m:r>
                </m:sup>
              </m:sSubSup>
              <m:sSub>
                <m:sSubPr>
                  <m:ctrlPr>
                    <w:rPr>
                      <w:rFonts w:ascii="Cambria Math" w:eastAsia="Cambria Math" w:hAnsi="Cambria Math"/>
                      <w:i/>
                      <w:sz w:val="20"/>
                      <w:szCs w:val="20"/>
                    </w:rPr>
                  </m:ctrlPr>
                </m:sSubPr>
                <m:e>
                  <m:r>
                    <w:rPr>
                      <w:rFonts w:ascii="Cambria Math" w:eastAsia="Cambria Math" w:hAnsi="Cambria Math"/>
                      <w:sz w:val="20"/>
                      <w:szCs w:val="20"/>
                    </w:rPr>
                    <m:t>N</m:t>
                  </m:r>
                </m:e>
                <m:sub>
                  <m:r>
                    <w:rPr>
                      <w:rFonts w:ascii="Cambria Math" w:eastAsia="Cambria Math" w:hAnsi="Cambria Math"/>
                      <w:sz w:val="20"/>
                      <w:szCs w:val="20"/>
                    </w:rPr>
                    <m:t>RU</m:t>
                  </m:r>
                </m:sub>
              </m:sSub>
            </m:oMath>
            <w:r>
              <w:rPr>
                <w:rFonts w:ascii="Times New Roman" w:hAnsi="Times New Roman"/>
                <w:sz w:val="20"/>
                <w:szCs w:val="20"/>
              </w:rPr>
              <w:t xml:space="preserve"> where </w:t>
            </w:r>
            <m:oMath>
              <m:sSubSup>
                <m:sSubSupPr>
                  <m:ctrlPr>
                    <w:rPr>
                      <w:rFonts w:ascii="Cambria Math" w:eastAsia="Cambria Math" w:hAnsi="Cambria Math"/>
                      <w:sz w:val="20"/>
                      <w:szCs w:val="20"/>
                    </w:rPr>
                  </m:ctrlPr>
                </m:sSubSupPr>
                <m:e>
                  <m:r>
                    <w:rPr>
                      <w:rFonts w:ascii="Cambria Math" w:eastAsia="Cambria Math" w:hAnsi="Cambria Math"/>
                      <w:sz w:val="20"/>
                      <w:szCs w:val="20"/>
                    </w:rPr>
                    <m:t>N</m:t>
                  </m:r>
                </m:e>
                <m:sub>
                  <m:r>
                    <w:rPr>
                      <w:rFonts w:ascii="Cambria Math" w:eastAsia="Cambria Math" w:hAnsi="Cambria Math"/>
                      <w:sz w:val="20"/>
                      <w:szCs w:val="20"/>
                    </w:rPr>
                    <m:t>symb</m:t>
                  </m:r>
                </m:sub>
                <m:sup>
                  <m:r>
                    <w:rPr>
                      <w:rFonts w:ascii="Cambria Math" w:eastAsia="Cambria Math" w:hAnsi="Cambria Math"/>
                      <w:sz w:val="20"/>
                      <w:szCs w:val="20"/>
                    </w:rPr>
                    <m:t>UL</m:t>
                  </m:r>
                </m:sup>
              </m:sSubSup>
            </m:oMath>
            <w:r>
              <w:rPr>
                <w:rFonts w:ascii="Times New Roman" w:hAnsi="Times New Roman"/>
                <w:sz w:val="20"/>
                <w:szCs w:val="20"/>
              </w:rPr>
              <w:t xml:space="preserve">, </w:t>
            </w:r>
            <m:oMath>
              <m:sSubSup>
                <m:sSubSupPr>
                  <m:ctrlPr>
                    <w:rPr>
                      <w:rFonts w:ascii="Cambria Math" w:eastAsia="Cambria Math" w:hAnsi="Cambria Math"/>
                      <w:sz w:val="20"/>
                      <w:szCs w:val="20"/>
                    </w:rPr>
                  </m:ctrlPr>
                </m:sSubSupPr>
                <m:e>
                  <m:r>
                    <w:rPr>
                      <w:rFonts w:ascii="Cambria Math" w:eastAsia="Cambria Math" w:hAnsi="Cambria Math"/>
                      <w:sz w:val="20"/>
                      <w:szCs w:val="20"/>
                    </w:rPr>
                    <m:t>N</m:t>
                  </m:r>
                </m:e>
                <m:sub>
                  <m:r>
                    <w:rPr>
                      <w:rFonts w:ascii="Cambria Math" w:eastAsia="Cambria Math" w:hAnsi="Cambria Math"/>
                      <w:sz w:val="20"/>
                      <w:szCs w:val="20"/>
                    </w:rPr>
                    <m:t>slots</m:t>
                  </m:r>
                </m:sub>
                <m:sup>
                  <m:r>
                    <w:rPr>
                      <w:rFonts w:ascii="Cambria Math" w:eastAsia="Cambria Math" w:hAnsi="Cambria Math"/>
                      <w:sz w:val="20"/>
                      <w:szCs w:val="20"/>
                    </w:rPr>
                    <m:t>UL</m:t>
                  </m:r>
                </m:sup>
              </m:sSubSup>
            </m:oMath>
            <w:r>
              <w:rPr>
                <w:rFonts w:ascii="Times New Roman" w:hAnsi="Times New Roman"/>
                <w:sz w:val="20"/>
                <w:szCs w:val="20"/>
              </w:rPr>
              <w:t xml:space="preserve">,  </w:t>
            </w:r>
            <m:oMath>
              <m:sSubSup>
                <m:sSubSupPr>
                  <m:ctrlPr>
                    <w:rPr>
                      <w:rFonts w:ascii="Cambria Math" w:eastAsia="Cambria Math" w:hAnsi="Cambria Math"/>
                      <w:sz w:val="20"/>
                      <w:szCs w:val="20"/>
                    </w:rPr>
                  </m:ctrlPr>
                </m:sSubSupPr>
                <m:e>
                  <m:r>
                    <w:rPr>
                      <w:rFonts w:ascii="Cambria Math" w:eastAsia="Cambria Math" w:hAnsi="Cambria Math"/>
                      <w:sz w:val="20"/>
                      <w:szCs w:val="20"/>
                    </w:rPr>
                    <m:t>N</m:t>
                  </m:r>
                </m:e>
                <m:sub>
                  <m:r>
                    <w:rPr>
                      <w:rFonts w:ascii="Cambria Math" w:eastAsia="Cambria Math" w:hAnsi="Cambria Math"/>
                      <w:sz w:val="20"/>
                      <w:szCs w:val="20"/>
                    </w:rPr>
                    <m:t>sc</m:t>
                  </m:r>
                </m:sub>
                <m:sup>
                  <m:r>
                    <w:rPr>
                      <w:rFonts w:ascii="Cambria Math" w:eastAsia="Cambria Math" w:hAnsi="Cambria Math"/>
                      <w:sz w:val="20"/>
                      <w:szCs w:val="20"/>
                    </w:rPr>
                    <m:t>RU</m:t>
                  </m:r>
                </m:sup>
              </m:sSubSup>
            </m:oMath>
            <w:r>
              <w:rPr>
                <w:rFonts w:ascii="Times New Roman" w:hAnsi="Times New Roman"/>
                <w:sz w:val="20"/>
                <w:szCs w:val="20"/>
              </w:rPr>
              <w:t xml:space="preserve"> are defined in TS36.211, and </w:t>
            </w:r>
            <m:oMath>
              <m:sSub>
                <m:sSubPr>
                  <m:ctrlPr>
                    <w:rPr>
                      <w:rFonts w:ascii="Cambria Math" w:eastAsia="Cambria Math" w:hAnsi="Cambria Math"/>
                      <w:i/>
                      <w:sz w:val="20"/>
                      <w:szCs w:val="20"/>
                    </w:rPr>
                  </m:ctrlPr>
                </m:sSubPr>
                <m:e>
                  <m:r>
                    <w:rPr>
                      <w:rFonts w:ascii="Cambria Math" w:eastAsia="Cambria Math" w:hAnsi="Cambria Math"/>
                      <w:sz w:val="20"/>
                      <w:szCs w:val="20"/>
                    </w:rPr>
                    <m:t>N</m:t>
                  </m:r>
                </m:e>
                <m:sub>
                  <m:r>
                    <w:rPr>
                      <w:rFonts w:ascii="Cambria Math" w:eastAsia="Cambria Math" w:hAnsi="Cambria Math"/>
                      <w:sz w:val="20"/>
                      <w:szCs w:val="20"/>
                    </w:rPr>
                    <m:t>RU</m:t>
                  </m:r>
                </m:sub>
              </m:sSub>
            </m:oMath>
            <w:r>
              <w:rPr>
                <w:rFonts w:ascii="Times New Roman" w:hAnsi="Times New Roman"/>
                <w:sz w:val="20"/>
                <w:szCs w:val="20"/>
              </w:rPr>
              <w:t xml:space="preserve"> is defined in section 16.5.1.1 </w:t>
            </w:r>
            <w:r>
              <w:rPr>
                <w:rFonts w:ascii="Times New Roman" w:hAnsi="Times New Roman" w:hint="eastAsia"/>
                <w:sz w:val="20"/>
                <w:szCs w:val="20"/>
              </w:rPr>
              <w:t>in</w:t>
            </w:r>
            <w:r>
              <w:rPr>
                <w:rFonts w:ascii="Times New Roman" w:hAnsi="Times New Roman"/>
                <w:sz w:val="20"/>
                <w:szCs w:val="20"/>
              </w:rPr>
              <w:t xml:space="preserve"> </w:t>
            </w:r>
            <w:r>
              <w:rPr>
                <w:rFonts w:ascii="Times New Roman" w:hAnsi="Times New Roman" w:hint="eastAsia"/>
                <w:sz w:val="20"/>
                <w:szCs w:val="20"/>
              </w:rPr>
              <w:t>TS</w:t>
            </w:r>
            <w:r>
              <w:rPr>
                <w:rFonts w:ascii="Times New Roman" w:hAnsi="Times New Roman"/>
                <w:sz w:val="20"/>
                <w:szCs w:val="20"/>
              </w:rPr>
              <w:t>36.213.</w:t>
            </w:r>
          </w:p>
          <w:p w14:paraId="4DE57D9D" w14:textId="77777777" w:rsidR="0098092C" w:rsidRDefault="0098092C">
            <w:pPr>
              <w:pStyle w:val="ListParagraph"/>
              <w:ind w:left="470"/>
              <w:rPr>
                <w:rFonts w:ascii="Times New Roman" w:hAnsi="Times New Roman"/>
                <w:sz w:val="20"/>
                <w:szCs w:val="20"/>
              </w:rPr>
            </w:pPr>
          </w:p>
          <w:p w14:paraId="7810E1EC" w14:textId="77777777" w:rsidR="0098092C" w:rsidRDefault="0030498B">
            <w:pPr>
              <w:rPr>
                <w:szCs w:val="20"/>
              </w:rPr>
            </w:pPr>
            <w:r>
              <w:rPr>
                <w:b/>
                <w:i/>
                <w:sz w:val="20"/>
                <w:szCs w:val="20"/>
              </w:rPr>
              <w:t>Proposal 3: Introduce parameter Δ</w:t>
            </w:r>
            <w:r>
              <w:rPr>
                <w:b/>
                <w:i/>
                <w:sz w:val="20"/>
                <w:szCs w:val="20"/>
                <w:vertAlign w:val="subscript"/>
              </w:rPr>
              <w:t>TF</w:t>
            </w:r>
            <w:r>
              <w:rPr>
                <w:b/>
                <w:i/>
                <w:sz w:val="20"/>
                <w:szCs w:val="20"/>
              </w:rPr>
              <w:t xml:space="preserve"> to uplink power control enhancement in NBIoT.</w:t>
            </w:r>
          </w:p>
        </w:tc>
      </w:tr>
      <w:tr w:rsidR="0098092C" w14:paraId="3FB4A41F" w14:textId="77777777">
        <w:tc>
          <w:tcPr>
            <w:tcW w:w="1555" w:type="dxa"/>
          </w:tcPr>
          <w:p w14:paraId="447834BA" w14:textId="77777777" w:rsidR="0098092C" w:rsidRDefault="0030498B">
            <w:pPr>
              <w:rPr>
                <w:szCs w:val="20"/>
              </w:rPr>
            </w:pPr>
            <w:r>
              <w:rPr>
                <w:rFonts w:hint="eastAsia"/>
                <w:szCs w:val="20"/>
              </w:rPr>
              <w:lastRenderedPageBreak/>
              <w:t>[6]</w:t>
            </w:r>
          </w:p>
        </w:tc>
        <w:tc>
          <w:tcPr>
            <w:tcW w:w="7752" w:type="dxa"/>
          </w:tcPr>
          <w:p w14:paraId="528B9DEF" w14:textId="77777777" w:rsidR="0098092C" w:rsidRDefault="0030498B">
            <w:pPr>
              <w:spacing w:before="120" w:afterLines="50"/>
              <w:rPr>
                <w:b/>
                <w:i/>
                <w:lang w:eastAsia="zh-CN"/>
              </w:rPr>
            </w:pPr>
            <w:r>
              <w:rPr>
                <w:b/>
                <w:i/>
                <w:lang w:eastAsia="zh-CN"/>
              </w:rPr>
              <w:t>Observation 1: Option 5 for UL power allocation only provides a fixed power offset for 16-QAM.</w:t>
            </w:r>
          </w:p>
          <w:p w14:paraId="5136B5E9" w14:textId="77777777" w:rsidR="0098092C" w:rsidRDefault="0030498B">
            <w:pPr>
              <w:spacing w:before="120" w:afterLines="50"/>
              <w:rPr>
                <w:b/>
                <w:i/>
                <w:lang w:eastAsia="zh-CN"/>
              </w:rPr>
            </w:pPr>
            <w:r>
              <w:rPr>
                <w:b/>
                <w:i/>
                <w:lang w:eastAsia="zh-CN"/>
              </w:rPr>
              <w:t>Observation 2:</w:t>
            </w:r>
            <w:r>
              <w:rPr>
                <w:rFonts w:hint="eastAsia"/>
                <w:b/>
                <w:i/>
                <w:lang w:eastAsia="zh-CN"/>
              </w:rPr>
              <w:t xml:space="preserve"> For UL power allocation,</w:t>
            </w:r>
            <w:r>
              <w:rPr>
                <w:b/>
                <w:i/>
                <w:lang w:eastAsia="zh-CN"/>
              </w:rPr>
              <w:t xml:space="preserve"> </w:t>
            </w:r>
            <w:r>
              <w:rPr>
                <w:rFonts w:hint="eastAsia"/>
                <w:b/>
                <w:i/>
                <w:lang w:eastAsia="zh-CN"/>
              </w:rPr>
              <w:t>c</w:t>
            </w:r>
            <w:r>
              <w:rPr>
                <w:b/>
                <w:i/>
                <w:lang w:eastAsia="zh-CN"/>
              </w:rPr>
              <w:t xml:space="preserve">ompared with option 2, option 1 provides a finer power offset </w:t>
            </w:r>
            <m:oMath>
              <m:sSub>
                <m:sSubPr>
                  <m:ctrlPr>
                    <w:rPr>
                      <w:rFonts w:ascii="Cambria Math" w:hAnsi="Cambria Math"/>
                      <w:b/>
                      <w:i/>
                    </w:rPr>
                  </m:ctrlPr>
                </m:sSubPr>
                <m:e>
                  <m:r>
                    <m:rPr>
                      <m:sty m:val="bi"/>
                    </m:rPr>
                    <w:rPr>
                      <w:rFonts w:ascii="Cambria Math" w:hAnsi="Cambria Math"/>
                    </w:rPr>
                    <m:t>∆</m:t>
                  </m:r>
                </m:e>
                <m:sub>
                  <m:r>
                    <m:rPr>
                      <m:sty m:val="bi"/>
                    </m:rPr>
                    <w:rPr>
                      <w:rFonts w:ascii="Cambria Math" w:hAnsi="Cambria Math"/>
                    </w:rPr>
                    <m:t>TF,c</m:t>
                  </m:r>
                </m:sub>
              </m:sSub>
            </m:oMath>
            <w:r>
              <w:rPr>
                <w:b/>
                <w:i/>
                <w:lang w:eastAsia="zh-CN"/>
              </w:rPr>
              <w:t xml:space="preserve"> for different TBS under the same MCS.</w:t>
            </w:r>
          </w:p>
          <w:p w14:paraId="3AED8E8D" w14:textId="77777777" w:rsidR="0098092C" w:rsidRDefault="0030498B">
            <w:pPr>
              <w:spacing w:before="120" w:afterLines="50"/>
              <w:rPr>
                <w:b/>
                <w:i/>
                <w:lang w:eastAsia="zh-CN"/>
              </w:rPr>
            </w:pPr>
            <w:r>
              <w:rPr>
                <w:b/>
                <w:i/>
                <w:lang w:eastAsia="zh-CN"/>
              </w:rPr>
              <w:t xml:space="preserve">Observation 3: </w:t>
            </w:r>
            <w:r>
              <w:rPr>
                <w:rFonts w:hint="eastAsia"/>
                <w:b/>
                <w:i/>
                <w:lang w:eastAsia="zh-CN"/>
              </w:rPr>
              <w:t>For UL power allocation, o</w:t>
            </w:r>
            <w:r>
              <w:rPr>
                <w:b/>
                <w:i/>
                <w:lang w:eastAsia="zh-CN"/>
              </w:rPr>
              <w:t xml:space="preserve">ption 1 may cause a larger performance gap between QPSK and 16-QAM due to the power offset. </w:t>
            </w:r>
          </w:p>
          <w:p w14:paraId="46828812" w14:textId="77777777" w:rsidR="0098092C" w:rsidRDefault="0030498B">
            <w:pPr>
              <w:spacing w:before="120" w:afterLines="50"/>
              <w:rPr>
                <w:rFonts w:eastAsia="Batang"/>
                <w:b/>
                <w:i/>
                <w:lang w:eastAsia="ar-SA"/>
              </w:rPr>
            </w:pPr>
            <w:r>
              <w:rPr>
                <w:b/>
                <w:i/>
                <w:lang w:eastAsia="zh-CN"/>
              </w:rPr>
              <w:t xml:space="preserve">Proposal </w:t>
            </w:r>
            <w:r>
              <w:rPr>
                <w:rFonts w:hint="eastAsia"/>
                <w:b/>
                <w:i/>
                <w:lang w:eastAsia="zh-CN"/>
              </w:rPr>
              <w:t>2</w:t>
            </w:r>
            <w:r>
              <w:rPr>
                <w:b/>
                <w:i/>
                <w:lang w:eastAsia="zh-CN"/>
              </w:rPr>
              <w:t xml:space="preserve">: Option </w:t>
            </w:r>
            <w:r>
              <w:rPr>
                <w:rFonts w:eastAsia="Batang"/>
                <w:b/>
                <w:i/>
                <w:lang w:eastAsia="ar-SA"/>
              </w:rPr>
              <w:t xml:space="preserve">4 from Cat 1 </w:t>
            </w:r>
            <w:r>
              <w:rPr>
                <w:b/>
                <w:i/>
                <w:lang w:eastAsia="zh-CN"/>
              </w:rPr>
              <w:t>can be considered</w:t>
            </w:r>
            <w:r>
              <w:rPr>
                <w:rFonts w:eastAsia="Batang"/>
                <w:b/>
                <w:i/>
                <w:lang w:eastAsia="ar-SA"/>
              </w:rPr>
              <w:t xml:space="preserve"> for open loop UL power allocation.</w:t>
            </w:r>
          </w:p>
          <w:p w14:paraId="18AAF402" w14:textId="77777777" w:rsidR="0098092C" w:rsidRDefault="0030498B">
            <w:pPr>
              <w:spacing w:before="120" w:afterLines="50"/>
              <w:rPr>
                <w:b/>
                <w:i/>
                <w:lang w:eastAsia="zh-CN"/>
              </w:rPr>
            </w:pPr>
            <w:r>
              <w:rPr>
                <w:b/>
                <w:i/>
                <w:lang w:eastAsia="zh-CN"/>
              </w:rPr>
              <w:t>Proposal 3: Closed-loop power control should be adopted for 16-QAM</w:t>
            </w:r>
          </w:p>
          <w:p w14:paraId="715F9F8E" w14:textId="77777777" w:rsidR="0098092C" w:rsidRDefault="0030498B">
            <w:pPr>
              <w:numPr>
                <w:ilvl w:val="0"/>
                <w:numId w:val="24"/>
              </w:numPr>
              <w:spacing w:beforeLines="50" w:before="120" w:afterLines="50" w:line="276" w:lineRule="auto"/>
              <w:rPr>
                <w:b/>
                <w:i/>
                <w:lang w:eastAsia="zh-CN"/>
              </w:rPr>
            </w:pPr>
            <w:r>
              <w:rPr>
                <w:b/>
                <w:i/>
                <w:kern w:val="2"/>
                <w:lang w:eastAsia="zh-CN"/>
              </w:rPr>
              <w:t>The</w:t>
            </w:r>
            <w:r>
              <w:rPr>
                <w:rFonts w:hint="eastAsia"/>
                <w:b/>
                <w:i/>
                <w:kern w:val="2"/>
                <w:lang w:eastAsia="zh-CN"/>
              </w:rPr>
              <w:t xml:space="preserve"> </w:t>
            </w:r>
            <w:r>
              <w:rPr>
                <w:b/>
                <w:i/>
                <w:lang w:eastAsia="zh-CN"/>
              </w:rPr>
              <w:t>most significant bit</w:t>
            </w:r>
            <w:r>
              <w:rPr>
                <w:rFonts w:hint="eastAsia"/>
                <w:b/>
                <w:i/>
                <w:kern w:val="2"/>
                <w:lang w:eastAsia="zh-CN"/>
              </w:rPr>
              <w:t xml:space="preserve"> of </w:t>
            </w:r>
            <w:r>
              <w:rPr>
                <w:b/>
                <w:i/>
                <w:kern w:val="2"/>
                <w:lang w:eastAsia="zh-CN"/>
              </w:rPr>
              <w:t>‘</w:t>
            </w:r>
            <w:r>
              <w:rPr>
                <w:rFonts w:hint="eastAsia"/>
                <w:b/>
                <w:i/>
                <w:kern w:val="2"/>
                <w:lang w:eastAsia="zh-CN"/>
              </w:rPr>
              <w:t>subcarrier indication</w:t>
            </w:r>
            <w:r>
              <w:rPr>
                <w:b/>
                <w:i/>
                <w:kern w:val="2"/>
                <w:lang w:eastAsia="zh-CN"/>
              </w:rPr>
              <w:t>’</w:t>
            </w:r>
            <w:r>
              <w:rPr>
                <w:rFonts w:hint="eastAsia"/>
                <w:b/>
                <w:i/>
                <w:kern w:val="2"/>
                <w:lang w:eastAsia="zh-CN"/>
              </w:rPr>
              <w:t xml:space="preserve"> filed can be utilized to </w:t>
            </w:r>
            <w:r>
              <w:rPr>
                <w:b/>
                <w:i/>
                <w:kern w:val="2"/>
                <w:lang w:eastAsia="zh-CN"/>
              </w:rPr>
              <w:t>enable the dynamic power control.</w:t>
            </w:r>
          </w:p>
          <w:p w14:paraId="7C78F894" w14:textId="77777777" w:rsidR="0098092C" w:rsidRDefault="0030498B">
            <w:pPr>
              <w:numPr>
                <w:ilvl w:val="0"/>
                <w:numId w:val="24"/>
              </w:numPr>
              <w:spacing w:beforeLines="50" w:before="120" w:afterLines="100" w:after="240" w:line="276" w:lineRule="auto"/>
              <w:rPr>
                <w:b/>
                <w:i/>
                <w:lang w:eastAsia="zh-CN"/>
              </w:rPr>
            </w:pPr>
            <w:r>
              <w:rPr>
                <w:b/>
                <w:i/>
                <w:kern w:val="2"/>
                <w:lang w:eastAsia="zh-CN"/>
              </w:rPr>
              <w:t xml:space="preserve">If dynamic power control is enabled, </w:t>
            </w:r>
            <w:r>
              <w:rPr>
                <w:rFonts w:eastAsia="Batang"/>
                <w:b/>
                <w:i/>
              </w:rPr>
              <w:t>the “Repetition number” field in DCI Format N0 is utilized to indicate the TBS indices for 16-QAM and the MCS can be utilized to indicate the power offset.</w:t>
            </w:r>
          </w:p>
          <w:p w14:paraId="47E5387B" w14:textId="77777777" w:rsidR="0098092C" w:rsidRDefault="0098092C">
            <w:pPr>
              <w:rPr>
                <w:szCs w:val="20"/>
              </w:rPr>
            </w:pPr>
          </w:p>
        </w:tc>
      </w:tr>
      <w:tr w:rsidR="0098092C" w14:paraId="7149A7CE" w14:textId="77777777">
        <w:tc>
          <w:tcPr>
            <w:tcW w:w="1555" w:type="dxa"/>
          </w:tcPr>
          <w:p w14:paraId="10090026" w14:textId="77777777" w:rsidR="0098092C" w:rsidRDefault="0030498B">
            <w:pPr>
              <w:rPr>
                <w:szCs w:val="20"/>
              </w:rPr>
            </w:pPr>
            <w:r>
              <w:rPr>
                <w:rFonts w:hint="eastAsia"/>
                <w:szCs w:val="20"/>
              </w:rPr>
              <w:t>[7]</w:t>
            </w:r>
          </w:p>
        </w:tc>
        <w:tc>
          <w:tcPr>
            <w:tcW w:w="7752" w:type="dxa"/>
          </w:tcPr>
          <w:p w14:paraId="44575ED6" w14:textId="77777777" w:rsidR="0098092C" w:rsidRDefault="0030498B">
            <w:pPr>
              <w:tabs>
                <w:tab w:val="left" w:pos="7231"/>
              </w:tabs>
              <w:rPr>
                <w:b/>
                <w:sz w:val="20"/>
                <w:szCs w:val="20"/>
              </w:rPr>
            </w:pPr>
            <w:r>
              <w:rPr>
                <w:b/>
                <w:sz w:val="20"/>
                <w:szCs w:val="20"/>
              </w:rPr>
              <w:t>Proposal 2: Take option 1/option 2 as stating point and make final decision at this meeting.</w:t>
            </w:r>
            <w:r>
              <w:rPr>
                <w:b/>
                <w:sz w:val="20"/>
                <w:szCs w:val="20"/>
              </w:rPr>
              <w:tab/>
            </w:r>
          </w:p>
          <w:p w14:paraId="66DE17F3" w14:textId="77777777" w:rsidR="0098092C" w:rsidRDefault="0098092C">
            <w:pPr>
              <w:rPr>
                <w:szCs w:val="20"/>
              </w:rPr>
            </w:pPr>
          </w:p>
        </w:tc>
      </w:tr>
      <w:tr w:rsidR="0098092C" w14:paraId="0FC7B23B" w14:textId="77777777">
        <w:tc>
          <w:tcPr>
            <w:tcW w:w="1555" w:type="dxa"/>
          </w:tcPr>
          <w:p w14:paraId="31B78492" w14:textId="77777777" w:rsidR="0098092C" w:rsidRDefault="0030498B">
            <w:pPr>
              <w:rPr>
                <w:szCs w:val="20"/>
              </w:rPr>
            </w:pPr>
            <w:r>
              <w:rPr>
                <w:rFonts w:hint="eastAsia"/>
                <w:szCs w:val="20"/>
              </w:rPr>
              <w:t>[8]</w:t>
            </w:r>
          </w:p>
        </w:tc>
        <w:tc>
          <w:tcPr>
            <w:tcW w:w="7752" w:type="dxa"/>
          </w:tcPr>
          <w:p w14:paraId="68659CE5" w14:textId="77777777" w:rsidR="0098092C" w:rsidRDefault="0030498B">
            <w:pPr>
              <w:pStyle w:val="Observation"/>
              <w:numPr>
                <w:ilvl w:val="0"/>
                <w:numId w:val="0"/>
              </w:numPr>
              <w:spacing w:line="240" w:lineRule="auto"/>
              <w:ind w:left="360" w:hanging="360"/>
              <w:rPr>
                <w:lang w:val="en-US"/>
              </w:rPr>
            </w:pPr>
            <w:bookmarkStart w:id="24" w:name="_Toc82635149"/>
            <w:bookmarkStart w:id="25" w:name="_Toc83293656"/>
            <w:r>
              <w:rPr>
                <w:lang w:val="en-US"/>
              </w:rPr>
              <w:t>Observation 10 On the additional power control parameter for 16-QAM in UL, in summary:</w:t>
            </w:r>
            <w:bookmarkEnd w:id="24"/>
            <w:bookmarkEnd w:id="25"/>
          </w:p>
          <w:p w14:paraId="1D40DE73" w14:textId="77777777" w:rsidR="0098092C" w:rsidRDefault="0030498B">
            <w:pPr>
              <w:pStyle w:val="Observation"/>
              <w:numPr>
                <w:ilvl w:val="0"/>
                <w:numId w:val="25"/>
              </w:numPr>
              <w:spacing w:line="240" w:lineRule="auto"/>
              <w:rPr>
                <w:lang w:val="en-US"/>
              </w:rPr>
            </w:pPr>
            <w:bookmarkStart w:id="26" w:name="_Toc83293657"/>
            <w:bookmarkStart w:id="27" w:name="_Toc82635150"/>
            <w:r>
              <w:rPr>
                <w:lang w:val="en-US"/>
              </w:rPr>
              <w:t>Category 1:</w:t>
            </w:r>
            <w:bookmarkEnd w:id="26"/>
            <w:bookmarkEnd w:id="27"/>
          </w:p>
          <w:p w14:paraId="5CA2B2C6" w14:textId="77777777" w:rsidR="0098092C" w:rsidRDefault="0030498B">
            <w:pPr>
              <w:pStyle w:val="Observation"/>
              <w:numPr>
                <w:ilvl w:val="1"/>
                <w:numId w:val="25"/>
              </w:numPr>
              <w:spacing w:line="240" w:lineRule="auto"/>
              <w:rPr>
                <w:lang w:val="en-US"/>
              </w:rPr>
            </w:pPr>
            <w:bookmarkStart w:id="28" w:name="_Toc82635151"/>
            <w:bookmarkStart w:id="29" w:name="_Toc83293658"/>
            <w:r>
              <w:rPr>
                <w:lang w:val="en-US"/>
              </w:rPr>
              <w:t>Opt-1 re-uses the Δ</w:t>
            </w:r>
            <w:r>
              <w:rPr>
                <w:vertAlign w:val="subscript"/>
                <w:lang w:val="en-US"/>
              </w:rPr>
              <w:t>TF</w:t>
            </w:r>
            <w:r>
              <w:rPr>
                <w:lang w:val="en-US"/>
              </w:rPr>
              <w:t xml:space="preserve"> expression and the definition of </w:t>
            </w:r>
            <w:r>
              <w:rPr>
                <w:i/>
                <w:iCs/>
                <w:lang w:val="en-US"/>
              </w:rPr>
              <w:t>BPRE</w:t>
            </w:r>
            <w:r>
              <w:t xml:space="preserve">, and as a result it provides </w:t>
            </w:r>
            <w:r>
              <w:rPr>
                <w:lang w:val="en-US"/>
              </w:rPr>
              <w:t>a single Δ</w:t>
            </w:r>
            <w:r>
              <w:rPr>
                <w:vertAlign w:val="subscript"/>
                <w:lang w:val="en-US"/>
              </w:rPr>
              <w:t>TF</w:t>
            </w:r>
            <w:r>
              <w:rPr>
                <w:lang w:val="en-US"/>
              </w:rPr>
              <w:t xml:space="preserve"> regardless of the I</w:t>
            </w:r>
            <w:r>
              <w:rPr>
                <w:vertAlign w:val="subscript"/>
                <w:lang w:val="en-US"/>
              </w:rPr>
              <w:t>TBS</w:t>
            </w:r>
            <w:r>
              <w:rPr>
                <w:lang w:val="en-US"/>
              </w:rPr>
              <w:t xml:space="preserve"> index being used. While re-using the Δ</w:t>
            </w:r>
            <w:r>
              <w:rPr>
                <w:vertAlign w:val="subscript"/>
                <w:lang w:val="en-US"/>
              </w:rPr>
              <w:t>TF</w:t>
            </w:r>
            <w:r>
              <w:rPr>
                <w:lang w:val="en-US"/>
              </w:rPr>
              <w:t xml:space="preserve"> expression seems suitable, reusing the legacy definition of </w:t>
            </w:r>
            <w:r>
              <w:rPr>
                <w:i/>
                <w:iCs/>
                <w:lang w:val="en-US"/>
              </w:rPr>
              <w:t>BPRE</w:t>
            </w:r>
            <w:r>
              <w:rPr>
                <w:lang w:val="en-US"/>
              </w:rPr>
              <w:t xml:space="preserve"> seems to be an unnecessary overcomplication.</w:t>
            </w:r>
            <w:bookmarkEnd w:id="28"/>
            <w:r>
              <w:rPr>
                <w:lang w:val="en-US"/>
              </w:rPr>
              <w:t xml:space="preserve"> The exact resulting value of Δ</w:t>
            </w:r>
            <w:r>
              <w:rPr>
                <w:vertAlign w:val="subscript"/>
                <w:lang w:val="en-US"/>
              </w:rPr>
              <w:t>TF</w:t>
            </w:r>
            <w:r>
              <w:rPr>
                <w:lang w:val="en-US"/>
              </w:rPr>
              <w:t xml:space="preserve"> in dB from Opt-1 has not been provided by the proponent.</w:t>
            </w:r>
            <w:bookmarkEnd w:id="29"/>
          </w:p>
          <w:p w14:paraId="68B13D54" w14:textId="77777777" w:rsidR="0098092C" w:rsidRDefault="0030498B">
            <w:pPr>
              <w:pStyle w:val="Observation"/>
              <w:numPr>
                <w:ilvl w:val="1"/>
                <w:numId w:val="25"/>
              </w:numPr>
              <w:spacing w:line="240" w:lineRule="auto"/>
              <w:rPr>
                <w:lang w:val="en-US"/>
              </w:rPr>
            </w:pPr>
            <w:bookmarkStart w:id="30" w:name="_Toc82635152"/>
            <w:bookmarkStart w:id="31" w:name="_Toc83293659"/>
            <w:r>
              <w:rPr>
                <w:lang w:val="en-US"/>
              </w:rPr>
              <w:t xml:space="preserve">Opt-2 provides one </w:t>
            </w:r>
            <w:r>
              <w:t>Δ</w:t>
            </w:r>
            <w:r>
              <w:rPr>
                <w:vertAlign w:val="subscript"/>
              </w:rPr>
              <w:t>TF</w:t>
            </w:r>
            <w:r>
              <w:rPr>
                <w:sz w:val="18"/>
                <w:lang w:eastAsia="en-US"/>
              </w:rPr>
              <w:t xml:space="preserve"> per I</w:t>
            </w:r>
            <w:r>
              <w:rPr>
                <w:sz w:val="18"/>
                <w:vertAlign w:val="subscript"/>
                <w:lang w:eastAsia="en-US"/>
              </w:rPr>
              <w:t>TBS</w:t>
            </w:r>
            <w:r>
              <w:rPr>
                <w:sz w:val="18"/>
                <w:lang w:eastAsia="en-US"/>
              </w:rPr>
              <w:t xml:space="preserve"> index</w:t>
            </w:r>
            <w:r>
              <w:rPr>
                <w:lang w:val="en-US"/>
              </w:rPr>
              <w:t>.</w:t>
            </w:r>
            <w:r>
              <w:t xml:space="preserve"> </w:t>
            </w:r>
            <w:r>
              <w:rPr>
                <w:lang w:val="en-US"/>
              </w:rPr>
              <w:t>That is, 8 different Δ</w:t>
            </w:r>
            <w:r>
              <w:rPr>
                <w:vertAlign w:val="subscript"/>
                <w:lang w:val="en-US"/>
              </w:rPr>
              <w:t>TFs</w:t>
            </w:r>
            <w:r>
              <w:rPr>
                <w:lang w:val="en-US"/>
              </w:rPr>
              <w:t xml:space="preserve"> would be introduced as to cover the I</w:t>
            </w:r>
            <w:r>
              <w:rPr>
                <w:vertAlign w:val="subscript"/>
                <w:lang w:val="en-US"/>
              </w:rPr>
              <w:t>TBS</w:t>
            </w:r>
            <w:r>
              <w:rPr>
                <w:lang w:val="en-US"/>
              </w:rPr>
              <w:t xml:space="preserve"> indices spanning from 14 to 21</w:t>
            </w:r>
            <w:bookmarkEnd w:id="30"/>
            <w:r>
              <w:rPr>
                <w:lang w:val="en-US"/>
              </w:rPr>
              <w:t xml:space="preserve">. It is unclear from the proponent the methodology that will be used to determine a </w:t>
            </w:r>
            <w:r>
              <w:t>Δ</w:t>
            </w:r>
            <w:r>
              <w:rPr>
                <w:vertAlign w:val="subscript"/>
              </w:rPr>
              <w:t>TF</w:t>
            </w:r>
            <w:r>
              <w:rPr>
                <w:sz w:val="18"/>
                <w:lang w:eastAsia="en-US"/>
              </w:rPr>
              <w:t xml:space="preserve"> per I</w:t>
            </w:r>
            <w:r>
              <w:rPr>
                <w:sz w:val="18"/>
                <w:vertAlign w:val="subscript"/>
                <w:lang w:eastAsia="en-US"/>
              </w:rPr>
              <w:t>TBS</w:t>
            </w:r>
            <w:r>
              <w:rPr>
                <w:sz w:val="18"/>
                <w:lang w:eastAsia="en-US"/>
              </w:rPr>
              <w:t xml:space="preserve"> index.</w:t>
            </w:r>
            <w:bookmarkEnd w:id="31"/>
          </w:p>
          <w:p w14:paraId="728AB2D4" w14:textId="77777777" w:rsidR="0098092C" w:rsidRDefault="0030498B">
            <w:pPr>
              <w:pStyle w:val="Observation"/>
              <w:numPr>
                <w:ilvl w:val="1"/>
                <w:numId w:val="25"/>
              </w:numPr>
              <w:spacing w:line="240" w:lineRule="auto"/>
              <w:rPr>
                <w:lang w:val="en-US"/>
              </w:rPr>
            </w:pPr>
            <w:bookmarkStart w:id="32" w:name="_Toc83293660"/>
            <w:bookmarkStart w:id="33" w:name="_Toc82635153"/>
            <w:r>
              <w:rPr>
                <w:lang w:val="en-US"/>
              </w:rPr>
              <w:t>Opt-4 aims at defining a set of values, from which Δ</w:t>
            </w:r>
            <w:r>
              <w:rPr>
                <w:vertAlign w:val="subscript"/>
                <w:lang w:val="en-US"/>
              </w:rPr>
              <w:t>TF</w:t>
            </w:r>
            <w:r>
              <w:rPr>
                <w:lang w:val="en-US"/>
              </w:rPr>
              <w:t xml:space="preserve"> is selected and delivered to the UE through an RRC parameter, if this RRC parameter is absent then Δ</w:t>
            </w:r>
            <w:r>
              <w:rPr>
                <w:vertAlign w:val="subscript"/>
                <w:lang w:val="en-US"/>
              </w:rPr>
              <w:t>TF</w:t>
            </w:r>
            <w:r>
              <w:rPr>
                <w:lang w:val="en-US"/>
              </w:rPr>
              <w:t xml:space="preserve"> = 0dB will be used.</w:t>
            </w:r>
            <w:r>
              <w:t xml:space="preserve"> </w:t>
            </w:r>
            <w:r>
              <w:rPr>
                <w:lang w:val="en-US"/>
              </w:rPr>
              <w:t>This option can be made to encompass other options, e.g., the resulting numeric values from Opt-1 and/or Opt-5 can be included in the set to be used by Opt-4.</w:t>
            </w:r>
            <w:bookmarkEnd w:id="32"/>
            <w:bookmarkEnd w:id="33"/>
          </w:p>
          <w:p w14:paraId="4DFB5DC2" w14:textId="77777777" w:rsidR="0098092C" w:rsidRDefault="0030498B">
            <w:pPr>
              <w:pStyle w:val="Observation"/>
              <w:numPr>
                <w:ilvl w:val="1"/>
                <w:numId w:val="25"/>
              </w:numPr>
              <w:spacing w:line="240" w:lineRule="auto"/>
              <w:rPr>
                <w:lang w:val="en-US"/>
              </w:rPr>
            </w:pPr>
            <w:bookmarkStart w:id="34" w:name="_Toc82635154"/>
            <w:bookmarkStart w:id="35" w:name="_Toc83293661"/>
            <w:r>
              <w:rPr>
                <w:lang w:val="en-US"/>
              </w:rPr>
              <w:t>Opt-5 re-uses the Δ</w:t>
            </w:r>
            <w:r>
              <w:rPr>
                <w:vertAlign w:val="subscript"/>
                <w:lang w:val="en-US"/>
              </w:rPr>
              <w:t>TF</w:t>
            </w:r>
            <w:r>
              <w:rPr>
                <w:lang w:val="en-US"/>
              </w:rPr>
              <w:t xml:space="preserve"> expression as in LTE and redefines </w:t>
            </w:r>
            <w:r>
              <w:rPr>
                <w:i/>
                <w:iCs/>
                <w:lang w:val="en-US"/>
              </w:rPr>
              <w:t>BPRE</w:t>
            </w:r>
            <w:r>
              <w:rPr>
                <w:lang w:val="en-US"/>
              </w:rPr>
              <w:t xml:space="preserve"> as “</w:t>
            </w:r>
            <w:r>
              <w:rPr>
                <w:i/>
                <w:iCs/>
                <w:lang w:val="en-US"/>
              </w:rPr>
              <w:t>BPRE</w:t>
            </w:r>
            <w:r>
              <w:rPr>
                <w:lang w:val="en-US"/>
              </w:rPr>
              <w:t xml:space="preserve"> = CodeRate</w:t>
            </w:r>
            <w:r>
              <w:rPr>
                <w:vertAlign w:val="subscript"/>
                <w:lang w:val="en-US"/>
              </w:rPr>
              <w:t>max*</w:t>
            </w:r>
            <w:r>
              <w:rPr>
                <w:lang w:val="en-US"/>
              </w:rPr>
              <w:t>Q</w:t>
            </w:r>
            <w:r>
              <w:rPr>
                <w:vertAlign w:val="subscript"/>
                <w:lang w:val="en-US"/>
              </w:rPr>
              <w:t>m</w:t>
            </w:r>
            <w:r>
              <w:rPr>
                <w:lang w:val="en-US"/>
              </w:rPr>
              <w:t>” in order to simplify it.</w:t>
            </w:r>
            <w:r>
              <w:t xml:space="preserve"> As result Opt-3 provides </w:t>
            </w:r>
            <w:r>
              <w:rPr>
                <w:lang w:val="en-US"/>
              </w:rPr>
              <w:t>a single Δ</w:t>
            </w:r>
            <w:r>
              <w:rPr>
                <w:vertAlign w:val="subscript"/>
                <w:lang w:val="en-US"/>
              </w:rPr>
              <w:t>TF</w:t>
            </w:r>
            <w:r>
              <w:rPr>
                <w:lang w:val="en-US"/>
              </w:rPr>
              <w:t xml:space="preserve"> regardless of the I</w:t>
            </w:r>
            <w:r>
              <w:rPr>
                <w:vertAlign w:val="subscript"/>
                <w:lang w:val="en-US"/>
              </w:rPr>
              <w:t>TBS</w:t>
            </w:r>
            <w:r>
              <w:rPr>
                <w:lang w:val="en-US"/>
              </w:rPr>
              <w:t xml:space="preserve"> index being used (The estimated value is Δ</w:t>
            </w:r>
            <w:r>
              <w:rPr>
                <w:vertAlign w:val="subscript"/>
                <w:lang w:val="en-US"/>
              </w:rPr>
              <w:t>TF</w:t>
            </w:r>
            <w:r>
              <w:rPr>
                <w:lang w:val="en-US"/>
              </w:rPr>
              <w:t xml:space="preserve"> = 7.2545 dB).</w:t>
            </w:r>
            <w:bookmarkEnd w:id="34"/>
            <w:bookmarkEnd w:id="35"/>
          </w:p>
          <w:p w14:paraId="3F48C74C" w14:textId="77777777" w:rsidR="0098092C" w:rsidRDefault="0030498B">
            <w:pPr>
              <w:pStyle w:val="Observation"/>
              <w:numPr>
                <w:ilvl w:val="0"/>
                <w:numId w:val="25"/>
              </w:numPr>
              <w:spacing w:line="240" w:lineRule="auto"/>
              <w:rPr>
                <w:lang w:val="en-US"/>
              </w:rPr>
            </w:pPr>
            <w:bookmarkStart w:id="36" w:name="_Toc82635155"/>
            <w:bookmarkStart w:id="37" w:name="_Toc83293662"/>
            <w:r>
              <w:rPr>
                <w:lang w:val="en-US"/>
              </w:rPr>
              <w:lastRenderedPageBreak/>
              <w:t>Category 2:</w:t>
            </w:r>
            <w:bookmarkEnd w:id="36"/>
            <w:bookmarkEnd w:id="37"/>
          </w:p>
          <w:p w14:paraId="6612970F" w14:textId="77777777" w:rsidR="0098092C" w:rsidRDefault="0030498B">
            <w:pPr>
              <w:pStyle w:val="Observation"/>
              <w:numPr>
                <w:ilvl w:val="1"/>
                <w:numId w:val="25"/>
              </w:numPr>
              <w:spacing w:line="240" w:lineRule="auto"/>
              <w:rPr>
                <w:lang w:val="en-US"/>
              </w:rPr>
            </w:pPr>
            <w:bookmarkStart w:id="38" w:name="_Toc82635156"/>
            <w:bookmarkStart w:id="39" w:name="_Toc83293663"/>
            <w:r>
              <w:rPr>
                <w:lang w:val="en-US"/>
              </w:rPr>
              <w:t>Opt-3 aims at introducing a “TPC command” which is to be dynamically signaled via DCI rather than semi-statically signaled as Δ</w:t>
            </w:r>
            <w:r>
              <w:rPr>
                <w:vertAlign w:val="subscript"/>
                <w:lang w:val="en-US"/>
              </w:rPr>
              <w:t>TF</w:t>
            </w:r>
            <w:r>
              <w:rPr>
                <w:lang w:val="en-US"/>
              </w:rPr>
              <w:t>.</w:t>
            </w:r>
            <w:r>
              <w:t xml:space="preserve"> </w:t>
            </w:r>
            <w:r>
              <w:rPr>
                <w:lang w:val="en-US"/>
              </w:rPr>
              <w:t>The purpose of the new term in the UE transmit power control equation is to compensate for the fact that 16-QAM will have more bits per RE than QPSK, rather than compensating for the channel variations as it is the purpose of a TPC command.</w:t>
            </w:r>
            <w:bookmarkEnd w:id="38"/>
            <w:bookmarkEnd w:id="39"/>
            <w:r>
              <w:rPr>
                <w:lang w:val="en-US"/>
              </w:rPr>
              <w:t xml:space="preserve"> The “TPC command” serves a different purpose than was is intended to be achieved through Δ</w:t>
            </w:r>
            <w:r>
              <w:rPr>
                <w:vertAlign w:val="subscript"/>
                <w:lang w:val="en-US"/>
              </w:rPr>
              <w:t>TF</w:t>
            </w:r>
            <w:r>
              <w:rPr>
                <w:lang w:val="en-US"/>
              </w:rPr>
              <w:t>.</w:t>
            </w:r>
          </w:p>
          <w:p w14:paraId="7239FC3A" w14:textId="77777777" w:rsidR="0098092C" w:rsidRDefault="0098092C">
            <w:pPr>
              <w:pStyle w:val="Observation"/>
              <w:numPr>
                <w:ilvl w:val="0"/>
                <w:numId w:val="0"/>
              </w:numPr>
              <w:rPr>
                <w:lang w:val="en-US"/>
              </w:rPr>
            </w:pPr>
          </w:p>
          <w:p w14:paraId="358E3ED9" w14:textId="77777777" w:rsidR="0098092C" w:rsidRDefault="0030498B">
            <w:pPr>
              <w:pStyle w:val="Proposal"/>
              <w:numPr>
                <w:ilvl w:val="0"/>
                <w:numId w:val="0"/>
              </w:numPr>
              <w:spacing w:line="240" w:lineRule="auto"/>
              <w:ind w:left="1701" w:hanging="1701"/>
              <w:rPr>
                <w:lang w:val="en-US"/>
              </w:rPr>
            </w:pPr>
            <w:bookmarkStart w:id="40" w:name="_Toc83293671"/>
            <w:r>
              <w:rPr>
                <w:lang w:val="en-US"/>
              </w:rPr>
              <w:t xml:space="preserve">Proposal 5 </w:t>
            </w:r>
            <w:r>
              <w:t>For the introduction of the new term “Δ</w:t>
            </w:r>
            <w:r>
              <w:rPr>
                <w:vertAlign w:val="subscript"/>
              </w:rPr>
              <w:t>TF</w:t>
            </w:r>
            <w:r>
              <w:t>” into the uplink power control of NPUSCH using 16-QAM, Category 1 is used along with Option 4 as follows:</w:t>
            </w:r>
            <w:bookmarkEnd w:id="40"/>
          </w:p>
          <w:p w14:paraId="2D0DD563" w14:textId="77777777" w:rsidR="0098092C" w:rsidRDefault="0030498B">
            <w:pPr>
              <w:pStyle w:val="Proposal"/>
              <w:numPr>
                <w:ilvl w:val="0"/>
                <w:numId w:val="19"/>
              </w:numPr>
              <w:spacing w:line="240" w:lineRule="auto"/>
              <w:rPr>
                <w:lang w:val="en-US"/>
              </w:rPr>
            </w:pPr>
            <w:bookmarkStart w:id="41" w:name="_Toc83293672"/>
            <w:r>
              <w:t>Δ</w:t>
            </w:r>
            <w:r>
              <w:rPr>
                <w:vertAlign w:val="subscript"/>
              </w:rPr>
              <w:t>TF</w:t>
            </w:r>
            <w:r>
              <w:t xml:space="preserve"> is indicated through a 2-bit HL parameter referring to one of the following values in the set: {2dB, 4dB, [Opt-5Result_dB], [Opt-1Result_dB]} “and if this field is absent then dB0 will be used”.</w:t>
            </w:r>
            <w:bookmarkEnd w:id="41"/>
          </w:p>
          <w:p w14:paraId="06C0068B" w14:textId="77777777" w:rsidR="0098092C" w:rsidRDefault="0098092C">
            <w:pPr>
              <w:rPr>
                <w:szCs w:val="20"/>
              </w:rPr>
            </w:pPr>
          </w:p>
        </w:tc>
      </w:tr>
    </w:tbl>
    <w:p w14:paraId="7B0D2998" w14:textId="77777777" w:rsidR="0098092C" w:rsidRDefault="0098092C"/>
    <w:p w14:paraId="430193D8" w14:textId="77777777" w:rsidR="0098092C" w:rsidRDefault="0098092C"/>
    <w:p w14:paraId="2E91A767" w14:textId="77777777" w:rsidR="0098092C" w:rsidRDefault="0030498B">
      <w:pPr>
        <w:autoSpaceDE/>
        <w:autoSpaceDN/>
        <w:adjustRightInd/>
        <w:snapToGrid/>
        <w:spacing w:line="240" w:lineRule="auto"/>
        <w:rPr>
          <w:szCs w:val="21"/>
          <w:lang w:eastAsia="zh-CN"/>
        </w:rPr>
      </w:pPr>
      <w:r>
        <w:rPr>
          <w:szCs w:val="21"/>
          <w:lang w:eastAsia="zh-CN"/>
        </w:rPr>
        <w:t>In last meeting, t</w:t>
      </w:r>
      <w:r>
        <w:rPr>
          <w:rFonts w:hint="eastAsia"/>
          <w:szCs w:val="21"/>
          <w:lang w:eastAsia="zh-CN"/>
        </w:rPr>
        <w:t xml:space="preserve">he following has been </w:t>
      </w:r>
      <w:r>
        <w:rPr>
          <w:szCs w:val="21"/>
          <w:lang w:eastAsia="zh-CN"/>
        </w:rPr>
        <w:t>achieved:</w:t>
      </w:r>
    </w:p>
    <w:p w14:paraId="24CFDD68" w14:textId="77777777" w:rsidR="0098092C" w:rsidRDefault="0030498B">
      <w:pPr>
        <w:ind w:leftChars="200" w:left="440"/>
        <w:rPr>
          <w:highlight w:val="green"/>
          <w:lang w:eastAsia="ar-SA"/>
        </w:rPr>
      </w:pPr>
      <w:r>
        <w:rPr>
          <w:highlight w:val="green"/>
          <w:lang w:eastAsia="ar-SA"/>
        </w:rPr>
        <w:t>Agreement</w:t>
      </w:r>
    </w:p>
    <w:p w14:paraId="556DA118" w14:textId="77777777" w:rsidR="0098092C" w:rsidRDefault="0030498B">
      <w:pPr>
        <w:ind w:leftChars="200" w:left="440"/>
        <w:rPr>
          <w:lang w:eastAsia="ar-SA"/>
        </w:rPr>
      </w:pPr>
      <w:r>
        <w:rPr>
          <w:rFonts w:hint="cs"/>
          <w:lang w:eastAsia="ar-SA"/>
        </w:rPr>
        <w:t>D</w:t>
      </w:r>
      <w:r>
        <w:rPr>
          <w:lang w:eastAsia="ar-SA"/>
        </w:rPr>
        <w:t>own-select one option from Cat 1 as starting point</w:t>
      </w:r>
    </w:p>
    <w:p w14:paraId="69C9E60A" w14:textId="77777777" w:rsidR="0098092C" w:rsidRDefault="0030498B">
      <w:pPr>
        <w:numPr>
          <w:ilvl w:val="0"/>
          <w:numId w:val="14"/>
        </w:numPr>
        <w:autoSpaceDE/>
        <w:autoSpaceDN/>
        <w:adjustRightInd/>
        <w:snapToGrid/>
        <w:spacing w:after="0" w:line="240" w:lineRule="auto"/>
        <w:ind w:leftChars="564" w:left="1601"/>
        <w:jc w:val="left"/>
        <w:rPr>
          <w:rFonts w:cs="Times"/>
          <w:lang w:eastAsia="ja-JP"/>
        </w:rPr>
      </w:pPr>
      <w:r>
        <w:rPr>
          <w:rFonts w:cs="Times"/>
          <w:lang w:eastAsia="ja-JP"/>
        </w:rPr>
        <w:t>Cat 1: Option 1, Option 2/Option 4, Option 5</w:t>
      </w:r>
    </w:p>
    <w:p w14:paraId="018B030D" w14:textId="77777777" w:rsidR="0098092C" w:rsidRDefault="0030498B">
      <w:pPr>
        <w:ind w:leftChars="200" w:left="440"/>
        <w:rPr>
          <w:rFonts w:cs="Times"/>
          <w:lang w:eastAsia="ja-JP"/>
        </w:rPr>
      </w:pPr>
      <w:r>
        <w:rPr>
          <w:rFonts w:cs="Times"/>
          <w:lang w:eastAsia="ja-JP"/>
        </w:rPr>
        <w:t xml:space="preserve">FFS </w:t>
      </w:r>
      <w:r>
        <w:rPr>
          <w:rFonts w:cs="Times" w:hint="cs"/>
          <w:lang w:eastAsia="ja-JP"/>
        </w:rPr>
        <w:t>C</w:t>
      </w:r>
      <w:r>
        <w:rPr>
          <w:rFonts w:cs="Times"/>
          <w:lang w:eastAsia="ja-JP"/>
        </w:rPr>
        <w:t>at 2: Option 3, for close-loop power control</w:t>
      </w:r>
    </w:p>
    <w:p w14:paraId="4D00AF09" w14:textId="77777777" w:rsidR="0098092C" w:rsidRDefault="0030498B">
      <w:pPr>
        <w:pStyle w:val="ListParagraph"/>
        <w:numPr>
          <w:ilvl w:val="0"/>
          <w:numId w:val="15"/>
        </w:numPr>
        <w:rPr>
          <w:sz w:val="22"/>
          <w:szCs w:val="22"/>
        </w:rPr>
      </w:pPr>
      <w:r>
        <w:rPr>
          <w:rFonts w:ascii="Times New Roman" w:hAnsi="Times New Roman" w:cs="Times New Roman"/>
          <w:sz w:val="22"/>
          <w:szCs w:val="22"/>
        </w:rPr>
        <w:t xml:space="preserve">Option 1: Reuse the LTE definition simplified for NB-IoT: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r>
          <m:rPr>
            <m:sty m:val="p"/>
          </m:rPr>
          <w:rPr>
            <w:rFonts w:ascii="Cambria Math" w:hAnsi="Cambria Math" w:cs="Times New Roman"/>
            <w:sz w:val="22"/>
            <w:szCs w:val="22"/>
          </w:rPr>
          <m:t>=10</m:t>
        </m:r>
        <m:sSub>
          <m:sSubPr>
            <m:ctrlPr>
              <w:rPr>
                <w:rFonts w:ascii="Cambria Math" w:hAnsi="Cambria Math" w:cs="Times New Roman"/>
                <w:sz w:val="22"/>
                <w:szCs w:val="22"/>
              </w:rPr>
            </m:ctrlPr>
          </m:sSubPr>
          <m:e>
            <m:r>
              <m:rPr>
                <m:sty m:val="p"/>
              </m:rPr>
              <w:rPr>
                <w:rFonts w:ascii="Cambria Math" w:hAnsi="Cambria Math" w:cs="Times New Roman"/>
                <w:sz w:val="22"/>
                <w:szCs w:val="22"/>
              </w:rPr>
              <m:t>log</m:t>
            </m:r>
          </m:e>
          <m:sub>
            <m:r>
              <m:rPr>
                <m:sty m:val="p"/>
              </m:rPr>
              <w:rPr>
                <w:rFonts w:ascii="Cambria Math" w:hAnsi="Cambria Math" w:cs="Times New Roman"/>
                <w:sz w:val="22"/>
                <w:szCs w:val="22"/>
              </w:rPr>
              <m:t>10</m:t>
            </m:r>
          </m:sub>
        </m:sSub>
        <m:d>
          <m:dPr>
            <m:ctrlPr>
              <w:rPr>
                <w:rFonts w:ascii="Cambria Math" w:hAnsi="Cambria Math" w:cs="Times New Roman"/>
                <w:sz w:val="22"/>
                <w:szCs w:val="22"/>
              </w:rPr>
            </m:ctrlPr>
          </m:dPr>
          <m:e>
            <m:d>
              <m:dPr>
                <m:ctrlPr>
                  <w:rPr>
                    <w:rFonts w:ascii="Cambria Math" w:hAnsi="Cambria Math" w:cs="Times New Roman"/>
                    <w:sz w:val="22"/>
                    <w:szCs w:val="22"/>
                  </w:rPr>
                </m:ctrlPr>
              </m:dPr>
              <m:e>
                <m:sSup>
                  <m:sSupPr>
                    <m:ctrlPr>
                      <w:rPr>
                        <w:rFonts w:ascii="Cambria Math" w:hAnsi="Cambria Math" w:cs="Times New Roman"/>
                        <w:sz w:val="22"/>
                        <w:szCs w:val="22"/>
                      </w:rPr>
                    </m:ctrlPr>
                  </m:sSupPr>
                  <m:e>
                    <m:r>
                      <m:rPr>
                        <m:sty m:val="p"/>
                      </m:rPr>
                      <w:rPr>
                        <w:rFonts w:ascii="Cambria Math" w:hAnsi="Cambria Math" w:cs="Times New Roman"/>
                        <w:sz w:val="22"/>
                        <w:szCs w:val="22"/>
                      </w:rPr>
                      <m:t>2</m:t>
                    </m:r>
                  </m:e>
                  <m:sup>
                    <m:r>
                      <w:rPr>
                        <w:rFonts w:ascii="Cambria Math" w:hAnsi="Cambria Math" w:cs="Times New Roman"/>
                        <w:sz w:val="22"/>
                        <w:szCs w:val="22"/>
                      </w:rPr>
                      <m:t>BPRE</m:t>
                    </m:r>
                    <m:r>
                      <m:rPr>
                        <m:sty m:val="p"/>
                      </m:rPr>
                      <w:rPr>
                        <w:rFonts w:ascii="Cambria Math" w:hAnsi="Cambria Math" w:cs="Times New Roman"/>
                        <w:sz w:val="22"/>
                        <w:szCs w:val="22"/>
                      </w:rPr>
                      <m:t>∙</m:t>
                    </m:r>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sup>
                </m:sSup>
                <m:r>
                  <m:rPr>
                    <m:sty m:val="p"/>
                  </m:rPr>
                  <w:rPr>
                    <w:rFonts w:ascii="Cambria Math" w:hAnsi="Cambria Math" w:cs="Times New Roman"/>
                    <w:sz w:val="22"/>
                    <w:szCs w:val="22"/>
                  </w:rPr>
                  <m:t>-1</m:t>
                </m:r>
              </m:e>
            </m:d>
          </m:e>
        </m:d>
      </m:oMath>
      <w:r>
        <w:rPr>
          <w:rFonts w:hint="eastAsia"/>
          <w:sz w:val="22"/>
          <w:szCs w:val="22"/>
        </w:rPr>
        <w:t xml:space="preserve"> </w:t>
      </w:r>
      <w:r>
        <w:rPr>
          <w:rFonts w:ascii="Times New Roman" w:hAnsi="Times New Roman" w:cs="Times New Roman"/>
          <w:sz w:val="22"/>
          <w:szCs w:val="22"/>
        </w:rPr>
        <w:t xml:space="preserve">for </w:t>
      </w:r>
      <m:oMath>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r>
          <w:rPr>
            <w:rFonts w:ascii="Cambria Math" w:hAnsi="Cambria Math" w:cs="Times New Roman"/>
            <w:sz w:val="22"/>
            <w:szCs w:val="22"/>
          </w:rPr>
          <m:t>=1.25</m:t>
        </m:r>
      </m:oMath>
      <w:r>
        <w:rPr>
          <w:rFonts w:ascii="Times New Roman" w:hAnsi="Times New Roman" w:cs="Times New Roman" w:hint="eastAsia"/>
          <w:sz w:val="22"/>
          <w:szCs w:val="22"/>
        </w:rPr>
        <w:t xml:space="preserve"> and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r>
          <w:rPr>
            <w:rFonts w:ascii="Cambria Math" w:hAnsi="Cambria Math" w:cs="Times New Roman"/>
            <w:sz w:val="22"/>
            <w:szCs w:val="22"/>
          </w:rPr>
          <m:t>=0</m:t>
        </m:r>
      </m:oMath>
      <w:r>
        <w:rPr>
          <w:rFonts w:ascii="Times New Roman" w:hAnsi="Times New Roman" w:cs="Times New Roman" w:hint="eastAsia"/>
          <w:sz w:val="22"/>
          <w:szCs w:val="22"/>
        </w:rPr>
        <w:t xml:space="preserve"> </w:t>
      </w:r>
      <w:r>
        <w:rPr>
          <w:rFonts w:ascii="Times New Roman" w:hAnsi="Times New Roman" w:cs="Times New Roman"/>
          <w:sz w:val="22"/>
          <w:szCs w:val="22"/>
        </w:rPr>
        <w:t xml:space="preserve">for </w:t>
      </w:r>
      <m:oMath>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r>
          <w:rPr>
            <w:rFonts w:ascii="Cambria Math" w:hAnsi="Cambria Math" w:cs="Times New Roman"/>
            <w:sz w:val="22"/>
            <w:szCs w:val="22"/>
          </w:rPr>
          <m:t>=0</m:t>
        </m:r>
      </m:oMath>
      <w:r>
        <w:rPr>
          <w:rFonts w:ascii="Times New Roman" w:hAnsi="Times New Roman" w:cs="Times New Roman" w:hint="eastAsia"/>
          <w:sz w:val="22"/>
          <w:szCs w:val="22"/>
        </w:rPr>
        <w:t xml:space="preserve">, where </w:t>
      </w:r>
      <m:oMath>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oMath>
      <w:r>
        <w:rPr>
          <w:rFonts w:ascii="Times New Roman" w:hAnsi="Times New Roman" w:cs="Times New Roman" w:hint="eastAsia"/>
          <w:sz w:val="22"/>
          <w:szCs w:val="22"/>
        </w:rPr>
        <w:t xml:space="preserve"> is given by higher layer parameter </w:t>
      </w:r>
      <w:r>
        <w:rPr>
          <w:rFonts w:ascii="Times New Roman" w:hAnsi="Times New Roman" w:cs="Times New Roman"/>
          <w:i/>
          <w:sz w:val="22"/>
          <w:szCs w:val="22"/>
        </w:rPr>
        <w:t>deltaMCS-Enabled</w:t>
      </w:r>
      <w:r>
        <w:rPr>
          <w:rFonts w:ascii="Times New Roman" w:hAnsi="Times New Roman" w:cs="Times New Roman"/>
          <w:sz w:val="22"/>
          <w:szCs w:val="22"/>
        </w:rPr>
        <w:t xml:space="preserve">, and </w:t>
      </w:r>
      <m:oMath>
        <m:r>
          <w:rPr>
            <w:rFonts w:ascii="Cambria Math" w:hAnsi="Cambria Math" w:cs="Times New Roman"/>
            <w:sz w:val="22"/>
            <w:szCs w:val="22"/>
          </w:rPr>
          <m:t>BPRE=</m:t>
        </m:r>
        <m:f>
          <m:fPr>
            <m:ctrlPr>
              <w:rPr>
                <w:rFonts w:ascii="Cambria Math" w:hAnsi="Cambria Math" w:cs="Times New Roman"/>
                <w:i/>
                <w:sz w:val="22"/>
                <w:szCs w:val="22"/>
              </w:rPr>
            </m:ctrlPr>
          </m:fPr>
          <m:num>
            <m:r>
              <w:rPr>
                <w:rFonts w:ascii="Cambria Math" w:hAnsi="Cambria Math" w:cs="Times New Roman"/>
                <w:sz w:val="22"/>
                <w:szCs w:val="22"/>
              </w:rPr>
              <m:t>K</m:t>
            </m:r>
          </m:num>
          <m:den>
            <m:sSub>
              <m:sSubPr>
                <m:ctrlPr>
                  <w:rPr>
                    <w:rFonts w:ascii="Cambria Math" w:hAnsi="Cambria Math" w:cs="Times New Roman"/>
                    <w:i/>
                    <w:sz w:val="22"/>
                    <w:szCs w:val="22"/>
                  </w:rPr>
                </m:ctrlPr>
              </m:sSubPr>
              <m:e>
                <m:r>
                  <w:rPr>
                    <w:rFonts w:ascii="Cambria Math" w:hAnsi="Cambria Math" w:cs="Times New Roman"/>
                    <w:sz w:val="22"/>
                    <w:szCs w:val="22"/>
                  </w:rPr>
                  <m:t>N</m:t>
                </m:r>
              </m:e>
              <m:sub>
                <m:r>
                  <w:rPr>
                    <w:rFonts w:ascii="Cambria Math" w:hAnsi="Cambria Math" w:cs="Times New Roman"/>
                    <w:sz w:val="22"/>
                    <w:szCs w:val="22"/>
                  </w:rPr>
                  <m:t>RE</m:t>
                </m:r>
              </m:sub>
            </m:sSub>
          </m:den>
        </m:f>
      </m:oMath>
      <w:r>
        <w:rPr>
          <w:sz w:val="22"/>
          <w:szCs w:val="22"/>
        </w:rPr>
        <w:t xml:space="preserve"> </w:t>
      </w:r>
      <w:r>
        <w:rPr>
          <w:rFonts w:ascii="Times New Roman" w:hAnsi="Times New Roman" w:cs="Times New Roman"/>
          <w:sz w:val="22"/>
          <w:szCs w:val="22"/>
        </w:rPr>
        <w:t>where K is the code block size.</w:t>
      </w:r>
    </w:p>
    <w:p w14:paraId="2E47D7A5" w14:textId="77777777" w:rsidR="0098092C" w:rsidRDefault="0030498B">
      <w:pPr>
        <w:pStyle w:val="ListParagraph"/>
        <w:numPr>
          <w:ilvl w:val="0"/>
          <w:numId w:val="15"/>
        </w:numPr>
        <w:rPr>
          <w:sz w:val="22"/>
          <w:szCs w:val="22"/>
        </w:rPr>
      </w:pPr>
      <w:r>
        <w:rPr>
          <w:rFonts w:ascii="Times New Roman" w:hAnsi="Times New Roman" w:cs="Times New Roman"/>
          <w:sz w:val="22"/>
          <w:szCs w:val="22"/>
        </w:rPr>
        <w:t xml:space="preserve">Option 2: </w:t>
      </w:r>
      <m:oMath>
        <m:sSub>
          <m:sSubPr>
            <m:ctrlPr>
              <w:rPr>
                <w:rFonts w:ascii="Cambria Math" w:hAnsi="Cambria Math"/>
                <w:sz w:val="22"/>
                <w:szCs w:val="22"/>
              </w:rPr>
            </m:ctrlPr>
          </m:sSubPr>
          <m:e>
            <m:r>
              <m:rPr>
                <m:sty m:val="p"/>
              </m:rPr>
              <w:rPr>
                <w:rFonts w:ascii="Cambria Math" w:hAnsi="Cambria Math"/>
                <w:sz w:val="22"/>
                <w:szCs w:val="22"/>
              </w:rPr>
              <m:t>∆</m:t>
            </m:r>
          </m:e>
          <m:sub>
            <m:r>
              <w:rPr>
                <w:rFonts w:ascii="Cambria Math" w:hAnsi="Cambria Math"/>
                <w:sz w:val="22"/>
                <w:szCs w:val="22"/>
              </w:rPr>
              <m:t>TF</m:t>
            </m:r>
            <m:r>
              <m:rPr>
                <m:sty m:val="p"/>
              </m:rPr>
              <w:rPr>
                <w:rFonts w:ascii="Cambria Math" w:hAnsi="Cambria Math"/>
                <w:sz w:val="22"/>
                <w:szCs w:val="22"/>
              </w:rPr>
              <m:t>,</m:t>
            </m:r>
            <m:r>
              <w:rPr>
                <w:rFonts w:ascii="Cambria Math" w:hAnsi="Cambria Math"/>
                <w:sz w:val="22"/>
                <w:szCs w:val="22"/>
              </w:rPr>
              <m:t>c</m:t>
            </m:r>
          </m:sub>
        </m:sSub>
      </m:oMath>
      <w:r>
        <w:rPr>
          <w:rFonts w:hint="eastAsia"/>
          <w:sz w:val="22"/>
          <w:szCs w:val="22"/>
        </w:rPr>
        <w:t xml:space="preserve"> </w:t>
      </w:r>
      <w:r>
        <w:rPr>
          <w:rFonts w:ascii="Times New Roman" w:hAnsi="Times New Roman" w:cs="Times New Roman"/>
          <w:sz w:val="22"/>
          <w:szCs w:val="22"/>
        </w:rPr>
        <w:t>is given in table based on MCS index if enabled, 0 otherwise.</w:t>
      </w:r>
    </w:p>
    <w:p w14:paraId="15289F0C" w14:textId="77777777" w:rsidR="0098092C" w:rsidRDefault="0030498B">
      <w:pPr>
        <w:pStyle w:val="ListParagraph"/>
        <w:numPr>
          <w:ilvl w:val="0"/>
          <w:numId w:val="15"/>
        </w:numPr>
        <w:rPr>
          <w:sz w:val="22"/>
          <w:szCs w:val="22"/>
        </w:rPr>
      </w:pPr>
      <w:r>
        <w:rPr>
          <w:rFonts w:ascii="Times New Roman" w:hAnsi="Times New Roman" w:cs="Times New Roman"/>
          <w:sz w:val="22"/>
          <w:szCs w:val="22"/>
        </w:rPr>
        <w:t>Option 3: A TPC command is introduce to indicate the power offset for NPUSCH with 16-QAM.</w:t>
      </w:r>
    </w:p>
    <w:p w14:paraId="526A5B7C" w14:textId="77777777" w:rsidR="0098092C" w:rsidRDefault="0030498B">
      <w:pPr>
        <w:pStyle w:val="ListParagraph"/>
        <w:numPr>
          <w:ilvl w:val="0"/>
          <w:numId w:val="15"/>
        </w:numPr>
        <w:rPr>
          <w:sz w:val="22"/>
          <w:szCs w:val="22"/>
        </w:rPr>
      </w:pPr>
      <w:r>
        <w:rPr>
          <w:rFonts w:ascii="Times New Roman" w:hAnsi="Times New Roman" w:cs="Times New Roman" w:hint="eastAsia"/>
          <w:sz w:val="22"/>
          <w:szCs w:val="22"/>
        </w:rPr>
        <w:t xml:space="preserve">Option </w:t>
      </w:r>
      <w:r>
        <w:rPr>
          <w:rFonts w:ascii="Times New Roman" w:hAnsi="Times New Roman" w:cs="Times New Roman"/>
          <w:sz w:val="22"/>
          <w:szCs w:val="22"/>
        </w:rPr>
        <w:t>4</w:t>
      </w:r>
      <w:r>
        <w:rPr>
          <w:rFonts w:ascii="Times New Roman" w:hAnsi="Times New Roman" w:cs="Times New Roman" w:hint="eastAsia"/>
          <w:sz w:val="22"/>
          <w:szCs w:val="22"/>
        </w:rPr>
        <w:t>:</w:t>
      </w:r>
      <w:r>
        <w:rPr>
          <w:rFonts w:hint="eastAsia"/>
          <w:sz w:val="22"/>
          <w:szCs w:val="22"/>
        </w:rPr>
        <w:t xml:space="preserve"> </w:t>
      </w:r>
      <m:oMath>
        <m:sSub>
          <m:sSubPr>
            <m:ctrlPr>
              <w:rPr>
                <w:rFonts w:ascii="Cambria Math" w:hAnsi="Cambria Math"/>
                <w:sz w:val="22"/>
                <w:szCs w:val="22"/>
              </w:rPr>
            </m:ctrlPr>
          </m:sSubPr>
          <m:e>
            <m:r>
              <m:rPr>
                <m:sty m:val="p"/>
              </m:rPr>
              <w:rPr>
                <w:rFonts w:ascii="Cambria Math" w:hAnsi="Cambria Math"/>
                <w:sz w:val="22"/>
                <w:szCs w:val="22"/>
              </w:rPr>
              <m:t>∆</m:t>
            </m:r>
          </m:e>
          <m:sub>
            <m:r>
              <w:rPr>
                <w:rFonts w:ascii="Cambria Math" w:hAnsi="Cambria Math"/>
                <w:sz w:val="22"/>
                <w:szCs w:val="22"/>
              </w:rPr>
              <m:t>TF</m:t>
            </m:r>
            <m:r>
              <m:rPr>
                <m:sty m:val="p"/>
              </m:rPr>
              <w:rPr>
                <w:rFonts w:ascii="Cambria Math" w:hAnsi="Cambria Math"/>
                <w:sz w:val="22"/>
                <w:szCs w:val="22"/>
              </w:rPr>
              <m:t>,</m:t>
            </m:r>
            <m:r>
              <w:rPr>
                <w:rFonts w:ascii="Cambria Math" w:hAnsi="Cambria Math"/>
                <w:sz w:val="22"/>
                <w:szCs w:val="22"/>
              </w:rPr>
              <m:t>c</m:t>
            </m:r>
          </m:sub>
        </m:sSub>
      </m:oMath>
      <w:r>
        <w:rPr>
          <w:rFonts w:hint="eastAsia"/>
          <w:sz w:val="22"/>
          <w:szCs w:val="22"/>
        </w:rPr>
        <w:t xml:space="preserve"> </w:t>
      </w:r>
      <w:r>
        <w:rPr>
          <w:rFonts w:ascii="Times New Roman" w:hAnsi="Times New Roman" w:cs="Times New Roman"/>
          <w:sz w:val="22"/>
          <w:szCs w:val="22"/>
        </w:rPr>
        <w:t>is configured by high layer parameter.</w:t>
      </w:r>
    </w:p>
    <w:p w14:paraId="554492DD" w14:textId="77777777" w:rsidR="0098092C" w:rsidRDefault="0030498B">
      <w:pPr>
        <w:pStyle w:val="ListParagraph"/>
        <w:numPr>
          <w:ilvl w:val="0"/>
          <w:numId w:val="15"/>
        </w:numPr>
        <w:spacing w:after="120" w:line="240" w:lineRule="auto"/>
        <w:ind w:left="777" w:hanging="357"/>
        <w:rPr>
          <w:sz w:val="22"/>
          <w:szCs w:val="22"/>
        </w:rPr>
      </w:pPr>
      <w:r>
        <w:rPr>
          <w:rFonts w:ascii="Times New Roman" w:hAnsi="Times New Roman" w:cs="Times New Roman"/>
          <w:bCs/>
          <w:sz w:val="22"/>
          <w:szCs w:val="22"/>
          <w:lang w:eastAsia="ja-JP"/>
        </w:rPr>
        <w:t>Option 5: Δ</w:t>
      </w:r>
      <w:r>
        <w:rPr>
          <w:rFonts w:ascii="Times New Roman" w:hAnsi="Times New Roman" w:cs="Times New Roman"/>
          <w:bCs/>
          <w:sz w:val="22"/>
          <w:szCs w:val="22"/>
          <w:vertAlign w:val="subscript"/>
          <w:lang w:eastAsia="ja-JP"/>
        </w:rPr>
        <w:t>TF</w:t>
      </w:r>
      <w:r>
        <w:rPr>
          <w:rFonts w:ascii="Times New Roman" w:hAnsi="Times New Roman" w:cs="Times New Roman"/>
          <w:bCs/>
          <w:sz w:val="22"/>
          <w:szCs w:val="22"/>
          <w:lang w:eastAsia="ja-JP"/>
        </w:rPr>
        <w:t xml:space="preserve"> = </w:t>
      </w:r>
      <m:oMath>
        <m:r>
          <m:rPr>
            <m:sty m:val="p"/>
          </m:rPr>
          <w:rPr>
            <w:rFonts w:ascii="Cambria Math" w:hAnsi="Cambria Math" w:cs="Times New Roman"/>
            <w:sz w:val="22"/>
            <w:szCs w:val="22"/>
            <w:lang w:eastAsia="ja-JP"/>
          </w:rPr>
          <m:t>10</m:t>
        </m:r>
        <m:func>
          <m:funcPr>
            <m:ctrlPr>
              <w:rPr>
                <w:rFonts w:ascii="Cambria Math" w:hAnsi="Cambria Math" w:cs="Times New Roman"/>
                <w:bCs/>
                <w:sz w:val="22"/>
                <w:szCs w:val="22"/>
                <w:lang w:eastAsia="ja-JP"/>
              </w:rPr>
            </m:ctrlPr>
          </m:funcPr>
          <m:fName>
            <m:sSub>
              <m:sSubPr>
                <m:ctrlPr>
                  <w:rPr>
                    <w:rFonts w:ascii="Cambria Math" w:hAnsi="Cambria Math" w:cs="Times New Roman"/>
                    <w:bCs/>
                    <w:sz w:val="22"/>
                    <w:szCs w:val="22"/>
                    <w:lang w:eastAsia="ja-JP"/>
                  </w:rPr>
                </m:ctrlPr>
              </m:sSubPr>
              <m:e>
                <m:r>
                  <m:rPr>
                    <m:sty m:val="p"/>
                  </m:rPr>
                  <w:rPr>
                    <w:rFonts w:ascii="Cambria Math" w:hAnsi="Cambria Math" w:cs="Times New Roman"/>
                    <w:sz w:val="22"/>
                    <w:szCs w:val="22"/>
                    <w:lang w:eastAsia="ja-JP"/>
                  </w:rPr>
                  <m:t>log</m:t>
                </m:r>
              </m:e>
              <m:sub>
                <m:r>
                  <m:rPr>
                    <m:sty m:val="p"/>
                  </m:rPr>
                  <w:rPr>
                    <w:rFonts w:ascii="Cambria Math" w:hAnsi="Cambria Math" w:cs="Times New Roman"/>
                    <w:sz w:val="22"/>
                    <w:szCs w:val="22"/>
                    <w:lang w:eastAsia="ja-JP"/>
                  </w:rPr>
                  <m:t>10</m:t>
                </m:r>
              </m:sub>
            </m:sSub>
          </m:fName>
          <m:e>
            <m:d>
              <m:dPr>
                <m:ctrlPr>
                  <w:rPr>
                    <w:rFonts w:ascii="Cambria Math" w:hAnsi="Cambria Math" w:cs="Times New Roman"/>
                    <w:bCs/>
                    <w:sz w:val="22"/>
                    <w:szCs w:val="22"/>
                    <w:lang w:eastAsia="ja-JP"/>
                  </w:rPr>
                </m:ctrlPr>
              </m:dPr>
              <m:e>
                <m:f>
                  <m:fPr>
                    <m:ctrlPr>
                      <w:rPr>
                        <w:rFonts w:ascii="Cambria Math" w:hAnsi="Cambria Math" w:cs="Times New Roman"/>
                        <w:bCs/>
                        <w:sz w:val="22"/>
                        <w:szCs w:val="22"/>
                        <w:lang w:eastAsia="ja-JP"/>
                      </w:rPr>
                    </m:ctrlPr>
                  </m:fPr>
                  <m:num>
                    <m:sSup>
                      <m:sSupPr>
                        <m:ctrlPr>
                          <w:rPr>
                            <w:rFonts w:ascii="Cambria Math" w:hAnsi="Cambria Math" w:cs="Times New Roman"/>
                            <w:bCs/>
                            <w:sz w:val="22"/>
                            <w:szCs w:val="22"/>
                            <w:lang w:eastAsia="ja-JP"/>
                          </w:rPr>
                        </m:ctrlPr>
                      </m:sSupPr>
                      <m:e>
                        <m:r>
                          <m:rPr>
                            <m:sty m:val="p"/>
                          </m:rPr>
                          <w:rPr>
                            <w:rFonts w:ascii="Cambria Math" w:hAnsi="Cambria Math" w:cs="Times New Roman"/>
                            <w:sz w:val="22"/>
                            <w:szCs w:val="22"/>
                            <w:lang w:eastAsia="ja-JP"/>
                          </w:rPr>
                          <m:t>2</m:t>
                        </m:r>
                      </m:e>
                      <m:sup>
                        <m:d>
                          <m:dPr>
                            <m:ctrlPr>
                              <w:rPr>
                                <w:rFonts w:ascii="Cambria Math" w:hAnsi="Cambria Math" w:cs="Times New Roman"/>
                                <w:bCs/>
                                <w:sz w:val="22"/>
                                <w:szCs w:val="22"/>
                                <w:lang w:eastAsia="ja-JP"/>
                              </w:rPr>
                            </m:ctrlPr>
                          </m:dPr>
                          <m:e>
                            <m:sSub>
                              <m:sSubPr>
                                <m:ctrlPr>
                                  <w:rPr>
                                    <w:rFonts w:ascii="Cambria Math" w:hAnsi="Cambria Math" w:cs="Times New Roman"/>
                                    <w:bCs/>
                                    <w:sz w:val="22"/>
                                    <w:szCs w:val="22"/>
                                    <w:lang w:eastAsia="ja-JP"/>
                                  </w:rPr>
                                </m:ctrlPr>
                              </m:sSubPr>
                              <m:e>
                                <m:r>
                                  <w:rPr>
                                    <w:rFonts w:ascii="Cambria Math" w:hAnsi="Cambria Math" w:cs="Times New Roman"/>
                                    <w:sz w:val="22"/>
                                    <w:szCs w:val="22"/>
                                    <w:lang w:eastAsia="ja-JP"/>
                                  </w:rPr>
                                  <m:t>BPRE</m:t>
                                </m:r>
                              </m:e>
                              <m:sub>
                                <m:r>
                                  <w:rPr>
                                    <w:rFonts w:ascii="Cambria Math" w:hAnsi="Cambria Math" w:cs="Times New Roman"/>
                                    <w:sz w:val="22"/>
                                    <w:szCs w:val="22"/>
                                    <w:lang w:eastAsia="ja-JP"/>
                                  </w:rPr>
                                  <m:t>16QAM</m:t>
                                </m:r>
                              </m:sub>
                            </m:sSub>
                            <m:sSub>
                              <m:sSubPr>
                                <m:ctrlPr>
                                  <w:rPr>
                                    <w:rFonts w:ascii="Cambria Math" w:hAnsi="Cambria Math" w:cs="Times New Roman"/>
                                    <w:bCs/>
                                    <w:sz w:val="22"/>
                                    <w:szCs w:val="22"/>
                                    <w:lang w:eastAsia="ja-JP"/>
                                  </w:rPr>
                                </m:ctrlPr>
                              </m:sSubPr>
                              <m:e>
                                <m:r>
                                  <m:rPr>
                                    <m:sty m:val="p"/>
                                  </m:rPr>
                                  <w:rPr>
                                    <w:rFonts w:ascii="Cambria Math" w:hAnsi="Cambria Math" w:cs="Times New Roman"/>
                                    <w:sz w:val="22"/>
                                    <w:szCs w:val="22"/>
                                    <w:lang w:eastAsia="ja-JP"/>
                                  </w:rPr>
                                  <m:t>∙</m:t>
                                </m:r>
                                <m:r>
                                  <w:rPr>
                                    <w:rFonts w:ascii="Cambria Math" w:hAnsi="Cambria Math" w:cs="Times New Roman"/>
                                    <w:sz w:val="22"/>
                                    <w:szCs w:val="22"/>
                                    <w:lang w:eastAsia="ja-JP"/>
                                  </w:rPr>
                                  <m:t>K</m:t>
                                </m:r>
                              </m:e>
                              <m:sub>
                                <m:r>
                                  <w:rPr>
                                    <w:rFonts w:ascii="Cambria Math" w:hAnsi="Cambria Math" w:cs="Times New Roman"/>
                                    <w:sz w:val="22"/>
                                    <w:szCs w:val="22"/>
                                    <w:lang w:eastAsia="ja-JP"/>
                                  </w:rPr>
                                  <m:t>s</m:t>
                                </m:r>
                              </m:sub>
                            </m:sSub>
                          </m:e>
                        </m:d>
                      </m:sup>
                    </m:sSup>
                    <m:r>
                      <m:rPr>
                        <m:sty m:val="p"/>
                      </m:rPr>
                      <w:rPr>
                        <w:rFonts w:ascii="Cambria Math" w:hAnsi="Cambria Math" w:cs="Times New Roman"/>
                        <w:sz w:val="22"/>
                        <w:szCs w:val="22"/>
                        <w:lang w:eastAsia="ja-JP"/>
                      </w:rPr>
                      <m:t>-1</m:t>
                    </m:r>
                  </m:num>
                  <m:den>
                    <m:sSup>
                      <m:sSupPr>
                        <m:ctrlPr>
                          <w:rPr>
                            <w:rFonts w:ascii="Cambria Math" w:hAnsi="Cambria Math" w:cs="Times New Roman"/>
                            <w:bCs/>
                            <w:sz w:val="22"/>
                            <w:szCs w:val="22"/>
                            <w:lang w:eastAsia="ja-JP"/>
                          </w:rPr>
                        </m:ctrlPr>
                      </m:sSupPr>
                      <m:e>
                        <m:r>
                          <m:rPr>
                            <m:sty m:val="p"/>
                          </m:rPr>
                          <w:rPr>
                            <w:rFonts w:ascii="Cambria Math" w:hAnsi="Cambria Math" w:cs="Times New Roman"/>
                            <w:sz w:val="22"/>
                            <w:szCs w:val="22"/>
                            <w:lang w:eastAsia="ja-JP"/>
                          </w:rPr>
                          <m:t>2</m:t>
                        </m:r>
                      </m:e>
                      <m:sup>
                        <m:d>
                          <m:dPr>
                            <m:ctrlPr>
                              <w:rPr>
                                <w:rFonts w:ascii="Cambria Math" w:hAnsi="Cambria Math" w:cs="Times New Roman"/>
                                <w:bCs/>
                                <w:sz w:val="22"/>
                                <w:szCs w:val="22"/>
                                <w:lang w:eastAsia="ja-JP"/>
                              </w:rPr>
                            </m:ctrlPr>
                          </m:dPr>
                          <m:e>
                            <m:sSub>
                              <m:sSubPr>
                                <m:ctrlPr>
                                  <w:rPr>
                                    <w:rFonts w:ascii="Cambria Math" w:hAnsi="Cambria Math" w:cs="Times New Roman"/>
                                    <w:bCs/>
                                    <w:sz w:val="22"/>
                                    <w:szCs w:val="22"/>
                                    <w:lang w:eastAsia="ja-JP"/>
                                  </w:rPr>
                                </m:ctrlPr>
                              </m:sSubPr>
                              <m:e>
                                <m:r>
                                  <w:rPr>
                                    <w:rFonts w:ascii="Cambria Math" w:hAnsi="Cambria Math" w:cs="Times New Roman"/>
                                    <w:sz w:val="22"/>
                                    <w:szCs w:val="22"/>
                                    <w:lang w:eastAsia="ja-JP"/>
                                  </w:rPr>
                                  <m:t>BPRE</m:t>
                                </m:r>
                              </m:e>
                              <m:sub>
                                <m:r>
                                  <w:rPr>
                                    <w:rFonts w:ascii="Cambria Math" w:hAnsi="Cambria Math" w:cs="Times New Roman"/>
                                    <w:sz w:val="22"/>
                                    <w:szCs w:val="22"/>
                                    <w:lang w:eastAsia="ja-JP"/>
                                  </w:rPr>
                                  <m:t>QPSK</m:t>
                                </m:r>
                              </m:sub>
                            </m:sSub>
                            <m:sSub>
                              <m:sSubPr>
                                <m:ctrlPr>
                                  <w:rPr>
                                    <w:rFonts w:ascii="Cambria Math" w:hAnsi="Cambria Math" w:cs="Times New Roman"/>
                                    <w:bCs/>
                                    <w:sz w:val="22"/>
                                    <w:szCs w:val="22"/>
                                    <w:lang w:eastAsia="ja-JP"/>
                                  </w:rPr>
                                </m:ctrlPr>
                              </m:sSubPr>
                              <m:e>
                                <m:r>
                                  <m:rPr>
                                    <m:sty m:val="p"/>
                                  </m:rPr>
                                  <w:rPr>
                                    <w:rFonts w:ascii="Cambria Math" w:hAnsi="Cambria Math" w:cs="Times New Roman"/>
                                    <w:sz w:val="22"/>
                                    <w:szCs w:val="22"/>
                                    <w:lang w:eastAsia="ja-JP"/>
                                  </w:rPr>
                                  <m:t>∙</m:t>
                                </m:r>
                                <m:r>
                                  <w:rPr>
                                    <w:rFonts w:ascii="Cambria Math" w:hAnsi="Cambria Math" w:cs="Times New Roman"/>
                                    <w:sz w:val="22"/>
                                    <w:szCs w:val="22"/>
                                    <w:lang w:eastAsia="ja-JP"/>
                                  </w:rPr>
                                  <m:t>K</m:t>
                                </m:r>
                              </m:e>
                              <m:sub>
                                <m:r>
                                  <w:rPr>
                                    <w:rFonts w:ascii="Cambria Math" w:hAnsi="Cambria Math" w:cs="Times New Roman"/>
                                    <w:sz w:val="22"/>
                                    <w:szCs w:val="22"/>
                                    <w:lang w:eastAsia="ja-JP"/>
                                  </w:rPr>
                                  <m:t>s</m:t>
                                </m:r>
                              </m:sub>
                            </m:sSub>
                          </m:e>
                        </m:d>
                      </m:sup>
                    </m:sSup>
                    <m:r>
                      <m:rPr>
                        <m:sty m:val="p"/>
                      </m:rPr>
                      <w:rPr>
                        <w:rFonts w:ascii="Cambria Math" w:hAnsi="Cambria Math" w:cs="Times New Roman"/>
                        <w:sz w:val="22"/>
                        <w:szCs w:val="22"/>
                        <w:lang w:eastAsia="ja-JP"/>
                      </w:rPr>
                      <m:t>-1</m:t>
                    </m:r>
                  </m:den>
                </m:f>
              </m:e>
            </m:d>
          </m:e>
        </m:func>
      </m:oMath>
      <w:r>
        <w:rPr>
          <w:rFonts w:ascii="Times New Roman" w:hAnsi="Times New Roman" w:cs="Times New Roman"/>
          <w:bCs/>
          <w:sz w:val="22"/>
          <w:szCs w:val="22"/>
          <w:lang w:eastAsia="ja-JP"/>
        </w:rPr>
        <w:t xml:space="preserve"> for </w:t>
      </w:r>
      <w:r>
        <w:rPr>
          <w:rFonts w:ascii="Times New Roman" w:hAnsi="Times New Roman" w:cs="Times New Roman"/>
          <w:bCs/>
          <w:i/>
          <w:iCs/>
          <w:sz w:val="22"/>
          <w:szCs w:val="22"/>
          <w:lang w:eastAsia="ja-JP"/>
        </w:rPr>
        <w:t>K</w:t>
      </w:r>
      <w:r>
        <w:rPr>
          <w:rFonts w:ascii="Times New Roman" w:hAnsi="Times New Roman" w:cs="Times New Roman"/>
          <w:bCs/>
          <w:i/>
          <w:iCs/>
          <w:sz w:val="22"/>
          <w:szCs w:val="22"/>
          <w:vertAlign w:val="subscript"/>
          <w:lang w:eastAsia="ja-JP"/>
        </w:rPr>
        <w:t>s</w:t>
      </w:r>
      <w:r>
        <w:rPr>
          <w:rFonts w:ascii="Times New Roman" w:hAnsi="Times New Roman" w:cs="Times New Roman"/>
          <w:bCs/>
          <w:sz w:val="22"/>
          <w:szCs w:val="22"/>
          <w:lang w:eastAsia="ja-JP"/>
        </w:rPr>
        <w:t xml:space="preserve"> = 1.25 or Δ</w:t>
      </w:r>
      <w:r>
        <w:rPr>
          <w:rFonts w:ascii="Times New Roman" w:hAnsi="Times New Roman" w:cs="Times New Roman"/>
          <w:bCs/>
          <w:sz w:val="22"/>
          <w:szCs w:val="22"/>
          <w:vertAlign w:val="subscript"/>
          <w:lang w:eastAsia="ja-JP"/>
        </w:rPr>
        <w:t>TF</w:t>
      </w:r>
      <w:r>
        <w:rPr>
          <w:rFonts w:ascii="Times New Roman" w:hAnsi="Times New Roman" w:cs="Times New Roman"/>
          <w:bCs/>
          <w:sz w:val="22"/>
          <w:szCs w:val="22"/>
          <w:lang w:eastAsia="ja-JP"/>
        </w:rPr>
        <w:t xml:space="preserve"> = 0 for </w:t>
      </w:r>
      <w:r>
        <w:rPr>
          <w:rFonts w:ascii="Times New Roman" w:hAnsi="Times New Roman" w:cs="Times New Roman"/>
          <w:bCs/>
          <w:i/>
          <w:iCs/>
          <w:sz w:val="22"/>
          <w:szCs w:val="22"/>
          <w:lang w:eastAsia="ja-JP"/>
        </w:rPr>
        <w:t>K</w:t>
      </w:r>
      <w:r>
        <w:rPr>
          <w:rFonts w:ascii="Times New Roman" w:hAnsi="Times New Roman" w:cs="Times New Roman"/>
          <w:bCs/>
          <w:i/>
          <w:iCs/>
          <w:sz w:val="22"/>
          <w:szCs w:val="22"/>
          <w:vertAlign w:val="subscript"/>
          <w:lang w:eastAsia="ja-JP"/>
        </w:rPr>
        <w:t>s</w:t>
      </w:r>
      <w:r>
        <w:rPr>
          <w:rFonts w:ascii="Times New Roman" w:hAnsi="Times New Roman" w:cs="Times New Roman"/>
          <w:bCs/>
          <w:sz w:val="22"/>
          <w:szCs w:val="22"/>
          <w:lang w:eastAsia="ja-JP"/>
        </w:rPr>
        <w:t xml:space="preserve"> = 0, where BPRE =</w:t>
      </w:r>
      <m:oMath>
        <m:r>
          <m:rPr>
            <m:sty m:val="p"/>
          </m:rPr>
          <w:rPr>
            <w:rFonts w:ascii="Cambria Math" w:hAnsi="Cambria Math" w:cs="Times New Roman"/>
            <w:sz w:val="22"/>
            <w:szCs w:val="22"/>
            <w:lang w:eastAsia="ja-JP"/>
          </w:rPr>
          <m:t xml:space="preserve"> </m:t>
        </m:r>
        <m:sSub>
          <m:sSubPr>
            <m:ctrlPr>
              <w:rPr>
                <w:rFonts w:ascii="Cambria Math" w:hAnsi="Cambria Math" w:cs="Times New Roman"/>
                <w:bCs/>
                <w:sz w:val="22"/>
                <w:szCs w:val="22"/>
                <w:lang w:eastAsia="ja-JP"/>
              </w:rPr>
            </m:ctrlPr>
          </m:sSubPr>
          <m:e>
            <m:sSub>
              <m:sSubPr>
                <m:ctrlPr>
                  <w:rPr>
                    <w:rFonts w:ascii="Cambria Math" w:hAnsi="Cambria Math" w:cs="Times New Roman"/>
                    <w:bCs/>
                    <w:sz w:val="22"/>
                    <w:szCs w:val="22"/>
                    <w:lang w:eastAsia="ja-JP"/>
                  </w:rPr>
                </m:ctrlPr>
              </m:sSubPr>
              <m:e>
                <m:r>
                  <w:rPr>
                    <w:rFonts w:ascii="Cambria Math" w:hAnsi="Cambria Math" w:cs="Times New Roman"/>
                    <w:sz w:val="22"/>
                    <w:szCs w:val="22"/>
                    <w:lang w:eastAsia="ja-JP"/>
                  </w:rPr>
                  <m:t>CodeRate</m:t>
                </m:r>
              </m:e>
              <m:sub>
                <m:r>
                  <w:rPr>
                    <w:rFonts w:ascii="Cambria Math" w:hAnsi="Cambria Math" w:cs="Times New Roman"/>
                    <w:sz w:val="22"/>
                    <w:szCs w:val="22"/>
                    <w:lang w:eastAsia="ja-JP"/>
                  </w:rPr>
                  <m:t>max</m:t>
                </m:r>
              </m:sub>
            </m:sSub>
            <m:r>
              <m:rPr>
                <m:sty m:val="p"/>
              </m:rPr>
              <w:rPr>
                <w:rFonts w:ascii="Cambria Math" w:hAnsi="Cambria Math" w:cs="Times New Roman"/>
                <w:sz w:val="22"/>
                <w:szCs w:val="22"/>
                <w:lang w:eastAsia="ja-JP"/>
              </w:rPr>
              <m:t>∙</m:t>
            </m:r>
            <m:r>
              <w:rPr>
                <w:rFonts w:ascii="Cambria Math" w:hAnsi="Cambria Math" w:cs="Times New Roman"/>
                <w:sz w:val="22"/>
                <w:szCs w:val="22"/>
                <w:lang w:eastAsia="ja-JP"/>
              </w:rPr>
              <m:t>Q</m:t>
            </m:r>
          </m:e>
          <m:sub>
            <m:r>
              <w:rPr>
                <w:rFonts w:ascii="Cambria Math" w:hAnsi="Cambria Math" w:cs="Times New Roman"/>
                <w:sz w:val="22"/>
                <w:szCs w:val="22"/>
                <w:lang w:eastAsia="ja-JP"/>
              </w:rPr>
              <m:t>m</m:t>
            </m:r>
          </m:sub>
        </m:sSub>
      </m:oMath>
      <w:r>
        <w:rPr>
          <w:rFonts w:ascii="Times New Roman" w:hAnsi="Times New Roman" w:cs="Times New Roman"/>
          <w:bCs/>
          <w:sz w:val="22"/>
          <w:szCs w:val="22"/>
          <w:lang w:eastAsia="ja-JP"/>
        </w:rPr>
        <w:t xml:space="preserve">. </w:t>
      </w:r>
      <m:oMath>
        <m:sSub>
          <m:sSubPr>
            <m:ctrlPr>
              <w:rPr>
                <w:rFonts w:ascii="Cambria Math" w:hAnsi="Cambria Math" w:cs="Times New Roman"/>
                <w:bCs/>
                <w:sz w:val="22"/>
                <w:szCs w:val="22"/>
                <w:lang w:eastAsia="ja-JP"/>
              </w:rPr>
            </m:ctrlPr>
          </m:sSubPr>
          <m:e>
            <m:r>
              <w:rPr>
                <w:rFonts w:ascii="Cambria Math" w:hAnsi="Cambria Math" w:cs="Times New Roman"/>
                <w:sz w:val="22"/>
                <w:szCs w:val="22"/>
                <w:lang w:eastAsia="ja-JP"/>
              </w:rPr>
              <m:t>CodeRate</m:t>
            </m:r>
          </m:e>
          <m:sub>
            <m:r>
              <w:rPr>
                <w:rFonts w:ascii="Cambria Math" w:hAnsi="Cambria Math" w:cs="Times New Roman"/>
                <w:sz w:val="22"/>
                <w:szCs w:val="22"/>
                <w:lang w:eastAsia="ja-JP"/>
              </w:rPr>
              <m:t>max</m:t>
            </m:r>
          </m:sub>
        </m:sSub>
      </m:oMath>
      <w:r>
        <w:rPr>
          <w:rFonts w:ascii="Times New Roman" w:hAnsi="Times New Roman" w:cs="Times New Roman"/>
          <w:bCs/>
          <w:sz w:val="22"/>
          <w:szCs w:val="22"/>
          <w:lang w:eastAsia="ja-JP"/>
        </w:rPr>
        <w:t xml:space="preserve"> is the highest code rate in the TBS/MCS table used for the Modulation Scheme, and </w:t>
      </w:r>
      <m:oMath>
        <m:sSub>
          <m:sSubPr>
            <m:ctrlPr>
              <w:rPr>
                <w:rFonts w:ascii="Cambria Math" w:hAnsi="Cambria Math" w:cs="Times New Roman"/>
                <w:bCs/>
                <w:sz w:val="22"/>
                <w:szCs w:val="22"/>
                <w:lang w:eastAsia="ja-JP"/>
              </w:rPr>
            </m:ctrlPr>
          </m:sSubPr>
          <m:e>
            <m:r>
              <w:rPr>
                <w:rFonts w:ascii="Cambria Math" w:hAnsi="Cambria Math" w:cs="Times New Roman"/>
                <w:sz w:val="22"/>
                <w:szCs w:val="22"/>
                <w:lang w:eastAsia="ja-JP"/>
              </w:rPr>
              <m:t>Q</m:t>
            </m:r>
          </m:e>
          <m:sub>
            <m:r>
              <w:rPr>
                <w:rFonts w:ascii="Cambria Math" w:hAnsi="Cambria Math" w:cs="Times New Roman"/>
                <w:sz w:val="22"/>
                <w:szCs w:val="22"/>
                <w:lang w:eastAsia="ja-JP"/>
              </w:rPr>
              <m:t>m</m:t>
            </m:r>
          </m:sub>
        </m:sSub>
      </m:oMath>
      <w:r>
        <w:rPr>
          <w:rFonts w:ascii="Times New Roman" w:hAnsi="Times New Roman" w:cs="Times New Roman"/>
          <w:bCs/>
          <w:sz w:val="22"/>
          <w:szCs w:val="22"/>
          <w:lang w:eastAsia="ja-JP"/>
        </w:rPr>
        <w:t xml:space="preserve"> is the number of bits per M-ary symbol of the Modulation Scheme.</w:t>
      </w:r>
    </w:p>
    <w:p w14:paraId="42C31AED" w14:textId="77777777" w:rsidR="0098092C" w:rsidRDefault="0030498B">
      <w:r>
        <w:rPr>
          <w:rFonts w:hint="eastAsia"/>
        </w:rPr>
        <w:t>On the down</w:t>
      </w:r>
      <w:r>
        <w:t>-</w:t>
      </w:r>
      <w:r>
        <w:rPr>
          <w:rFonts w:hint="eastAsia"/>
        </w:rPr>
        <w:t xml:space="preserve">selection of open loop power control term, </w:t>
      </w:r>
      <w:r>
        <w:t>companies (Huawei, HiSilicon, Qualcomm, Nokia, NSB, Lenovo, Motorola, MTK) support option 1, companies (Nokia, NSB, MTK) support option 2, and companies (ZTE, Sanechips, Ericsson) support option 4.</w:t>
      </w:r>
    </w:p>
    <w:p w14:paraId="51ECCC7D" w14:textId="77777777" w:rsidR="0098092C" w:rsidRDefault="0030498B">
      <w:r>
        <w:t>Based on majority view, the following is proposed:</w:t>
      </w:r>
    </w:p>
    <w:p w14:paraId="046DC1D0" w14:textId="77777777" w:rsidR="0098092C" w:rsidRDefault="0030498B">
      <w:pPr>
        <w:rPr>
          <w:b/>
        </w:rPr>
      </w:pPr>
      <w:r>
        <w:rPr>
          <w:b/>
        </w:rPr>
        <w:t xml:space="preserve">Proposal 4: For the new term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rPr>
          <w:rFonts w:hint="eastAsia"/>
        </w:rPr>
        <w:t xml:space="preserve"> </w:t>
      </w:r>
      <w:r>
        <w:rPr>
          <w:b/>
        </w:rPr>
        <w:t>introduced for power control of NPUSCH,</w:t>
      </w:r>
    </w:p>
    <w:p w14:paraId="01B0F958" w14:textId="77777777" w:rsidR="0098092C" w:rsidRDefault="0030498B">
      <w:pPr>
        <w:pStyle w:val="ListParagraph"/>
        <w:numPr>
          <w:ilvl w:val="0"/>
          <w:numId w:val="15"/>
        </w:numPr>
        <w:rPr>
          <w:sz w:val="22"/>
          <w:szCs w:val="22"/>
        </w:rPr>
      </w:pPr>
      <w:r>
        <w:rPr>
          <w:rFonts w:ascii="Times New Roman" w:hAnsi="Times New Roman" w:cs="Times New Roman"/>
          <w:sz w:val="22"/>
          <w:szCs w:val="22"/>
        </w:rPr>
        <w:lastRenderedPageBreak/>
        <w:t xml:space="preserve">Reuse the LTE definition simplified for NB-IoT: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r>
          <m:rPr>
            <m:sty m:val="p"/>
          </m:rPr>
          <w:rPr>
            <w:rFonts w:ascii="Cambria Math" w:hAnsi="Cambria Math" w:cs="Times New Roman"/>
            <w:sz w:val="22"/>
            <w:szCs w:val="22"/>
          </w:rPr>
          <m:t>=10</m:t>
        </m:r>
        <m:sSub>
          <m:sSubPr>
            <m:ctrlPr>
              <w:rPr>
                <w:rFonts w:ascii="Cambria Math" w:hAnsi="Cambria Math" w:cs="Times New Roman"/>
                <w:sz w:val="22"/>
                <w:szCs w:val="22"/>
              </w:rPr>
            </m:ctrlPr>
          </m:sSubPr>
          <m:e>
            <m:r>
              <m:rPr>
                <m:sty m:val="p"/>
              </m:rPr>
              <w:rPr>
                <w:rFonts w:ascii="Cambria Math" w:hAnsi="Cambria Math" w:cs="Times New Roman"/>
                <w:sz w:val="22"/>
                <w:szCs w:val="22"/>
              </w:rPr>
              <m:t>log</m:t>
            </m:r>
          </m:e>
          <m:sub>
            <m:r>
              <m:rPr>
                <m:sty m:val="p"/>
              </m:rPr>
              <w:rPr>
                <w:rFonts w:ascii="Cambria Math" w:hAnsi="Cambria Math" w:cs="Times New Roman"/>
                <w:sz w:val="22"/>
                <w:szCs w:val="22"/>
              </w:rPr>
              <m:t>10</m:t>
            </m:r>
          </m:sub>
        </m:sSub>
        <m:d>
          <m:dPr>
            <m:ctrlPr>
              <w:rPr>
                <w:rFonts w:ascii="Cambria Math" w:hAnsi="Cambria Math" w:cs="Times New Roman"/>
                <w:sz w:val="22"/>
                <w:szCs w:val="22"/>
              </w:rPr>
            </m:ctrlPr>
          </m:dPr>
          <m:e>
            <m:d>
              <m:dPr>
                <m:ctrlPr>
                  <w:rPr>
                    <w:rFonts w:ascii="Cambria Math" w:hAnsi="Cambria Math" w:cs="Times New Roman"/>
                    <w:sz w:val="22"/>
                    <w:szCs w:val="22"/>
                  </w:rPr>
                </m:ctrlPr>
              </m:dPr>
              <m:e>
                <m:sSup>
                  <m:sSupPr>
                    <m:ctrlPr>
                      <w:rPr>
                        <w:rFonts w:ascii="Cambria Math" w:hAnsi="Cambria Math" w:cs="Times New Roman"/>
                        <w:sz w:val="22"/>
                        <w:szCs w:val="22"/>
                      </w:rPr>
                    </m:ctrlPr>
                  </m:sSupPr>
                  <m:e>
                    <m:r>
                      <m:rPr>
                        <m:sty m:val="p"/>
                      </m:rPr>
                      <w:rPr>
                        <w:rFonts w:ascii="Cambria Math" w:hAnsi="Cambria Math" w:cs="Times New Roman"/>
                        <w:sz w:val="22"/>
                        <w:szCs w:val="22"/>
                      </w:rPr>
                      <m:t>2</m:t>
                    </m:r>
                  </m:e>
                  <m:sup>
                    <m:r>
                      <w:rPr>
                        <w:rFonts w:ascii="Cambria Math" w:hAnsi="Cambria Math" w:cs="Times New Roman"/>
                        <w:sz w:val="22"/>
                        <w:szCs w:val="22"/>
                      </w:rPr>
                      <m:t>BPRE</m:t>
                    </m:r>
                    <m:r>
                      <m:rPr>
                        <m:sty m:val="p"/>
                      </m:rPr>
                      <w:rPr>
                        <w:rFonts w:ascii="Cambria Math" w:hAnsi="Cambria Math" w:cs="Times New Roman"/>
                        <w:sz w:val="22"/>
                        <w:szCs w:val="22"/>
                      </w:rPr>
                      <m:t>∙</m:t>
                    </m:r>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sup>
                </m:sSup>
                <m:r>
                  <m:rPr>
                    <m:sty m:val="p"/>
                  </m:rPr>
                  <w:rPr>
                    <w:rFonts w:ascii="Cambria Math" w:hAnsi="Cambria Math" w:cs="Times New Roman"/>
                    <w:sz w:val="22"/>
                    <w:szCs w:val="22"/>
                  </w:rPr>
                  <m:t>-1</m:t>
                </m:r>
              </m:e>
            </m:d>
          </m:e>
        </m:d>
      </m:oMath>
      <w:r>
        <w:rPr>
          <w:rFonts w:hint="eastAsia"/>
          <w:sz w:val="22"/>
          <w:szCs w:val="22"/>
        </w:rPr>
        <w:t xml:space="preserve"> </w:t>
      </w:r>
      <w:r>
        <w:rPr>
          <w:rFonts w:ascii="Times New Roman" w:hAnsi="Times New Roman" w:cs="Times New Roman"/>
          <w:sz w:val="22"/>
          <w:szCs w:val="22"/>
        </w:rPr>
        <w:t xml:space="preserve">for </w:t>
      </w:r>
      <m:oMath>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r>
          <w:rPr>
            <w:rFonts w:ascii="Cambria Math" w:hAnsi="Cambria Math" w:cs="Times New Roman"/>
            <w:sz w:val="22"/>
            <w:szCs w:val="22"/>
          </w:rPr>
          <m:t>=1.25</m:t>
        </m:r>
      </m:oMath>
      <w:r>
        <w:rPr>
          <w:rFonts w:ascii="Times New Roman" w:hAnsi="Times New Roman" w:cs="Times New Roman" w:hint="eastAsia"/>
          <w:sz w:val="22"/>
          <w:szCs w:val="22"/>
        </w:rPr>
        <w:t xml:space="preserve"> and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r>
          <w:rPr>
            <w:rFonts w:ascii="Cambria Math" w:hAnsi="Cambria Math" w:cs="Times New Roman"/>
            <w:sz w:val="22"/>
            <w:szCs w:val="22"/>
          </w:rPr>
          <m:t>=0</m:t>
        </m:r>
      </m:oMath>
      <w:r>
        <w:rPr>
          <w:rFonts w:ascii="Times New Roman" w:hAnsi="Times New Roman" w:cs="Times New Roman" w:hint="eastAsia"/>
          <w:sz w:val="22"/>
          <w:szCs w:val="22"/>
        </w:rPr>
        <w:t xml:space="preserve"> </w:t>
      </w:r>
      <w:r>
        <w:rPr>
          <w:rFonts w:ascii="Times New Roman" w:hAnsi="Times New Roman" w:cs="Times New Roman"/>
          <w:sz w:val="22"/>
          <w:szCs w:val="22"/>
        </w:rPr>
        <w:t xml:space="preserve">for </w:t>
      </w:r>
      <m:oMath>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r>
          <w:rPr>
            <w:rFonts w:ascii="Cambria Math" w:hAnsi="Cambria Math" w:cs="Times New Roman"/>
            <w:sz w:val="22"/>
            <w:szCs w:val="22"/>
          </w:rPr>
          <m:t>=0</m:t>
        </m:r>
      </m:oMath>
      <w:r>
        <w:rPr>
          <w:rFonts w:ascii="Times New Roman" w:hAnsi="Times New Roman" w:cs="Times New Roman" w:hint="eastAsia"/>
          <w:sz w:val="22"/>
          <w:szCs w:val="22"/>
        </w:rPr>
        <w:t xml:space="preserve">, where </w:t>
      </w:r>
      <m:oMath>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oMath>
      <w:r>
        <w:rPr>
          <w:rFonts w:ascii="Times New Roman" w:hAnsi="Times New Roman" w:cs="Times New Roman" w:hint="eastAsia"/>
          <w:sz w:val="22"/>
          <w:szCs w:val="22"/>
        </w:rPr>
        <w:t xml:space="preserve"> is given by higher layer parameter </w:t>
      </w:r>
      <w:r>
        <w:rPr>
          <w:rFonts w:ascii="Times New Roman" w:hAnsi="Times New Roman" w:cs="Times New Roman"/>
          <w:i/>
          <w:sz w:val="22"/>
          <w:szCs w:val="22"/>
        </w:rPr>
        <w:t>deltaMCS-Enabled</w:t>
      </w:r>
      <w:r>
        <w:rPr>
          <w:rFonts w:ascii="Times New Roman" w:hAnsi="Times New Roman" w:cs="Times New Roman"/>
          <w:sz w:val="22"/>
          <w:szCs w:val="22"/>
        </w:rPr>
        <w:t xml:space="preserve">, and </w:t>
      </w:r>
      <m:oMath>
        <m:r>
          <w:rPr>
            <w:rFonts w:ascii="Cambria Math" w:hAnsi="Cambria Math" w:cs="Times New Roman"/>
            <w:sz w:val="22"/>
            <w:szCs w:val="22"/>
          </w:rPr>
          <m:t>BPRE=</m:t>
        </m:r>
        <m:f>
          <m:fPr>
            <m:ctrlPr>
              <w:rPr>
                <w:rFonts w:ascii="Cambria Math" w:hAnsi="Cambria Math" w:cs="Times New Roman"/>
                <w:i/>
                <w:sz w:val="22"/>
                <w:szCs w:val="22"/>
              </w:rPr>
            </m:ctrlPr>
          </m:fPr>
          <m:num>
            <m:r>
              <w:rPr>
                <w:rFonts w:ascii="Cambria Math" w:hAnsi="Cambria Math" w:cs="Times New Roman"/>
                <w:sz w:val="22"/>
                <w:szCs w:val="22"/>
              </w:rPr>
              <m:t>K</m:t>
            </m:r>
          </m:num>
          <m:den>
            <m:sSub>
              <m:sSubPr>
                <m:ctrlPr>
                  <w:rPr>
                    <w:rFonts w:ascii="Cambria Math" w:hAnsi="Cambria Math" w:cs="Times New Roman"/>
                    <w:i/>
                    <w:sz w:val="22"/>
                    <w:szCs w:val="22"/>
                  </w:rPr>
                </m:ctrlPr>
              </m:sSubPr>
              <m:e>
                <m:r>
                  <w:rPr>
                    <w:rFonts w:ascii="Cambria Math" w:hAnsi="Cambria Math" w:cs="Times New Roman"/>
                    <w:sz w:val="22"/>
                    <w:szCs w:val="22"/>
                  </w:rPr>
                  <m:t>N</m:t>
                </m:r>
              </m:e>
              <m:sub>
                <m:r>
                  <w:rPr>
                    <w:rFonts w:ascii="Cambria Math" w:hAnsi="Cambria Math" w:cs="Times New Roman"/>
                    <w:sz w:val="22"/>
                    <w:szCs w:val="22"/>
                  </w:rPr>
                  <m:t>RE</m:t>
                </m:r>
              </m:sub>
            </m:sSub>
          </m:den>
        </m:f>
      </m:oMath>
      <w:r>
        <w:rPr>
          <w:sz w:val="22"/>
          <w:szCs w:val="22"/>
        </w:rPr>
        <w:t xml:space="preserve"> </w:t>
      </w:r>
      <w:r>
        <w:rPr>
          <w:rFonts w:ascii="Times New Roman" w:hAnsi="Times New Roman" w:cs="Times New Roman"/>
          <w:sz w:val="22"/>
          <w:szCs w:val="22"/>
        </w:rPr>
        <w:t>where K is the code block size.</w:t>
      </w:r>
    </w:p>
    <w:p w14:paraId="7D5A61F5" w14:textId="77777777" w:rsidR="0098092C" w:rsidRDefault="0098092C">
      <w:pPr>
        <w:rPr>
          <w:b/>
        </w:rPr>
      </w:pPr>
    </w:p>
    <w:p w14:paraId="0F6CEEAB" w14:textId="77777777" w:rsidR="0098092C" w:rsidRDefault="0030498B">
      <w:r>
        <w:rPr>
          <w:rFonts w:hint="eastAsia"/>
        </w:rPr>
        <w:t xml:space="preserve">For closed loop power control, there </w:t>
      </w:r>
      <w:r>
        <w:t>are</w:t>
      </w:r>
      <w:r>
        <w:rPr>
          <w:rFonts w:hint="eastAsia"/>
        </w:rPr>
        <w:t xml:space="preserve"> not many </w:t>
      </w:r>
      <w:r>
        <w:t>companies showing their opinions. So the following is proposed to collect more views.</w:t>
      </w:r>
    </w:p>
    <w:p w14:paraId="610CC77F" w14:textId="77777777" w:rsidR="0098092C" w:rsidRDefault="0030498B">
      <w:pPr>
        <w:rPr>
          <w:b/>
        </w:rPr>
      </w:pPr>
      <w:r>
        <w:rPr>
          <w:b/>
        </w:rPr>
        <w:t>Proposal 5: Further study on support of Cat 2: Option 3, for close-loop power control.</w:t>
      </w:r>
    </w:p>
    <w:p w14:paraId="424E47E0" w14:textId="77777777" w:rsidR="0098092C" w:rsidRDefault="0098092C"/>
    <w:p w14:paraId="50283610" w14:textId="77777777" w:rsidR="0098092C" w:rsidRDefault="0030498B">
      <w:r>
        <w:rPr>
          <w:rFonts w:hint="eastAsia"/>
        </w:rPr>
        <w:t>P</w:t>
      </w:r>
      <w:r>
        <w:t>lease input your comments regarding the above proposal, and give your view on closed loop power control.</w:t>
      </w:r>
    </w:p>
    <w:tbl>
      <w:tblPr>
        <w:tblStyle w:val="TableGrid"/>
        <w:tblW w:w="0" w:type="auto"/>
        <w:tblLook w:val="04A0" w:firstRow="1" w:lastRow="0" w:firstColumn="1" w:lastColumn="0" w:noHBand="0" w:noVBand="1"/>
      </w:tblPr>
      <w:tblGrid>
        <w:gridCol w:w="1838"/>
        <w:gridCol w:w="7469"/>
      </w:tblGrid>
      <w:tr w:rsidR="0098092C" w14:paraId="0E0DA246" w14:textId="77777777">
        <w:tc>
          <w:tcPr>
            <w:tcW w:w="1838" w:type="dxa"/>
          </w:tcPr>
          <w:p w14:paraId="31AEEDEA" w14:textId="77777777" w:rsidR="0098092C" w:rsidRDefault="0030498B">
            <w:pPr>
              <w:rPr>
                <w:szCs w:val="20"/>
              </w:rPr>
            </w:pPr>
            <w:r>
              <w:rPr>
                <w:rFonts w:hint="eastAsia"/>
                <w:szCs w:val="20"/>
              </w:rPr>
              <w:t>Comp</w:t>
            </w:r>
            <w:r>
              <w:rPr>
                <w:szCs w:val="20"/>
              </w:rPr>
              <w:t>anies</w:t>
            </w:r>
          </w:p>
        </w:tc>
        <w:tc>
          <w:tcPr>
            <w:tcW w:w="7469" w:type="dxa"/>
          </w:tcPr>
          <w:p w14:paraId="1EE9E547" w14:textId="77777777" w:rsidR="0098092C" w:rsidRDefault="0030498B">
            <w:pPr>
              <w:rPr>
                <w:szCs w:val="20"/>
              </w:rPr>
            </w:pPr>
            <w:r>
              <w:rPr>
                <w:rFonts w:hint="eastAsia"/>
                <w:szCs w:val="20"/>
              </w:rPr>
              <w:t>Comments</w:t>
            </w:r>
          </w:p>
        </w:tc>
      </w:tr>
      <w:tr w:rsidR="0098092C" w14:paraId="2A583F13" w14:textId="77777777">
        <w:tc>
          <w:tcPr>
            <w:tcW w:w="1838" w:type="dxa"/>
          </w:tcPr>
          <w:p w14:paraId="3C1703DD" w14:textId="77777777" w:rsidR="0098092C" w:rsidRDefault="0030498B">
            <w:r>
              <w:t xml:space="preserve">Ericsson </w:t>
            </w:r>
          </w:p>
        </w:tc>
        <w:tc>
          <w:tcPr>
            <w:tcW w:w="7469" w:type="dxa"/>
          </w:tcPr>
          <w:p w14:paraId="59FC041C" w14:textId="77777777" w:rsidR="0098092C" w:rsidRDefault="0030498B">
            <w:r>
              <w:t>On Proposal 4: It is not possible to agree with it until knowing what the resulting numeric value(s) from such a proposal are? That is the only it can be compared to other proposals</w:t>
            </w:r>
          </w:p>
          <w:p w14:paraId="3436834F" w14:textId="77777777" w:rsidR="0098092C" w:rsidRDefault="0030498B">
            <w:r>
              <w:t>On Proposal 5: We do not see the need in keeping for further study the closed-loop power control since it serves a different purpose than was is intended to be achieved through Δ</w:t>
            </w:r>
            <w:r>
              <w:rPr>
                <w:vertAlign w:val="subscript"/>
              </w:rPr>
              <w:t>TF</w:t>
            </w:r>
            <w:r>
              <w:t>.</w:t>
            </w:r>
          </w:p>
        </w:tc>
      </w:tr>
      <w:tr w:rsidR="0098092C" w14:paraId="1BD90A63" w14:textId="77777777">
        <w:tc>
          <w:tcPr>
            <w:tcW w:w="1838" w:type="dxa"/>
          </w:tcPr>
          <w:p w14:paraId="1678796C" w14:textId="77777777" w:rsidR="0098092C" w:rsidRDefault="0030498B">
            <w:pPr>
              <w:rPr>
                <w:rFonts w:asciiTheme="minorHAnsi" w:hAnsiTheme="minorHAnsi" w:cstheme="minorHAnsi"/>
                <w:szCs w:val="20"/>
                <w:lang w:eastAsia="zh-CN"/>
              </w:rPr>
            </w:pPr>
            <w:r>
              <w:rPr>
                <w:rFonts w:asciiTheme="minorHAnsi" w:hAnsiTheme="minorHAnsi" w:cstheme="minorHAnsi" w:hint="eastAsia"/>
                <w:szCs w:val="20"/>
                <w:lang w:eastAsia="zh-CN"/>
              </w:rPr>
              <w:t>L</w:t>
            </w:r>
            <w:r>
              <w:rPr>
                <w:rFonts w:asciiTheme="minorHAnsi" w:hAnsiTheme="minorHAnsi" w:cstheme="minorHAnsi"/>
                <w:szCs w:val="20"/>
                <w:lang w:eastAsia="zh-CN"/>
              </w:rPr>
              <w:t>enovo, Moto</w:t>
            </w:r>
            <w:r>
              <w:rPr>
                <w:rFonts w:asciiTheme="minorHAnsi" w:hAnsiTheme="minorHAnsi" w:cstheme="minorHAnsi" w:hint="eastAsia"/>
                <w:szCs w:val="20"/>
                <w:lang w:eastAsia="zh-CN"/>
              </w:rPr>
              <w:t>M</w:t>
            </w:r>
          </w:p>
        </w:tc>
        <w:tc>
          <w:tcPr>
            <w:tcW w:w="7469" w:type="dxa"/>
          </w:tcPr>
          <w:p w14:paraId="26D6DC95" w14:textId="77777777" w:rsidR="0098092C" w:rsidRDefault="0030498B">
            <w:pPr>
              <w:rPr>
                <w:rFonts w:asciiTheme="minorHAnsi" w:hAnsiTheme="minorHAnsi" w:cstheme="minorHAnsi"/>
                <w:szCs w:val="20"/>
                <w:lang w:eastAsia="zh-CN"/>
              </w:rPr>
            </w:pPr>
            <w:r>
              <w:rPr>
                <w:rFonts w:asciiTheme="minorHAnsi" w:hAnsiTheme="minorHAnsi" w:cstheme="minorHAnsi" w:hint="eastAsia"/>
                <w:szCs w:val="20"/>
                <w:lang w:eastAsia="zh-CN"/>
              </w:rPr>
              <w:t>On</w:t>
            </w:r>
            <w:r>
              <w:rPr>
                <w:rFonts w:asciiTheme="minorHAnsi" w:hAnsiTheme="minorHAnsi" w:cstheme="minorHAnsi"/>
                <w:szCs w:val="20"/>
              </w:rPr>
              <w:t xml:space="preserve"> </w:t>
            </w:r>
            <w:r>
              <w:rPr>
                <w:rFonts w:asciiTheme="minorHAnsi" w:hAnsiTheme="minorHAnsi" w:cstheme="minorHAnsi"/>
                <w:szCs w:val="20"/>
                <w:lang w:eastAsia="zh-CN"/>
              </w:rPr>
              <w:t>proposal</w:t>
            </w:r>
            <w:r>
              <w:rPr>
                <w:rFonts w:asciiTheme="minorHAnsi" w:hAnsiTheme="minorHAnsi" w:cstheme="minorHAnsi"/>
                <w:szCs w:val="20"/>
              </w:rPr>
              <w:t xml:space="preserve"> 4</w:t>
            </w:r>
            <w:r>
              <w:rPr>
                <w:rFonts w:asciiTheme="minorHAnsi" w:hAnsiTheme="minorHAnsi" w:cstheme="minorHAnsi" w:hint="eastAsia"/>
                <w:szCs w:val="20"/>
                <w:lang w:eastAsia="zh-CN"/>
              </w:rPr>
              <w:t>,</w:t>
            </w:r>
            <w:r>
              <w:rPr>
                <w:rFonts w:asciiTheme="minorHAnsi" w:hAnsiTheme="minorHAnsi" w:cstheme="minorHAnsi"/>
                <w:szCs w:val="20"/>
                <w:lang w:eastAsia="zh-CN"/>
              </w:rPr>
              <w:t xml:space="preserve"> we think it is verified in LTE. So, we support proposal 4</w:t>
            </w:r>
          </w:p>
        </w:tc>
      </w:tr>
      <w:tr w:rsidR="0098092C" w14:paraId="571B5358" w14:textId="77777777">
        <w:tc>
          <w:tcPr>
            <w:tcW w:w="1838" w:type="dxa"/>
          </w:tcPr>
          <w:p w14:paraId="70702BAA" w14:textId="77777777" w:rsidR="0098092C" w:rsidRDefault="0030498B">
            <w:pPr>
              <w:rPr>
                <w:szCs w:val="20"/>
                <w:lang w:eastAsia="zh-CN"/>
              </w:rPr>
            </w:pPr>
            <w:r>
              <w:rPr>
                <w:szCs w:val="20"/>
                <w:lang w:eastAsia="zh-CN"/>
              </w:rPr>
              <w:t>MTK</w:t>
            </w:r>
          </w:p>
        </w:tc>
        <w:tc>
          <w:tcPr>
            <w:tcW w:w="7469" w:type="dxa"/>
          </w:tcPr>
          <w:p w14:paraId="1A47FF56" w14:textId="77777777" w:rsidR="0098092C" w:rsidRDefault="0030498B">
            <w:pPr>
              <w:rPr>
                <w:szCs w:val="20"/>
                <w:lang w:eastAsia="zh-CN"/>
              </w:rPr>
            </w:pPr>
            <w:r>
              <w:rPr>
                <w:szCs w:val="20"/>
                <w:lang w:eastAsia="zh-CN"/>
              </w:rPr>
              <w:t>We support porposal4.</w:t>
            </w:r>
          </w:p>
        </w:tc>
      </w:tr>
      <w:tr w:rsidR="0098092C" w14:paraId="6968418A" w14:textId="77777777">
        <w:tc>
          <w:tcPr>
            <w:tcW w:w="1838" w:type="dxa"/>
          </w:tcPr>
          <w:p w14:paraId="4E592D49" w14:textId="77777777" w:rsidR="0098092C" w:rsidRDefault="0030498B">
            <w:pPr>
              <w:rPr>
                <w:rFonts w:asciiTheme="minorHAnsi" w:hAnsiTheme="minorHAnsi" w:cstheme="minorHAnsi"/>
                <w:szCs w:val="20"/>
                <w:lang w:eastAsia="zh-CN"/>
              </w:rPr>
            </w:pPr>
            <w:r>
              <w:rPr>
                <w:rFonts w:hint="eastAsia"/>
                <w:szCs w:val="20"/>
                <w:lang w:eastAsia="zh-CN"/>
              </w:rPr>
              <w:t>H</w:t>
            </w:r>
            <w:r>
              <w:rPr>
                <w:szCs w:val="20"/>
                <w:lang w:eastAsia="zh-CN"/>
              </w:rPr>
              <w:t>uawei, HiSilicon</w:t>
            </w:r>
          </w:p>
        </w:tc>
        <w:tc>
          <w:tcPr>
            <w:tcW w:w="7469" w:type="dxa"/>
          </w:tcPr>
          <w:p w14:paraId="4E2B2CF3" w14:textId="77777777" w:rsidR="0098092C" w:rsidRDefault="0030498B">
            <w:pPr>
              <w:rPr>
                <w:rFonts w:asciiTheme="minorHAnsi" w:hAnsiTheme="minorHAnsi" w:cstheme="minorHAnsi"/>
                <w:szCs w:val="20"/>
                <w:lang w:eastAsia="zh-CN"/>
              </w:rPr>
            </w:pPr>
            <w:r>
              <w:rPr>
                <w:szCs w:val="20"/>
                <w:lang w:eastAsia="zh-CN"/>
              </w:rPr>
              <w:t>We are fine with proposal 4, and this is exactly the same as LTE.</w:t>
            </w:r>
          </w:p>
        </w:tc>
      </w:tr>
      <w:tr w:rsidR="0098092C" w14:paraId="00ECB535" w14:textId="77777777">
        <w:tc>
          <w:tcPr>
            <w:tcW w:w="1838" w:type="dxa"/>
          </w:tcPr>
          <w:p w14:paraId="5FA72E1D" w14:textId="77777777" w:rsidR="0098092C" w:rsidRDefault="0030498B">
            <w:pPr>
              <w:rPr>
                <w:szCs w:val="20"/>
                <w:lang w:eastAsia="zh-CN"/>
              </w:rPr>
            </w:pPr>
            <w:r>
              <w:rPr>
                <w:szCs w:val="20"/>
                <w:lang w:eastAsia="zh-CN"/>
              </w:rPr>
              <w:t>Nokia, NSB</w:t>
            </w:r>
          </w:p>
        </w:tc>
        <w:tc>
          <w:tcPr>
            <w:tcW w:w="7469" w:type="dxa"/>
          </w:tcPr>
          <w:p w14:paraId="2BA0E65A" w14:textId="77777777" w:rsidR="0098092C" w:rsidRDefault="0030498B">
            <w:pPr>
              <w:rPr>
                <w:szCs w:val="20"/>
                <w:lang w:eastAsia="zh-CN"/>
              </w:rPr>
            </w:pPr>
            <w:r>
              <w:rPr>
                <w:szCs w:val="20"/>
                <w:lang w:eastAsia="zh-CN"/>
              </w:rPr>
              <w:t>We are fine with proposal 4. Following online GTW discussion, we are fine to apply this for QPSK as well.</w:t>
            </w:r>
          </w:p>
          <w:p w14:paraId="56B1E00A" w14:textId="77777777" w:rsidR="0098092C" w:rsidRDefault="0030498B">
            <w:pPr>
              <w:rPr>
                <w:szCs w:val="20"/>
                <w:lang w:eastAsia="zh-CN"/>
              </w:rPr>
            </w:pPr>
            <w:r>
              <w:rPr>
                <w:szCs w:val="20"/>
                <w:lang w:eastAsia="zh-CN"/>
              </w:rPr>
              <w:t>For proposal 5, we do not see the need to study closed-loop power control.</w:t>
            </w:r>
          </w:p>
        </w:tc>
      </w:tr>
      <w:tr w:rsidR="0098092C" w14:paraId="5A6A1E93" w14:textId="77777777">
        <w:tc>
          <w:tcPr>
            <w:tcW w:w="1838" w:type="dxa"/>
          </w:tcPr>
          <w:p w14:paraId="13F05001" w14:textId="77777777" w:rsidR="0098092C" w:rsidRDefault="0030498B">
            <w:pPr>
              <w:rPr>
                <w:szCs w:val="20"/>
                <w:lang w:eastAsia="zh-CN"/>
              </w:rPr>
            </w:pPr>
            <w:r>
              <w:rPr>
                <w:rFonts w:hint="eastAsia"/>
                <w:szCs w:val="20"/>
                <w:lang w:eastAsia="zh-CN"/>
              </w:rPr>
              <w:t>ZTE, Sanechips</w:t>
            </w:r>
          </w:p>
        </w:tc>
        <w:tc>
          <w:tcPr>
            <w:tcW w:w="7469" w:type="dxa"/>
          </w:tcPr>
          <w:p w14:paraId="0539EE1D" w14:textId="77777777" w:rsidR="0098092C" w:rsidRDefault="0030498B">
            <w:pPr>
              <w:rPr>
                <w:lang w:eastAsia="zh-CN"/>
              </w:rPr>
            </w:pPr>
            <w:r>
              <w:rPr>
                <w:szCs w:val="20"/>
                <w:lang w:eastAsia="zh-CN"/>
              </w:rPr>
              <w:t xml:space="preserve">For proposal 5, </w:t>
            </w:r>
            <w:r>
              <w:rPr>
                <w:lang w:eastAsia="zh-CN"/>
              </w:rPr>
              <w:t xml:space="preserve">close-loop power control </w:t>
            </w:r>
            <w:r>
              <w:rPr>
                <w:szCs w:val="20"/>
                <w:lang w:eastAsia="zh-CN"/>
              </w:rPr>
              <w:t xml:space="preserve">not only can provide the compensation for the 16-QAM Res, but also can adapt to the channel condition variations. Therefore, close-loop power control include the purpose for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rPr>
                <w:lang w:eastAsia="zh-CN"/>
              </w:rPr>
              <w:t xml:space="preserve"> and has some other benefits.</w:t>
            </w:r>
          </w:p>
          <w:p w14:paraId="1A7092E9" w14:textId="77777777" w:rsidR="0098092C" w:rsidRDefault="0030498B">
            <w:pPr>
              <w:rPr>
                <w:lang w:eastAsia="zh-CN"/>
              </w:rPr>
            </w:pPr>
            <w:r>
              <w:rPr>
                <w:lang w:eastAsia="zh-CN"/>
              </w:rPr>
              <w:t xml:space="preserve">More specifically, it can help compensate the performance gap brought by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rPr>
                <w:lang w:eastAsia="zh-CN"/>
              </w:rPr>
              <w:t xml:space="preserve"> and provide more flexible power control for better transmission performance.</w:t>
            </w:r>
          </w:p>
          <w:p w14:paraId="6BC0B199" w14:textId="77777777" w:rsidR="0098092C" w:rsidRDefault="0030498B">
            <w:pPr>
              <w:rPr>
                <w:szCs w:val="20"/>
                <w:lang w:eastAsia="zh-CN"/>
              </w:rPr>
            </w:pPr>
            <w:r>
              <w:rPr>
                <w:lang w:eastAsia="zh-CN"/>
              </w:rPr>
              <w:t xml:space="preserve">Additionally, for the LTE uplink power control, close-loop power control is included. Considering that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rPr>
                <w:lang w:eastAsia="zh-CN"/>
              </w:rPr>
              <w:t xml:space="preserve"> design is based on legacy LTE rule, the close-loop power control also should be supported.</w:t>
            </w:r>
            <w:r>
              <w:t xml:space="preserve"> </w:t>
            </w:r>
          </w:p>
        </w:tc>
      </w:tr>
      <w:tr w:rsidR="0098092C" w14:paraId="0F4BE16A" w14:textId="77777777">
        <w:tc>
          <w:tcPr>
            <w:tcW w:w="1838" w:type="dxa"/>
          </w:tcPr>
          <w:p w14:paraId="3423C37F" w14:textId="77777777" w:rsidR="0098092C" w:rsidRDefault="0030498B">
            <w:pPr>
              <w:rPr>
                <w:szCs w:val="20"/>
                <w:lang w:eastAsia="zh-CN"/>
              </w:rPr>
            </w:pPr>
            <w:r>
              <w:rPr>
                <w:rFonts w:hint="eastAsia"/>
                <w:szCs w:val="20"/>
                <w:lang w:eastAsia="zh-CN"/>
              </w:rPr>
              <w:t>Moderator (Huawei)</w:t>
            </w:r>
          </w:p>
        </w:tc>
        <w:tc>
          <w:tcPr>
            <w:tcW w:w="7469" w:type="dxa"/>
          </w:tcPr>
          <w:p w14:paraId="5B0FADA9" w14:textId="77777777" w:rsidR="0098092C" w:rsidRDefault="0030498B">
            <w:pPr>
              <w:rPr>
                <w:szCs w:val="20"/>
                <w:lang w:eastAsia="zh-CN"/>
              </w:rPr>
            </w:pPr>
            <w:r>
              <w:rPr>
                <w:rFonts w:hint="eastAsia"/>
                <w:szCs w:val="20"/>
                <w:lang w:eastAsia="zh-CN"/>
              </w:rPr>
              <w:t>The following has been achieved in online discussion, please share your comments regarding the FFS part.</w:t>
            </w:r>
          </w:p>
          <w:p w14:paraId="03861406" w14:textId="77777777" w:rsidR="0098092C" w:rsidRDefault="0030498B">
            <w:pPr>
              <w:autoSpaceDE/>
              <w:autoSpaceDN/>
              <w:adjustRightInd/>
              <w:snapToGrid/>
              <w:spacing w:after="0" w:line="240" w:lineRule="auto"/>
              <w:jc w:val="left"/>
              <w:rPr>
                <w:rFonts w:ascii="Times" w:hAnsi="Times"/>
                <w:b/>
                <w:sz w:val="20"/>
                <w:szCs w:val="24"/>
                <w:highlight w:val="green"/>
                <w:lang w:val="en-GB"/>
              </w:rPr>
            </w:pPr>
            <w:r>
              <w:rPr>
                <w:rFonts w:ascii="Times" w:hAnsi="Times"/>
                <w:b/>
                <w:sz w:val="20"/>
                <w:szCs w:val="24"/>
                <w:highlight w:val="green"/>
                <w:lang w:val="en-GB"/>
              </w:rPr>
              <w:t>Working Assumption</w:t>
            </w:r>
          </w:p>
          <w:p w14:paraId="49BAE5AC" w14:textId="77777777" w:rsidR="0098092C" w:rsidRDefault="0030498B">
            <w:pPr>
              <w:autoSpaceDE/>
              <w:autoSpaceDN/>
              <w:adjustRightInd/>
              <w:snapToGrid/>
              <w:spacing w:after="0" w:line="240" w:lineRule="auto"/>
              <w:jc w:val="left"/>
              <w:rPr>
                <w:rFonts w:ascii="Times" w:hAnsi="Times"/>
                <w:b/>
                <w:sz w:val="20"/>
                <w:szCs w:val="24"/>
                <w:lang w:val="en-GB"/>
              </w:rPr>
            </w:pPr>
            <w:r>
              <w:rPr>
                <w:rFonts w:ascii="Times" w:hAnsi="Times"/>
                <w:b/>
                <w:sz w:val="20"/>
                <w:szCs w:val="24"/>
                <w:lang w:val="en-GB"/>
              </w:rPr>
              <w:t xml:space="preserve">For the new term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rPr>
                <w:rFonts w:ascii="Times" w:hAnsi="Times" w:hint="eastAsia"/>
                <w:sz w:val="20"/>
                <w:szCs w:val="24"/>
                <w:lang w:val="en-GB"/>
              </w:rPr>
              <w:t xml:space="preserve"> </w:t>
            </w:r>
            <w:r>
              <w:rPr>
                <w:rFonts w:ascii="Times" w:hAnsi="Times"/>
                <w:b/>
                <w:sz w:val="20"/>
                <w:szCs w:val="24"/>
                <w:lang w:val="en-GB"/>
              </w:rPr>
              <w:t>introduced for power control of NPUSCH,</w:t>
            </w:r>
          </w:p>
          <w:p w14:paraId="2209D9DE" w14:textId="77777777" w:rsidR="0098092C" w:rsidRDefault="0030498B">
            <w:pPr>
              <w:numPr>
                <w:ilvl w:val="0"/>
                <w:numId w:val="15"/>
              </w:numPr>
              <w:autoSpaceDE/>
              <w:autoSpaceDN/>
              <w:adjustRightInd/>
              <w:snapToGrid/>
              <w:spacing w:after="0" w:line="240" w:lineRule="auto"/>
              <w:jc w:val="left"/>
              <w:rPr>
                <w:rFonts w:ascii="Times" w:hAnsi="Times"/>
                <w:lang w:val="en-GB"/>
              </w:rPr>
            </w:pPr>
            <w:r>
              <w:rPr>
                <w:lang w:val="en-GB"/>
              </w:rPr>
              <w:t xml:space="preserve">Reuse the LTE definition simplified for NB-IoT: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r>
                <m:rPr>
                  <m:sty m:val="p"/>
                </m:rPr>
                <w:rPr>
                  <w:rFonts w:ascii="Cambria Math" w:hAnsi="Cambria Math"/>
                </w:rPr>
                <m:t>=10</m:t>
              </m:r>
              <m:sSub>
                <m:sSubPr>
                  <m:ctrlPr>
                    <w:rPr>
                      <w:rFonts w:ascii="Cambria Math" w:hAnsi="Cambria Math"/>
                    </w:rPr>
                  </m:ctrlPr>
                </m:sSubPr>
                <m:e>
                  <m:r>
                    <m:rPr>
                      <m:sty m:val="p"/>
                    </m:rPr>
                    <w:rPr>
                      <w:rFonts w:ascii="Cambria Math" w:hAnsi="Cambria Math"/>
                    </w:rPr>
                    <m:t>log</m:t>
                  </m:r>
                </m:e>
                <m:sub>
                  <m:r>
                    <m:rPr>
                      <m:sty m:val="p"/>
                    </m:rPr>
                    <w:rPr>
                      <w:rFonts w:ascii="Cambria Math" w:hAnsi="Cambria Math"/>
                    </w:rPr>
                    <m:t>10</m:t>
                  </m:r>
                </m:sub>
              </m:sSub>
              <m:d>
                <m:dPr>
                  <m:ctrlPr>
                    <w:rPr>
                      <w:rFonts w:ascii="Cambria Math" w:hAnsi="Cambria Math"/>
                    </w:rPr>
                  </m:ctrlPr>
                </m:dPr>
                <m:e>
                  <m:d>
                    <m:dPr>
                      <m:ctrlPr>
                        <w:rPr>
                          <w:rFonts w:ascii="Cambria Math" w:hAnsi="Cambria Math"/>
                        </w:rPr>
                      </m:ctrlPr>
                    </m:dPr>
                    <m:e>
                      <m:sSup>
                        <m:sSupPr>
                          <m:ctrlPr>
                            <w:rPr>
                              <w:rFonts w:ascii="Cambria Math" w:hAnsi="Cambria Math"/>
                            </w:rPr>
                          </m:ctrlPr>
                        </m:sSupPr>
                        <m:e>
                          <m:r>
                            <m:rPr>
                              <m:sty m:val="p"/>
                            </m:rPr>
                            <w:rPr>
                              <w:rFonts w:ascii="Cambria Math" w:hAnsi="Cambria Math"/>
                            </w:rPr>
                            <m:t>2</m:t>
                          </m:r>
                        </m:e>
                        <m:sup>
                          <m:r>
                            <w:rPr>
                              <w:rFonts w:ascii="Cambria Math" w:hAnsi="Cambria Math"/>
                            </w:rPr>
                            <m:t>BPRE</m:t>
                          </m:r>
                          <m:r>
                            <m:rPr>
                              <m:sty m:val="p"/>
                            </m:rP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s</m:t>
                              </m:r>
                            </m:sub>
                          </m:sSub>
                        </m:sup>
                      </m:sSup>
                      <m:r>
                        <m:rPr>
                          <m:sty m:val="p"/>
                        </m:rPr>
                        <w:rPr>
                          <w:rFonts w:ascii="Cambria Math" w:hAnsi="Cambria Math"/>
                        </w:rPr>
                        <m:t>-1</m:t>
                      </m:r>
                    </m:e>
                  </m:d>
                </m:e>
              </m:d>
            </m:oMath>
            <w:r>
              <w:rPr>
                <w:rFonts w:ascii="Times" w:hAnsi="Times" w:hint="eastAsia"/>
                <w:lang w:val="en-GB"/>
              </w:rPr>
              <w:t xml:space="preserve"> </w:t>
            </w:r>
            <w:r>
              <w:rPr>
                <w:lang w:val="en-GB"/>
              </w:rPr>
              <w:t xml:space="preserve">for </w:t>
            </w:r>
            <m:oMath>
              <m:sSub>
                <m:sSubPr>
                  <m:ctrlPr>
                    <w:rPr>
                      <w:rFonts w:ascii="Cambria Math" w:hAnsi="Cambria Math"/>
                    </w:rPr>
                  </m:ctrlPr>
                </m:sSubPr>
                <m:e>
                  <m:r>
                    <w:rPr>
                      <w:rFonts w:ascii="Cambria Math" w:hAnsi="Cambria Math"/>
                    </w:rPr>
                    <m:t>K</m:t>
                  </m:r>
                </m:e>
                <m:sub>
                  <m:r>
                    <w:rPr>
                      <w:rFonts w:ascii="Cambria Math" w:hAnsi="Cambria Math"/>
                    </w:rPr>
                    <m:t>s</m:t>
                  </m:r>
                </m:sub>
              </m:sSub>
              <m:r>
                <w:rPr>
                  <w:rFonts w:ascii="Cambria Math" w:hAnsi="Cambria Math"/>
                </w:rPr>
                <m:t>=1.25</m:t>
              </m:r>
            </m:oMath>
            <w:r>
              <w:rPr>
                <w:rFonts w:hint="eastAsia"/>
                <w:lang w:val="en-GB"/>
              </w:rPr>
              <w:t xml:space="preserve"> and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r>
                <w:rPr>
                  <w:rFonts w:ascii="Cambria Math" w:hAnsi="Cambria Math"/>
                </w:rPr>
                <m:t>=0</m:t>
              </m:r>
            </m:oMath>
            <w:r>
              <w:rPr>
                <w:rFonts w:hint="eastAsia"/>
                <w:lang w:val="en-GB"/>
              </w:rPr>
              <w:t xml:space="preserve"> </w:t>
            </w:r>
            <w:r>
              <w:rPr>
                <w:lang w:val="en-GB"/>
              </w:rPr>
              <w:t xml:space="preserve">for </w:t>
            </w:r>
            <m:oMath>
              <m:sSub>
                <m:sSubPr>
                  <m:ctrlPr>
                    <w:rPr>
                      <w:rFonts w:ascii="Cambria Math" w:hAnsi="Cambria Math"/>
                    </w:rPr>
                  </m:ctrlPr>
                </m:sSubPr>
                <m:e>
                  <m:r>
                    <w:rPr>
                      <w:rFonts w:ascii="Cambria Math" w:hAnsi="Cambria Math"/>
                    </w:rPr>
                    <m:t>K</m:t>
                  </m:r>
                </m:e>
                <m:sub>
                  <m:r>
                    <w:rPr>
                      <w:rFonts w:ascii="Cambria Math" w:hAnsi="Cambria Math"/>
                    </w:rPr>
                    <m:t>s</m:t>
                  </m:r>
                </m:sub>
              </m:sSub>
              <m:r>
                <w:rPr>
                  <w:rFonts w:ascii="Cambria Math" w:hAnsi="Cambria Math"/>
                </w:rPr>
                <m:t>=0</m:t>
              </m:r>
            </m:oMath>
            <w:r>
              <w:rPr>
                <w:rFonts w:hint="eastAsia"/>
                <w:lang w:val="en-GB"/>
              </w:rPr>
              <w:t xml:space="preserve">, where </w:t>
            </w:r>
            <m:oMath>
              <m:sSub>
                <m:sSubPr>
                  <m:ctrlPr>
                    <w:rPr>
                      <w:rFonts w:ascii="Cambria Math" w:hAnsi="Cambria Math"/>
                    </w:rPr>
                  </m:ctrlPr>
                </m:sSubPr>
                <m:e>
                  <m:r>
                    <w:rPr>
                      <w:rFonts w:ascii="Cambria Math" w:hAnsi="Cambria Math"/>
                    </w:rPr>
                    <m:t>K</m:t>
                  </m:r>
                </m:e>
                <m:sub>
                  <m:r>
                    <w:rPr>
                      <w:rFonts w:ascii="Cambria Math" w:hAnsi="Cambria Math"/>
                    </w:rPr>
                    <m:t>s</m:t>
                  </m:r>
                </m:sub>
              </m:sSub>
            </m:oMath>
            <w:r>
              <w:rPr>
                <w:rFonts w:hint="eastAsia"/>
                <w:lang w:val="en-GB"/>
              </w:rPr>
              <w:t xml:space="preserve"> is given by higher layer parameter </w:t>
            </w:r>
            <w:r>
              <w:rPr>
                <w:i/>
                <w:lang w:val="en-GB"/>
              </w:rPr>
              <w:t>deltaMCS-Enabled</w:t>
            </w:r>
            <w:r>
              <w:rPr>
                <w:lang w:val="en-GB"/>
              </w:rPr>
              <w:t xml:space="preserve">, and </w:t>
            </w:r>
            <m:oMath>
              <m:r>
                <w:rPr>
                  <w:rFonts w:ascii="Cambria Math" w:hAnsi="Cambria Math"/>
                </w:rPr>
                <m:t>BPRE=</m:t>
              </m:r>
              <m:f>
                <m:fPr>
                  <m:ctrlPr>
                    <w:rPr>
                      <w:rFonts w:ascii="Cambria Math" w:hAnsi="Cambria Math"/>
                      <w:i/>
                    </w:rPr>
                  </m:ctrlPr>
                </m:fPr>
                <m:num>
                  <m:r>
                    <w:rPr>
                      <w:rFonts w:ascii="Cambria Math" w:hAnsi="Cambria Math"/>
                    </w:rPr>
                    <m:t>K</m:t>
                  </m:r>
                </m:num>
                <m:den>
                  <m:sSub>
                    <m:sSubPr>
                      <m:ctrlPr>
                        <w:rPr>
                          <w:rFonts w:ascii="Cambria Math" w:hAnsi="Cambria Math"/>
                          <w:i/>
                        </w:rPr>
                      </m:ctrlPr>
                    </m:sSubPr>
                    <m:e>
                      <m:r>
                        <w:rPr>
                          <w:rFonts w:ascii="Cambria Math" w:hAnsi="Cambria Math"/>
                        </w:rPr>
                        <m:t>N</m:t>
                      </m:r>
                    </m:e>
                    <m:sub>
                      <m:r>
                        <w:rPr>
                          <w:rFonts w:ascii="Cambria Math" w:hAnsi="Cambria Math"/>
                        </w:rPr>
                        <m:t>RE</m:t>
                      </m:r>
                    </m:sub>
                  </m:sSub>
                </m:den>
              </m:f>
            </m:oMath>
            <w:r>
              <w:rPr>
                <w:rFonts w:ascii="Times" w:hAnsi="Times"/>
                <w:lang w:val="en-GB"/>
              </w:rPr>
              <w:t xml:space="preserve"> </w:t>
            </w:r>
            <w:r>
              <w:rPr>
                <w:lang w:val="en-GB"/>
              </w:rPr>
              <w:t>where K is the code block size.</w:t>
            </w:r>
          </w:p>
          <w:p w14:paraId="6EF7E014" w14:textId="77777777" w:rsidR="0098092C" w:rsidRDefault="0030498B">
            <w:pPr>
              <w:numPr>
                <w:ilvl w:val="0"/>
                <w:numId w:val="15"/>
              </w:numPr>
              <w:autoSpaceDE/>
              <w:autoSpaceDN/>
              <w:adjustRightInd/>
              <w:snapToGrid/>
              <w:spacing w:after="0" w:line="240" w:lineRule="auto"/>
              <w:jc w:val="left"/>
              <w:rPr>
                <w:rFonts w:ascii="Times" w:hAnsi="Times"/>
                <w:lang w:val="en-GB"/>
              </w:rPr>
            </w:pPr>
            <w:r>
              <w:rPr>
                <w:rFonts w:hint="eastAsia"/>
                <w:lang w:val="en-GB" w:eastAsia="zh-CN"/>
              </w:rPr>
              <w:lastRenderedPageBreak/>
              <w:t>F</w:t>
            </w:r>
            <w:r>
              <w:rPr>
                <w:lang w:val="en-GB" w:eastAsia="zh-CN"/>
              </w:rPr>
              <w:t>FS: whether the new term applies to QPSK when configured with 16QAM, if it does not, whether an additional term is introduced to avoid jump between QPSK and 16</w:t>
            </w:r>
            <w:r>
              <w:rPr>
                <w:rFonts w:hint="eastAsia"/>
                <w:lang w:val="en-GB" w:eastAsia="zh-CN"/>
              </w:rPr>
              <w:t>QAM</w:t>
            </w:r>
            <w:r>
              <w:rPr>
                <w:lang w:val="en-GB" w:eastAsia="zh-CN"/>
              </w:rPr>
              <w:t xml:space="preserve"> </w:t>
            </w:r>
          </w:p>
          <w:p w14:paraId="365C5594" w14:textId="77777777" w:rsidR="0098092C" w:rsidRDefault="0098092C">
            <w:pPr>
              <w:rPr>
                <w:szCs w:val="20"/>
                <w:lang w:val="en-GB" w:eastAsia="zh-CN"/>
              </w:rPr>
            </w:pPr>
          </w:p>
        </w:tc>
      </w:tr>
      <w:tr w:rsidR="0098092C" w14:paraId="1475AEB1" w14:textId="77777777">
        <w:trPr>
          <w:trHeight w:val="371"/>
        </w:trPr>
        <w:tc>
          <w:tcPr>
            <w:tcW w:w="1838" w:type="dxa"/>
          </w:tcPr>
          <w:p w14:paraId="6D136065" w14:textId="77777777" w:rsidR="0098092C" w:rsidRDefault="0030498B">
            <w:pPr>
              <w:rPr>
                <w:szCs w:val="20"/>
                <w:lang w:eastAsia="zh-CN"/>
              </w:rPr>
            </w:pPr>
            <w:r>
              <w:rPr>
                <w:rFonts w:hint="eastAsia"/>
                <w:szCs w:val="20"/>
                <w:lang w:eastAsia="zh-CN"/>
              </w:rPr>
              <w:lastRenderedPageBreak/>
              <w:t>ZTE, Sanechips</w:t>
            </w:r>
          </w:p>
        </w:tc>
        <w:tc>
          <w:tcPr>
            <w:tcW w:w="7469" w:type="dxa"/>
          </w:tcPr>
          <w:p w14:paraId="1B65E812" w14:textId="77777777" w:rsidR="0098092C" w:rsidRDefault="0030498B">
            <w:pPr>
              <w:rPr>
                <w:lang w:eastAsia="zh-CN"/>
              </w:rPr>
            </w:pPr>
            <w:r>
              <w:rPr>
                <w:rFonts w:hint="eastAsia"/>
                <w:szCs w:val="20"/>
                <w:lang w:eastAsia="zh-CN"/>
              </w:rPr>
              <w:t xml:space="preserve">We think the QPSK enhancement is out of the WID scope. Therefore, it is not supported that </w:t>
            </w:r>
            <w:r>
              <w:rPr>
                <w:lang w:val="en-GB" w:eastAsia="zh-CN"/>
              </w:rPr>
              <w:t>the new term applies to QPSK</w:t>
            </w:r>
            <w:r>
              <w:rPr>
                <w:rFonts w:hint="eastAsia"/>
                <w:lang w:eastAsia="zh-CN"/>
              </w:rPr>
              <w:t xml:space="preserve"> and an additional new term can be introduced to compensate the performance gap </w:t>
            </w:r>
            <w:r>
              <w:rPr>
                <w:lang w:val="en-GB" w:eastAsia="zh-CN"/>
              </w:rPr>
              <w:t>between QPSK and 16</w:t>
            </w:r>
            <w:r>
              <w:rPr>
                <w:rFonts w:hint="eastAsia"/>
                <w:lang w:val="en-GB" w:eastAsia="zh-CN"/>
              </w:rPr>
              <w:t>QAM</w:t>
            </w:r>
            <w:r>
              <w:rPr>
                <w:rFonts w:hint="eastAsia"/>
                <w:lang w:eastAsia="zh-CN"/>
              </w:rPr>
              <w:t xml:space="preserve">, e.g., </w:t>
            </w:r>
          </w:p>
          <w:p w14:paraId="2F84CB3D" w14:textId="77777777" w:rsidR="0098092C" w:rsidRDefault="0030498B">
            <w:pPr>
              <w:rPr>
                <w:lang w:eastAsia="zh-CN"/>
              </w:rPr>
            </w:pPr>
            <w:r>
              <w:rPr>
                <w:rFonts w:hint="eastAsia"/>
                <w:lang w:eastAsia="zh-CN"/>
              </w:rPr>
              <w:t>this additional new term can be configured by RRC signalling.</w:t>
            </w:r>
          </w:p>
        </w:tc>
      </w:tr>
      <w:tr w:rsidR="0098092C" w14:paraId="093215E1" w14:textId="77777777">
        <w:tc>
          <w:tcPr>
            <w:tcW w:w="1838" w:type="dxa"/>
          </w:tcPr>
          <w:p w14:paraId="01BB7361" w14:textId="77777777" w:rsidR="0098092C" w:rsidRDefault="0030498B">
            <w:pPr>
              <w:rPr>
                <w:szCs w:val="20"/>
                <w:lang w:eastAsia="zh-CN"/>
              </w:rPr>
            </w:pPr>
            <w:r>
              <w:rPr>
                <w:szCs w:val="20"/>
                <w:lang w:eastAsia="zh-CN"/>
              </w:rPr>
              <w:t>Qualcomm</w:t>
            </w:r>
          </w:p>
        </w:tc>
        <w:tc>
          <w:tcPr>
            <w:tcW w:w="7469" w:type="dxa"/>
          </w:tcPr>
          <w:p w14:paraId="0F45F0C3" w14:textId="77777777" w:rsidR="0098092C" w:rsidRDefault="0030498B">
            <w:pPr>
              <w:rPr>
                <w:szCs w:val="20"/>
                <w:lang w:eastAsia="zh-CN"/>
              </w:rPr>
            </w:pPr>
            <w:r>
              <w:rPr>
                <w:szCs w:val="20"/>
                <w:lang w:eastAsia="zh-CN"/>
              </w:rPr>
              <w:t>After the discussion online, maybe we can add an offset to compensate the maximum QPSK. We do not think we need to configure this value, it can be derived from the MCS table.</w:t>
            </w:r>
          </w:p>
        </w:tc>
      </w:tr>
      <w:tr w:rsidR="0098092C" w14:paraId="6FD81C2D" w14:textId="77777777">
        <w:tc>
          <w:tcPr>
            <w:tcW w:w="1838" w:type="dxa"/>
          </w:tcPr>
          <w:p w14:paraId="617E0339" w14:textId="77777777" w:rsidR="0098092C" w:rsidRDefault="0030498B">
            <w:pPr>
              <w:rPr>
                <w:szCs w:val="20"/>
                <w:lang w:eastAsia="zh-CN"/>
              </w:rPr>
            </w:pPr>
            <w:r>
              <w:rPr>
                <w:szCs w:val="20"/>
                <w:lang w:eastAsia="zh-CN"/>
              </w:rPr>
              <w:t>Nokia, NSB</w:t>
            </w:r>
          </w:p>
        </w:tc>
        <w:tc>
          <w:tcPr>
            <w:tcW w:w="7469" w:type="dxa"/>
          </w:tcPr>
          <w:p w14:paraId="3A4E7B2C" w14:textId="77777777" w:rsidR="0098092C" w:rsidRDefault="0030498B">
            <w:pPr>
              <w:rPr>
                <w:szCs w:val="20"/>
                <w:lang w:eastAsia="zh-CN"/>
              </w:rPr>
            </w:pPr>
            <w:r>
              <w:rPr>
                <w:szCs w:val="20"/>
                <w:lang w:eastAsia="zh-CN"/>
              </w:rPr>
              <w:t xml:space="preserve">For the FFS, our preference is to apply the term to QPSK also.  </w:t>
            </w:r>
          </w:p>
        </w:tc>
      </w:tr>
      <w:tr w:rsidR="0098092C" w14:paraId="0ABBBE71" w14:textId="77777777">
        <w:tc>
          <w:tcPr>
            <w:tcW w:w="1838" w:type="dxa"/>
          </w:tcPr>
          <w:p w14:paraId="50BDD857" w14:textId="77777777" w:rsidR="0098092C" w:rsidRDefault="0030498B">
            <w:pPr>
              <w:rPr>
                <w:szCs w:val="20"/>
                <w:lang w:eastAsia="zh-CN"/>
              </w:rPr>
            </w:pPr>
            <w:r>
              <w:rPr>
                <w:szCs w:val="20"/>
                <w:lang w:eastAsia="zh-CN"/>
              </w:rPr>
              <w:t>Ericsson v011</w:t>
            </w:r>
          </w:p>
        </w:tc>
        <w:tc>
          <w:tcPr>
            <w:tcW w:w="7469" w:type="dxa"/>
          </w:tcPr>
          <w:p w14:paraId="1E217453" w14:textId="77777777" w:rsidR="0098092C" w:rsidRDefault="0030498B">
            <w:pPr>
              <w:rPr>
                <w:szCs w:val="20"/>
                <w:lang w:eastAsia="zh-CN"/>
              </w:rPr>
            </w:pPr>
            <w:r>
              <w:rPr>
                <w:szCs w:val="20"/>
                <w:lang w:eastAsia="zh-CN"/>
              </w:rPr>
              <w:t xml:space="preserve">To avoid a large “jump between QPSK and 16-QAM”, since some companies seems to have a concern in applying the option-1’s formula to QPSK, perhaps the offset can be applied on the estimated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rPr>
                <w:szCs w:val="20"/>
                <w:lang w:eastAsia="zh-CN"/>
              </w:rPr>
              <w:t>.</w:t>
            </w:r>
          </w:p>
          <w:p w14:paraId="04784B27" w14:textId="77777777" w:rsidR="0098092C" w:rsidRDefault="0030498B">
            <w:pPr>
              <w:rPr>
                <w:szCs w:val="20"/>
                <w:lang w:eastAsia="zh-CN"/>
              </w:rPr>
            </w:pPr>
            <w:r>
              <w:rPr>
                <w:szCs w:val="20"/>
                <w:lang w:eastAsia="zh-CN"/>
              </w:rPr>
              <w:t>I will try to illustrate it below:</w:t>
            </w:r>
          </w:p>
          <w:tbl>
            <w:tblPr>
              <w:tblStyle w:val="TableGrid"/>
              <w:tblW w:w="0" w:type="auto"/>
              <w:tblLook w:val="04A0" w:firstRow="1" w:lastRow="0" w:firstColumn="1" w:lastColumn="0" w:noHBand="0" w:noVBand="1"/>
            </w:tblPr>
            <w:tblGrid>
              <w:gridCol w:w="3621"/>
              <w:gridCol w:w="3622"/>
            </w:tblGrid>
            <w:tr w:rsidR="0098092C" w14:paraId="15322347" w14:textId="77777777">
              <w:tc>
                <w:tcPr>
                  <w:tcW w:w="3621" w:type="dxa"/>
                </w:tcPr>
                <w:p w14:paraId="15E7D716" w14:textId="77777777" w:rsidR="0098092C" w:rsidRDefault="0030498B">
                  <w:pPr>
                    <w:rPr>
                      <w:szCs w:val="20"/>
                      <w:lang w:eastAsia="zh-CN"/>
                    </w:rPr>
                  </w:pPr>
                  <w:r>
                    <w:rPr>
                      <w:szCs w:val="20"/>
                      <w:lang w:eastAsia="zh-CN"/>
                    </w:rPr>
                    <w:t>large “jump between QPSK and 16-QAM”</w:t>
                  </w:r>
                </w:p>
              </w:tc>
              <w:tc>
                <w:tcPr>
                  <w:tcW w:w="3622" w:type="dxa"/>
                </w:tcPr>
                <w:p w14:paraId="7A331824" w14:textId="77777777" w:rsidR="0098092C" w:rsidRDefault="0030498B">
                  <w:pPr>
                    <w:rPr>
                      <w:szCs w:val="20"/>
                      <w:lang w:eastAsia="zh-CN"/>
                    </w:rPr>
                  </w:pPr>
                  <w:r>
                    <w:rPr>
                      <w:szCs w:val="20"/>
                      <w:lang w:eastAsia="zh-CN"/>
                    </w:rPr>
                    <w:t>Offset to compensate for the large “jump between QPSK and 16-QAM”</w:t>
                  </w:r>
                </w:p>
              </w:tc>
            </w:tr>
            <w:tr w:rsidR="0098092C" w14:paraId="7C799CFB" w14:textId="77777777">
              <w:tc>
                <w:tcPr>
                  <w:tcW w:w="3621" w:type="dxa"/>
                </w:tcPr>
                <w:p w14:paraId="3F801A8F" w14:textId="77777777" w:rsidR="0098092C" w:rsidRDefault="0030498B">
                  <w:pPr>
                    <w:rPr>
                      <w:szCs w:val="20"/>
                      <w:lang w:eastAsia="zh-CN"/>
                    </w:rPr>
                  </w:pPr>
                  <w:r>
                    <w:rPr>
                      <w:szCs w:val="20"/>
                      <w:lang w:eastAsia="zh-CN"/>
                    </w:rPr>
                    <w:t>Estimation of option-1 as per [R1-2109314]:</w:t>
                  </w:r>
                </w:p>
                <w:p w14:paraId="3087A988" w14:textId="77777777" w:rsidR="0098092C" w:rsidRDefault="0098092C">
                  <w:pPr>
                    <w:rPr>
                      <w:szCs w:val="20"/>
                      <w:lang w:eastAsia="zh-CN"/>
                    </w:rPr>
                  </w:pPr>
                </w:p>
                <w:tbl>
                  <w:tblPr>
                    <w:tblStyle w:val="TableGrid"/>
                    <w:tblW w:w="0" w:type="auto"/>
                    <w:jc w:val="center"/>
                    <w:tblLook w:val="04A0" w:firstRow="1" w:lastRow="0" w:firstColumn="1" w:lastColumn="0" w:noHBand="0" w:noVBand="1"/>
                  </w:tblPr>
                  <w:tblGrid>
                    <w:gridCol w:w="1698"/>
                    <w:gridCol w:w="1697"/>
                  </w:tblGrid>
                  <w:tr w:rsidR="0098092C" w14:paraId="1FC7B08C" w14:textId="77777777">
                    <w:trPr>
                      <w:trHeight w:val="410"/>
                      <w:jc w:val="center"/>
                    </w:trPr>
                    <w:tc>
                      <w:tcPr>
                        <w:tcW w:w="1698" w:type="dxa"/>
                        <w:shd w:val="clear" w:color="auto" w:fill="D9D9D9" w:themeFill="background1" w:themeFillShade="D9"/>
                        <w:vAlign w:val="center"/>
                      </w:tcPr>
                      <w:p w14:paraId="5F7F881E" w14:textId="77777777" w:rsidR="0098092C" w:rsidRDefault="0030498B">
                        <w:pPr>
                          <w:pStyle w:val="ListParagraph"/>
                          <w:ind w:left="0"/>
                          <w:jc w:val="center"/>
                          <w:rPr>
                            <w:rFonts w:cs="Arial"/>
                            <w:sz w:val="18"/>
                            <w:szCs w:val="18"/>
                          </w:rPr>
                        </w:pPr>
                        <w:r>
                          <w:rPr>
                            <w:rFonts w:cs="Arial"/>
                            <w:sz w:val="18"/>
                            <w:szCs w:val="18"/>
                          </w:rPr>
                          <w:t>MCS</w:t>
                        </w:r>
                      </w:p>
                    </w:tc>
                    <w:tc>
                      <w:tcPr>
                        <w:tcW w:w="1697" w:type="dxa"/>
                        <w:shd w:val="clear" w:color="auto" w:fill="D9D9D9" w:themeFill="background1" w:themeFillShade="D9"/>
                        <w:vAlign w:val="center"/>
                      </w:tcPr>
                      <w:p w14:paraId="3A95CC34" w14:textId="77777777" w:rsidR="0098092C" w:rsidRDefault="00A15C9A">
                        <w:pPr>
                          <w:pStyle w:val="ListParagraph"/>
                          <w:ind w:left="0"/>
                          <w:jc w:val="center"/>
                          <w:rPr>
                            <w:rFonts w:cs="Arial"/>
                            <w:sz w:val="18"/>
                            <w:szCs w:val="18"/>
                          </w:rPr>
                        </w:pPr>
                        <m:oMathPara>
                          <m:oMath>
                            <m:sSub>
                              <m:sSubPr>
                                <m:ctrlPr>
                                  <w:rPr>
                                    <w:rFonts w:ascii="Cambria Math" w:hAnsi="Cambria Math"/>
                                    <w:i/>
                                    <w:iCs/>
                                    <w:sz w:val="18"/>
                                    <w:szCs w:val="18"/>
                                  </w:rPr>
                                </m:ctrlPr>
                              </m:sSubPr>
                              <m:e>
                                <m:r>
                                  <w:rPr>
                                    <w:rFonts w:ascii="Cambria Math" w:hAnsi="Cambria Math"/>
                                    <w:sz w:val="18"/>
                                    <w:szCs w:val="18"/>
                                  </w:rPr>
                                  <m:t>∆</m:t>
                                </m:r>
                              </m:e>
                              <m:sub>
                                <m:r>
                                  <w:rPr>
                                    <w:rFonts w:ascii="Cambria Math" w:hAnsi="Cambria Math"/>
                                    <w:sz w:val="18"/>
                                    <w:szCs w:val="18"/>
                                  </w:rPr>
                                  <m:t>TF</m:t>
                                </m:r>
                              </m:sub>
                            </m:sSub>
                          </m:oMath>
                        </m:oMathPara>
                      </w:p>
                    </w:tc>
                  </w:tr>
                  <w:tr w:rsidR="0098092C" w14:paraId="59636B74" w14:textId="77777777">
                    <w:trPr>
                      <w:jc w:val="center"/>
                    </w:trPr>
                    <w:tc>
                      <w:tcPr>
                        <w:tcW w:w="1698" w:type="dxa"/>
                        <w:vAlign w:val="center"/>
                      </w:tcPr>
                      <w:p w14:paraId="4ACCB38A" w14:textId="77777777" w:rsidR="0098092C" w:rsidRDefault="0030498B">
                        <w:pPr>
                          <w:pStyle w:val="ListParagraph"/>
                          <w:ind w:left="0"/>
                          <w:jc w:val="center"/>
                          <w:rPr>
                            <w:rFonts w:cs="Arial"/>
                            <w:sz w:val="18"/>
                            <w:szCs w:val="18"/>
                          </w:rPr>
                        </w:pPr>
                        <w:r>
                          <w:rPr>
                            <w:rFonts w:cs="Arial"/>
                            <w:sz w:val="18"/>
                            <w:szCs w:val="18"/>
                          </w:rPr>
                          <w:t>0 – 13</w:t>
                        </w:r>
                      </w:p>
                    </w:tc>
                    <w:tc>
                      <w:tcPr>
                        <w:tcW w:w="1697" w:type="dxa"/>
                      </w:tcPr>
                      <w:p w14:paraId="2A109651" w14:textId="77777777" w:rsidR="0098092C" w:rsidRDefault="0030498B">
                        <w:pPr>
                          <w:pStyle w:val="ListParagraph"/>
                          <w:ind w:left="0"/>
                          <w:jc w:val="center"/>
                          <w:rPr>
                            <w:rFonts w:cs="Arial"/>
                            <w:sz w:val="18"/>
                            <w:szCs w:val="18"/>
                          </w:rPr>
                        </w:pPr>
                        <w:r>
                          <w:rPr>
                            <w:rFonts w:cs="Arial"/>
                            <w:sz w:val="18"/>
                            <w:szCs w:val="18"/>
                          </w:rPr>
                          <w:t>0</w:t>
                        </w:r>
                      </w:p>
                    </w:tc>
                  </w:tr>
                  <w:tr w:rsidR="0098092C" w14:paraId="5E91A925" w14:textId="77777777">
                    <w:trPr>
                      <w:jc w:val="center"/>
                    </w:trPr>
                    <w:tc>
                      <w:tcPr>
                        <w:tcW w:w="1698" w:type="dxa"/>
                        <w:vAlign w:val="center"/>
                      </w:tcPr>
                      <w:p w14:paraId="561E2CA9" w14:textId="77777777" w:rsidR="0098092C" w:rsidRDefault="0030498B">
                        <w:pPr>
                          <w:pStyle w:val="ListParagraph"/>
                          <w:ind w:left="0"/>
                          <w:jc w:val="center"/>
                          <w:rPr>
                            <w:rFonts w:cs="Arial"/>
                            <w:sz w:val="18"/>
                            <w:szCs w:val="18"/>
                          </w:rPr>
                        </w:pPr>
                        <w:r>
                          <w:rPr>
                            <w:rFonts w:cs="Arial"/>
                            <w:sz w:val="18"/>
                            <w:szCs w:val="18"/>
                          </w:rPr>
                          <w:t>14</w:t>
                        </w:r>
                      </w:p>
                    </w:tc>
                    <w:tc>
                      <w:tcPr>
                        <w:tcW w:w="1697" w:type="dxa"/>
                      </w:tcPr>
                      <w:p w14:paraId="5EA44255" w14:textId="77777777" w:rsidR="0098092C" w:rsidRDefault="0030498B">
                        <w:pPr>
                          <w:pStyle w:val="ListParagraph"/>
                          <w:ind w:left="0"/>
                          <w:jc w:val="center"/>
                          <w:rPr>
                            <w:rFonts w:cs="Arial"/>
                            <w:sz w:val="18"/>
                            <w:szCs w:val="18"/>
                          </w:rPr>
                        </w:pPr>
                        <w:r>
                          <w:rPr>
                            <w:sz w:val="18"/>
                            <w:szCs w:val="18"/>
                          </w:rPr>
                          <w:t>6.4</w:t>
                        </w:r>
                      </w:p>
                    </w:tc>
                  </w:tr>
                  <w:tr w:rsidR="0098092C" w14:paraId="02EAF14D" w14:textId="77777777">
                    <w:trPr>
                      <w:jc w:val="center"/>
                    </w:trPr>
                    <w:tc>
                      <w:tcPr>
                        <w:tcW w:w="1698" w:type="dxa"/>
                        <w:vAlign w:val="center"/>
                      </w:tcPr>
                      <w:p w14:paraId="1512CA5C" w14:textId="77777777" w:rsidR="0098092C" w:rsidRDefault="0030498B">
                        <w:pPr>
                          <w:pStyle w:val="ListParagraph"/>
                          <w:ind w:left="0"/>
                          <w:jc w:val="center"/>
                          <w:rPr>
                            <w:rFonts w:cs="Arial"/>
                            <w:sz w:val="18"/>
                            <w:szCs w:val="18"/>
                          </w:rPr>
                        </w:pPr>
                        <w:r>
                          <w:rPr>
                            <w:rFonts w:cs="Arial"/>
                            <w:sz w:val="18"/>
                            <w:szCs w:val="18"/>
                          </w:rPr>
                          <w:t>15</w:t>
                        </w:r>
                      </w:p>
                    </w:tc>
                    <w:tc>
                      <w:tcPr>
                        <w:tcW w:w="1697" w:type="dxa"/>
                      </w:tcPr>
                      <w:p w14:paraId="0CE9DDB4" w14:textId="77777777" w:rsidR="0098092C" w:rsidRDefault="0030498B">
                        <w:pPr>
                          <w:pStyle w:val="ListParagraph"/>
                          <w:ind w:left="0"/>
                          <w:jc w:val="center"/>
                          <w:rPr>
                            <w:rFonts w:cs="Arial"/>
                            <w:sz w:val="18"/>
                            <w:szCs w:val="18"/>
                          </w:rPr>
                        </w:pPr>
                        <w:r>
                          <w:rPr>
                            <w:sz w:val="18"/>
                            <w:szCs w:val="18"/>
                          </w:rPr>
                          <w:t>7.1</w:t>
                        </w:r>
                      </w:p>
                    </w:tc>
                  </w:tr>
                  <w:tr w:rsidR="0098092C" w14:paraId="39A47390" w14:textId="77777777">
                    <w:trPr>
                      <w:jc w:val="center"/>
                    </w:trPr>
                    <w:tc>
                      <w:tcPr>
                        <w:tcW w:w="1698" w:type="dxa"/>
                        <w:vAlign w:val="center"/>
                      </w:tcPr>
                      <w:p w14:paraId="0A37BF36" w14:textId="77777777" w:rsidR="0098092C" w:rsidRDefault="0030498B">
                        <w:pPr>
                          <w:pStyle w:val="ListParagraph"/>
                          <w:ind w:left="0"/>
                          <w:jc w:val="center"/>
                          <w:rPr>
                            <w:rFonts w:cs="Arial"/>
                            <w:sz w:val="18"/>
                            <w:szCs w:val="18"/>
                          </w:rPr>
                        </w:pPr>
                        <w:r>
                          <w:rPr>
                            <w:rFonts w:cs="Arial"/>
                            <w:sz w:val="18"/>
                            <w:szCs w:val="18"/>
                          </w:rPr>
                          <w:t>16</w:t>
                        </w:r>
                      </w:p>
                    </w:tc>
                    <w:tc>
                      <w:tcPr>
                        <w:tcW w:w="1697" w:type="dxa"/>
                      </w:tcPr>
                      <w:p w14:paraId="17AF42DA" w14:textId="77777777" w:rsidR="0098092C" w:rsidRDefault="0030498B">
                        <w:pPr>
                          <w:pStyle w:val="ListParagraph"/>
                          <w:ind w:left="0"/>
                          <w:jc w:val="center"/>
                          <w:rPr>
                            <w:rFonts w:cs="Arial"/>
                            <w:sz w:val="18"/>
                            <w:szCs w:val="18"/>
                          </w:rPr>
                        </w:pPr>
                        <w:r>
                          <w:rPr>
                            <w:sz w:val="18"/>
                            <w:szCs w:val="18"/>
                          </w:rPr>
                          <w:t>7.7</w:t>
                        </w:r>
                      </w:p>
                    </w:tc>
                  </w:tr>
                  <w:tr w:rsidR="0098092C" w14:paraId="5ECFA32D" w14:textId="77777777">
                    <w:trPr>
                      <w:jc w:val="center"/>
                    </w:trPr>
                    <w:tc>
                      <w:tcPr>
                        <w:tcW w:w="1698" w:type="dxa"/>
                        <w:vAlign w:val="center"/>
                      </w:tcPr>
                      <w:p w14:paraId="74F225C0" w14:textId="77777777" w:rsidR="0098092C" w:rsidRDefault="0030498B">
                        <w:pPr>
                          <w:pStyle w:val="ListParagraph"/>
                          <w:ind w:left="0"/>
                          <w:jc w:val="center"/>
                          <w:rPr>
                            <w:rFonts w:cs="Arial"/>
                            <w:sz w:val="18"/>
                            <w:szCs w:val="18"/>
                          </w:rPr>
                        </w:pPr>
                        <w:r>
                          <w:rPr>
                            <w:rFonts w:cs="Arial"/>
                            <w:sz w:val="18"/>
                            <w:szCs w:val="18"/>
                          </w:rPr>
                          <w:t>17</w:t>
                        </w:r>
                      </w:p>
                    </w:tc>
                    <w:tc>
                      <w:tcPr>
                        <w:tcW w:w="1697" w:type="dxa"/>
                      </w:tcPr>
                      <w:p w14:paraId="089F3562" w14:textId="77777777" w:rsidR="0098092C" w:rsidRDefault="0030498B">
                        <w:pPr>
                          <w:pStyle w:val="ListParagraph"/>
                          <w:ind w:left="0"/>
                          <w:jc w:val="center"/>
                          <w:rPr>
                            <w:rFonts w:cs="Arial"/>
                            <w:sz w:val="18"/>
                            <w:szCs w:val="18"/>
                          </w:rPr>
                        </w:pPr>
                        <w:r>
                          <w:rPr>
                            <w:sz w:val="18"/>
                            <w:szCs w:val="18"/>
                          </w:rPr>
                          <w:t>8.6</w:t>
                        </w:r>
                      </w:p>
                    </w:tc>
                  </w:tr>
                  <w:tr w:rsidR="0098092C" w14:paraId="6D534D8E" w14:textId="77777777">
                    <w:trPr>
                      <w:jc w:val="center"/>
                    </w:trPr>
                    <w:tc>
                      <w:tcPr>
                        <w:tcW w:w="1698" w:type="dxa"/>
                        <w:vAlign w:val="center"/>
                      </w:tcPr>
                      <w:p w14:paraId="5EB3E67D" w14:textId="77777777" w:rsidR="0098092C" w:rsidRDefault="0030498B">
                        <w:pPr>
                          <w:pStyle w:val="ListParagraph"/>
                          <w:ind w:left="0"/>
                          <w:jc w:val="center"/>
                          <w:rPr>
                            <w:rFonts w:cs="Arial"/>
                            <w:sz w:val="18"/>
                            <w:szCs w:val="18"/>
                          </w:rPr>
                        </w:pPr>
                        <w:r>
                          <w:rPr>
                            <w:rFonts w:cs="Arial"/>
                            <w:sz w:val="18"/>
                            <w:szCs w:val="18"/>
                          </w:rPr>
                          <w:t>18</w:t>
                        </w:r>
                      </w:p>
                    </w:tc>
                    <w:tc>
                      <w:tcPr>
                        <w:tcW w:w="1697" w:type="dxa"/>
                      </w:tcPr>
                      <w:p w14:paraId="369E2DE4" w14:textId="77777777" w:rsidR="0098092C" w:rsidRDefault="0030498B">
                        <w:pPr>
                          <w:pStyle w:val="ListParagraph"/>
                          <w:ind w:left="0"/>
                          <w:jc w:val="center"/>
                          <w:rPr>
                            <w:rFonts w:cs="Arial"/>
                            <w:sz w:val="18"/>
                            <w:szCs w:val="18"/>
                          </w:rPr>
                        </w:pPr>
                        <w:r>
                          <w:rPr>
                            <w:sz w:val="18"/>
                            <w:szCs w:val="18"/>
                          </w:rPr>
                          <w:t>9.7</w:t>
                        </w:r>
                      </w:p>
                    </w:tc>
                  </w:tr>
                  <w:tr w:rsidR="0098092C" w14:paraId="0CD82C38" w14:textId="77777777">
                    <w:trPr>
                      <w:jc w:val="center"/>
                    </w:trPr>
                    <w:tc>
                      <w:tcPr>
                        <w:tcW w:w="1698" w:type="dxa"/>
                        <w:vAlign w:val="center"/>
                      </w:tcPr>
                      <w:p w14:paraId="2FD33699" w14:textId="77777777" w:rsidR="0098092C" w:rsidRDefault="0030498B">
                        <w:pPr>
                          <w:pStyle w:val="ListParagraph"/>
                          <w:ind w:left="0"/>
                          <w:jc w:val="center"/>
                          <w:rPr>
                            <w:rFonts w:cs="Arial"/>
                            <w:sz w:val="18"/>
                            <w:szCs w:val="18"/>
                          </w:rPr>
                        </w:pPr>
                        <w:r>
                          <w:rPr>
                            <w:rFonts w:cs="Arial"/>
                            <w:sz w:val="18"/>
                            <w:szCs w:val="18"/>
                          </w:rPr>
                          <w:t>19</w:t>
                        </w:r>
                      </w:p>
                    </w:tc>
                    <w:tc>
                      <w:tcPr>
                        <w:tcW w:w="1697" w:type="dxa"/>
                      </w:tcPr>
                      <w:p w14:paraId="54E268B8" w14:textId="77777777" w:rsidR="0098092C" w:rsidRDefault="0030498B">
                        <w:pPr>
                          <w:pStyle w:val="ListParagraph"/>
                          <w:ind w:left="0"/>
                          <w:jc w:val="center"/>
                          <w:rPr>
                            <w:rFonts w:cs="Arial"/>
                            <w:sz w:val="18"/>
                            <w:szCs w:val="18"/>
                          </w:rPr>
                        </w:pPr>
                        <w:r>
                          <w:rPr>
                            <w:sz w:val="18"/>
                            <w:szCs w:val="18"/>
                          </w:rPr>
                          <w:t>10.7</w:t>
                        </w:r>
                      </w:p>
                    </w:tc>
                  </w:tr>
                  <w:tr w:rsidR="0098092C" w14:paraId="2B1C941B" w14:textId="77777777">
                    <w:trPr>
                      <w:jc w:val="center"/>
                    </w:trPr>
                    <w:tc>
                      <w:tcPr>
                        <w:tcW w:w="1698" w:type="dxa"/>
                        <w:vAlign w:val="center"/>
                      </w:tcPr>
                      <w:p w14:paraId="5C251DDC" w14:textId="77777777" w:rsidR="0098092C" w:rsidRDefault="0030498B">
                        <w:pPr>
                          <w:pStyle w:val="ListParagraph"/>
                          <w:ind w:left="0"/>
                          <w:jc w:val="center"/>
                          <w:rPr>
                            <w:rFonts w:cs="Arial"/>
                            <w:sz w:val="18"/>
                            <w:szCs w:val="18"/>
                          </w:rPr>
                        </w:pPr>
                        <w:r>
                          <w:rPr>
                            <w:rFonts w:cs="Arial"/>
                            <w:sz w:val="18"/>
                            <w:szCs w:val="18"/>
                          </w:rPr>
                          <w:t>20</w:t>
                        </w:r>
                      </w:p>
                    </w:tc>
                    <w:tc>
                      <w:tcPr>
                        <w:tcW w:w="1697" w:type="dxa"/>
                      </w:tcPr>
                      <w:p w14:paraId="16F75FA2" w14:textId="77777777" w:rsidR="0098092C" w:rsidRDefault="0030498B">
                        <w:pPr>
                          <w:pStyle w:val="ListParagraph"/>
                          <w:ind w:left="0"/>
                          <w:jc w:val="center"/>
                          <w:rPr>
                            <w:rFonts w:cs="Arial"/>
                            <w:sz w:val="18"/>
                            <w:szCs w:val="18"/>
                          </w:rPr>
                        </w:pPr>
                        <w:r>
                          <w:rPr>
                            <w:sz w:val="18"/>
                            <w:szCs w:val="18"/>
                          </w:rPr>
                          <w:t>11.7</w:t>
                        </w:r>
                      </w:p>
                    </w:tc>
                  </w:tr>
                  <w:tr w:rsidR="0098092C" w14:paraId="16808BE3" w14:textId="77777777">
                    <w:trPr>
                      <w:jc w:val="center"/>
                    </w:trPr>
                    <w:tc>
                      <w:tcPr>
                        <w:tcW w:w="1698" w:type="dxa"/>
                        <w:vAlign w:val="center"/>
                      </w:tcPr>
                      <w:p w14:paraId="026AA9E0" w14:textId="77777777" w:rsidR="0098092C" w:rsidRDefault="0030498B">
                        <w:pPr>
                          <w:pStyle w:val="ListParagraph"/>
                          <w:ind w:left="0"/>
                          <w:jc w:val="center"/>
                          <w:rPr>
                            <w:rFonts w:cs="Arial"/>
                            <w:sz w:val="18"/>
                            <w:szCs w:val="18"/>
                          </w:rPr>
                        </w:pPr>
                        <w:r>
                          <w:rPr>
                            <w:rFonts w:cs="Arial"/>
                            <w:sz w:val="18"/>
                            <w:szCs w:val="18"/>
                          </w:rPr>
                          <w:t>21</w:t>
                        </w:r>
                      </w:p>
                    </w:tc>
                    <w:tc>
                      <w:tcPr>
                        <w:tcW w:w="1697" w:type="dxa"/>
                      </w:tcPr>
                      <w:p w14:paraId="5103B696" w14:textId="77777777" w:rsidR="0098092C" w:rsidRDefault="0030498B">
                        <w:pPr>
                          <w:pStyle w:val="ListParagraph"/>
                          <w:ind w:left="0"/>
                          <w:jc w:val="center"/>
                          <w:rPr>
                            <w:rFonts w:cs="Arial"/>
                            <w:sz w:val="18"/>
                            <w:szCs w:val="18"/>
                          </w:rPr>
                        </w:pPr>
                        <w:r>
                          <w:rPr>
                            <w:sz w:val="18"/>
                            <w:szCs w:val="18"/>
                          </w:rPr>
                          <w:t>12.8</w:t>
                        </w:r>
                      </w:p>
                    </w:tc>
                  </w:tr>
                </w:tbl>
                <w:p w14:paraId="5C834374" w14:textId="77777777" w:rsidR="0098092C" w:rsidRDefault="0098092C">
                  <w:pPr>
                    <w:rPr>
                      <w:szCs w:val="20"/>
                      <w:lang w:eastAsia="zh-CN"/>
                    </w:rPr>
                  </w:pPr>
                </w:p>
              </w:tc>
              <w:tc>
                <w:tcPr>
                  <w:tcW w:w="3622" w:type="dxa"/>
                </w:tcPr>
                <w:p w14:paraId="32BF97A0" w14:textId="77777777" w:rsidR="0098092C" w:rsidRDefault="0030498B">
                  <w:pPr>
                    <w:rPr>
                      <w:szCs w:val="20"/>
                      <w:lang w:eastAsia="zh-CN"/>
                    </w:rPr>
                  </w:pPr>
                  <w:r>
                    <w:rPr>
                      <w:szCs w:val="20"/>
                      <w:lang w:eastAsia="zh-CN"/>
                    </w:rPr>
                    <w:t>Estimation of option-1 as per [R1-2109314], after applying the offset:</w:t>
                  </w:r>
                </w:p>
                <w:p w14:paraId="7B28B0D5" w14:textId="77777777" w:rsidR="0098092C" w:rsidRDefault="0098092C">
                  <w:pPr>
                    <w:rPr>
                      <w:szCs w:val="20"/>
                      <w:lang w:eastAsia="zh-CN"/>
                    </w:rPr>
                  </w:pPr>
                </w:p>
                <w:tbl>
                  <w:tblPr>
                    <w:tblStyle w:val="TableGrid"/>
                    <w:tblW w:w="0" w:type="auto"/>
                    <w:jc w:val="center"/>
                    <w:tblLook w:val="04A0" w:firstRow="1" w:lastRow="0" w:firstColumn="1" w:lastColumn="0" w:noHBand="0" w:noVBand="1"/>
                  </w:tblPr>
                  <w:tblGrid>
                    <w:gridCol w:w="1693"/>
                    <w:gridCol w:w="1703"/>
                  </w:tblGrid>
                  <w:tr w:rsidR="0098092C" w14:paraId="22B5535E" w14:textId="77777777">
                    <w:trPr>
                      <w:trHeight w:val="410"/>
                      <w:jc w:val="center"/>
                    </w:trPr>
                    <w:tc>
                      <w:tcPr>
                        <w:tcW w:w="1842" w:type="dxa"/>
                        <w:shd w:val="clear" w:color="auto" w:fill="D9D9D9" w:themeFill="background1" w:themeFillShade="D9"/>
                        <w:vAlign w:val="center"/>
                      </w:tcPr>
                      <w:p w14:paraId="6314E82B" w14:textId="77777777" w:rsidR="0098092C" w:rsidRDefault="0030498B">
                        <w:pPr>
                          <w:pStyle w:val="ListParagraph"/>
                          <w:ind w:left="0"/>
                          <w:jc w:val="center"/>
                          <w:rPr>
                            <w:rFonts w:cs="Arial"/>
                            <w:sz w:val="18"/>
                            <w:szCs w:val="18"/>
                          </w:rPr>
                        </w:pPr>
                        <w:r>
                          <w:rPr>
                            <w:rFonts w:cs="Arial"/>
                            <w:sz w:val="18"/>
                            <w:szCs w:val="18"/>
                          </w:rPr>
                          <w:t>MCS</w:t>
                        </w:r>
                      </w:p>
                    </w:tc>
                    <w:tc>
                      <w:tcPr>
                        <w:tcW w:w="1842" w:type="dxa"/>
                        <w:shd w:val="clear" w:color="auto" w:fill="D9D9D9" w:themeFill="background1" w:themeFillShade="D9"/>
                        <w:vAlign w:val="center"/>
                      </w:tcPr>
                      <w:p w14:paraId="341B9F26" w14:textId="77777777" w:rsidR="0098092C" w:rsidRDefault="00A15C9A">
                        <w:pPr>
                          <w:pStyle w:val="ListParagraph"/>
                          <w:ind w:left="0"/>
                          <w:jc w:val="center"/>
                          <w:rPr>
                            <w:rFonts w:cs="Arial"/>
                            <w:sz w:val="18"/>
                            <w:szCs w:val="18"/>
                          </w:rPr>
                        </w:pPr>
                        <m:oMathPara>
                          <m:oMath>
                            <m:sSub>
                              <m:sSubPr>
                                <m:ctrlPr>
                                  <w:rPr>
                                    <w:rFonts w:ascii="Cambria Math" w:hAnsi="Cambria Math"/>
                                    <w:i/>
                                    <w:iCs/>
                                    <w:sz w:val="18"/>
                                    <w:szCs w:val="18"/>
                                  </w:rPr>
                                </m:ctrlPr>
                              </m:sSubPr>
                              <m:e>
                                <m:r>
                                  <w:rPr>
                                    <w:rFonts w:ascii="Cambria Math" w:hAnsi="Cambria Math"/>
                                    <w:sz w:val="18"/>
                                    <w:szCs w:val="18"/>
                                  </w:rPr>
                                  <m:t>∆</m:t>
                                </m:r>
                              </m:e>
                              <m:sub>
                                <m:r>
                                  <w:rPr>
                                    <w:rFonts w:ascii="Cambria Math" w:hAnsi="Cambria Math"/>
                                    <w:sz w:val="18"/>
                                    <w:szCs w:val="18"/>
                                  </w:rPr>
                                  <m:t>TF</m:t>
                                </m:r>
                              </m:sub>
                            </m:sSub>
                          </m:oMath>
                        </m:oMathPara>
                      </w:p>
                    </w:tc>
                  </w:tr>
                  <w:tr w:rsidR="0098092C" w14:paraId="06EF699A" w14:textId="77777777">
                    <w:trPr>
                      <w:jc w:val="center"/>
                    </w:trPr>
                    <w:tc>
                      <w:tcPr>
                        <w:tcW w:w="1842" w:type="dxa"/>
                        <w:vAlign w:val="center"/>
                      </w:tcPr>
                      <w:p w14:paraId="214BF978" w14:textId="77777777" w:rsidR="0098092C" w:rsidRDefault="0030498B">
                        <w:pPr>
                          <w:pStyle w:val="ListParagraph"/>
                          <w:ind w:left="0"/>
                          <w:jc w:val="center"/>
                          <w:rPr>
                            <w:rFonts w:cs="Arial"/>
                            <w:sz w:val="18"/>
                            <w:szCs w:val="18"/>
                          </w:rPr>
                        </w:pPr>
                        <w:r>
                          <w:rPr>
                            <w:rFonts w:cs="Arial"/>
                            <w:sz w:val="18"/>
                            <w:szCs w:val="18"/>
                          </w:rPr>
                          <w:t>0 – 13</w:t>
                        </w:r>
                      </w:p>
                    </w:tc>
                    <w:tc>
                      <w:tcPr>
                        <w:tcW w:w="1842" w:type="dxa"/>
                      </w:tcPr>
                      <w:p w14:paraId="7AAE2C88" w14:textId="77777777" w:rsidR="0098092C" w:rsidRDefault="0030498B">
                        <w:pPr>
                          <w:pStyle w:val="ListParagraph"/>
                          <w:ind w:left="0"/>
                          <w:jc w:val="center"/>
                          <w:rPr>
                            <w:rFonts w:cs="Arial"/>
                            <w:sz w:val="18"/>
                            <w:szCs w:val="18"/>
                          </w:rPr>
                        </w:pPr>
                        <w:r>
                          <w:rPr>
                            <w:rFonts w:cs="Arial"/>
                            <w:sz w:val="18"/>
                            <w:szCs w:val="18"/>
                          </w:rPr>
                          <w:t>0</w:t>
                        </w:r>
                      </w:p>
                    </w:tc>
                  </w:tr>
                  <w:tr w:rsidR="0098092C" w14:paraId="6F8879FA" w14:textId="77777777">
                    <w:trPr>
                      <w:jc w:val="center"/>
                    </w:trPr>
                    <w:tc>
                      <w:tcPr>
                        <w:tcW w:w="1842" w:type="dxa"/>
                        <w:vAlign w:val="center"/>
                      </w:tcPr>
                      <w:p w14:paraId="29B2E6BA" w14:textId="77777777" w:rsidR="0098092C" w:rsidRDefault="0030498B">
                        <w:pPr>
                          <w:pStyle w:val="ListParagraph"/>
                          <w:ind w:left="0"/>
                          <w:jc w:val="center"/>
                          <w:rPr>
                            <w:rFonts w:cs="Arial"/>
                            <w:sz w:val="18"/>
                            <w:szCs w:val="18"/>
                          </w:rPr>
                        </w:pPr>
                        <w:r>
                          <w:rPr>
                            <w:rFonts w:cs="Arial"/>
                            <w:sz w:val="18"/>
                            <w:szCs w:val="18"/>
                          </w:rPr>
                          <w:t>14</w:t>
                        </w:r>
                      </w:p>
                    </w:tc>
                    <w:tc>
                      <w:tcPr>
                        <w:tcW w:w="1842" w:type="dxa"/>
                      </w:tcPr>
                      <w:p w14:paraId="4F4A46BC" w14:textId="77777777" w:rsidR="0098092C" w:rsidRDefault="0030498B">
                        <w:pPr>
                          <w:pStyle w:val="ListParagraph"/>
                          <w:ind w:left="0"/>
                          <w:jc w:val="center"/>
                          <w:rPr>
                            <w:rFonts w:cs="Arial"/>
                            <w:sz w:val="18"/>
                            <w:szCs w:val="18"/>
                          </w:rPr>
                        </w:pPr>
                        <w:r>
                          <w:rPr>
                            <w:sz w:val="18"/>
                            <w:szCs w:val="18"/>
                          </w:rPr>
                          <w:t>6.4 – offset = 0.5</w:t>
                        </w:r>
                      </w:p>
                    </w:tc>
                  </w:tr>
                  <w:tr w:rsidR="0098092C" w14:paraId="7CAC4819" w14:textId="77777777">
                    <w:trPr>
                      <w:jc w:val="center"/>
                    </w:trPr>
                    <w:tc>
                      <w:tcPr>
                        <w:tcW w:w="1842" w:type="dxa"/>
                        <w:vAlign w:val="center"/>
                      </w:tcPr>
                      <w:p w14:paraId="61BC6A4C" w14:textId="77777777" w:rsidR="0098092C" w:rsidRDefault="0030498B">
                        <w:pPr>
                          <w:pStyle w:val="ListParagraph"/>
                          <w:ind w:left="0"/>
                          <w:jc w:val="center"/>
                          <w:rPr>
                            <w:rFonts w:cs="Arial"/>
                            <w:sz w:val="18"/>
                            <w:szCs w:val="18"/>
                          </w:rPr>
                        </w:pPr>
                        <w:r>
                          <w:rPr>
                            <w:rFonts w:cs="Arial"/>
                            <w:sz w:val="18"/>
                            <w:szCs w:val="18"/>
                          </w:rPr>
                          <w:t>15</w:t>
                        </w:r>
                      </w:p>
                    </w:tc>
                    <w:tc>
                      <w:tcPr>
                        <w:tcW w:w="1842" w:type="dxa"/>
                      </w:tcPr>
                      <w:p w14:paraId="1446D6D4" w14:textId="77777777" w:rsidR="0098092C" w:rsidRDefault="0030498B">
                        <w:pPr>
                          <w:pStyle w:val="ListParagraph"/>
                          <w:ind w:left="0"/>
                          <w:jc w:val="center"/>
                          <w:rPr>
                            <w:rFonts w:cs="Arial"/>
                            <w:sz w:val="18"/>
                            <w:szCs w:val="18"/>
                          </w:rPr>
                        </w:pPr>
                        <w:r>
                          <w:rPr>
                            <w:sz w:val="18"/>
                            <w:szCs w:val="18"/>
                          </w:rPr>
                          <w:t>7.1 – offset = 1.2</w:t>
                        </w:r>
                      </w:p>
                    </w:tc>
                  </w:tr>
                  <w:tr w:rsidR="0098092C" w14:paraId="29073BA9" w14:textId="77777777">
                    <w:trPr>
                      <w:jc w:val="center"/>
                    </w:trPr>
                    <w:tc>
                      <w:tcPr>
                        <w:tcW w:w="1842" w:type="dxa"/>
                        <w:vAlign w:val="center"/>
                      </w:tcPr>
                      <w:p w14:paraId="7856D30D" w14:textId="77777777" w:rsidR="0098092C" w:rsidRDefault="0030498B">
                        <w:pPr>
                          <w:pStyle w:val="ListParagraph"/>
                          <w:ind w:left="0"/>
                          <w:jc w:val="center"/>
                          <w:rPr>
                            <w:rFonts w:cs="Arial"/>
                            <w:sz w:val="18"/>
                            <w:szCs w:val="18"/>
                          </w:rPr>
                        </w:pPr>
                        <w:r>
                          <w:rPr>
                            <w:rFonts w:cs="Arial"/>
                            <w:sz w:val="18"/>
                            <w:szCs w:val="18"/>
                          </w:rPr>
                          <w:t>16</w:t>
                        </w:r>
                      </w:p>
                    </w:tc>
                    <w:tc>
                      <w:tcPr>
                        <w:tcW w:w="1842" w:type="dxa"/>
                      </w:tcPr>
                      <w:p w14:paraId="35EB902F" w14:textId="77777777" w:rsidR="0098092C" w:rsidRDefault="0030498B">
                        <w:pPr>
                          <w:pStyle w:val="ListParagraph"/>
                          <w:ind w:left="0"/>
                          <w:jc w:val="center"/>
                          <w:rPr>
                            <w:rFonts w:cs="Arial"/>
                            <w:sz w:val="18"/>
                            <w:szCs w:val="18"/>
                          </w:rPr>
                        </w:pPr>
                        <w:r>
                          <w:rPr>
                            <w:sz w:val="18"/>
                            <w:szCs w:val="18"/>
                          </w:rPr>
                          <w:t>7.7 – offset = 1.8</w:t>
                        </w:r>
                      </w:p>
                    </w:tc>
                  </w:tr>
                  <w:tr w:rsidR="0098092C" w14:paraId="025A466C" w14:textId="77777777">
                    <w:trPr>
                      <w:jc w:val="center"/>
                    </w:trPr>
                    <w:tc>
                      <w:tcPr>
                        <w:tcW w:w="1842" w:type="dxa"/>
                        <w:vAlign w:val="center"/>
                      </w:tcPr>
                      <w:p w14:paraId="15887B0B" w14:textId="77777777" w:rsidR="0098092C" w:rsidRDefault="0030498B">
                        <w:pPr>
                          <w:pStyle w:val="ListParagraph"/>
                          <w:ind w:left="0"/>
                          <w:jc w:val="center"/>
                          <w:rPr>
                            <w:rFonts w:cs="Arial"/>
                            <w:sz w:val="18"/>
                            <w:szCs w:val="18"/>
                          </w:rPr>
                        </w:pPr>
                        <w:r>
                          <w:rPr>
                            <w:rFonts w:cs="Arial"/>
                            <w:sz w:val="18"/>
                            <w:szCs w:val="18"/>
                          </w:rPr>
                          <w:t>17</w:t>
                        </w:r>
                      </w:p>
                    </w:tc>
                    <w:tc>
                      <w:tcPr>
                        <w:tcW w:w="1842" w:type="dxa"/>
                      </w:tcPr>
                      <w:p w14:paraId="2FE514C3" w14:textId="77777777" w:rsidR="0098092C" w:rsidRDefault="0030498B">
                        <w:pPr>
                          <w:pStyle w:val="ListParagraph"/>
                          <w:ind w:left="0"/>
                          <w:jc w:val="center"/>
                          <w:rPr>
                            <w:rFonts w:cs="Arial"/>
                            <w:sz w:val="18"/>
                            <w:szCs w:val="18"/>
                          </w:rPr>
                        </w:pPr>
                        <w:r>
                          <w:rPr>
                            <w:sz w:val="18"/>
                            <w:szCs w:val="18"/>
                          </w:rPr>
                          <w:t>8.6 – offset = 2.7</w:t>
                        </w:r>
                      </w:p>
                    </w:tc>
                  </w:tr>
                  <w:tr w:rsidR="0098092C" w14:paraId="4362F800" w14:textId="77777777">
                    <w:trPr>
                      <w:jc w:val="center"/>
                    </w:trPr>
                    <w:tc>
                      <w:tcPr>
                        <w:tcW w:w="1842" w:type="dxa"/>
                        <w:vAlign w:val="center"/>
                      </w:tcPr>
                      <w:p w14:paraId="5C4C5EF2" w14:textId="77777777" w:rsidR="0098092C" w:rsidRDefault="0030498B">
                        <w:pPr>
                          <w:pStyle w:val="ListParagraph"/>
                          <w:ind w:left="0"/>
                          <w:jc w:val="center"/>
                          <w:rPr>
                            <w:rFonts w:cs="Arial"/>
                            <w:sz w:val="18"/>
                            <w:szCs w:val="18"/>
                          </w:rPr>
                        </w:pPr>
                        <w:r>
                          <w:rPr>
                            <w:rFonts w:cs="Arial"/>
                            <w:sz w:val="18"/>
                            <w:szCs w:val="18"/>
                          </w:rPr>
                          <w:t>18</w:t>
                        </w:r>
                      </w:p>
                    </w:tc>
                    <w:tc>
                      <w:tcPr>
                        <w:tcW w:w="1842" w:type="dxa"/>
                      </w:tcPr>
                      <w:p w14:paraId="78E34F37" w14:textId="77777777" w:rsidR="0098092C" w:rsidRDefault="0030498B">
                        <w:pPr>
                          <w:pStyle w:val="ListParagraph"/>
                          <w:ind w:left="0"/>
                          <w:jc w:val="center"/>
                          <w:rPr>
                            <w:rFonts w:cs="Arial"/>
                            <w:sz w:val="18"/>
                            <w:szCs w:val="18"/>
                          </w:rPr>
                        </w:pPr>
                        <w:r>
                          <w:rPr>
                            <w:sz w:val="18"/>
                            <w:szCs w:val="18"/>
                          </w:rPr>
                          <w:t>9.7 – offset = 3.8</w:t>
                        </w:r>
                      </w:p>
                    </w:tc>
                  </w:tr>
                  <w:tr w:rsidR="0098092C" w14:paraId="79F2FFBF" w14:textId="77777777">
                    <w:trPr>
                      <w:jc w:val="center"/>
                    </w:trPr>
                    <w:tc>
                      <w:tcPr>
                        <w:tcW w:w="1842" w:type="dxa"/>
                        <w:vAlign w:val="center"/>
                      </w:tcPr>
                      <w:p w14:paraId="46D0FE21" w14:textId="77777777" w:rsidR="0098092C" w:rsidRDefault="0030498B">
                        <w:pPr>
                          <w:pStyle w:val="ListParagraph"/>
                          <w:ind w:left="0"/>
                          <w:jc w:val="center"/>
                          <w:rPr>
                            <w:rFonts w:cs="Arial"/>
                            <w:sz w:val="18"/>
                            <w:szCs w:val="18"/>
                          </w:rPr>
                        </w:pPr>
                        <w:r>
                          <w:rPr>
                            <w:rFonts w:cs="Arial"/>
                            <w:sz w:val="18"/>
                            <w:szCs w:val="18"/>
                          </w:rPr>
                          <w:t>19</w:t>
                        </w:r>
                      </w:p>
                    </w:tc>
                    <w:tc>
                      <w:tcPr>
                        <w:tcW w:w="1842" w:type="dxa"/>
                      </w:tcPr>
                      <w:p w14:paraId="5AB20191" w14:textId="77777777" w:rsidR="0098092C" w:rsidRDefault="0030498B">
                        <w:pPr>
                          <w:pStyle w:val="ListParagraph"/>
                          <w:ind w:left="0"/>
                          <w:jc w:val="center"/>
                          <w:rPr>
                            <w:rFonts w:cs="Arial"/>
                            <w:sz w:val="18"/>
                            <w:szCs w:val="18"/>
                          </w:rPr>
                        </w:pPr>
                        <w:r>
                          <w:rPr>
                            <w:sz w:val="18"/>
                            <w:szCs w:val="18"/>
                          </w:rPr>
                          <w:t>10.7 – offset = 4.8</w:t>
                        </w:r>
                      </w:p>
                    </w:tc>
                  </w:tr>
                  <w:tr w:rsidR="0098092C" w14:paraId="370A99C8" w14:textId="77777777">
                    <w:trPr>
                      <w:jc w:val="center"/>
                    </w:trPr>
                    <w:tc>
                      <w:tcPr>
                        <w:tcW w:w="1842" w:type="dxa"/>
                        <w:vAlign w:val="center"/>
                      </w:tcPr>
                      <w:p w14:paraId="7A4A4E0D" w14:textId="77777777" w:rsidR="0098092C" w:rsidRDefault="0030498B">
                        <w:pPr>
                          <w:pStyle w:val="ListParagraph"/>
                          <w:ind w:left="0"/>
                          <w:jc w:val="center"/>
                          <w:rPr>
                            <w:rFonts w:cs="Arial"/>
                            <w:sz w:val="18"/>
                            <w:szCs w:val="18"/>
                          </w:rPr>
                        </w:pPr>
                        <w:r>
                          <w:rPr>
                            <w:rFonts w:cs="Arial"/>
                            <w:sz w:val="18"/>
                            <w:szCs w:val="18"/>
                          </w:rPr>
                          <w:t>20</w:t>
                        </w:r>
                      </w:p>
                    </w:tc>
                    <w:tc>
                      <w:tcPr>
                        <w:tcW w:w="1842" w:type="dxa"/>
                      </w:tcPr>
                      <w:p w14:paraId="0FA138BE" w14:textId="77777777" w:rsidR="0098092C" w:rsidRDefault="0030498B">
                        <w:pPr>
                          <w:pStyle w:val="ListParagraph"/>
                          <w:ind w:left="0"/>
                          <w:jc w:val="center"/>
                          <w:rPr>
                            <w:rFonts w:cs="Arial"/>
                            <w:sz w:val="18"/>
                            <w:szCs w:val="18"/>
                          </w:rPr>
                        </w:pPr>
                        <w:r>
                          <w:rPr>
                            <w:sz w:val="18"/>
                            <w:szCs w:val="18"/>
                          </w:rPr>
                          <w:t>11.7 – offset = 5.8</w:t>
                        </w:r>
                      </w:p>
                    </w:tc>
                  </w:tr>
                  <w:tr w:rsidR="0098092C" w14:paraId="7F0ECBAF" w14:textId="77777777">
                    <w:trPr>
                      <w:jc w:val="center"/>
                    </w:trPr>
                    <w:tc>
                      <w:tcPr>
                        <w:tcW w:w="1842" w:type="dxa"/>
                        <w:vAlign w:val="center"/>
                      </w:tcPr>
                      <w:p w14:paraId="2CBA4F72" w14:textId="77777777" w:rsidR="0098092C" w:rsidRDefault="0030498B">
                        <w:pPr>
                          <w:pStyle w:val="ListParagraph"/>
                          <w:ind w:left="0"/>
                          <w:jc w:val="center"/>
                          <w:rPr>
                            <w:rFonts w:cs="Arial"/>
                            <w:sz w:val="18"/>
                            <w:szCs w:val="18"/>
                          </w:rPr>
                        </w:pPr>
                        <w:r>
                          <w:rPr>
                            <w:rFonts w:cs="Arial"/>
                            <w:sz w:val="18"/>
                            <w:szCs w:val="18"/>
                          </w:rPr>
                          <w:t>21</w:t>
                        </w:r>
                      </w:p>
                    </w:tc>
                    <w:tc>
                      <w:tcPr>
                        <w:tcW w:w="1842" w:type="dxa"/>
                      </w:tcPr>
                      <w:p w14:paraId="02868E54" w14:textId="77777777" w:rsidR="0098092C" w:rsidRDefault="0030498B">
                        <w:pPr>
                          <w:pStyle w:val="ListParagraph"/>
                          <w:ind w:left="0"/>
                          <w:jc w:val="center"/>
                          <w:rPr>
                            <w:rFonts w:cs="Arial"/>
                            <w:sz w:val="18"/>
                            <w:szCs w:val="18"/>
                          </w:rPr>
                        </w:pPr>
                        <w:r>
                          <w:rPr>
                            <w:sz w:val="18"/>
                            <w:szCs w:val="18"/>
                          </w:rPr>
                          <w:t>12.8 – offset = 6.9</w:t>
                        </w:r>
                      </w:p>
                    </w:tc>
                  </w:tr>
                </w:tbl>
                <w:p w14:paraId="75A8E7FE" w14:textId="77777777" w:rsidR="0098092C" w:rsidRDefault="0098092C">
                  <w:pPr>
                    <w:rPr>
                      <w:szCs w:val="20"/>
                      <w:lang w:eastAsia="zh-CN"/>
                    </w:rPr>
                  </w:pPr>
                </w:p>
                <w:p w14:paraId="6BD8EFEF" w14:textId="77777777" w:rsidR="0098092C" w:rsidRDefault="0030498B">
                  <w:pPr>
                    <w:rPr>
                      <w:szCs w:val="20"/>
                      <w:lang w:eastAsia="zh-CN"/>
                    </w:rPr>
                  </w:pPr>
                  <w:r>
                    <w:rPr>
                      <w:szCs w:val="20"/>
                      <w:lang w:eastAsia="zh-CN"/>
                    </w:rPr>
                    <w:t xml:space="preserve">The offset is obtained accounting for where the jump occurs, to obtain it </w:t>
                  </w:r>
                  <m:oMath>
                    <m:r>
                      <m:rPr>
                        <m:sty m:val="p"/>
                      </m:rPr>
                      <w:rPr>
                        <w:rFonts w:ascii="Cambria Math" w:hAnsi="Cambria Math"/>
                        <w:sz w:val="18"/>
                        <w:szCs w:val="18"/>
                      </w:rPr>
                      <w:br/>
                    </m:r>
                    <m:sSub>
                      <m:sSubPr>
                        <m:ctrlPr>
                          <w:rPr>
                            <w:rFonts w:ascii="Cambria Math" w:hAnsi="Cambria Math"/>
                            <w:i/>
                            <w:iCs/>
                            <w:sz w:val="18"/>
                            <w:szCs w:val="18"/>
                          </w:rPr>
                        </m:ctrlPr>
                      </m:sSubPr>
                      <m:e>
                        <m:r>
                          <w:rPr>
                            <w:rFonts w:ascii="Cambria Math" w:hAnsi="Cambria Math"/>
                            <w:sz w:val="18"/>
                            <w:szCs w:val="18"/>
                          </w:rPr>
                          <m:t>∆</m:t>
                        </m:r>
                      </m:e>
                      <m:sub>
                        <m:r>
                          <w:rPr>
                            <w:rFonts w:ascii="Cambria Math" w:hAnsi="Cambria Math"/>
                            <w:sz w:val="18"/>
                            <w:szCs w:val="18"/>
                          </w:rPr>
                          <m:t>TF</m:t>
                        </m:r>
                      </m:sub>
                    </m:sSub>
                  </m:oMath>
                  <w:r>
                    <w:rPr>
                      <w:iCs/>
                      <w:sz w:val="18"/>
                      <w:szCs w:val="18"/>
                    </w:rPr>
                    <w:t xml:space="preserve"> </w:t>
                  </w:r>
                  <w:r>
                    <w:rPr>
                      <w:szCs w:val="20"/>
                      <w:lang w:eastAsia="zh-CN"/>
                    </w:rPr>
                    <w:t>can be calculated on the last I</w:t>
                  </w:r>
                  <w:r>
                    <w:rPr>
                      <w:szCs w:val="20"/>
                      <w:vertAlign w:val="subscript"/>
                      <w:lang w:eastAsia="zh-CN"/>
                    </w:rPr>
                    <w:t>TBS</w:t>
                  </w:r>
                  <w:r>
                    <w:rPr>
                      <w:szCs w:val="20"/>
                      <w:lang w:eastAsia="zh-CN"/>
                    </w:rPr>
                    <w:t xml:space="preserve"> of QPSK, which produces an offset </w:t>
                  </w:r>
                  <w:r>
                    <w:rPr>
                      <w:sz w:val="24"/>
                      <w:lang w:eastAsia="zh-CN"/>
                    </w:rPr>
                    <w:t>⁓</w:t>
                  </w:r>
                  <w:r>
                    <w:rPr>
                      <w:szCs w:val="20"/>
                      <w:lang w:eastAsia="zh-CN"/>
                    </w:rPr>
                    <w:t xml:space="preserve"> 5.9 dB, which alleviates the “jump between QPSK and 16-QAM”.</w:t>
                  </w:r>
                </w:p>
              </w:tc>
            </w:tr>
          </w:tbl>
          <w:p w14:paraId="60883E72" w14:textId="77777777" w:rsidR="0098092C" w:rsidRDefault="0098092C">
            <w:pPr>
              <w:rPr>
                <w:szCs w:val="20"/>
                <w:lang w:eastAsia="zh-CN"/>
              </w:rPr>
            </w:pPr>
          </w:p>
          <w:p w14:paraId="65D07F97" w14:textId="77777777" w:rsidR="0098092C" w:rsidRDefault="0098092C">
            <w:pPr>
              <w:rPr>
                <w:szCs w:val="20"/>
                <w:lang w:eastAsia="zh-CN"/>
              </w:rPr>
            </w:pPr>
          </w:p>
        </w:tc>
      </w:tr>
      <w:tr w:rsidR="0098092C" w14:paraId="6FC24F44" w14:textId="77777777">
        <w:tc>
          <w:tcPr>
            <w:tcW w:w="1838" w:type="dxa"/>
          </w:tcPr>
          <w:p w14:paraId="5F85AED2" w14:textId="77777777" w:rsidR="0098092C" w:rsidRDefault="0030498B">
            <w:pPr>
              <w:rPr>
                <w:szCs w:val="20"/>
                <w:lang w:eastAsia="zh-CN"/>
              </w:rPr>
            </w:pPr>
            <w:r>
              <w:rPr>
                <w:rFonts w:hint="eastAsia"/>
                <w:szCs w:val="20"/>
                <w:lang w:eastAsia="zh-CN"/>
              </w:rPr>
              <w:t>L</w:t>
            </w:r>
            <w:r>
              <w:rPr>
                <w:szCs w:val="20"/>
                <w:lang w:eastAsia="zh-CN"/>
              </w:rPr>
              <w:t>enovo, MotoM</w:t>
            </w:r>
          </w:p>
          <w:p w14:paraId="269089DA" w14:textId="77777777" w:rsidR="0098092C" w:rsidRDefault="0098092C">
            <w:pPr>
              <w:rPr>
                <w:szCs w:val="20"/>
                <w:lang w:eastAsia="zh-CN"/>
              </w:rPr>
            </w:pPr>
          </w:p>
        </w:tc>
        <w:tc>
          <w:tcPr>
            <w:tcW w:w="7469" w:type="dxa"/>
          </w:tcPr>
          <w:p w14:paraId="120548B0" w14:textId="77777777" w:rsidR="0098092C" w:rsidRDefault="0030498B">
            <w:pPr>
              <w:rPr>
                <w:szCs w:val="20"/>
                <w:lang w:eastAsia="zh-CN"/>
              </w:rPr>
            </w:pPr>
            <w:r>
              <w:rPr>
                <w:rFonts w:hint="eastAsia"/>
                <w:szCs w:val="20"/>
                <w:lang w:eastAsia="zh-CN"/>
              </w:rPr>
              <w:t>For</w:t>
            </w:r>
            <w:r>
              <w:rPr>
                <w:szCs w:val="20"/>
                <w:lang w:eastAsia="zh-CN"/>
              </w:rPr>
              <w:t xml:space="preserve"> the FFS part, we share the similar view as Nokia. If we introduce the new term as LTE, we should follow the same principal, use the term for all modulation type not only for 16QAM, otherwise we don’t think we need to introduce the new term </w:t>
            </w:r>
            <w:r>
              <w:rPr>
                <w:szCs w:val="20"/>
                <w:lang w:eastAsia="zh-CN"/>
              </w:rPr>
              <w:lastRenderedPageBreak/>
              <w:t>at all (the UL power control enhancement is an optimization and is not noted in WID).</w:t>
            </w:r>
          </w:p>
        </w:tc>
      </w:tr>
      <w:tr w:rsidR="0098092C" w14:paraId="1DC31A47" w14:textId="77777777">
        <w:tc>
          <w:tcPr>
            <w:tcW w:w="1838" w:type="dxa"/>
          </w:tcPr>
          <w:p w14:paraId="0C67E0E9" w14:textId="77777777" w:rsidR="0098092C" w:rsidRDefault="0030498B">
            <w:pPr>
              <w:rPr>
                <w:szCs w:val="20"/>
                <w:lang w:eastAsia="zh-CN"/>
              </w:rPr>
            </w:pPr>
            <w:r>
              <w:rPr>
                <w:szCs w:val="20"/>
                <w:lang w:eastAsia="zh-CN"/>
              </w:rPr>
              <w:lastRenderedPageBreak/>
              <w:t>MTK</w:t>
            </w:r>
          </w:p>
        </w:tc>
        <w:tc>
          <w:tcPr>
            <w:tcW w:w="7469" w:type="dxa"/>
          </w:tcPr>
          <w:p w14:paraId="082C1234" w14:textId="77777777" w:rsidR="0098092C" w:rsidRDefault="0030498B">
            <w:pPr>
              <w:rPr>
                <w:szCs w:val="20"/>
                <w:lang w:eastAsia="zh-CN"/>
              </w:rPr>
            </w:pPr>
            <w:r>
              <w:rPr>
                <w:szCs w:val="20"/>
                <w:lang w:eastAsia="zh-CN"/>
              </w:rPr>
              <w:t xml:space="preserve">Regarding the FFS part, we share the same view as Nokia and Lenovo. Actually, if we introduce an offset as proposed above, the enhancement from </w:t>
            </w:r>
            <m:oMath>
              <m:sSub>
                <m:sSubPr>
                  <m:ctrlPr>
                    <w:rPr>
                      <w:rFonts w:ascii="Cambria Math" w:hAnsi="Cambria Math"/>
                      <w:i/>
                      <w:iCs/>
                      <w:sz w:val="18"/>
                      <w:szCs w:val="18"/>
                    </w:rPr>
                  </m:ctrlPr>
                </m:sSubPr>
                <m:e>
                  <m:r>
                    <w:rPr>
                      <w:rFonts w:ascii="Cambria Math" w:hAnsi="Cambria Math"/>
                      <w:sz w:val="18"/>
                      <w:szCs w:val="18"/>
                    </w:rPr>
                    <m:t>∆</m:t>
                  </m:r>
                </m:e>
                <m:sub>
                  <m:r>
                    <w:rPr>
                      <w:rFonts w:ascii="Cambria Math" w:hAnsi="Cambria Math"/>
                      <w:sz w:val="18"/>
                      <w:szCs w:val="18"/>
                    </w:rPr>
                    <m:t>TF</m:t>
                  </m:r>
                </m:sub>
              </m:sSub>
            </m:oMath>
            <w:r>
              <w:rPr>
                <w:iCs/>
                <w:sz w:val="18"/>
                <w:szCs w:val="18"/>
              </w:rPr>
              <w:t xml:space="preserve"> </w:t>
            </w:r>
            <w:r>
              <w:rPr>
                <w:szCs w:val="20"/>
                <w:lang w:eastAsia="zh-CN"/>
              </w:rPr>
              <w:t>compensation will dramatically decreases, this violets the intention of introducing power control.</w:t>
            </w:r>
          </w:p>
        </w:tc>
      </w:tr>
    </w:tbl>
    <w:p w14:paraId="60D3D0E9" w14:textId="77777777" w:rsidR="0098092C" w:rsidRDefault="0098092C">
      <w:pPr>
        <w:autoSpaceDE/>
        <w:autoSpaceDN/>
        <w:adjustRightInd/>
        <w:snapToGrid/>
        <w:spacing w:after="0"/>
        <w:rPr>
          <w:b/>
          <w:szCs w:val="21"/>
          <w:lang w:eastAsia="zh-CN"/>
        </w:rPr>
      </w:pPr>
    </w:p>
    <w:p w14:paraId="3902608C" w14:textId="77777777" w:rsidR="0098092C" w:rsidRDefault="0098092C">
      <w:pPr>
        <w:autoSpaceDE/>
        <w:autoSpaceDN/>
        <w:adjustRightInd/>
        <w:snapToGrid/>
        <w:spacing w:after="0"/>
        <w:rPr>
          <w:b/>
          <w:szCs w:val="21"/>
          <w:lang w:eastAsia="zh-CN"/>
        </w:rPr>
      </w:pPr>
    </w:p>
    <w:p w14:paraId="2B3EB5E6" w14:textId="77777777" w:rsidR="0098092C" w:rsidRDefault="0030498B">
      <w:pPr>
        <w:pStyle w:val="Heading2"/>
        <w:rPr>
          <w:lang w:eastAsia="zh-CN"/>
        </w:rPr>
      </w:pPr>
      <w:r>
        <w:rPr>
          <w:lang w:eastAsia="zh-CN"/>
        </w:rPr>
        <w:t>Channel quality reporting</w:t>
      </w:r>
    </w:p>
    <w:p w14:paraId="1FD506A2" w14:textId="77777777" w:rsidR="0098092C" w:rsidRDefault="0098092C">
      <w:pPr>
        <w:autoSpaceDE/>
        <w:autoSpaceDN/>
        <w:adjustRightInd/>
        <w:snapToGrid/>
        <w:spacing w:after="0"/>
        <w:rPr>
          <w:b/>
          <w:szCs w:val="21"/>
          <w:lang w:eastAsia="zh-CN"/>
        </w:rPr>
      </w:pPr>
    </w:p>
    <w:p w14:paraId="4A6C32AB" w14:textId="77777777" w:rsidR="0098092C" w:rsidRDefault="0030498B">
      <w:pPr>
        <w:pStyle w:val="Heading3"/>
      </w:pPr>
      <w:r>
        <w:rPr>
          <w:lang w:eastAsia="zh-CN"/>
        </w:rPr>
        <w:t>Issue 5: Channel quality reporting</w:t>
      </w:r>
    </w:p>
    <w:p w14:paraId="33E09E57" w14:textId="77777777" w:rsidR="0098092C" w:rsidRDefault="0030498B">
      <w:r>
        <w:rPr>
          <w:rFonts w:hint="eastAsia"/>
        </w:rPr>
        <w:t xml:space="preserve">The </w:t>
      </w:r>
      <w:r>
        <w:t>following are proposed:</w:t>
      </w:r>
    </w:p>
    <w:tbl>
      <w:tblPr>
        <w:tblStyle w:val="TableGrid"/>
        <w:tblW w:w="0" w:type="auto"/>
        <w:tblLook w:val="04A0" w:firstRow="1" w:lastRow="0" w:firstColumn="1" w:lastColumn="0" w:noHBand="0" w:noVBand="1"/>
      </w:tblPr>
      <w:tblGrid>
        <w:gridCol w:w="922"/>
        <w:gridCol w:w="8385"/>
      </w:tblGrid>
      <w:tr w:rsidR="0098092C" w14:paraId="0E0F2033" w14:textId="77777777">
        <w:tc>
          <w:tcPr>
            <w:tcW w:w="922" w:type="dxa"/>
          </w:tcPr>
          <w:p w14:paraId="4B274FBD" w14:textId="77777777" w:rsidR="0098092C" w:rsidRDefault="0030498B">
            <w:pPr>
              <w:rPr>
                <w:szCs w:val="20"/>
              </w:rPr>
            </w:pPr>
            <w:r>
              <w:rPr>
                <w:rFonts w:hint="eastAsia"/>
                <w:szCs w:val="20"/>
              </w:rPr>
              <w:t>S</w:t>
            </w:r>
            <w:r>
              <w:rPr>
                <w:szCs w:val="20"/>
              </w:rPr>
              <w:t>ourcing</w:t>
            </w:r>
          </w:p>
        </w:tc>
        <w:tc>
          <w:tcPr>
            <w:tcW w:w="8385" w:type="dxa"/>
          </w:tcPr>
          <w:p w14:paraId="3E2AE139" w14:textId="77777777" w:rsidR="0098092C" w:rsidRDefault="0030498B">
            <w:pPr>
              <w:rPr>
                <w:szCs w:val="20"/>
              </w:rPr>
            </w:pPr>
            <w:r>
              <w:rPr>
                <w:rFonts w:hint="eastAsia"/>
                <w:szCs w:val="20"/>
              </w:rPr>
              <w:t>proposals</w:t>
            </w:r>
          </w:p>
        </w:tc>
      </w:tr>
      <w:tr w:rsidR="0098092C" w14:paraId="2E3E8931" w14:textId="77777777">
        <w:tc>
          <w:tcPr>
            <w:tcW w:w="922" w:type="dxa"/>
          </w:tcPr>
          <w:p w14:paraId="75530BDB" w14:textId="77777777" w:rsidR="0098092C" w:rsidRDefault="0030498B">
            <w:pPr>
              <w:rPr>
                <w:szCs w:val="20"/>
              </w:rPr>
            </w:pPr>
            <w:r>
              <w:rPr>
                <w:rFonts w:hint="eastAsia"/>
                <w:szCs w:val="20"/>
              </w:rPr>
              <w:t>[2]</w:t>
            </w:r>
          </w:p>
        </w:tc>
        <w:tc>
          <w:tcPr>
            <w:tcW w:w="8385" w:type="dxa"/>
          </w:tcPr>
          <w:p w14:paraId="0DFACDC4" w14:textId="77777777" w:rsidR="0098092C" w:rsidRDefault="0030498B">
            <w:pPr>
              <w:rPr>
                <w:b/>
                <w:lang w:eastAsia="zh-CN"/>
              </w:rPr>
            </w:pPr>
            <w:r>
              <w:rPr>
                <w:b/>
                <w:lang w:eastAsia="zh-CN"/>
              </w:rPr>
              <w:t>Observation 1: The SNR gap between the legacy entry with largest SNR (NPDCCH repetition 1) and the 16-QAM TBS with smallest SNR (TBS index 14 with 16QAM) is significant (&gt;&gt;3dB).</w:t>
            </w:r>
          </w:p>
          <w:p w14:paraId="69B49FC2" w14:textId="77777777" w:rsidR="0098092C" w:rsidRDefault="0030498B">
            <w:pPr>
              <w:rPr>
                <w:b/>
                <w:kern w:val="2"/>
                <w:lang w:eastAsia="zh-CN"/>
              </w:rPr>
            </w:pPr>
            <w:r>
              <w:rPr>
                <w:b/>
                <w:kern w:val="2"/>
                <w:lang w:eastAsia="zh-CN"/>
              </w:rPr>
              <w:t>Proposal 2: Option 3 should be supported for CQI table for downlink 16-QAM CQI reporting, i.e., a new CQI table is defined for 16-QAM based on the eMTC table (CQI Tables in 36.213) as a starting point.</w:t>
            </w:r>
          </w:p>
          <w:p w14:paraId="5161C139" w14:textId="77777777" w:rsidR="0098092C" w:rsidRDefault="0098092C">
            <w:pPr>
              <w:rPr>
                <w:szCs w:val="20"/>
              </w:rPr>
            </w:pPr>
          </w:p>
        </w:tc>
      </w:tr>
      <w:tr w:rsidR="0098092C" w14:paraId="612FFEAC" w14:textId="77777777">
        <w:tc>
          <w:tcPr>
            <w:tcW w:w="922" w:type="dxa"/>
          </w:tcPr>
          <w:p w14:paraId="3021DC57" w14:textId="77777777" w:rsidR="0098092C" w:rsidRDefault="0030498B">
            <w:pPr>
              <w:rPr>
                <w:szCs w:val="20"/>
              </w:rPr>
            </w:pPr>
            <w:r>
              <w:rPr>
                <w:rFonts w:hint="eastAsia"/>
                <w:szCs w:val="20"/>
              </w:rPr>
              <w:t>[4]</w:t>
            </w:r>
          </w:p>
        </w:tc>
        <w:tc>
          <w:tcPr>
            <w:tcW w:w="8385" w:type="dxa"/>
          </w:tcPr>
          <w:p w14:paraId="1E0ED0A5" w14:textId="77777777" w:rsidR="0098092C" w:rsidRDefault="0030498B">
            <w:pPr>
              <w:spacing w:after="0"/>
              <w:rPr>
                <w:b/>
                <w:bCs/>
                <w:lang w:eastAsia="en-GB"/>
              </w:rPr>
            </w:pPr>
            <w:r>
              <w:rPr>
                <w:b/>
                <w:bCs/>
                <w:lang w:eastAsia="en-GB"/>
              </w:rPr>
              <w:t>Proposal 1: For 16-QAM CQI table, our preferences are</w:t>
            </w:r>
          </w:p>
          <w:p w14:paraId="39671804" w14:textId="77777777" w:rsidR="0098092C" w:rsidRDefault="0030498B">
            <w:pPr>
              <w:pStyle w:val="ListParagraph"/>
              <w:numPr>
                <w:ilvl w:val="0"/>
                <w:numId w:val="26"/>
              </w:numPr>
              <w:overflowPunct w:val="0"/>
              <w:autoSpaceDE w:val="0"/>
              <w:autoSpaceDN w:val="0"/>
              <w:adjustRightInd w:val="0"/>
              <w:spacing w:line="240" w:lineRule="auto"/>
              <w:contextualSpacing/>
              <w:jc w:val="left"/>
              <w:textAlignment w:val="baseline"/>
              <w:rPr>
                <w:b/>
                <w:bCs/>
              </w:rPr>
            </w:pPr>
            <w:r>
              <w:rPr>
                <w:b/>
                <w:bCs/>
              </w:rPr>
              <w:t>First preference – Option 3: A new CQI table is defined for 16-QAM based on the eMTC table (CQI Tables in 36.213) as a starting point</w:t>
            </w:r>
          </w:p>
          <w:p w14:paraId="431135A2" w14:textId="77777777" w:rsidR="0098092C" w:rsidRDefault="0030498B">
            <w:pPr>
              <w:pStyle w:val="ListParagraph"/>
              <w:numPr>
                <w:ilvl w:val="0"/>
                <w:numId w:val="26"/>
              </w:numPr>
              <w:overflowPunct w:val="0"/>
              <w:autoSpaceDE w:val="0"/>
              <w:autoSpaceDN w:val="0"/>
              <w:adjustRightInd w:val="0"/>
              <w:spacing w:line="240" w:lineRule="auto"/>
              <w:contextualSpacing/>
              <w:jc w:val="left"/>
              <w:textAlignment w:val="baseline"/>
              <w:rPr>
                <w:b/>
                <w:bCs/>
              </w:rPr>
            </w:pPr>
            <w:r>
              <w:rPr>
                <w:b/>
                <w:bCs/>
              </w:rPr>
              <w:t xml:space="preserve">Second preference – Option 1: More than three candidate values for 16-QAM are added in the legacy table by replacing candidates with high repetition values (e.g. </w:t>
            </w:r>
            <w:r>
              <w:rPr>
                <w:b/>
                <w:bCs/>
                <w:lang w:eastAsia="ja-JP"/>
              </w:rPr>
              <w:t xml:space="preserve">candidateRep-J to candidateRep-L).  </w:t>
            </w:r>
          </w:p>
          <w:p w14:paraId="06435C13" w14:textId="77777777" w:rsidR="0098092C" w:rsidRDefault="0098092C">
            <w:pPr>
              <w:rPr>
                <w:szCs w:val="20"/>
              </w:rPr>
            </w:pPr>
          </w:p>
        </w:tc>
      </w:tr>
      <w:tr w:rsidR="0098092C" w14:paraId="46D3C7E3" w14:textId="77777777">
        <w:tc>
          <w:tcPr>
            <w:tcW w:w="922" w:type="dxa"/>
          </w:tcPr>
          <w:p w14:paraId="0949E80D" w14:textId="77777777" w:rsidR="0098092C" w:rsidRDefault="0030498B">
            <w:pPr>
              <w:rPr>
                <w:szCs w:val="20"/>
              </w:rPr>
            </w:pPr>
            <w:r>
              <w:rPr>
                <w:rFonts w:hint="eastAsia"/>
                <w:szCs w:val="20"/>
              </w:rPr>
              <w:t>[5]</w:t>
            </w:r>
          </w:p>
        </w:tc>
        <w:tc>
          <w:tcPr>
            <w:tcW w:w="8385" w:type="dxa"/>
          </w:tcPr>
          <w:p w14:paraId="7357ECD9" w14:textId="77777777" w:rsidR="0098092C" w:rsidRDefault="0030498B">
            <w:pPr>
              <w:rPr>
                <w:b/>
                <w:i/>
                <w:sz w:val="20"/>
                <w:szCs w:val="20"/>
              </w:rPr>
            </w:pPr>
            <w:r>
              <w:rPr>
                <w:b/>
                <w:i/>
                <w:sz w:val="20"/>
                <w:szCs w:val="20"/>
              </w:rPr>
              <w:t>Proposal 1: Remove some of the legacy CQI reporting values and add more than 3 CQI reporting values for support 16QAM in DL or report the subset of CQI reporting values determined by channel condition.</w:t>
            </w:r>
          </w:p>
          <w:p w14:paraId="0F262E88" w14:textId="77777777" w:rsidR="0098092C" w:rsidRDefault="0098092C">
            <w:pPr>
              <w:rPr>
                <w:szCs w:val="20"/>
              </w:rPr>
            </w:pPr>
          </w:p>
        </w:tc>
      </w:tr>
      <w:tr w:rsidR="0098092C" w14:paraId="14856C7E" w14:textId="77777777">
        <w:tc>
          <w:tcPr>
            <w:tcW w:w="922" w:type="dxa"/>
          </w:tcPr>
          <w:p w14:paraId="45A816F2" w14:textId="77777777" w:rsidR="0098092C" w:rsidRDefault="0030498B">
            <w:pPr>
              <w:rPr>
                <w:szCs w:val="20"/>
              </w:rPr>
            </w:pPr>
            <w:r>
              <w:rPr>
                <w:rFonts w:hint="eastAsia"/>
                <w:szCs w:val="20"/>
              </w:rPr>
              <w:t>[6]</w:t>
            </w:r>
          </w:p>
        </w:tc>
        <w:tc>
          <w:tcPr>
            <w:tcW w:w="8385" w:type="dxa"/>
          </w:tcPr>
          <w:p w14:paraId="5C8526B1" w14:textId="77777777" w:rsidR="0098092C" w:rsidRDefault="0030498B">
            <w:pPr>
              <w:rPr>
                <w:b/>
                <w:bCs/>
                <w:i/>
                <w:iCs/>
                <w:kern w:val="2"/>
                <w:lang w:eastAsia="zh-CN"/>
              </w:rPr>
            </w:pPr>
            <w:r>
              <w:rPr>
                <w:rFonts w:hint="eastAsia"/>
                <w:b/>
                <w:bCs/>
                <w:i/>
                <w:iCs/>
                <w:lang w:eastAsia="zh-CN"/>
              </w:rPr>
              <w:t>Observation</w:t>
            </w:r>
            <w:r>
              <w:rPr>
                <w:b/>
                <w:bCs/>
                <w:i/>
                <w:iCs/>
                <w:lang w:eastAsia="zh-CN"/>
              </w:rPr>
              <w:t xml:space="preserve"> 4</w:t>
            </w:r>
            <w:r>
              <w:rPr>
                <w:rFonts w:hint="eastAsia"/>
                <w:b/>
                <w:bCs/>
                <w:i/>
                <w:iCs/>
                <w:lang w:eastAsia="zh-CN"/>
              </w:rPr>
              <w:t xml:space="preserve">: </w:t>
            </w:r>
            <w:r>
              <w:rPr>
                <w:rFonts w:hint="eastAsia"/>
                <w:b/>
                <w:bCs/>
                <w:i/>
                <w:iCs/>
                <w:kern w:val="2"/>
                <w:lang w:eastAsia="zh-CN"/>
              </w:rPr>
              <w:t xml:space="preserve">For option 1 and 2 of </w:t>
            </w:r>
            <w:r>
              <w:rPr>
                <w:b/>
                <w:i/>
                <w:lang w:eastAsia="zh-CN"/>
              </w:rPr>
              <w:t>CQI table</w:t>
            </w:r>
            <w:r>
              <w:rPr>
                <w:rFonts w:hint="eastAsia"/>
                <w:b/>
                <w:bCs/>
                <w:i/>
                <w:iCs/>
                <w:kern w:val="2"/>
                <w:lang w:eastAsia="zh-CN"/>
              </w:rPr>
              <w:t xml:space="preserve">, </w:t>
            </w:r>
          </w:p>
          <w:p w14:paraId="7B2A39E6" w14:textId="77777777" w:rsidR="0098092C" w:rsidRDefault="0030498B">
            <w:pPr>
              <w:numPr>
                <w:ilvl w:val="0"/>
                <w:numId w:val="27"/>
              </w:numPr>
              <w:spacing w:before="50" w:line="276" w:lineRule="auto"/>
              <w:ind w:left="783" w:hanging="363"/>
              <w:rPr>
                <w:b/>
                <w:bCs/>
                <w:i/>
                <w:iCs/>
                <w:lang w:eastAsia="zh-CN"/>
              </w:rPr>
            </w:pPr>
            <w:r>
              <w:rPr>
                <w:rFonts w:hint="eastAsia"/>
                <w:b/>
                <w:bCs/>
                <w:i/>
                <w:iCs/>
                <w:kern w:val="2"/>
                <w:lang w:eastAsia="zh-CN"/>
              </w:rPr>
              <w:t xml:space="preserve">The limited </w:t>
            </w:r>
            <w:r>
              <w:rPr>
                <w:rFonts w:hint="eastAsia"/>
                <w:b/>
                <w:bCs/>
                <w:i/>
                <w:iCs/>
                <w:lang w:eastAsia="zh-CN"/>
              </w:rPr>
              <w:t xml:space="preserve">number of CQI states </w:t>
            </w:r>
            <w:r>
              <w:rPr>
                <w:b/>
                <w:bCs/>
                <w:i/>
                <w:iCs/>
                <w:kern w:val="2"/>
                <w:lang w:eastAsia="zh-CN"/>
              </w:rPr>
              <w:t xml:space="preserve">with </w:t>
            </w:r>
            <w:r>
              <w:rPr>
                <w:rFonts w:hint="eastAsia"/>
                <w:b/>
                <w:bCs/>
                <w:i/>
                <w:iCs/>
                <w:kern w:val="2"/>
                <w:lang w:eastAsia="zh-CN"/>
              </w:rPr>
              <w:t xml:space="preserve">16QAM </w:t>
            </w:r>
            <w:r>
              <w:rPr>
                <w:rFonts w:hint="eastAsia"/>
                <w:b/>
                <w:bCs/>
                <w:i/>
                <w:iCs/>
                <w:lang w:eastAsia="zh-CN"/>
              </w:rPr>
              <w:t xml:space="preserve">cannot adequately match the variety of channel conditions. </w:t>
            </w:r>
          </w:p>
          <w:p w14:paraId="1DFC3873" w14:textId="77777777" w:rsidR="0098092C" w:rsidRDefault="0030498B">
            <w:pPr>
              <w:numPr>
                <w:ilvl w:val="0"/>
                <w:numId w:val="27"/>
              </w:numPr>
              <w:spacing w:before="50" w:line="276" w:lineRule="auto"/>
              <w:ind w:left="783" w:hanging="363"/>
              <w:rPr>
                <w:b/>
                <w:bCs/>
                <w:i/>
                <w:iCs/>
                <w:kern w:val="2"/>
                <w:lang w:eastAsia="zh-CN"/>
              </w:rPr>
            </w:pPr>
            <w:r>
              <w:rPr>
                <w:rFonts w:hint="eastAsia"/>
                <w:b/>
                <w:bCs/>
                <w:i/>
                <w:iCs/>
                <w:lang w:eastAsia="zh-CN"/>
              </w:rPr>
              <w:t xml:space="preserve">There is </w:t>
            </w:r>
            <w:r>
              <w:rPr>
                <w:b/>
                <w:bCs/>
                <w:i/>
                <w:iCs/>
              </w:rPr>
              <w:t xml:space="preserve">large SNR gap between </w:t>
            </w:r>
            <w:r>
              <w:rPr>
                <w:rFonts w:hint="eastAsia"/>
                <w:b/>
                <w:bCs/>
                <w:i/>
                <w:iCs/>
                <w:lang w:eastAsia="zh-CN"/>
              </w:rPr>
              <w:t xml:space="preserve">the adjacent two CQI indices with </w:t>
            </w:r>
            <w:r>
              <w:rPr>
                <w:b/>
                <w:bCs/>
                <w:i/>
                <w:iCs/>
              </w:rPr>
              <w:t>NPDCCH repetition 1 and 16QAM TBS</w:t>
            </w:r>
            <w:r>
              <w:rPr>
                <w:rFonts w:hint="eastAsia"/>
                <w:b/>
                <w:bCs/>
                <w:i/>
                <w:iCs/>
                <w:lang w:eastAsia="zh-CN"/>
              </w:rPr>
              <w:t>.</w:t>
            </w:r>
          </w:p>
          <w:p w14:paraId="700E4C0C" w14:textId="77777777" w:rsidR="0098092C" w:rsidRDefault="0030498B">
            <w:pPr>
              <w:spacing w:before="120"/>
              <w:rPr>
                <w:b/>
                <w:bCs/>
                <w:i/>
                <w:iCs/>
                <w:lang w:eastAsia="zh-CN"/>
              </w:rPr>
            </w:pPr>
            <w:r>
              <w:rPr>
                <w:rFonts w:hint="eastAsia"/>
                <w:b/>
                <w:bCs/>
                <w:i/>
                <w:iCs/>
                <w:lang w:eastAsia="zh-CN"/>
              </w:rPr>
              <w:t>Observation</w:t>
            </w:r>
            <w:r>
              <w:rPr>
                <w:b/>
                <w:bCs/>
                <w:i/>
                <w:iCs/>
                <w:lang w:eastAsia="zh-CN"/>
              </w:rPr>
              <w:t xml:space="preserve"> 5</w:t>
            </w:r>
            <w:r>
              <w:rPr>
                <w:rFonts w:hint="eastAsia"/>
                <w:b/>
                <w:bCs/>
                <w:i/>
                <w:iCs/>
                <w:lang w:eastAsia="zh-CN"/>
              </w:rPr>
              <w:t xml:space="preserve">: For </w:t>
            </w:r>
            <w:r>
              <w:rPr>
                <w:b/>
                <w:i/>
                <w:lang w:eastAsia="zh-CN"/>
              </w:rPr>
              <w:t>CQI table</w:t>
            </w:r>
            <w:r>
              <w:rPr>
                <w:rFonts w:hint="eastAsia"/>
                <w:b/>
                <w:i/>
                <w:lang w:eastAsia="zh-CN"/>
              </w:rPr>
              <w:t xml:space="preserve">, </w:t>
            </w:r>
            <w:r>
              <w:rPr>
                <w:rFonts w:hint="eastAsia"/>
                <w:b/>
                <w:bCs/>
                <w:i/>
                <w:iCs/>
                <w:lang w:eastAsia="zh-CN"/>
              </w:rPr>
              <w:t xml:space="preserve">option 1 and </w:t>
            </w:r>
            <w:r>
              <w:rPr>
                <w:b/>
                <w:bCs/>
                <w:i/>
                <w:iCs/>
                <w:lang w:eastAsia="zh-CN"/>
              </w:rPr>
              <w:t>o</w:t>
            </w:r>
            <w:r>
              <w:rPr>
                <w:rFonts w:hint="eastAsia"/>
                <w:b/>
                <w:bCs/>
                <w:i/>
                <w:iCs/>
                <w:lang w:eastAsia="zh-CN"/>
              </w:rPr>
              <w:t xml:space="preserve">ption 2 </w:t>
            </w:r>
            <w:r>
              <w:rPr>
                <w:b/>
                <w:bCs/>
                <w:i/>
                <w:iCs/>
                <w:lang w:eastAsia="zh-CN"/>
              </w:rPr>
              <w:t>are not</w:t>
            </w:r>
            <w:r>
              <w:rPr>
                <w:rFonts w:hint="eastAsia"/>
                <w:b/>
                <w:bCs/>
                <w:i/>
                <w:iCs/>
                <w:lang w:eastAsia="zh-CN"/>
              </w:rPr>
              <w:t xml:space="preserve"> aligned with the agreement, i.e. </w:t>
            </w:r>
            <w:r>
              <w:rPr>
                <w:b/>
                <w:bCs/>
                <w:i/>
                <w:iCs/>
                <w:lang w:eastAsia="zh-CN"/>
              </w:rPr>
              <w:t>the channel quality report for 16-QAM is based on NPDSCH transport block that achieves an error probability not exceeding 10% BLER.</w:t>
            </w:r>
          </w:p>
          <w:p w14:paraId="6F885201" w14:textId="77777777" w:rsidR="0098092C" w:rsidRDefault="0030498B">
            <w:pPr>
              <w:spacing w:before="120"/>
              <w:rPr>
                <w:b/>
                <w:bCs/>
                <w:i/>
                <w:lang w:eastAsia="zh-CN"/>
              </w:rPr>
            </w:pPr>
            <w:r>
              <w:rPr>
                <w:rFonts w:hint="eastAsia"/>
                <w:b/>
                <w:bCs/>
                <w:i/>
                <w:iCs/>
                <w:lang w:eastAsia="zh-CN"/>
              </w:rPr>
              <w:t>Observation</w:t>
            </w:r>
            <w:r>
              <w:rPr>
                <w:b/>
                <w:bCs/>
                <w:i/>
                <w:iCs/>
                <w:lang w:eastAsia="zh-CN"/>
              </w:rPr>
              <w:t xml:space="preserve"> 6</w:t>
            </w:r>
            <w:r>
              <w:rPr>
                <w:rFonts w:hint="eastAsia"/>
                <w:b/>
                <w:bCs/>
                <w:i/>
                <w:iCs/>
                <w:lang w:eastAsia="zh-CN"/>
              </w:rPr>
              <w:t>:</w:t>
            </w:r>
            <w:r>
              <w:rPr>
                <w:rFonts w:hint="eastAsia"/>
                <w:iCs/>
                <w:lang w:eastAsia="zh-CN"/>
              </w:rPr>
              <w:t xml:space="preserve"> </w:t>
            </w:r>
            <w:r>
              <w:rPr>
                <w:rFonts w:hint="eastAsia"/>
                <w:b/>
                <w:bCs/>
                <w:i/>
                <w:lang w:eastAsia="zh-CN"/>
              </w:rPr>
              <w:t>T</w:t>
            </w:r>
            <w:r>
              <w:rPr>
                <w:b/>
                <w:bCs/>
                <w:i/>
              </w:rPr>
              <w:t>he channel quality for NPDSCH and NPDCCH can be reported separately</w:t>
            </w:r>
            <w:r>
              <w:rPr>
                <w:rFonts w:hint="eastAsia"/>
                <w:b/>
                <w:bCs/>
                <w:i/>
                <w:lang w:eastAsia="zh-CN"/>
              </w:rPr>
              <w:t xml:space="preserve"> based on different tables.</w:t>
            </w:r>
          </w:p>
          <w:p w14:paraId="5BBEF50F" w14:textId="77777777" w:rsidR="0098092C" w:rsidRDefault="0030498B">
            <w:pPr>
              <w:spacing w:before="120"/>
              <w:rPr>
                <w:b/>
                <w:bCs/>
                <w:i/>
                <w:iCs/>
                <w:kern w:val="2"/>
                <w:lang w:eastAsia="zh-CN"/>
              </w:rPr>
            </w:pPr>
            <w:r>
              <w:rPr>
                <w:rFonts w:hint="eastAsia"/>
                <w:b/>
                <w:bCs/>
                <w:i/>
                <w:iCs/>
                <w:kern w:val="2"/>
                <w:lang w:eastAsia="zh-CN"/>
              </w:rPr>
              <w:lastRenderedPageBreak/>
              <w:t>Observation</w:t>
            </w:r>
            <w:r>
              <w:rPr>
                <w:b/>
                <w:bCs/>
                <w:i/>
                <w:iCs/>
                <w:kern w:val="2"/>
                <w:lang w:eastAsia="zh-CN"/>
              </w:rPr>
              <w:t xml:space="preserve"> 7</w:t>
            </w:r>
            <w:r>
              <w:rPr>
                <w:rFonts w:hint="eastAsia"/>
                <w:b/>
                <w:bCs/>
                <w:i/>
                <w:iCs/>
                <w:kern w:val="2"/>
                <w:lang w:eastAsia="zh-CN"/>
              </w:rPr>
              <w:t xml:space="preserve">: The existing MAC CE can be reused to report 4-bit CQI for NPDSCH if the UE receives a NPDSCH CQI command and 4-bit number of repetitions for NPDCCH if the UE receives a NPDCCH CQI command. </w:t>
            </w:r>
          </w:p>
          <w:p w14:paraId="47CC34AA" w14:textId="77777777" w:rsidR="0098092C" w:rsidRDefault="0030498B">
            <w:pPr>
              <w:spacing w:before="120"/>
              <w:rPr>
                <w:b/>
                <w:bCs/>
                <w:i/>
              </w:rPr>
            </w:pPr>
            <w:r>
              <w:rPr>
                <w:rFonts w:hint="eastAsia"/>
                <w:b/>
                <w:bCs/>
                <w:i/>
                <w:iCs/>
                <w:kern w:val="2"/>
                <w:lang w:eastAsia="zh-CN"/>
              </w:rPr>
              <w:t xml:space="preserve">Proposal 4: </w:t>
            </w:r>
            <w:r>
              <w:rPr>
                <w:rFonts w:hint="eastAsia"/>
                <w:b/>
                <w:bCs/>
                <w:i/>
              </w:rPr>
              <w:t>A</w:t>
            </w:r>
            <w:r>
              <w:rPr>
                <w:b/>
                <w:bCs/>
                <w:i/>
              </w:rPr>
              <w:t xml:space="preserve"> </w:t>
            </w:r>
            <w:r>
              <w:rPr>
                <w:rFonts w:hint="eastAsia"/>
                <w:b/>
                <w:bCs/>
                <w:i/>
                <w:lang w:eastAsia="zh-CN"/>
              </w:rPr>
              <w:t xml:space="preserve">new </w:t>
            </w:r>
            <w:r>
              <w:rPr>
                <w:b/>
                <w:bCs/>
                <w:i/>
              </w:rPr>
              <w:t>4</w:t>
            </w:r>
            <w:r>
              <w:rPr>
                <w:rFonts w:hint="eastAsia"/>
                <w:b/>
                <w:bCs/>
                <w:i/>
              </w:rPr>
              <w:t>-bit</w:t>
            </w:r>
            <w:r>
              <w:rPr>
                <w:b/>
                <w:bCs/>
                <w:i/>
              </w:rPr>
              <w:t xml:space="preserve"> </w:t>
            </w:r>
            <w:r>
              <w:rPr>
                <w:rFonts w:hint="eastAsia"/>
                <w:b/>
                <w:bCs/>
                <w:i/>
              </w:rPr>
              <w:t>CQI</w:t>
            </w:r>
            <w:r>
              <w:rPr>
                <w:b/>
                <w:bCs/>
                <w:i/>
              </w:rPr>
              <w:t xml:space="preserve"> </w:t>
            </w:r>
            <w:r>
              <w:rPr>
                <w:rFonts w:hint="eastAsia"/>
                <w:b/>
                <w:bCs/>
                <w:i/>
              </w:rPr>
              <w:t>table</w:t>
            </w:r>
            <w:r>
              <w:rPr>
                <w:rFonts w:hint="eastAsia"/>
                <w:b/>
                <w:bCs/>
                <w:i/>
                <w:lang w:eastAsia="zh-CN"/>
              </w:rPr>
              <w:t xml:space="preserve"> </w:t>
            </w:r>
            <w:r>
              <w:rPr>
                <w:rFonts w:hint="eastAsia"/>
                <w:b/>
                <w:bCs/>
                <w:i/>
              </w:rPr>
              <w:t>should</w:t>
            </w:r>
            <w:r>
              <w:rPr>
                <w:b/>
                <w:bCs/>
                <w:i/>
              </w:rPr>
              <w:t xml:space="preserve"> </w:t>
            </w:r>
            <w:r>
              <w:rPr>
                <w:rFonts w:hint="eastAsia"/>
                <w:b/>
                <w:bCs/>
                <w:i/>
              </w:rPr>
              <w:t>be</w:t>
            </w:r>
            <w:r>
              <w:rPr>
                <w:b/>
                <w:bCs/>
                <w:i/>
              </w:rPr>
              <w:t xml:space="preserve"> </w:t>
            </w:r>
            <w:r>
              <w:rPr>
                <w:rFonts w:hint="eastAsia"/>
                <w:b/>
                <w:bCs/>
                <w:i/>
              </w:rPr>
              <w:t>defined</w:t>
            </w:r>
            <w:r>
              <w:rPr>
                <w:b/>
                <w:bCs/>
                <w:i/>
              </w:rPr>
              <w:t xml:space="preserve"> for </w:t>
            </w:r>
            <w:r>
              <w:rPr>
                <w:rFonts w:hint="eastAsia"/>
                <w:b/>
                <w:bCs/>
                <w:i/>
                <w:kern w:val="2"/>
                <w:lang w:eastAsia="zh-CN"/>
              </w:rPr>
              <w:t xml:space="preserve">downlink </w:t>
            </w:r>
            <w:r>
              <w:rPr>
                <w:b/>
                <w:bCs/>
                <w:i/>
              </w:rPr>
              <w:t>16QAM.</w:t>
            </w:r>
          </w:p>
          <w:p w14:paraId="000D2D09" w14:textId="77777777" w:rsidR="0098092C" w:rsidRDefault="0098092C">
            <w:pPr>
              <w:rPr>
                <w:szCs w:val="20"/>
              </w:rPr>
            </w:pPr>
          </w:p>
        </w:tc>
      </w:tr>
      <w:tr w:rsidR="0098092C" w14:paraId="6276F82C" w14:textId="77777777">
        <w:tc>
          <w:tcPr>
            <w:tcW w:w="922" w:type="dxa"/>
          </w:tcPr>
          <w:p w14:paraId="5D9FD66B" w14:textId="77777777" w:rsidR="0098092C" w:rsidRDefault="0030498B">
            <w:pPr>
              <w:rPr>
                <w:szCs w:val="20"/>
              </w:rPr>
            </w:pPr>
            <w:r>
              <w:rPr>
                <w:rFonts w:hint="eastAsia"/>
                <w:szCs w:val="20"/>
              </w:rPr>
              <w:lastRenderedPageBreak/>
              <w:t>[7]</w:t>
            </w:r>
          </w:p>
        </w:tc>
        <w:tc>
          <w:tcPr>
            <w:tcW w:w="8385" w:type="dxa"/>
          </w:tcPr>
          <w:p w14:paraId="57F1BAA7" w14:textId="77777777" w:rsidR="0098092C" w:rsidRDefault="0030498B">
            <w:pPr>
              <w:rPr>
                <w:b/>
                <w:sz w:val="20"/>
                <w:szCs w:val="20"/>
              </w:rPr>
            </w:pPr>
            <w:r>
              <w:rPr>
                <w:b/>
                <w:sz w:val="20"/>
                <w:szCs w:val="20"/>
              </w:rPr>
              <w:t>Proposal 1</w:t>
            </w:r>
            <w:r>
              <w:rPr>
                <w:rFonts w:hint="eastAsia"/>
                <w:b/>
                <w:sz w:val="20"/>
                <w:szCs w:val="20"/>
              </w:rPr>
              <w:t>:</w:t>
            </w:r>
            <w:r>
              <w:rPr>
                <w:b/>
                <w:sz w:val="20"/>
                <w:szCs w:val="20"/>
              </w:rPr>
              <w:t xml:space="preserve"> Support Option3 and take Table1 as starting point to make final decision at this meeting.</w:t>
            </w:r>
          </w:p>
          <w:p w14:paraId="6F9282FD" w14:textId="77777777" w:rsidR="0098092C" w:rsidRDefault="0030498B">
            <w:pPr>
              <w:jc w:val="center"/>
              <w:rPr>
                <w:b/>
                <w:sz w:val="20"/>
                <w:szCs w:val="20"/>
              </w:rPr>
            </w:pPr>
            <w:r>
              <w:rPr>
                <w:b/>
                <w:sz w:val="20"/>
                <w:szCs w:val="20"/>
              </w:rPr>
              <w:t>Table 1: 4-bit CQI Table for 16QAM</w:t>
            </w:r>
          </w:p>
          <w:tbl>
            <w:tblPr>
              <w:tblW w:w="0" w:type="auto"/>
              <w:jc w:val="center"/>
              <w:tblCellMar>
                <w:left w:w="0" w:type="dxa"/>
                <w:right w:w="0" w:type="dxa"/>
              </w:tblCellMar>
              <w:tblLook w:val="04A0" w:firstRow="1" w:lastRow="0" w:firstColumn="1" w:lastColumn="0" w:noHBand="0" w:noVBand="1"/>
            </w:tblPr>
            <w:tblGrid>
              <w:gridCol w:w="1155"/>
              <w:gridCol w:w="1228"/>
              <w:gridCol w:w="1761"/>
              <w:gridCol w:w="1116"/>
            </w:tblGrid>
            <w:tr w:rsidR="0098092C" w14:paraId="48DD8F2E" w14:textId="77777777">
              <w:trPr>
                <w:jc w:val="center"/>
              </w:trPr>
              <w:tc>
                <w:tcPr>
                  <w:tcW w:w="1155" w:type="dxa"/>
                  <w:tcBorders>
                    <w:top w:val="single" w:sz="8" w:space="0" w:color="auto"/>
                    <w:left w:val="single" w:sz="8" w:space="0" w:color="auto"/>
                    <w:bottom w:val="double" w:sz="4" w:space="0" w:color="auto"/>
                    <w:right w:val="single" w:sz="8" w:space="0" w:color="auto"/>
                  </w:tcBorders>
                  <w:shd w:val="clear" w:color="auto" w:fill="E0E0E0"/>
                  <w:tcMar>
                    <w:top w:w="0" w:type="dxa"/>
                    <w:left w:w="108" w:type="dxa"/>
                    <w:bottom w:w="0" w:type="dxa"/>
                    <w:right w:w="108" w:type="dxa"/>
                  </w:tcMar>
                </w:tcPr>
                <w:p w14:paraId="62B81A72" w14:textId="77777777" w:rsidR="0098092C" w:rsidRDefault="0030498B">
                  <w:pPr>
                    <w:keepNext/>
                    <w:keepLines/>
                    <w:spacing w:after="0"/>
                    <w:jc w:val="center"/>
                    <w:rPr>
                      <w:rFonts w:ascii="Arial" w:hAnsi="Arial"/>
                      <w:b/>
                      <w:sz w:val="18"/>
                    </w:rPr>
                  </w:pPr>
                  <w:r>
                    <w:rPr>
                      <w:rFonts w:ascii="Arial" w:hAnsi="Arial"/>
                      <w:b/>
                      <w:sz w:val="18"/>
                    </w:rPr>
                    <w:t>CQI index</w:t>
                  </w:r>
                </w:p>
              </w:tc>
              <w:tc>
                <w:tcPr>
                  <w:tcW w:w="1228"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4BDB6F0A" w14:textId="77777777" w:rsidR="0098092C" w:rsidRDefault="0030498B">
                  <w:pPr>
                    <w:keepNext/>
                    <w:keepLines/>
                    <w:spacing w:after="0"/>
                    <w:jc w:val="center"/>
                    <w:rPr>
                      <w:rFonts w:ascii="Arial" w:hAnsi="Arial"/>
                      <w:b/>
                      <w:sz w:val="18"/>
                    </w:rPr>
                  </w:pPr>
                  <w:r>
                    <w:rPr>
                      <w:rFonts w:ascii="Arial" w:hAnsi="Arial"/>
                      <w:b/>
                      <w:sz w:val="18"/>
                    </w:rPr>
                    <w:t>modulation</w:t>
                  </w:r>
                </w:p>
              </w:tc>
              <w:tc>
                <w:tcPr>
                  <w:tcW w:w="1761"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3C3FB47D" w14:textId="77777777" w:rsidR="0098092C" w:rsidRDefault="0030498B">
                  <w:pPr>
                    <w:keepNext/>
                    <w:keepLines/>
                    <w:spacing w:after="0"/>
                    <w:jc w:val="center"/>
                    <w:rPr>
                      <w:rFonts w:ascii="Arial" w:hAnsi="Arial"/>
                      <w:b/>
                      <w:sz w:val="18"/>
                    </w:rPr>
                  </w:pPr>
                  <w:r>
                    <w:rPr>
                      <w:rFonts w:ascii="Arial" w:hAnsi="Arial"/>
                      <w:b/>
                      <w:sz w:val="18"/>
                    </w:rPr>
                    <w:t>code rate x 1024</w:t>
                  </w:r>
                </w:p>
              </w:tc>
              <w:tc>
                <w:tcPr>
                  <w:tcW w:w="1116"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72FC01CA" w14:textId="77777777" w:rsidR="0098092C" w:rsidRDefault="0030498B">
                  <w:pPr>
                    <w:keepNext/>
                    <w:keepLines/>
                    <w:spacing w:after="0"/>
                    <w:jc w:val="center"/>
                    <w:rPr>
                      <w:rFonts w:ascii="Arial" w:hAnsi="Arial"/>
                      <w:b/>
                      <w:sz w:val="18"/>
                    </w:rPr>
                  </w:pPr>
                  <w:r>
                    <w:rPr>
                      <w:rFonts w:ascii="Arial" w:hAnsi="Arial"/>
                      <w:b/>
                      <w:sz w:val="18"/>
                    </w:rPr>
                    <w:t>efficiency</w:t>
                  </w:r>
                </w:p>
              </w:tc>
            </w:tr>
            <w:tr w:rsidR="0098092C" w14:paraId="1CF3742A" w14:textId="77777777">
              <w:trPr>
                <w:jc w:val="center"/>
              </w:trPr>
              <w:tc>
                <w:tcPr>
                  <w:tcW w:w="1155" w:type="dxa"/>
                  <w:tcBorders>
                    <w:top w:val="doub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6CAA7A8" w14:textId="77777777" w:rsidR="0098092C" w:rsidRDefault="0030498B">
                  <w:pPr>
                    <w:keepNext/>
                    <w:keepLines/>
                    <w:spacing w:after="0"/>
                    <w:jc w:val="center"/>
                    <w:rPr>
                      <w:rFonts w:ascii="Arial" w:hAnsi="Arial"/>
                      <w:sz w:val="18"/>
                    </w:rPr>
                  </w:pPr>
                  <w:r>
                    <w:rPr>
                      <w:rFonts w:ascii="Arial" w:hAnsi="Arial"/>
                      <w:sz w:val="18"/>
                    </w:rPr>
                    <w:t>0</w:t>
                  </w:r>
                </w:p>
              </w:tc>
              <w:tc>
                <w:tcPr>
                  <w:tcW w:w="4105" w:type="dxa"/>
                  <w:gridSpan w:val="3"/>
                  <w:tcBorders>
                    <w:top w:val="nil"/>
                    <w:left w:val="nil"/>
                    <w:bottom w:val="single" w:sz="8" w:space="0" w:color="auto"/>
                    <w:right w:val="single" w:sz="8" w:space="0" w:color="auto"/>
                  </w:tcBorders>
                  <w:tcMar>
                    <w:top w:w="0" w:type="dxa"/>
                    <w:left w:w="108" w:type="dxa"/>
                    <w:bottom w:w="0" w:type="dxa"/>
                    <w:right w:w="108" w:type="dxa"/>
                  </w:tcMar>
                </w:tcPr>
                <w:p w14:paraId="578ED0F7" w14:textId="77777777" w:rsidR="0098092C" w:rsidRDefault="0030498B">
                  <w:pPr>
                    <w:keepNext/>
                    <w:keepLines/>
                    <w:spacing w:after="0"/>
                    <w:jc w:val="center"/>
                    <w:rPr>
                      <w:rFonts w:ascii="Arial" w:hAnsi="Arial"/>
                      <w:sz w:val="18"/>
                    </w:rPr>
                  </w:pPr>
                  <w:r>
                    <w:rPr>
                      <w:rFonts w:ascii="Arial" w:hAnsi="Arial"/>
                      <w:sz w:val="18"/>
                    </w:rPr>
                    <w:t>out of range</w:t>
                  </w:r>
                </w:p>
              </w:tc>
            </w:tr>
            <w:tr w:rsidR="0098092C" w14:paraId="5D929CEF"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2BC4055" w14:textId="77777777" w:rsidR="0098092C" w:rsidRDefault="0030498B">
                  <w:pPr>
                    <w:keepNext/>
                    <w:keepLines/>
                    <w:spacing w:after="0"/>
                    <w:jc w:val="center"/>
                    <w:rPr>
                      <w:rFonts w:ascii="Arial" w:hAnsi="Arial"/>
                      <w:sz w:val="18"/>
                    </w:rPr>
                  </w:pPr>
                  <w:r>
                    <w:rPr>
                      <w:rFonts w:ascii="Arial" w:hAnsi="Arial"/>
                      <w:sz w:val="18"/>
                    </w:rPr>
                    <w:t>1</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4AFCC4E2" w14:textId="77777777" w:rsidR="0098092C" w:rsidRDefault="0030498B">
                  <w:pPr>
                    <w:keepNext/>
                    <w:keepLines/>
                    <w:spacing w:after="0"/>
                    <w:jc w:val="center"/>
                    <w:rPr>
                      <w:rFonts w:ascii="Arial" w:hAnsi="Arial"/>
                      <w:sz w:val="18"/>
                    </w:rPr>
                  </w:pPr>
                  <w:r>
                    <w:rPr>
                      <w:rFonts w:ascii="Arial" w:hAnsi="Arial" w:cs="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5E1A014B" w14:textId="77777777" w:rsidR="0098092C" w:rsidRDefault="0030498B">
                  <w:pPr>
                    <w:keepNext/>
                    <w:keepLines/>
                    <w:spacing w:after="0"/>
                    <w:jc w:val="center"/>
                    <w:rPr>
                      <w:rFonts w:ascii="Arial" w:hAnsi="Arial"/>
                      <w:sz w:val="18"/>
                    </w:rPr>
                  </w:pPr>
                  <w:r>
                    <w:rPr>
                      <w:rFonts w:ascii="Arial" w:hAnsi="Arial" w:cs="Arial"/>
                      <w:sz w:val="18"/>
                    </w:rPr>
                    <w:t>40</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14:paraId="26B0895E" w14:textId="77777777" w:rsidR="0098092C" w:rsidRDefault="0030498B">
                  <w:pPr>
                    <w:keepNext/>
                    <w:keepLines/>
                    <w:spacing w:after="0"/>
                    <w:jc w:val="center"/>
                    <w:rPr>
                      <w:rFonts w:ascii="Arial" w:hAnsi="Arial"/>
                      <w:sz w:val="18"/>
                    </w:rPr>
                  </w:pPr>
                  <w:r>
                    <w:rPr>
                      <w:rFonts w:ascii="Arial" w:hAnsi="Arial" w:cs="Arial"/>
                      <w:sz w:val="18"/>
                    </w:rPr>
                    <w:t>0.0781</w:t>
                  </w:r>
                </w:p>
              </w:tc>
            </w:tr>
            <w:tr w:rsidR="0098092C" w14:paraId="33D36A43"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C9B6918" w14:textId="77777777" w:rsidR="0098092C" w:rsidRDefault="0030498B">
                  <w:pPr>
                    <w:keepNext/>
                    <w:keepLines/>
                    <w:spacing w:after="0"/>
                    <w:jc w:val="center"/>
                    <w:rPr>
                      <w:rFonts w:ascii="Arial" w:hAnsi="Arial"/>
                      <w:sz w:val="18"/>
                    </w:rPr>
                  </w:pPr>
                  <w:r>
                    <w:rPr>
                      <w:rFonts w:ascii="Arial" w:hAnsi="Arial"/>
                      <w:sz w:val="18"/>
                    </w:rPr>
                    <w:t>2</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511BA99D" w14:textId="77777777" w:rsidR="0098092C" w:rsidRDefault="0030498B">
                  <w:pPr>
                    <w:keepNext/>
                    <w:keepLines/>
                    <w:spacing w:after="0"/>
                    <w:jc w:val="center"/>
                    <w:rPr>
                      <w:rFonts w:ascii="Arial" w:hAnsi="Arial"/>
                      <w:sz w:val="18"/>
                    </w:rPr>
                  </w:pPr>
                  <w:r>
                    <w:rPr>
                      <w:rFonts w:ascii="Arial" w:hAnsi="Arial" w:cs="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2D46DB74" w14:textId="77777777" w:rsidR="0098092C" w:rsidRDefault="0030498B">
                  <w:pPr>
                    <w:keepNext/>
                    <w:keepLines/>
                    <w:spacing w:after="0"/>
                    <w:jc w:val="center"/>
                    <w:rPr>
                      <w:rFonts w:ascii="Arial" w:hAnsi="Arial"/>
                      <w:sz w:val="18"/>
                    </w:rPr>
                  </w:pPr>
                  <w:r>
                    <w:rPr>
                      <w:rFonts w:ascii="Arial" w:hAnsi="Arial" w:cs="Arial"/>
                      <w:sz w:val="18"/>
                    </w:rPr>
                    <w:t>78</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14:paraId="125DCECE" w14:textId="77777777" w:rsidR="0098092C" w:rsidRDefault="0030498B">
                  <w:pPr>
                    <w:keepNext/>
                    <w:keepLines/>
                    <w:spacing w:after="0"/>
                    <w:jc w:val="center"/>
                    <w:rPr>
                      <w:rFonts w:ascii="Arial" w:hAnsi="Arial"/>
                      <w:sz w:val="18"/>
                    </w:rPr>
                  </w:pPr>
                  <w:r>
                    <w:rPr>
                      <w:rFonts w:ascii="Arial" w:hAnsi="Arial" w:cs="Arial"/>
                      <w:sz w:val="18"/>
                    </w:rPr>
                    <w:t>0.1523</w:t>
                  </w:r>
                </w:p>
              </w:tc>
            </w:tr>
            <w:tr w:rsidR="0098092C" w14:paraId="297112A3"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0A0535F" w14:textId="77777777" w:rsidR="0098092C" w:rsidRDefault="0030498B">
                  <w:pPr>
                    <w:keepNext/>
                    <w:keepLines/>
                    <w:spacing w:after="0"/>
                    <w:jc w:val="center"/>
                    <w:rPr>
                      <w:rFonts w:ascii="Arial" w:hAnsi="Arial"/>
                      <w:sz w:val="18"/>
                    </w:rPr>
                  </w:pPr>
                  <w:r>
                    <w:rPr>
                      <w:rFonts w:ascii="Arial" w:hAnsi="Arial"/>
                      <w:sz w:val="18"/>
                    </w:rPr>
                    <w:t>3</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31AB44D8" w14:textId="77777777" w:rsidR="0098092C" w:rsidRDefault="0030498B">
                  <w:pPr>
                    <w:keepNext/>
                    <w:keepLines/>
                    <w:spacing w:after="0"/>
                    <w:jc w:val="center"/>
                    <w:rPr>
                      <w:rFonts w:ascii="Arial" w:hAnsi="Arial"/>
                      <w:sz w:val="18"/>
                    </w:rPr>
                  </w:pPr>
                  <w:r>
                    <w:rPr>
                      <w:rFonts w:ascii="Arial" w:hAnsi="Arial" w:cs="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127CEA70" w14:textId="77777777" w:rsidR="0098092C" w:rsidRDefault="0030498B">
                  <w:pPr>
                    <w:keepNext/>
                    <w:keepLines/>
                    <w:spacing w:after="0"/>
                    <w:jc w:val="center"/>
                    <w:rPr>
                      <w:rFonts w:ascii="Arial" w:hAnsi="Arial"/>
                      <w:sz w:val="18"/>
                    </w:rPr>
                  </w:pPr>
                  <w:r>
                    <w:rPr>
                      <w:rFonts w:ascii="Arial" w:hAnsi="Arial" w:cs="Arial"/>
                      <w:sz w:val="18"/>
                    </w:rPr>
                    <w:t>120</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14:paraId="5D3A879A" w14:textId="77777777" w:rsidR="0098092C" w:rsidRDefault="0030498B">
                  <w:pPr>
                    <w:keepNext/>
                    <w:keepLines/>
                    <w:spacing w:after="0"/>
                    <w:jc w:val="center"/>
                    <w:rPr>
                      <w:rFonts w:ascii="Arial" w:hAnsi="Arial"/>
                      <w:sz w:val="18"/>
                    </w:rPr>
                  </w:pPr>
                  <w:r>
                    <w:rPr>
                      <w:rFonts w:ascii="Arial" w:hAnsi="Arial" w:cs="Arial"/>
                      <w:sz w:val="18"/>
                    </w:rPr>
                    <w:t>0.2344</w:t>
                  </w:r>
                </w:p>
              </w:tc>
            </w:tr>
            <w:tr w:rsidR="0098092C" w14:paraId="41A3C176"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1E4BC12" w14:textId="77777777" w:rsidR="0098092C" w:rsidRDefault="0030498B">
                  <w:pPr>
                    <w:keepNext/>
                    <w:keepLines/>
                    <w:spacing w:after="0"/>
                    <w:jc w:val="center"/>
                    <w:rPr>
                      <w:rFonts w:ascii="Arial" w:hAnsi="Arial"/>
                      <w:sz w:val="18"/>
                    </w:rPr>
                  </w:pPr>
                  <w:r>
                    <w:rPr>
                      <w:rFonts w:ascii="Arial" w:hAnsi="Arial"/>
                      <w:sz w:val="18"/>
                    </w:rPr>
                    <w:t>4</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6F0FFBF7" w14:textId="77777777" w:rsidR="0098092C" w:rsidRDefault="0030498B">
                  <w:pPr>
                    <w:keepNext/>
                    <w:keepLines/>
                    <w:spacing w:after="0"/>
                    <w:jc w:val="center"/>
                    <w:rPr>
                      <w:rFonts w:ascii="Arial" w:hAnsi="Arial"/>
                      <w:sz w:val="18"/>
                    </w:rPr>
                  </w:pPr>
                  <w:r>
                    <w:rPr>
                      <w:rFonts w:ascii="Arial" w:hAnsi="Arial" w:cs="Arial"/>
                      <w:sz w:val="18"/>
                    </w:rPr>
                    <w:t>QPSK</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534235A1" w14:textId="77777777" w:rsidR="0098092C" w:rsidRDefault="0030498B">
                  <w:pPr>
                    <w:keepNext/>
                    <w:keepLines/>
                    <w:spacing w:after="0"/>
                    <w:jc w:val="center"/>
                    <w:rPr>
                      <w:rFonts w:ascii="Arial" w:hAnsi="Arial"/>
                      <w:sz w:val="18"/>
                    </w:rPr>
                  </w:pPr>
                  <w:r>
                    <w:rPr>
                      <w:rFonts w:ascii="Arial" w:hAnsi="Arial" w:cs="Arial"/>
                      <w:sz w:val="18"/>
                    </w:rPr>
                    <w:t>193</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14:paraId="2E1047EB" w14:textId="77777777" w:rsidR="0098092C" w:rsidRDefault="0030498B">
                  <w:pPr>
                    <w:keepNext/>
                    <w:keepLines/>
                    <w:spacing w:after="0"/>
                    <w:jc w:val="center"/>
                    <w:rPr>
                      <w:rFonts w:ascii="Arial" w:hAnsi="Arial"/>
                      <w:sz w:val="18"/>
                    </w:rPr>
                  </w:pPr>
                  <w:r>
                    <w:rPr>
                      <w:rFonts w:ascii="Arial" w:hAnsi="Arial" w:cs="Arial"/>
                      <w:sz w:val="18"/>
                    </w:rPr>
                    <w:t>0.3770</w:t>
                  </w:r>
                </w:p>
              </w:tc>
            </w:tr>
            <w:tr w:rsidR="0098092C" w14:paraId="63E20D44"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241A375" w14:textId="77777777" w:rsidR="0098092C" w:rsidRDefault="0030498B">
                  <w:pPr>
                    <w:keepNext/>
                    <w:keepLines/>
                    <w:spacing w:after="0"/>
                    <w:jc w:val="center"/>
                    <w:rPr>
                      <w:rFonts w:ascii="Arial" w:hAnsi="Arial"/>
                      <w:sz w:val="18"/>
                    </w:rPr>
                  </w:pPr>
                  <w:r>
                    <w:rPr>
                      <w:rFonts w:ascii="Arial" w:hAnsi="Arial"/>
                      <w:sz w:val="18"/>
                    </w:rPr>
                    <w:t>5</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6B28A64E" w14:textId="77777777" w:rsidR="0098092C" w:rsidRDefault="0030498B">
                  <w:pPr>
                    <w:keepNext/>
                    <w:keepLines/>
                    <w:spacing w:after="0"/>
                    <w:jc w:val="center"/>
                    <w:rPr>
                      <w:rFonts w:ascii="Arial" w:hAnsi="Arial"/>
                      <w:sz w:val="18"/>
                    </w:rPr>
                  </w:pPr>
                  <w:r>
                    <w:rPr>
                      <w:rFonts w:ascii="Arial" w:hAnsi="Arial" w:cs="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1180E045" w14:textId="77777777" w:rsidR="0098092C" w:rsidRDefault="0030498B">
                  <w:pPr>
                    <w:keepNext/>
                    <w:keepLines/>
                    <w:spacing w:after="0"/>
                    <w:jc w:val="center"/>
                    <w:rPr>
                      <w:rFonts w:ascii="Arial" w:hAnsi="Arial"/>
                      <w:sz w:val="18"/>
                    </w:rPr>
                  </w:pPr>
                  <w:r>
                    <w:rPr>
                      <w:rFonts w:ascii="Arial" w:hAnsi="Arial" w:cs="Arial"/>
                      <w:sz w:val="18"/>
                    </w:rPr>
                    <w:t>308</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14:paraId="18287A21" w14:textId="77777777" w:rsidR="0098092C" w:rsidRDefault="0030498B">
                  <w:pPr>
                    <w:keepNext/>
                    <w:keepLines/>
                    <w:spacing w:after="0"/>
                    <w:jc w:val="center"/>
                    <w:rPr>
                      <w:rFonts w:ascii="Arial" w:hAnsi="Arial"/>
                      <w:sz w:val="18"/>
                    </w:rPr>
                  </w:pPr>
                  <w:r>
                    <w:rPr>
                      <w:rFonts w:ascii="Arial" w:hAnsi="Arial" w:cs="Arial"/>
                      <w:sz w:val="18"/>
                    </w:rPr>
                    <w:t>0.6016</w:t>
                  </w:r>
                </w:p>
              </w:tc>
            </w:tr>
            <w:tr w:rsidR="0098092C" w14:paraId="7D697FF2" w14:textId="77777777">
              <w:trPr>
                <w:trHeight w:val="176"/>
                <w:jc w:val="center"/>
              </w:trPr>
              <w:tc>
                <w:tcPr>
                  <w:tcW w:w="1155" w:type="dxa"/>
                  <w:tcBorders>
                    <w:top w:val="nil"/>
                    <w:left w:val="single" w:sz="8" w:space="0" w:color="auto"/>
                    <w:bottom w:val="double" w:sz="4" w:space="0" w:color="auto"/>
                    <w:right w:val="single" w:sz="8" w:space="0" w:color="auto"/>
                  </w:tcBorders>
                  <w:shd w:val="clear" w:color="auto" w:fill="auto"/>
                  <w:tcMar>
                    <w:top w:w="0" w:type="dxa"/>
                    <w:left w:w="108" w:type="dxa"/>
                    <w:bottom w:w="0" w:type="dxa"/>
                    <w:right w:w="108" w:type="dxa"/>
                  </w:tcMar>
                </w:tcPr>
                <w:p w14:paraId="7223DC44" w14:textId="77777777" w:rsidR="0098092C" w:rsidRDefault="0030498B">
                  <w:pPr>
                    <w:keepNext/>
                    <w:keepLines/>
                    <w:spacing w:after="0"/>
                    <w:jc w:val="center"/>
                    <w:rPr>
                      <w:rFonts w:ascii="Arial" w:hAnsi="Arial"/>
                      <w:sz w:val="18"/>
                    </w:rPr>
                  </w:pPr>
                  <w:r>
                    <w:rPr>
                      <w:rFonts w:ascii="Arial" w:hAnsi="Arial"/>
                      <w:sz w:val="18"/>
                    </w:rPr>
                    <w:t>6</w:t>
                  </w:r>
                </w:p>
              </w:tc>
              <w:tc>
                <w:tcPr>
                  <w:tcW w:w="1228" w:type="dxa"/>
                  <w:tcBorders>
                    <w:top w:val="nil"/>
                    <w:left w:val="nil"/>
                    <w:bottom w:val="double" w:sz="4" w:space="0" w:color="auto"/>
                    <w:right w:val="single" w:sz="8" w:space="0" w:color="auto"/>
                  </w:tcBorders>
                  <w:tcMar>
                    <w:top w:w="0" w:type="dxa"/>
                    <w:left w:w="108" w:type="dxa"/>
                    <w:bottom w:w="0" w:type="dxa"/>
                    <w:right w:w="108" w:type="dxa"/>
                  </w:tcMar>
                </w:tcPr>
                <w:p w14:paraId="64C6127D" w14:textId="77777777" w:rsidR="0098092C" w:rsidRDefault="0030498B">
                  <w:pPr>
                    <w:keepNext/>
                    <w:keepLines/>
                    <w:spacing w:after="0"/>
                    <w:jc w:val="center"/>
                    <w:rPr>
                      <w:rFonts w:ascii="Arial" w:hAnsi="Arial"/>
                      <w:sz w:val="18"/>
                    </w:rPr>
                  </w:pPr>
                  <w:r>
                    <w:rPr>
                      <w:rFonts w:ascii="Arial" w:hAnsi="Arial" w:cs="Arial"/>
                      <w:sz w:val="18"/>
                    </w:rPr>
                    <w:t>QPSK</w:t>
                  </w:r>
                </w:p>
              </w:tc>
              <w:tc>
                <w:tcPr>
                  <w:tcW w:w="1761" w:type="dxa"/>
                  <w:tcBorders>
                    <w:top w:val="nil"/>
                    <w:left w:val="nil"/>
                    <w:bottom w:val="double" w:sz="4" w:space="0" w:color="auto"/>
                    <w:right w:val="single" w:sz="8" w:space="0" w:color="auto"/>
                  </w:tcBorders>
                  <w:tcMar>
                    <w:top w:w="0" w:type="dxa"/>
                    <w:left w:w="108" w:type="dxa"/>
                    <w:bottom w:w="0" w:type="dxa"/>
                    <w:right w:w="108" w:type="dxa"/>
                  </w:tcMar>
                </w:tcPr>
                <w:p w14:paraId="1DC033EF" w14:textId="77777777" w:rsidR="0098092C" w:rsidRDefault="0030498B">
                  <w:pPr>
                    <w:keepNext/>
                    <w:keepLines/>
                    <w:spacing w:after="0"/>
                    <w:jc w:val="center"/>
                    <w:rPr>
                      <w:rFonts w:ascii="Arial" w:hAnsi="Arial"/>
                      <w:sz w:val="18"/>
                    </w:rPr>
                  </w:pPr>
                  <w:r>
                    <w:rPr>
                      <w:rFonts w:ascii="Arial" w:hAnsi="Arial" w:cs="Arial"/>
                      <w:sz w:val="18"/>
                    </w:rPr>
                    <w:t>449</w:t>
                  </w:r>
                </w:p>
              </w:tc>
              <w:tc>
                <w:tcPr>
                  <w:tcW w:w="1116" w:type="dxa"/>
                  <w:tcBorders>
                    <w:top w:val="nil"/>
                    <w:left w:val="nil"/>
                    <w:bottom w:val="double" w:sz="4" w:space="0" w:color="auto"/>
                    <w:right w:val="single" w:sz="8" w:space="0" w:color="auto"/>
                  </w:tcBorders>
                  <w:tcMar>
                    <w:top w:w="0" w:type="dxa"/>
                    <w:left w:w="108" w:type="dxa"/>
                    <w:bottom w:w="0" w:type="dxa"/>
                    <w:right w:w="108" w:type="dxa"/>
                  </w:tcMar>
                </w:tcPr>
                <w:p w14:paraId="7195083A" w14:textId="77777777" w:rsidR="0098092C" w:rsidRDefault="0030498B">
                  <w:pPr>
                    <w:keepNext/>
                    <w:keepLines/>
                    <w:spacing w:after="0"/>
                    <w:jc w:val="center"/>
                    <w:rPr>
                      <w:rFonts w:ascii="Arial" w:hAnsi="Arial"/>
                      <w:sz w:val="18"/>
                    </w:rPr>
                  </w:pPr>
                  <w:r>
                    <w:rPr>
                      <w:rFonts w:ascii="Arial" w:hAnsi="Arial" w:cs="Arial"/>
                      <w:sz w:val="18"/>
                    </w:rPr>
                    <w:t>0.8770</w:t>
                  </w:r>
                </w:p>
              </w:tc>
            </w:tr>
            <w:tr w:rsidR="0098092C" w14:paraId="6B2B1414"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35E4FE3" w14:textId="77777777" w:rsidR="0098092C" w:rsidRDefault="0030498B">
                  <w:pPr>
                    <w:keepNext/>
                    <w:keepLines/>
                    <w:spacing w:after="0"/>
                    <w:jc w:val="center"/>
                    <w:rPr>
                      <w:rFonts w:ascii="Arial" w:hAnsi="Arial"/>
                      <w:sz w:val="18"/>
                    </w:rPr>
                  </w:pPr>
                  <w:r>
                    <w:rPr>
                      <w:rFonts w:ascii="Arial" w:hAnsi="Arial"/>
                      <w:sz w:val="18"/>
                    </w:rPr>
                    <w:t>7</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642BA3BC" w14:textId="77777777" w:rsidR="0098092C" w:rsidRDefault="0030498B">
                  <w:pPr>
                    <w:keepNext/>
                    <w:keepLines/>
                    <w:spacing w:after="0"/>
                    <w:jc w:val="center"/>
                    <w:rPr>
                      <w:rFonts w:ascii="Arial" w:hAnsi="Arial"/>
                      <w:sz w:val="18"/>
                    </w:rPr>
                  </w:pPr>
                  <w:r>
                    <w:rPr>
                      <w:rFonts w:ascii="Arial" w:hAnsi="Arial" w:cs="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79354F31" w14:textId="77777777" w:rsidR="0098092C" w:rsidRDefault="0030498B">
                  <w:pPr>
                    <w:keepNext/>
                    <w:keepLines/>
                    <w:spacing w:after="0"/>
                    <w:jc w:val="center"/>
                    <w:rPr>
                      <w:rFonts w:ascii="Arial" w:hAnsi="Arial" w:cs="Arial"/>
                      <w:sz w:val="18"/>
                    </w:rPr>
                  </w:pPr>
                  <w:r>
                    <w:rPr>
                      <w:rFonts w:ascii="Arial" w:hAnsi="Arial" w:cs="Arial"/>
                      <w:sz w:val="18"/>
                    </w:rPr>
                    <w:t>602</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14:paraId="0D2BFA39" w14:textId="77777777" w:rsidR="0098092C" w:rsidRDefault="0030498B">
                  <w:pPr>
                    <w:keepNext/>
                    <w:keepLines/>
                    <w:spacing w:after="0"/>
                    <w:jc w:val="center"/>
                    <w:rPr>
                      <w:rFonts w:ascii="Arial" w:hAnsi="Arial"/>
                      <w:sz w:val="18"/>
                    </w:rPr>
                  </w:pPr>
                  <w:r>
                    <w:rPr>
                      <w:rFonts w:ascii="Arial" w:hAnsi="Arial" w:cs="Arial"/>
                      <w:sz w:val="18"/>
                    </w:rPr>
                    <w:t>1.1758</w:t>
                  </w:r>
                </w:p>
              </w:tc>
            </w:tr>
            <w:tr w:rsidR="0098092C" w14:paraId="4CB315F2"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EAE2605" w14:textId="77777777" w:rsidR="0098092C" w:rsidRDefault="0030498B">
                  <w:pPr>
                    <w:keepNext/>
                    <w:keepLines/>
                    <w:spacing w:after="0"/>
                    <w:jc w:val="center"/>
                    <w:rPr>
                      <w:rFonts w:ascii="Arial" w:hAnsi="Arial"/>
                      <w:sz w:val="18"/>
                    </w:rPr>
                  </w:pPr>
                  <w:r>
                    <w:rPr>
                      <w:rFonts w:ascii="Arial" w:hAnsi="Arial"/>
                      <w:sz w:val="18"/>
                    </w:rPr>
                    <w:t>8</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29F5773E" w14:textId="77777777" w:rsidR="0098092C" w:rsidRDefault="0030498B">
                  <w:pPr>
                    <w:keepNext/>
                    <w:keepLines/>
                    <w:spacing w:after="0"/>
                    <w:jc w:val="center"/>
                    <w:rPr>
                      <w:rFonts w:ascii="Arial" w:hAnsi="Arial"/>
                      <w:sz w:val="18"/>
                    </w:rPr>
                  </w:pPr>
                  <w:r>
                    <w:rPr>
                      <w:rFonts w:ascii="Arial" w:hAnsi="Arial" w:cs="Arial"/>
                      <w:sz w:val="18"/>
                    </w:rPr>
                    <w:t xml:space="preserve">16QAM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48EC4EE1" w14:textId="77777777" w:rsidR="0098092C" w:rsidRDefault="0030498B">
                  <w:pPr>
                    <w:keepNext/>
                    <w:keepLines/>
                    <w:spacing w:after="0"/>
                    <w:jc w:val="center"/>
                    <w:rPr>
                      <w:rFonts w:ascii="Arial" w:hAnsi="Arial" w:cs="Arial"/>
                      <w:sz w:val="18"/>
                    </w:rPr>
                  </w:pPr>
                  <w:r>
                    <w:rPr>
                      <w:rFonts w:ascii="Arial" w:hAnsi="Arial" w:cs="Arial"/>
                      <w:sz w:val="18"/>
                    </w:rPr>
                    <w:t>480</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2C9AE0E9" w14:textId="77777777" w:rsidR="0098092C" w:rsidRDefault="0030498B">
                  <w:pPr>
                    <w:keepNext/>
                    <w:keepLines/>
                    <w:spacing w:after="0"/>
                    <w:jc w:val="center"/>
                    <w:rPr>
                      <w:rFonts w:ascii="Arial" w:hAnsi="Arial" w:cs="Arial"/>
                      <w:sz w:val="18"/>
                    </w:rPr>
                  </w:pPr>
                  <w:r>
                    <w:rPr>
                      <w:rFonts w:ascii="Arial" w:hAnsi="Arial" w:cs="Arial"/>
                      <w:sz w:val="18"/>
                    </w:rPr>
                    <w:t>1.8788</w:t>
                  </w:r>
                </w:p>
              </w:tc>
            </w:tr>
            <w:tr w:rsidR="0098092C" w14:paraId="58C917F3"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D5DD3D0" w14:textId="77777777" w:rsidR="0098092C" w:rsidRDefault="0030498B">
                  <w:pPr>
                    <w:keepNext/>
                    <w:keepLines/>
                    <w:spacing w:after="0"/>
                    <w:jc w:val="center"/>
                    <w:rPr>
                      <w:rFonts w:ascii="Arial" w:hAnsi="Arial"/>
                      <w:sz w:val="18"/>
                    </w:rPr>
                  </w:pPr>
                  <w:r>
                    <w:rPr>
                      <w:rFonts w:ascii="Arial" w:hAnsi="Arial"/>
                      <w:sz w:val="18"/>
                    </w:rPr>
                    <w:t>9</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63937F71" w14:textId="77777777" w:rsidR="0098092C" w:rsidRDefault="0030498B">
                  <w:pPr>
                    <w:keepNext/>
                    <w:keepLines/>
                    <w:spacing w:after="0"/>
                    <w:jc w:val="center"/>
                    <w:rPr>
                      <w:rFonts w:ascii="Arial" w:hAnsi="Arial" w:cs="Arial"/>
                      <w:sz w:val="18"/>
                    </w:rPr>
                  </w:pPr>
                  <w:r>
                    <w:rPr>
                      <w:rFonts w:ascii="Arial" w:hAnsi="Arial" w:cs="Arial"/>
                      <w:sz w:val="18"/>
                    </w:rPr>
                    <w:t xml:space="preserve">16QAM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2C8D0AB0" w14:textId="77777777" w:rsidR="0098092C" w:rsidRDefault="0030498B">
                  <w:pPr>
                    <w:keepNext/>
                    <w:keepLines/>
                    <w:spacing w:after="0"/>
                    <w:jc w:val="center"/>
                    <w:rPr>
                      <w:rFonts w:ascii="Arial" w:hAnsi="Arial" w:cs="Arial"/>
                      <w:sz w:val="18"/>
                    </w:rPr>
                  </w:pPr>
                  <w:r>
                    <w:rPr>
                      <w:rFonts w:ascii="Arial" w:hAnsi="Arial" w:cs="Arial"/>
                      <w:sz w:val="18"/>
                    </w:rPr>
                    <w:t>524</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39DFC659" w14:textId="77777777" w:rsidR="0098092C" w:rsidRDefault="0030498B">
                  <w:pPr>
                    <w:keepNext/>
                    <w:keepLines/>
                    <w:spacing w:after="0"/>
                    <w:jc w:val="center"/>
                    <w:rPr>
                      <w:rFonts w:ascii="Arial" w:hAnsi="Arial" w:cs="Arial"/>
                      <w:sz w:val="18"/>
                    </w:rPr>
                  </w:pPr>
                  <w:r>
                    <w:rPr>
                      <w:rFonts w:ascii="Arial" w:hAnsi="Arial" w:cs="Arial"/>
                      <w:sz w:val="18"/>
                    </w:rPr>
                    <w:t>2.0472</w:t>
                  </w:r>
                </w:p>
              </w:tc>
            </w:tr>
            <w:tr w:rsidR="0098092C" w14:paraId="76758280"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5A8BA64" w14:textId="77777777" w:rsidR="0098092C" w:rsidRDefault="0030498B">
                  <w:pPr>
                    <w:keepNext/>
                    <w:keepLines/>
                    <w:spacing w:after="0"/>
                    <w:jc w:val="center"/>
                    <w:rPr>
                      <w:rFonts w:ascii="Arial" w:hAnsi="Arial"/>
                      <w:sz w:val="18"/>
                    </w:rPr>
                  </w:pPr>
                  <w:r>
                    <w:rPr>
                      <w:rFonts w:ascii="Arial" w:hAnsi="Arial"/>
                      <w:sz w:val="18"/>
                    </w:rPr>
                    <w:t>10</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2503647F" w14:textId="77777777" w:rsidR="0098092C" w:rsidRDefault="0030498B">
                  <w:pPr>
                    <w:keepNext/>
                    <w:keepLines/>
                    <w:spacing w:after="0"/>
                    <w:jc w:val="center"/>
                    <w:rPr>
                      <w:rFonts w:ascii="Arial" w:hAnsi="Arial" w:cs="Arial"/>
                      <w:sz w:val="18"/>
                    </w:rPr>
                  </w:pPr>
                  <w:r>
                    <w:rPr>
                      <w:rFonts w:ascii="Arial" w:hAnsi="Arial" w:cs="Arial"/>
                      <w:sz w:val="18"/>
                    </w:rPr>
                    <w:t>16QAM</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0E3331A2" w14:textId="77777777" w:rsidR="0098092C" w:rsidRDefault="0030498B">
                  <w:pPr>
                    <w:keepNext/>
                    <w:keepLines/>
                    <w:spacing w:after="0"/>
                    <w:jc w:val="center"/>
                    <w:rPr>
                      <w:rFonts w:ascii="Arial" w:hAnsi="Arial" w:cs="Arial"/>
                      <w:sz w:val="18"/>
                    </w:rPr>
                  </w:pPr>
                  <w:r>
                    <w:rPr>
                      <w:rFonts w:ascii="Arial" w:hAnsi="Arial" w:cs="Arial"/>
                      <w:sz w:val="18"/>
                    </w:rPr>
                    <w:t>610</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5D03D0FE" w14:textId="77777777" w:rsidR="0098092C" w:rsidRDefault="0030498B">
                  <w:pPr>
                    <w:keepNext/>
                    <w:keepLines/>
                    <w:spacing w:after="0"/>
                    <w:jc w:val="center"/>
                    <w:rPr>
                      <w:rFonts w:ascii="Arial" w:hAnsi="Arial" w:cs="Arial"/>
                      <w:sz w:val="18"/>
                    </w:rPr>
                  </w:pPr>
                  <w:r>
                    <w:rPr>
                      <w:rFonts w:ascii="Arial" w:hAnsi="Arial" w:cs="Arial"/>
                      <w:sz w:val="18"/>
                    </w:rPr>
                    <w:t>2.3844</w:t>
                  </w:r>
                </w:p>
              </w:tc>
            </w:tr>
            <w:tr w:rsidR="0098092C" w14:paraId="5DDCF385"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51C6DBA" w14:textId="77777777" w:rsidR="0098092C" w:rsidRDefault="0030498B">
                  <w:pPr>
                    <w:keepNext/>
                    <w:keepLines/>
                    <w:spacing w:after="0"/>
                    <w:jc w:val="center"/>
                    <w:rPr>
                      <w:rFonts w:ascii="Arial" w:hAnsi="Arial"/>
                      <w:sz w:val="18"/>
                    </w:rPr>
                  </w:pPr>
                  <w:r>
                    <w:rPr>
                      <w:rFonts w:ascii="Arial" w:hAnsi="Arial"/>
                      <w:sz w:val="18"/>
                    </w:rPr>
                    <w:t>11</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7EAA2A8B" w14:textId="77777777" w:rsidR="0098092C" w:rsidRDefault="0030498B">
                  <w:pPr>
                    <w:keepNext/>
                    <w:keepLines/>
                    <w:spacing w:after="0"/>
                    <w:jc w:val="center"/>
                    <w:rPr>
                      <w:rFonts w:ascii="Arial" w:hAnsi="Arial" w:cs="Arial"/>
                      <w:sz w:val="18"/>
                    </w:rPr>
                  </w:pPr>
                  <w:r>
                    <w:rPr>
                      <w:rFonts w:ascii="Arial" w:hAnsi="Arial" w:cs="Arial"/>
                      <w:sz w:val="18"/>
                    </w:rPr>
                    <w:t>16QAM</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612F1C9E" w14:textId="77777777" w:rsidR="0098092C" w:rsidRDefault="0030498B">
                  <w:pPr>
                    <w:keepNext/>
                    <w:keepLines/>
                    <w:spacing w:after="0"/>
                    <w:jc w:val="center"/>
                    <w:rPr>
                      <w:rFonts w:ascii="Arial" w:hAnsi="Arial" w:cs="Arial"/>
                      <w:sz w:val="18"/>
                    </w:rPr>
                  </w:pPr>
                  <w:r>
                    <w:rPr>
                      <w:rFonts w:ascii="Arial" w:hAnsi="Arial" w:cs="Arial"/>
                      <w:sz w:val="18"/>
                    </w:rPr>
                    <w:t>718</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6769B8A1" w14:textId="77777777" w:rsidR="0098092C" w:rsidRDefault="0030498B">
                  <w:pPr>
                    <w:keepNext/>
                    <w:keepLines/>
                    <w:spacing w:after="0"/>
                    <w:jc w:val="center"/>
                    <w:rPr>
                      <w:rFonts w:ascii="Arial" w:hAnsi="Arial" w:cs="Arial"/>
                      <w:sz w:val="18"/>
                    </w:rPr>
                  </w:pPr>
                  <w:r>
                    <w:rPr>
                      <w:rFonts w:ascii="Arial" w:hAnsi="Arial" w:cs="Arial"/>
                      <w:sz w:val="18"/>
                    </w:rPr>
                    <w:t>2.8052</w:t>
                  </w:r>
                </w:p>
              </w:tc>
            </w:tr>
            <w:tr w:rsidR="0098092C" w14:paraId="010BB048"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07718E6" w14:textId="77777777" w:rsidR="0098092C" w:rsidRDefault="0030498B">
                  <w:pPr>
                    <w:keepNext/>
                    <w:keepLines/>
                    <w:spacing w:after="0"/>
                    <w:jc w:val="center"/>
                    <w:rPr>
                      <w:rFonts w:ascii="Arial" w:hAnsi="Arial"/>
                      <w:sz w:val="18"/>
                    </w:rPr>
                  </w:pPr>
                  <w:r>
                    <w:rPr>
                      <w:rFonts w:ascii="Arial" w:hAnsi="Arial"/>
                      <w:sz w:val="18"/>
                    </w:rPr>
                    <w:t>12</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7402F263" w14:textId="77777777" w:rsidR="0098092C" w:rsidRDefault="0030498B">
                  <w:pPr>
                    <w:keepNext/>
                    <w:keepLines/>
                    <w:spacing w:after="0"/>
                    <w:jc w:val="center"/>
                    <w:rPr>
                      <w:rFonts w:ascii="Arial" w:hAnsi="Arial" w:cs="Arial"/>
                      <w:sz w:val="18"/>
                    </w:rPr>
                  </w:pPr>
                  <w:r>
                    <w:rPr>
                      <w:rFonts w:ascii="Arial" w:hAnsi="Arial" w:cs="Arial"/>
                      <w:sz w:val="18"/>
                    </w:rPr>
                    <w:t>16QAM</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3019C112" w14:textId="77777777" w:rsidR="0098092C" w:rsidRDefault="0030498B">
                  <w:pPr>
                    <w:keepNext/>
                    <w:keepLines/>
                    <w:spacing w:after="0"/>
                    <w:jc w:val="center"/>
                    <w:rPr>
                      <w:rFonts w:ascii="Arial" w:hAnsi="Arial" w:cs="Arial"/>
                      <w:sz w:val="18"/>
                    </w:rPr>
                  </w:pPr>
                  <w:r>
                    <w:rPr>
                      <w:rFonts w:ascii="Arial" w:hAnsi="Arial" w:cs="Arial"/>
                      <w:sz w:val="18"/>
                    </w:rPr>
                    <w:t>836</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67108D5A" w14:textId="77777777" w:rsidR="0098092C" w:rsidRDefault="0030498B">
                  <w:pPr>
                    <w:keepNext/>
                    <w:keepLines/>
                    <w:spacing w:after="0"/>
                    <w:jc w:val="center"/>
                    <w:rPr>
                      <w:rFonts w:ascii="Arial" w:hAnsi="Arial" w:cs="Arial"/>
                      <w:sz w:val="18"/>
                    </w:rPr>
                  </w:pPr>
                  <w:r>
                    <w:rPr>
                      <w:rFonts w:ascii="Arial" w:hAnsi="Arial" w:cs="Arial"/>
                      <w:sz w:val="18"/>
                    </w:rPr>
                    <w:t>3.2684</w:t>
                  </w:r>
                </w:p>
              </w:tc>
            </w:tr>
            <w:tr w:rsidR="0098092C" w14:paraId="293BF239"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87673ED" w14:textId="77777777" w:rsidR="0098092C" w:rsidRDefault="0030498B">
                  <w:pPr>
                    <w:keepNext/>
                    <w:keepLines/>
                    <w:spacing w:after="0"/>
                    <w:jc w:val="center"/>
                    <w:rPr>
                      <w:rFonts w:ascii="Arial" w:hAnsi="Arial"/>
                      <w:sz w:val="18"/>
                    </w:rPr>
                  </w:pPr>
                  <w:r>
                    <w:rPr>
                      <w:rFonts w:ascii="Arial" w:hAnsi="Arial"/>
                      <w:sz w:val="18"/>
                    </w:rPr>
                    <w:t>13</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334A26AA" w14:textId="77777777" w:rsidR="0098092C" w:rsidRDefault="0030498B">
                  <w:pPr>
                    <w:keepNext/>
                    <w:keepLines/>
                    <w:spacing w:after="0"/>
                    <w:jc w:val="center"/>
                    <w:rPr>
                      <w:rFonts w:ascii="Arial" w:hAnsi="Arial" w:cs="Arial"/>
                      <w:sz w:val="18"/>
                      <w:highlight w:val="yellow"/>
                    </w:rPr>
                  </w:pPr>
                  <w:r>
                    <w:rPr>
                      <w:rFonts w:ascii="Arial" w:hAnsi="Arial" w:hint="eastAsia"/>
                      <w:sz w:val="18"/>
                    </w:rPr>
                    <w:t>Reserved</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3EBA0559" w14:textId="77777777" w:rsidR="0098092C" w:rsidRDefault="0030498B">
                  <w:pPr>
                    <w:keepNext/>
                    <w:keepLines/>
                    <w:spacing w:after="0"/>
                    <w:jc w:val="center"/>
                    <w:rPr>
                      <w:rFonts w:ascii="Arial" w:hAnsi="Arial" w:cs="Arial"/>
                      <w:sz w:val="18"/>
                      <w:highlight w:val="yellow"/>
                    </w:rPr>
                  </w:pPr>
                  <w:r>
                    <w:rPr>
                      <w:rFonts w:ascii="Arial" w:hAnsi="Arial" w:hint="eastAsia"/>
                      <w:sz w:val="18"/>
                    </w:rPr>
                    <w:t>Reserved</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016C0D04" w14:textId="77777777" w:rsidR="0098092C" w:rsidRDefault="0030498B">
                  <w:pPr>
                    <w:keepNext/>
                    <w:keepLines/>
                    <w:spacing w:after="0"/>
                    <w:jc w:val="center"/>
                    <w:rPr>
                      <w:rFonts w:ascii="Arial" w:hAnsi="Arial" w:cs="Arial"/>
                      <w:sz w:val="18"/>
                      <w:highlight w:val="yellow"/>
                    </w:rPr>
                  </w:pPr>
                  <w:r>
                    <w:rPr>
                      <w:rFonts w:ascii="Arial" w:hAnsi="Arial" w:hint="eastAsia"/>
                      <w:sz w:val="18"/>
                    </w:rPr>
                    <w:t>Reserved</w:t>
                  </w:r>
                </w:p>
              </w:tc>
            </w:tr>
            <w:tr w:rsidR="0098092C" w14:paraId="2462CA05"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BC84F25" w14:textId="77777777" w:rsidR="0098092C" w:rsidRDefault="0030498B">
                  <w:pPr>
                    <w:keepNext/>
                    <w:keepLines/>
                    <w:spacing w:after="0"/>
                    <w:jc w:val="center"/>
                    <w:rPr>
                      <w:rFonts w:ascii="Arial" w:hAnsi="Arial"/>
                      <w:sz w:val="18"/>
                    </w:rPr>
                  </w:pPr>
                  <w:r>
                    <w:rPr>
                      <w:rFonts w:ascii="Arial" w:hAnsi="Arial"/>
                      <w:sz w:val="18"/>
                    </w:rPr>
                    <w:t>14</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4E912CFF" w14:textId="77777777" w:rsidR="0098092C" w:rsidRDefault="0030498B">
                  <w:pPr>
                    <w:keepNext/>
                    <w:keepLines/>
                    <w:spacing w:after="0"/>
                    <w:jc w:val="center"/>
                    <w:rPr>
                      <w:rFonts w:ascii="Arial" w:hAnsi="Arial" w:cs="Arial"/>
                      <w:sz w:val="18"/>
                    </w:rPr>
                  </w:pPr>
                  <w:r>
                    <w:rPr>
                      <w:rFonts w:ascii="Arial" w:hAnsi="Arial" w:hint="eastAsia"/>
                      <w:sz w:val="18"/>
                    </w:rPr>
                    <w:t>Reserved</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3278201C" w14:textId="77777777" w:rsidR="0098092C" w:rsidRDefault="0030498B">
                  <w:pPr>
                    <w:keepNext/>
                    <w:keepLines/>
                    <w:spacing w:after="0"/>
                    <w:jc w:val="center"/>
                    <w:rPr>
                      <w:rFonts w:ascii="Arial" w:hAnsi="Arial" w:cs="Arial"/>
                      <w:sz w:val="18"/>
                    </w:rPr>
                  </w:pPr>
                  <w:r>
                    <w:rPr>
                      <w:rFonts w:ascii="Arial" w:hAnsi="Arial" w:hint="eastAsia"/>
                      <w:sz w:val="18"/>
                    </w:rPr>
                    <w:t>Reserved</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4574941C" w14:textId="77777777" w:rsidR="0098092C" w:rsidRDefault="0030498B">
                  <w:pPr>
                    <w:keepNext/>
                    <w:keepLines/>
                    <w:spacing w:after="0"/>
                    <w:jc w:val="center"/>
                    <w:rPr>
                      <w:rFonts w:ascii="Arial" w:hAnsi="Arial" w:cs="Arial"/>
                      <w:sz w:val="18"/>
                    </w:rPr>
                  </w:pPr>
                  <w:r>
                    <w:rPr>
                      <w:rFonts w:ascii="Arial" w:hAnsi="Arial" w:hint="eastAsia"/>
                      <w:sz w:val="18"/>
                    </w:rPr>
                    <w:t>Reserved</w:t>
                  </w:r>
                </w:p>
              </w:tc>
            </w:tr>
            <w:tr w:rsidR="0098092C" w14:paraId="10F43D29" w14:textId="77777777">
              <w:trPr>
                <w:jc w:val="center"/>
              </w:trPr>
              <w:tc>
                <w:tcPr>
                  <w:tcW w:w="1155" w:type="dxa"/>
                  <w:tcBorders>
                    <w:top w:val="nil"/>
                    <w:left w:val="single" w:sz="8" w:space="0" w:color="auto"/>
                    <w:bottom w:val="double" w:sz="4" w:space="0" w:color="auto"/>
                    <w:right w:val="single" w:sz="8" w:space="0" w:color="auto"/>
                  </w:tcBorders>
                  <w:shd w:val="clear" w:color="auto" w:fill="auto"/>
                  <w:tcMar>
                    <w:top w:w="0" w:type="dxa"/>
                    <w:left w:w="108" w:type="dxa"/>
                    <w:bottom w:w="0" w:type="dxa"/>
                    <w:right w:w="108" w:type="dxa"/>
                  </w:tcMar>
                </w:tcPr>
                <w:p w14:paraId="7CECDF1B" w14:textId="77777777" w:rsidR="0098092C" w:rsidRDefault="0030498B">
                  <w:pPr>
                    <w:keepNext/>
                    <w:keepLines/>
                    <w:spacing w:after="0"/>
                    <w:jc w:val="center"/>
                    <w:rPr>
                      <w:rFonts w:ascii="Arial" w:hAnsi="Arial"/>
                      <w:sz w:val="18"/>
                    </w:rPr>
                  </w:pPr>
                  <w:r>
                    <w:rPr>
                      <w:rFonts w:ascii="Arial" w:hAnsi="Arial"/>
                      <w:sz w:val="18"/>
                    </w:rPr>
                    <w:t>15</w:t>
                  </w:r>
                </w:p>
              </w:tc>
              <w:tc>
                <w:tcPr>
                  <w:tcW w:w="1228" w:type="dxa"/>
                  <w:tcBorders>
                    <w:top w:val="nil"/>
                    <w:left w:val="nil"/>
                    <w:bottom w:val="double" w:sz="4" w:space="0" w:color="auto"/>
                    <w:right w:val="single" w:sz="8" w:space="0" w:color="auto"/>
                  </w:tcBorders>
                  <w:tcMar>
                    <w:top w:w="0" w:type="dxa"/>
                    <w:left w:w="108" w:type="dxa"/>
                    <w:bottom w:w="0" w:type="dxa"/>
                    <w:right w:w="108" w:type="dxa"/>
                  </w:tcMar>
                </w:tcPr>
                <w:p w14:paraId="2637FEFA" w14:textId="77777777" w:rsidR="0098092C" w:rsidRDefault="0030498B">
                  <w:pPr>
                    <w:keepNext/>
                    <w:keepLines/>
                    <w:spacing w:after="0"/>
                    <w:jc w:val="center"/>
                    <w:rPr>
                      <w:rFonts w:ascii="Arial" w:hAnsi="Arial"/>
                      <w:sz w:val="18"/>
                      <w:highlight w:val="yellow"/>
                    </w:rPr>
                  </w:pPr>
                  <w:r>
                    <w:rPr>
                      <w:rFonts w:ascii="Arial" w:hAnsi="Arial" w:hint="eastAsia"/>
                      <w:sz w:val="18"/>
                    </w:rPr>
                    <w:t>Reserved</w:t>
                  </w:r>
                </w:p>
              </w:tc>
              <w:tc>
                <w:tcPr>
                  <w:tcW w:w="1761" w:type="dxa"/>
                  <w:tcBorders>
                    <w:top w:val="nil"/>
                    <w:left w:val="nil"/>
                    <w:bottom w:val="double" w:sz="4" w:space="0" w:color="auto"/>
                    <w:right w:val="single" w:sz="8" w:space="0" w:color="auto"/>
                  </w:tcBorders>
                  <w:tcMar>
                    <w:top w:w="0" w:type="dxa"/>
                    <w:left w:w="108" w:type="dxa"/>
                    <w:bottom w:w="0" w:type="dxa"/>
                    <w:right w:w="108" w:type="dxa"/>
                  </w:tcMar>
                </w:tcPr>
                <w:p w14:paraId="4D3D9383" w14:textId="77777777" w:rsidR="0098092C" w:rsidRDefault="0030498B">
                  <w:pPr>
                    <w:keepNext/>
                    <w:keepLines/>
                    <w:spacing w:after="0"/>
                    <w:jc w:val="center"/>
                    <w:rPr>
                      <w:rFonts w:ascii="Arial" w:hAnsi="Arial" w:cs="Arial"/>
                      <w:sz w:val="18"/>
                      <w:highlight w:val="yellow"/>
                    </w:rPr>
                  </w:pPr>
                  <w:r>
                    <w:rPr>
                      <w:rFonts w:ascii="Arial" w:hAnsi="Arial" w:hint="eastAsia"/>
                      <w:sz w:val="18"/>
                    </w:rPr>
                    <w:t>Reserved</w:t>
                  </w:r>
                </w:p>
              </w:tc>
              <w:tc>
                <w:tcPr>
                  <w:tcW w:w="1116" w:type="dxa"/>
                  <w:tcBorders>
                    <w:top w:val="nil"/>
                    <w:left w:val="nil"/>
                    <w:bottom w:val="double" w:sz="4" w:space="0" w:color="auto"/>
                    <w:right w:val="single" w:sz="8" w:space="0" w:color="auto"/>
                  </w:tcBorders>
                  <w:tcMar>
                    <w:top w:w="0" w:type="dxa"/>
                    <w:left w:w="108" w:type="dxa"/>
                    <w:bottom w:w="0" w:type="dxa"/>
                    <w:right w:w="108" w:type="dxa"/>
                  </w:tcMar>
                  <w:vAlign w:val="bottom"/>
                </w:tcPr>
                <w:p w14:paraId="4E50E87F" w14:textId="77777777" w:rsidR="0098092C" w:rsidRDefault="0030498B">
                  <w:pPr>
                    <w:keepNext/>
                    <w:keepLines/>
                    <w:spacing w:after="0"/>
                    <w:jc w:val="center"/>
                    <w:rPr>
                      <w:rFonts w:ascii="Arial" w:hAnsi="Arial" w:cs="Arial"/>
                      <w:sz w:val="18"/>
                      <w:highlight w:val="yellow"/>
                    </w:rPr>
                  </w:pPr>
                  <w:r>
                    <w:rPr>
                      <w:rFonts w:ascii="Arial" w:hAnsi="Arial" w:hint="eastAsia"/>
                      <w:sz w:val="18"/>
                    </w:rPr>
                    <w:t>Reserved</w:t>
                  </w:r>
                </w:p>
              </w:tc>
            </w:tr>
          </w:tbl>
          <w:p w14:paraId="04DB0C63" w14:textId="77777777" w:rsidR="0098092C" w:rsidRDefault="0098092C">
            <w:pPr>
              <w:rPr>
                <w:szCs w:val="20"/>
              </w:rPr>
            </w:pPr>
          </w:p>
        </w:tc>
      </w:tr>
      <w:tr w:rsidR="0098092C" w14:paraId="750B5E62" w14:textId="77777777">
        <w:tc>
          <w:tcPr>
            <w:tcW w:w="922" w:type="dxa"/>
          </w:tcPr>
          <w:p w14:paraId="091B9165" w14:textId="77777777" w:rsidR="0098092C" w:rsidRDefault="0030498B">
            <w:pPr>
              <w:rPr>
                <w:szCs w:val="20"/>
              </w:rPr>
            </w:pPr>
            <w:r>
              <w:rPr>
                <w:rFonts w:hint="eastAsia"/>
                <w:szCs w:val="20"/>
              </w:rPr>
              <w:t>[8]</w:t>
            </w:r>
          </w:p>
        </w:tc>
        <w:tc>
          <w:tcPr>
            <w:tcW w:w="8385" w:type="dxa"/>
          </w:tcPr>
          <w:p w14:paraId="01A58844" w14:textId="77777777" w:rsidR="0098092C" w:rsidRDefault="0030498B">
            <w:pPr>
              <w:pStyle w:val="Observation"/>
              <w:numPr>
                <w:ilvl w:val="0"/>
                <w:numId w:val="0"/>
              </w:numPr>
              <w:spacing w:line="240" w:lineRule="auto"/>
              <w:ind w:left="360" w:hanging="360"/>
            </w:pPr>
            <w:bookmarkStart w:id="42" w:name="_Toc83293646"/>
            <w:bookmarkStart w:id="43" w:name="_Toc82635139"/>
            <w:r>
              <w:rPr>
                <w:lang w:val="en-US"/>
              </w:rPr>
              <w:t xml:space="preserve">Observation 3 </w:t>
            </w:r>
            <w:r>
              <w:t>In relation with the CQI mapping table, the WID states: “Extend the NB-IoT channel quality reporting based on the framework of Rel-14—16, to support 16-QAM in DL”</w:t>
            </w:r>
            <w:bookmarkEnd w:id="42"/>
            <w:bookmarkEnd w:id="43"/>
          </w:p>
          <w:p w14:paraId="46695180" w14:textId="77777777" w:rsidR="0098092C" w:rsidRDefault="0030498B">
            <w:pPr>
              <w:pStyle w:val="Observation"/>
              <w:numPr>
                <w:ilvl w:val="0"/>
                <w:numId w:val="0"/>
              </w:numPr>
              <w:spacing w:line="240" w:lineRule="auto"/>
              <w:ind w:left="360" w:hanging="360"/>
            </w:pPr>
            <w:bookmarkStart w:id="44" w:name="_Toc83293647"/>
            <w:bookmarkStart w:id="45" w:name="_Toc82635140"/>
            <w:r>
              <w:t>Observation 4 Based on the WID, the selected option should be incorporated into the legacy CQI mapping Table in TS 36.133 clause 9.1.22.15 as to re-use the NB-IoT’s framework and provide backward compatibility.</w:t>
            </w:r>
            <w:bookmarkEnd w:id="44"/>
            <w:bookmarkEnd w:id="45"/>
          </w:p>
          <w:p w14:paraId="51686933" w14:textId="77777777" w:rsidR="0098092C" w:rsidRDefault="0030498B">
            <w:pPr>
              <w:pStyle w:val="Observation"/>
              <w:numPr>
                <w:ilvl w:val="0"/>
                <w:numId w:val="0"/>
              </w:numPr>
              <w:spacing w:line="240" w:lineRule="auto"/>
              <w:ind w:left="360" w:hanging="360"/>
              <w:rPr>
                <w:lang w:val="en-US"/>
              </w:rPr>
            </w:pPr>
            <w:bookmarkStart w:id="46" w:name="_Toc83293648"/>
            <w:bookmarkStart w:id="47" w:name="_Toc82635141"/>
            <w:r>
              <w:t xml:space="preserve">Observation 5 </w:t>
            </w:r>
            <w:r>
              <w:rPr>
                <w:lang w:val="en-US"/>
              </w:rPr>
              <w:t>The legacy CQI mapping table in TS 36.133 clause 9.1.22.15 currently uses 13 out of 16 entries, hence the three unused fields could be utilized to incorporate the channel quality reporting for 16-QAM in DL.</w:t>
            </w:r>
            <w:bookmarkEnd w:id="46"/>
            <w:bookmarkEnd w:id="47"/>
          </w:p>
          <w:p w14:paraId="2D98BCB2" w14:textId="77777777" w:rsidR="0098092C" w:rsidRDefault="0030498B">
            <w:pPr>
              <w:pStyle w:val="Observation"/>
              <w:numPr>
                <w:ilvl w:val="0"/>
                <w:numId w:val="0"/>
              </w:numPr>
              <w:spacing w:line="240" w:lineRule="auto"/>
              <w:ind w:left="360" w:hanging="360"/>
              <w:rPr>
                <w:lang w:val="en-US"/>
              </w:rPr>
            </w:pPr>
            <w:bookmarkStart w:id="48" w:name="_Toc83293649"/>
            <w:bookmarkStart w:id="49" w:name="_Toc82635142"/>
            <w:r>
              <w:rPr>
                <w:lang w:val="en-US"/>
              </w:rPr>
              <w:t>Observation 6 For the TBS/MCS table for DL, the step-size between I</w:t>
            </w:r>
            <w:r>
              <w:rPr>
                <w:vertAlign w:val="subscript"/>
                <w:lang w:val="en-US"/>
              </w:rPr>
              <w:t>TBS</w:t>
            </w:r>
            <w:r>
              <w:rPr>
                <w:lang w:val="en-US"/>
              </w:rPr>
              <w:t xml:space="preserve"> indices is in most cases smaller than 1dB, which is a level of granularity that is not feasible from a measurement accuracy perspective even in the static condition because of the limited number of NRS symbols. Today the channel quality reporting is specified for each repetition level 1, 2, 4, 8, …, which means that in legacy the step size is 3dB.</w:t>
            </w:r>
            <w:bookmarkEnd w:id="48"/>
            <w:bookmarkEnd w:id="49"/>
            <w:r>
              <w:rPr>
                <w:lang w:val="en-US"/>
              </w:rPr>
              <w:t xml:space="preserve"> </w:t>
            </w:r>
          </w:p>
          <w:p w14:paraId="578BB31B" w14:textId="77777777" w:rsidR="0098092C" w:rsidRDefault="0030498B">
            <w:pPr>
              <w:pStyle w:val="Observation"/>
              <w:numPr>
                <w:ilvl w:val="0"/>
                <w:numId w:val="0"/>
              </w:numPr>
              <w:spacing w:line="240" w:lineRule="auto"/>
              <w:ind w:left="360" w:hanging="360"/>
              <w:rPr>
                <w:lang w:val="en-US"/>
              </w:rPr>
            </w:pPr>
            <w:bookmarkStart w:id="50" w:name="_Toc83293650"/>
            <w:bookmarkStart w:id="51" w:name="_Toc82635143"/>
            <w:r>
              <w:rPr>
                <w:lang w:val="en-US"/>
              </w:rPr>
              <w:t>Observation 7 In Rel-17, the full range of I</w:t>
            </w:r>
            <w:r>
              <w:rPr>
                <w:vertAlign w:val="subscript"/>
                <w:lang w:val="en-US"/>
              </w:rPr>
              <w:t>TBS</w:t>
            </w:r>
            <w:r>
              <w:rPr>
                <w:lang w:val="en-US"/>
              </w:rPr>
              <w:t xml:space="preserve"> indices (14 to 21 and 11 to 17 depending on the deployment mode) can be covered using only three candidate reports (i.e., candidateRep-M, candidateRep-N, or candidateRep-O) as to have a feasible level of granularity with step-sizes larger than 1dB.</w:t>
            </w:r>
            <w:bookmarkEnd w:id="50"/>
            <w:bookmarkEnd w:id="51"/>
          </w:p>
          <w:p w14:paraId="256306B9" w14:textId="77777777" w:rsidR="0098092C" w:rsidRDefault="0030498B">
            <w:pPr>
              <w:pStyle w:val="Observation"/>
              <w:numPr>
                <w:ilvl w:val="0"/>
                <w:numId w:val="0"/>
              </w:numPr>
              <w:spacing w:line="240" w:lineRule="auto"/>
              <w:ind w:left="360" w:hanging="360"/>
              <w:rPr>
                <w:lang w:val="en-US"/>
              </w:rPr>
            </w:pPr>
            <w:bookmarkStart w:id="52" w:name="_Toc83293651"/>
            <w:bookmarkStart w:id="53" w:name="_Toc82635144"/>
            <w:r>
              <w:rPr>
                <w:lang w:val="en-US"/>
              </w:rPr>
              <w:t>Observation 8 Encompassing the full-range of I_TBS indices using three reports is suitable, since the report is just a recommendation on what seems to be suitable to use. Hence, it is sufficient to hint around which I_TBS indices a scheduling is suitable since anyhow the ultimate scheduling is up to the eNodeB</w:t>
            </w:r>
            <w:bookmarkEnd w:id="52"/>
            <w:bookmarkEnd w:id="53"/>
          </w:p>
          <w:p w14:paraId="6305C0F8" w14:textId="77777777" w:rsidR="0098092C" w:rsidRDefault="0030498B">
            <w:pPr>
              <w:pStyle w:val="Proposal"/>
              <w:numPr>
                <w:ilvl w:val="0"/>
                <w:numId w:val="0"/>
              </w:numPr>
              <w:spacing w:line="240" w:lineRule="auto"/>
              <w:ind w:left="1701" w:hanging="1701"/>
            </w:pPr>
            <w:bookmarkStart w:id="54" w:name="_Toc79006154"/>
            <w:bookmarkStart w:id="55" w:name="_Toc83293669"/>
            <w:r>
              <w:rPr>
                <w:lang w:val="en-US"/>
              </w:rPr>
              <w:t xml:space="preserve">Proposal 3 </w:t>
            </w:r>
            <w:r>
              <w:t>The three unused entries in the legacy CQI mapping Table in clause 9.1.22.15 of TS 36.133 (i.e., Table 9.1.22.15-1) are used for the CQI reporting of 16-QAM in DL.</w:t>
            </w:r>
            <w:bookmarkEnd w:id="54"/>
            <w:bookmarkEnd w:id="55"/>
          </w:p>
          <w:tbl>
            <w:tblPr>
              <w:tblW w:w="9062" w:type="dxa"/>
              <w:jc w:val="center"/>
              <w:tblCellMar>
                <w:left w:w="0" w:type="dxa"/>
                <w:right w:w="0" w:type="dxa"/>
              </w:tblCellMar>
              <w:tblLook w:val="04A0" w:firstRow="1" w:lastRow="0" w:firstColumn="1" w:lastColumn="0" w:noHBand="0" w:noVBand="1"/>
            </w:tblPr>
            <w:tblGrid>
              <w:gridCol w:w="1550"/>
              <w:gridCol w:w="2675"/>
              <w:gridCol w:w="4837"/>
            </w:tblGrid>
            <w:tr w:rsidR="0098092C" w14:paraId="0991E621" w14:textId="77777777">
              <w:trPr>
                <w:trHeight w:val="76"/>
                <w:jc w:val="center"/>
              </w:trPr>
              <w:tc>
                <w:tcPr>
                  <w:tcW w:w="15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EC8DB28" w14:textId="77777777" w:rsidR="0098092C" w:rsidRDefault="0030498B">
                  <w:pPr>
                    <w:pStyle w:val="TAH"/>
                    <w:rPr>
                      <w:rFonts w:cs="Arial"/>
                      <w:lang w:eastAsia="en-US"/>
                    </w:rPr>
                  </w:pPr>
                  <w:r>
                    <w:lastRenderedPageBreak/>
                    <w:t>Reported value</w:t>
                  </w:r>
                </w:p>
              </w:tc>
              <w:tc>
                <w:tcPr>
                  <w:tcW w:w="26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A8C9168" w14:textId="77777777" w:rsidR="0098092C" w:rsidRDefault="0030498B">
                  <w:pPr>
                    <w:pStyle w:val="TAH"/>
                    <w:rPr>
                      <w:sz w:val="22"/>
                      <w:szCs w:val="22"/>
                      <w:lang w:val="sv-SE"/>
                    </w:rPr>
                  </w:pPr>
                  <w:r>
                    <w:t>NPDCCH repetition level</w:t>
                  </w:r>
                </w:p>
              </w:tc>
              <w:tc>
                <w:tcPr>
                  <w:tcW w:w="4837" w:type="dxa"/>
                  <w:tcBorders>
                    <w:top w:val="single" w:sz="8" w:space="0" w:color="auto"/>
                    <w:left w:val="nil"/>
                    <w:bottom w:val="single" w:sz="8" w:space="0" w:color="auto"/>
                    <w:right w:val="single" w:sz="8" w:space="0" w:color="auto"/>
                  </w:tcBorders>
                </w:tcPr>
                <w:p w14:paraId="6DB310A1" w14:textId="77777777" w:rsidR="0098092C" w:rsidRDefault="0030498B">
                  <w:pPr>
                    <w:pStyle w:val="TAH"/>
                    <w:rPr>
                      <w:sz w:val="20"/>
                      <w:lang w:eastAsia="sv-SE"/>
                    </w:rPr>
                  </w:pPr>
                  <w:r>
                    <w:t xml:space="preserve">16-QAM CQI index with </w:t>
                  </w:r>
                  <w:r>
                    <w:rPr>
                      <w:lang w:val="en-US"/>
                    </w:rPr>
                    <w:t xml:space="preserve">NPDSCH </w:t>
                  </w:r>
                  <w:r>
                    <w:t>transport block error probability not exceeding 0.1</w:t>
                  </w:r>
                </w:p>
              </w:tc>
            </w:tr>
            <w:tr w:rsidR="0098092C" w14:paraId="0EF30795" w14:textId="77777777">
              <w:trPr>
                <w:jc w:val="center"/>
              </w:trPr>
              <w:tc>
                <w:tcPr>
                  <w:tcW w:w="15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363A5C" w14:textId="77777777" w:rsidR="0098092C" w:rsidRDefault="0030498B">
                  <w:pPr>
                    <w:pStyle w:val="TAC"/>
                    <w:rPr>
                      <w:szCs w:val="18"/>
                    </w:rPr>
                  </w:pPr>
                  <w:r>
                    <w:t>candidateRep-M</w:t>
                  </w:r>
                </w:p>
              </w:tc>
              <w:tc>
                <w:tcPr>
                  <w:tcW w:w="2675" w:type="dxa"/>
                  <w:tcBorders>
                    <w:top w:val="nil"/>
                    <w:left w:val="nil"/>
                    <w:bottom w:val="single" w:sz="8" w:space="0" w:color="auto"/>
                    <w:right w:val="single" w:sz="8" w:space="0" w:color="auto"/>
                  </w:tcBorders>
                  <w:tcMar>
                    <w:top w:w="0" w:type="dxa"/>
                    <w:left w:w="108" w:type="dxa"/>
                    <w:bottom w:w="0" w:type="dxa"/>
                    <w:right w:w="108" w:type="dxa"/>
                  </w:tcMar>
                  <w:vAlign w:val="center"/>
                </w:tcPr>
                <w:p w14:paraId="6469A201" w14:textId="77777777" w:rsidR="0098092C" w:rsidRDefault="0030498B">
                  <w:pPr>
                    <w:pStyle w:val="TAC"/>
                    <w:rPr>
                      <w:sz w:val="20"/>
                    </w:rPr>
                  </w:pPr>
                  <w:r>
                    <w:t>1</w:t>
                  </w:r>
                </w:p>
              </w:tc>
              <w:tc>
                <w:tcPr>
                  <w:tcW w:w="4837" w:type="dxa"/>
                  <w:tcBorders>
                    <w:top w:val="nil"/>
                    <w:left w:val="nil"/>
                    <w:bottom w:val="single" w:sz="8" w:space="0" w:color="auto"/>
                    <w:right w:val="single" w:sz="8" w:space="0" w:color="auto"/>
                  </w:tcBorders>
                </w:tcPr>
                <w:p w14:paraId="4378DE40" w14:textId="77777777" w:rsidR="0098092C" w:rsidRDefault="0030498B">
                  <w:pPr>
                    <w:pStyle w:val="TAC"/>
                  </w:pPr>
                  <w:r>
                    <w:t>0</w:t>
                  </w:r>
                </w:p>
              </w:tc>
            </w:tr>
            <w:tr w:rsidR="0098092C" w14:paraId="5D664417" w14:textId="77777777">
              <w:trPr>
                <w:jc w:val="center"/>
              </w:trPr>
              <w:tc>
                <w:tcPr>
                  <w:tcW w:w="15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7699CD" w14:textId="77777777" w:rsidR="0098092C" w:rsidRDefault="0030498B">
                  <w:pPr>
                    <w:pStyle w:val="TAC"/>
                  </w:pPr>
                  <w:r>
                    <w:t>candidateRep-N</w:t>
                  </w:r>
                </w:p>
              </w:tc>
              <w:tc>
                <w:tcPr>
                  <w:tcW w:w="2675" w:type="dxa"/>
                  <w:tcBorders>
                    <w:top w:val="nil"/>
                    <w:left w:val="nil"/>
                    <w:bottom w:val="single" w:sz="8" w:space="0" w:color="auto"/>
                    <w:right w:val="single" w:sz="8" w:space="0" w:color="auto"/>
                  </w:tcBorders>
                  <w:tcMar>
                    <w:top w:w="0" w:type="dxa"/>
                    <w:left w:w="108" w:type="dxa"/>
                    <w:bottom w:w="0" w:type="dxa"/>
                    <w:right w:w="108" w:type="dxa"/>
                  </w:tcMar>
                  <w:vAlign w:val="center"/>
                </w:tcPr>
                <w:p w14:paraId="0CF70992" w14:textId="77777777" w:rsidR="0098092C" w:rsidRDefault="0030498B">
                  <w:pPr>
                    <w:pStyle w:val="TAC"/>
                  </w:pPr>
                  <w:r>
                    <w:t>1</w:t>
                  </w:r>
                </w:p>
              </w:tc>
              <w:tc>
                <w:tcPr>
                  <w:tcW w:w="4837" w:type="dxa"/>
                  <w:tcBorders>
                    <w:top w:val="nil"/>
                    <w:left w:val="nil"/>
                    <w:bottom w:val="single" w:sz="8" w:space="0" w:color="auto"/>
                    <w:right w:val="single" w:sz="8" w:space="0" w:color="auto"/>
                  </w:tcBorders>
                </w:tcPr>
                <w:p w14:paraId="7C36CD13" w14:textId="77777777" w:rsidR="0098092C" w:rsidRDefault="0030498B">
                  <w:pPr>
                    <w:pStyle w:val="TAC"/>
                  </w:pPr>
                  <w:r>
                    <w:t>1</w:t>
                  </w:r>
                </w:p>
              </w:tc>
            </w:tr>
            <w:tr w:rsidR="0098092C" w14:paraId="0D48E1D1" w14:textId="77777777">
              <w:trPr>
                <w:jc w:val="center"/>
              </w:trPr>
              <w:tc>
                <w:tcPr>
                  <w:tcW w:w="15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74F1FAA" w14:textId="77777777" w:rsidR="0098092C" w:rsidRDefault="0030498B">
                  <w:pPr>
                    <w:pStyle w:val="TAC"/>
                  </w:pPr>
                  <w:r>
                    <w:t>candidateRep-O</w:t>
                  </w:r>
                </w:p>
              </w:tc>
              <w:tc>
                <w:tcPr>
                  <w:tcW w:w="2675" w:type="dxa"/>
                  <w:tcBorders>
                    <w:top w:val="nil"/>
                    <w:left w:val="nil"/>
                    <w:bottom w:val="single" w:sz="8" w:space="0" w:color="auto"/>
                    <w:right w:val="single" w:sz="8" w:space="0" w:color="auto"/>
                  </w:tcBorders>
                  <w:tcMar>
                    <w:top w:w="0" w:type="dxa"/>
                    <w:left w:w="108" w:type="dxa"/>
                    <w:bottom w:w="0" w:type="dxa"/>
                    <w:right w:w="108" w:type="dxa"/>
                  </w:tcMar>
                  <w:vAlign w:val="center"/>
                </w:tcPr>
                <w:p w14:paraId="717E9984" w14:textId="77777777" w:rsidR="0098092C" w:rsidRDefault="0030498B">
                  <w:pPr>
                    <w:pStyle w:val="TAC"/>
                  </w:pPr>
                  <w:r>
                    <w:t>1</w:t>
                  </w:r>
                </w:p>
              </w:tc>
              <w:tc>
                <w:tcPr>
                  <w:tcW w:w="4837" w:type="dxa"/>
                  <w:tcBorders>
                    <w:top w:val="nil"/>
                    <w:left w:val="nil"/>
                    <w:bottom w:val="single" w:sz="8" w:space="0" w:color="auto"/>
                    <w:right w:val="single" w:sz="8" w:space="0" w:color="auto"/>
                  </w:tcBorders>
                </w:tcPr>
                <w:p w14:paraId="20D45836" w14:textId="77777777" w:rsidR="0098092C" w:rsidRDefault="0030498B">
                  <w:pPr>
                    <w:pStyle w:val="TAC"/>
                  </w:pPr>
                  <w:r>
                    <w:t>2</w:t>
                  </w:r>
                </w:p>
              </w:tc>
            </w:tr>
          </w:tbl>
          <w:p w14:paraId="400BCC5E" w14:textId="77777777" w:rsidR="0098092C" w:rsidRDefault="0098092C">
            <w:pPr>
              <w:pStyle w:val="Proposal"/>
              <w:numPr>
                <w:ilvl w:val="0"/>
                <w:numId w:val="0"/>
              </w:numPr>
              <w:ind w:left="1701"/>
            </w:pPr>
          </w:p>
          <w:tbl>
            <w:tblPr>
              <w:tblW w:w="0" w:type="auto"/>
              <w:jc w:val="center"/>
              <w:tblCellMar>
                <w:left w:w="0" w:type="dxa"/>
                <w:right w:w="0" w:type="dxa"/>
              </w:tblCellMar>
              <w:tblLook w:val="04A0" w:firstRow="1" w:lastRow="0" w:firstColumn="1" w:lastColumn="0" w:noHBand="0" w:noVBand="1"/>
            </w:tblPr>
            <w:tblGrid>
              <w:gridCol w:w="1057"/>
              <w:gridCol w:w="1816"/>
              <w:gridCol w:w="1620"/>
            </w:tblGrid>
            <w:tr w:rsidR="0098092C" w14:paraId="0BD32A95" w14:textId="77777777">
              <w:trPr>
                <w:trHeight w:val="163"/>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FAC09E4" w14:textId="77777777" w:rsidR="0098092C" w:rsidRDefault="0030498B">
                  <w:pPr>
                    <w:keepNext/>
                    <w:jc w:val="center"/>
                    <w:rPr>
                      <w:rFonts w:ascii="Arial" w:hAnsi="Arial" w:cs="Arial"/>
                      <w:b/>
                      <w:bCs/>
                      <w:sz w:val="18"/>
                      <w:szCs w:val="18"/>
                      <w:lang w:val="sv-SE"/>
                    </w:rPr>
                  </w:pPr>
                  <w:r>
                    <w:rPr>
                      <w:rFonts w:ascii="Arial" w:hAnsi="Arial" w:cs="Arial"/>
                      <w:b/>
                      <w:bCs/>
                      <w:sz w:val="18"/>
                      <w:szCs w:val="18"/>
                    </w:rPr>
                    <w:t>CQI Index</w:t>
                  </w:r>
                </w:p>
              </w:tc>
              <w:tc>
                <w:tcPr>
                  <w:tcW w:w="34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26043E34" w14:textId="77777777" w:rsidR="0098092C" w:rsidRDefault="0030498B">
                  <w:pPr>
                    <w:keepNext/>
                    <w:jc w:val="center"/>
                    <w:rPr>
                      <w:rFonts w:ascii="Arial" w:hAnsi="Arial" w:cs="Arial"/>
                      <w:b/>
                      <w:bCs/>
                      <w:sz w:val="18"/>
                      <w:szCs w:val="18"/>
                    </w:rPr>
                  </w:pPr>
                  <w:r>
                    <w:rPr>
                      <w:rFonts w:ascii="Arial" w:hAnsi="Arial" w:cs="Arial"/>
                      <w:b/>
                      <w:bCs/>
                      <w:sz w:val="18"/>
                      <w:szCs w:val="18"/>
                    </w:rPr>
                    <w:t>I</w:t>
                  </w:r>
                  <w:r>
                    <w:rPr>
                      <w:rFonts w:ascii="Arial" w:hAnsi="Arial" w:cs="Arial"/>
                      <w:b/>
                      <w:bCs/>
                      <w:sz w:val="18"/>
                      <w:szCs w:val="18"/>
                      <w:vertAlign w:val="subscript"/>
                    </w:rPr>
                    <w:t xml:space="preserve">TBS </w:t>
                  </w:r>
                  <w:r>
                    <w:rPr>
                      <w:rFonts w:ascii="Arial" w:hAnsi="Arial" w:cs="Arial"/>
                      <w:b/>
                      <w:bCs/>
                      <w:sz w:val="18"/>
                      <w:szCs w:val="18"/>
                    </w:rPr>
                    <w:t>index</w:t>
                  </w:r>
                </w:p>
              </w:tc>
            </w:tr>
            <w:tr w:rsidR="0098092C" w14:paraId="6D89BFA0" w14:textId="77777777">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3F1559DD" w14:textId="77777777" w:rsidR="0098092C" w:rsidRDefault="0098092C">
                  <w:pPr>
                    <w:keepNext/>
                    <w:jc w:val="center"/>
                    <w:rPr>
                      <w:rFonts w:ascii="Arial" w:hAnsi="Arial" w:cs="Arial"/>
                      <w:sz w:val="18"/>
                      <w:szCs w:val="18"/>
                    </w:rPr>
                  </w:pPr>
                </w:p>
              </w:tc>
              <w:tc>
                <w:tcPr>
                  <w:tcW w:w="1816" w:type="dxa"/>
                  <w:tcBorders>
                    <w:top w:val="nil"/>
                    <w:left w:val="nil"/>
                    <w:bottom w:val="single" w:sz="8" w:space="0" w:color="auto"/>
                    <w:right w:val="single" w:sz="8" w:space="0" w:color="auto"/>
                  </w:tcBorders>
                  <w:tcMar>
                    <w:top w:w="0" w:type="dxa"/>
                    <w:left w:w="108" w:type="dxa"/>
                    <w:bottom w:w="0" w:type="dxa"/>
                    <w:right w:w="108" w:type="dxa"/>
                  </w:tcMar>
                </w:tcPr>
                <w:p w14:paraId="312554EB" w14:textId="77777777" w:rsidR="0098092C" w:rsidRDefault="0030498B">
                  <w:pPr>
                    <w:pStyle w:val="TAH"/>
                    <w:rPr>
                      <w:rFonts w:cs="Arial"/>
                      <w:szCs w:val="18"/>
                    </w:rPr>
                  </w:pPr>
                  <w:r>
                    <w:rPr>
                      <w:lang w:val="de-DE"/>
                    </w:rPr>
                    <w:t>Guard-band and Stand-alone deployments</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14:paraId="003788DA" w14:textId="77777777" w:rsidR="0098092C" w:rsidRDefault="0030498B">
                  <w:pPr>
                    <w:pStyle w:val="TAH"/>
                    <w:rPr>
                      <w:sz w:val="20"/>
                      <w:lang w:val="de-DE"/>
                    </w:rPr>
                  </w:pPr>
                  <w:r>
                    <w:rPr>
                      <w:lang w:val="de-DE"/>
                    </w:rPr>
                    <w:t>In-band deployments</w:t>
                  </w:r>
                </w:p>
              </w:tc>
            </w:tr>
            <w:tr w:rsidR="0098092C" w14:paraId="0DFF0B72" w14:textId="77777777">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58895250" w14:textId="77777777" w:rsidR="0098092C" w:rsidRDefault="0030498B">
                  <w:pPr>
                    <w:keepNext/>
                    <w:jc w:val="center"/>
                    <w:rPr>
                      <w:rFonts w:ascii="Arial" w:hAnsi="Arial" w:cs="Arial"/>
                      <w:sz w:val="18"/>
                      <w:szCs w:val="18"/>
                      <w:lang w:val="sv-SE"/>
                    </w:rPr>
                  </w:pPr>
                  <w:r>
                    <w:rPr>
                      <w:rFonts w:ascii="Arial" w:hAnsi="Arial" w:cs="Arial"/>
                      <w:sz w:val="18"/>
                      <w:szCs w:val="18"/>
                    </w:rPr>
                    <w:t>0</w:t>
                  </w:r>
                </w:p>
              </w:tc>
              <w:tc>
                <w:tcPr>
                  <w:tcW w:w="1816" w:type="dxa"/>
                  <w:tcBorders>
                    <w:top w:val="nil"/>
                    <w:left w:val="nil"/>
                    <w:bottom w:val="single" w:sz="8" w:space="0" w:color="auto"/>
                    <w:right w:val="single" w:sz="8" w:space="0" w:color="auto"/>
                  </w:tcBorders>
                  <w:tcMar>
                    <w:top w:w="0" w:type="dxa"/>
                    <w:left w:w="108" w:type="dxa"/>
                    <w:bottom w:w="0" w:type="dxa"/>
                    <w:right w:w="108" w:type="dxa"/>
                  </w:tcMar>
                </w:tcPr>
                <w:p w14:paraId="2727B296" w14:textId="77777777" w:rsidR="0098092C" w:rsidRDefault="0030498B">
                  <w:pPr>
                    <w:keepNext/>
                    <w:jc w:val="center"/>
                    <w:rPr>
                      <w:rFonts w:ascii="Arial" w:hAnsi="Arial" w:cs="Arial"/>
                      <w:sz w:val="18"/>
                      <w:szCs w:val="18"/>
                    </w:rPr>
                  </w:pPr>
                  <w:r>
                    <w:rPr>
                      <w:rFonts w:ascii="Arial" w:hAnsi="Arial" w:cs="Arial"/>
                      <w:sz w:val="18"/>
                      <w:szCs w:val="18"/>
                    </w:rPr>
                    <w:t>[17]</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14:paraId="38FAF112" w14:textId="77777777" w:rsidR="0098092C" w:rsidRDefault="0030498B">
                  <w:pPr>
                    <w:keepNext/>
                    <w:jc w:val="center"/>
                    <w:rPr>
                      <w:rFonts w:ascii="Arial" w:hAnsi="Arial" w:cs="Arial"/>
                      <w:sz w:val="18"/>
                      <w:szCs w:val="18"/>
                    </w:rPr>
                  </w:pPr>
                  <w:r>
                    <w:rPr>
                      <w:rFonts w:ascii="Arial" w:hAnsi="Arial" w:cs="Arial"/>
                      <w:sz w:val="18"/>
                      <w:szCs w:val="18"/>
                    </w:rPr>
                    <w:t>[13]</w:t>
                  </w:r>
                </w:p>
              </w:tc>
            </w:tr>
            <w:tr w:rsidR="0098092C" w14:paraId="54919341" w14:textId="77777777">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0C66C7F8" w14:textId="77777777" w:rsidR="0098092C" w:rsidRDefault="0030498B">
                  <w:pPr>
                    <w:keepNext/>
                    <w:jc w:val="center"/>
                    <w:rPr>
                      <w:rFonts w:ascii="Arial" w:hAnsi="Arial" w:cs="Arial"/>
                      <w:sz w:val="18"/>
                      <w:szCs w:val="18"/>
                    </w:rPr>
                  </w:pPr>
                  <w:r>
                    <w:rPr>
                      <w:rFonts w:ascii="Arial" w:hAnsi="Arial" w:cs="Arial"/>
                      <w:sz w:val="18"/>
                      <w:szCs w:val="18"/>
                    </w:rPr>
                    <w:t>1</w:t>
                  </w:r>
                </w:p>
              </w:tc>
              <w:tc>
                <w:tcPr>
                  <w:tcW w:w="1816" w:type="dxa"/>
                  <w:tcBorders>
                    <w:top w:val="nil"/>
                    <w:left w:val="nil"/>
                    <w:bottom w:val="single" w:sz="8" w:space="0" w:color="auto"/>
                    <w:right w:val="single" w:sz="8" w:space="0" w:color="auto"/>
                  </w:tcBorders>
                  <w:tcMar>
                    <w:top w:w="0" w:type="dxa"/>
                    <w:left w:w="108" w:type="dxa"/>
                    <w:bottom w:w="0" w:type="dxa"/>
                    <w:right w:w="108" w:type="dxa"/>
                  </w:tcMar>
                </w:tcPr>
                <w:p w14:paraId="5E12275E" w14:textId="77777777" w:rsidR="0098092C" w:rsidRDefault="0030498B">
                  <w:pPr>
                    <w:keepNext/>
                    <w:jc w:val="center"/>
                    <w:rPr>
                      <w:rFonts w:ascii="Arial" w:hAnsi="Arial" w:cs="Arial"/>
                      <w:sz w:val="18"/>
                      <w:szCs w:val="18"/>
                    </w:rPr>
                  </w:pPr>
                  <w:r>
                    <w:rPr>
                      <w:rFonts w:ascii="Arial" w:hAnsi="Arial" w:cs="Arial"/>
                      <w:sz w:val="18"/>
                      <w:szCs w:val="18"/>
                    </w:rPr>
                    <w:t>[20]</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14:paraId="797D3CC7" w14:textId="77777777" w:rsidR="0098092C" w:rsidRDefault="0030498B">
                  <w:pPr>
                    <w:keepNext/>
                    <w:jc w:val="center"/>
                    <w:rPr>
                      <w:rFonts w:ascii="Arial" w:hAnsi="Arial" w:cs="Arial"/>
                      <w:sz w:val="18"/>
                      <w:szCs w:val="18"/>
                    </w:rPr>
                  </w:pPr>
                  <w:r>
                    <w:rPr>
                      <w:rFonts w:ascii="Arial" w:hAnsi="Arial" w:cs="Arial"/>
                      <w:sz w:val="18"/>
                      <w:szCs w:val="18"/>
                    </w:rPr>
                    <w:t>[16]</w:t>
                  </w:r>
                </w:p>
              </w:tc>
            </w:tr>
            <w:tr w:rsidR="0098092C" w14:paraId="5A69EC3C" w14:textId="77777777">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6FCB1348" w14:textId="77777777" w:rsidR="0098092C" w:rsidRDefault="0030498B">
                  <w:pPr>
                    <w:keepNext/>
                    <w:jc w:val="center"/>
                    <w:rPr>
                      <w:rFonts w:ascii="Arial" w:hAnsi="Arial" w:cs="Arial"/>
                      <w:sz w:val="18"/>
                      <w:szCs w:val="18"/>
                    </w:rPr>
                  </w:pPr>
                  <w:r>
                    <w:rPr>
                      <w:rFonts w:ascii="Arial" w:hAnsi="Arial" w:cs="Arial"/>
                      <w:sz w:val="18"/>
                      <w:szCs w:val="18"/>
                    </w:rPr>
                    <w:t>2</w:t>
                  </w:r>
                </w:p>
              </w:tc>
              <w:tc>
                <w:tcPr>
                  <w:tcW w:w="1816" w:type="dxa"/>
                  <w:tcBorders>
                    <w:top w:val="nil"/>
                    <w:left w:val="nil"/>
                    <w:bottom w:val="single" w:sz="8" w:space="0" w:color="auto"/>
                    <w:right w:val="single" w:sz="8" w:space="0" w:color="auto"/>
                  </w:tcBorders>
                  <w:tcMar>
                    <w:top w:w="0" w:type="dxa"/>
                    <w:left w:w="108" w:type="dxa"/>
                    <w:bottom w:w="0" w:type="dxa"/>
                    <w:right w:w="108" w:type="dxa"/>
                  </w:tcMar>
                </w:tcPr>
                <w:p w14:paraId="5CAF95DC" w14:textId="77777777" w:rsidR="0098092C" w:rsidRDefault="0030498B">
                  <w:pPr>
                    <w:keepNext/>
                    <w:jc w:val="center"/>
                    <w:rPr>
                      <w:rFonts w:ascii="Arial" w:hAnsi="Arial" w:cs="Arial"/>
                      <w:sz w:val="18"/>
                      <w:szCs w:val="18"/>
                    </w:rPr>
                  </w:pPr>
                  <w:r>
                    <w:rPr>
                      <w:rFonts w:ascii="Arial" w:hAnsi="Arial" w:cs="Arial"/>
                      <w:sz w:val="18"/>
                      <w:szCs w:val="18"/>
                    </w:rPr>
                    <w:t>[21]</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14:paraId="5714F78E" w14:textId="77777777" w:rsidR="0098092C" w:rsidRDefault="0030498B">
                  <w:pPr>
                    <w:keepNext/>
                    <w:jc w:val="center"/>
                    <w:rPr>
                      <w:rFonts w:ascii="Arial" w:hAnsi="Arial" w:cs="Arial"/>
                      <w:sz w:val="18"/>
                      <w:szCs w:val="18"/>
                    </w:rPr>
                  </w:pPr>
                  <w:r>
                    <w:rPr>
                      <w:rFonts w:ascii="Arial" w:hAnsi="Arial" w:cs="Arial"/>
                      <w:sz w:val="18"/>
                      <w:szCs w:val="18"/>
                    </w:rPr>
                    <w:t>[17]</w:t>
                  </w:r>
                </w:p>
              </w:tc>
            </w:tr>
          </w:tbl>
          <w:p w14:paraId="2C9897FC" w14:textId="77777777" w:rsidR="0098092C" w:rsidRDefault="0098092C">
            <w:pPr>
              <w:rPr>
                <w:szCs w:val="20"/>
                <w:lang w:val="en-GB"/>
              </w:rPr>
            </w:pPr>
          </w:p>
        </w:tc>
      </w:tr>
    </w:tbl>
    <w:p w14:paraId="5030CC83" w14:textId="77777777" w:rsidR="0098092C" w:rsidRDefault="0098092C">
      <w:pPr>
        <w:spacing w:line="240" w:lineRule="auto"/>
      </w:pPr>
    </w:p>
    <w:p w14:paraId="7B22A19E" w14:textId="77777777" w:rsidR="0098092C" w:rsidRDefault="0098092C">
      <w:pPr>
        <w:spacing w:line="240" w:lineRule="auto"/>
      </w:pPr>
    </w:p>
    <w:p w14:paraId="7A9F170B" w14:textId="77777777" w:rsidR="0098092C" w:rsidRDefault="0030498B">
      <w:pPr>
        <w:spacing w:line="240" w:lineRule="auto"/>
      </w:pPr>
      <w:r>
        <w:t>On the CQI table for downlink 16-QAM, 4 companies (Nokia, NSB (2</w:t>
      </w:r>
      <w:r>
        <w:rPr>
          <w:vertAlign w:val="superscript"/>
        </w:rPr>
        <w:t>nd</w:t>
      </w:r>
      <w:r>
        <w:t xml:space="preserve"> preference), Lenovo, Moto) prefer option 1, 1 company (Ericsson) prefers option 2, and 7 companies (Huawei, HiSilicon, Nokia, NSB (1</w:t>
      </w:r>
      <w:r>
        <w:rPr>
          <w:vertAlign w:val="superscript"/>
        </w:rPr>
        <w:t>st</w:t>
      </w:r>
      <w:r>
        <w:t xml:space="preserve"> preference), ZTE, Sanechips, MTK) prefer option 3.</w:t>
      </w:r>
    </w:p>
    <w:p w14:paraId="4443E985" w14:textId="77777777" w:rsidR="0098092C" w:rsidRDefault="0030498B">
      <w:pPr>
        <w:pStyle w:val="NormalWeb"/>
        <w:spacing w:before="0" w:beforeAutospacing="0" w:after="0" w:afterAutospacing="0"/>
        <w:ind w:leftChars="200" w:left="440"/>
        <w:rPr>
          <w:sz w:val="22"/>
          <w:szCs w:val="22"/>
          <w:highlight w:val="green"/>
        </w:rPr>
      </w:pPr>
      <w:r>
        <w:rPr>
          <w:sz w:val="22"/>
          <w:szCs w:val="22"/>
          <w:highlight w:val="green"/>
        </w:rPr>
        <w:t>Agreement</w:t>
      </w:r>
    </w:p>
    <w:p w14:paraId="7C627C23" w14:textId="77777777" w:rsidR="0098092C" w:rsidRDefault="0030498B">
      <w:pPr>
        <w:pStyle w:val="NormalWeb"/>
        <w:spacing w:before="0" w:beforeAutospacing="0" w:after="0" w:afterAutospacing="0"/>
        <w:ind w:leftChars="200" w:left="440"/>
        <w:rPr>
          <w:sz w:val="22"/>
          <w:szCs w:val="22"/>
        </w:rPr>
      </w:pPr>
      <w:r>
        <w:rPr>
          <w:sz w:val="22"/>
          <w:szCs w:val="22"/>
        </w:rPr>
        <w:t>For CQI table for downlink 16-QAM, down-select between following options in RAN1#106-e:</w:t>
      </w:r>
    </w:p>
    <w:p w14:paraId="69414F56" w14:textId="77777777" w:rsidR="0098092C" w:rsidRDefault="0030498B">
      <w:pPr>
        <w:pStyle w:val="ListParagraph"/>
        <w:numPr>
          <w:ilvl w:val="0"/>
          <w:numId w:val="17"/>
        </w:numPr>
        <w:overflowPunct w:val="0"/>
        <w:autoSpaceDE w:val="0"/>
        <w:autoSpaceDN w:val="0"/>
        <w:adjustRightInd w:val="0"/>
        <w:spacing w:after="180" w:line="240" w:lineRule="auto"/>
        <w:ind w:leftChars="364" w:left="1161"/>
        <w:contextualSpacing/>
        <w:jc w:val="left"/>
        <w:textAlignment w:val="baseline"/>
        <w:rPr>
          <w:rFonts w:ascii="Times New Roman" w:hAnsi="Times New Roman" w:cs="Times New Roman"/>
          <w:sz w:val="22"/>
          <w:szCs w:val="22"/>
        </w:rPr>
      </w:pPr>
      <w:r>
        <w:rPr>
          <w:rFonts w:ascii="Times New Roman" w:hAnsi="Times New Roman" w:cs="Times New Roman"/>
          <w:sz w:val="22"/>
          <w:szCs w:val="22"/>
        </w:rPr>
        <w:t>Option 1: More than three candidate values for 16-QAM are added in the legacy table.</w:t>
      </w:r>
    </w:p>
    <w:p w14:paraId="098D8391" w14:textId="77777777" w:rsidR="0098092C" w:rsidRDefault="0030498B">
      <w:pPr>
        <w:pStyle w:val="ListParagraph"/>
        <w:numPr>
          <w:ilvl w:val="1"/>
          <w:numId w:val="17"/>
        </w:numPr>
        <w:overflowPunct w:val="0"/>
        <w:autoSpaceDE w:val="0"/>
        <w:autoSpaceDN w:val="0"/>
        <w:adjustRightInd w:val="0"/>
        <w:spacing w:after="180" w:line="240" w:lineRule="auto"/>
        <w:ind w:leftChars="691" w:left="1880"/>
        <w:contextualSpacing/>
        <w:jc w:val="left"/>
        <w:textAlignment w:val="baseline"/>
        <w:rPr>
          <w:rFonts w:ascii="Times New Roman" w:hAnsi="Times New Roman" w:cs="Times New Roman"/>
          <w:sz w:val="22"/>
          <w:szCs w:val="22"/>
        </w:rPr>
      </w:pPr>
      <w:r>
        <w:rPr>
          <w:rFonts w:ascii="Times New Roman" w:hAnsi="Times New Roman" w:cs="Times New Roman"/>
          <w:sz w:val="22"/>
          <w:szCs w:val="22"/>
        </w:rPr>
        <w:t>FFS: Which of the legacy entries are removed</w:t>
      </w:r>
    </w:p>
    <w:p w14:paraId="14FD05AE" w14:textId="77777777" w:rsidR="0098092C" w:rsidRDefault="0030498B">
      <w:pPr>
        <w:pStyle w:val="ListParagraph"/>
        <w:numPr>
          <w:ilvl w:val="0"/>
          <w:numId w:val="17"/>
        </w:numPr>
        <w:overflowPunct w:val="0"/>
        <w:autoSpaceDE w:val="0"/>
        <w:autoSpaceDN w:val="0"/>
        <w:adjustRightInd w:val="0"/>
        <w:spacing w:after="180" w:line="240" w:lineRule="auto"/>
        <w:ind w:leftChars="364" w:left="1161"/>
        <w:contextualSpacing/>
        <w:jc w:val="left"/>
        <w:textAlignment w:val="baseline"/>
        <w:rPr>
          <w:rFonts w:ascii="Times New Roman" w:hAnsi="Times New Roman" w:cs="Times New Roman"/>
          <w:sz w:val="22"/>
          <w:szCs w:val="22"/>
        </w:rPr>
      </w:pPr>
      <w:r>
        <w:rPr>
          <w:rFonts w:ascii="Times New Roman" w:hAnsi="Times New Roman" w:cs="Times New Roman"/>
          <w:sz w:val="22"/>
          <w:szCs w:val="22"/>
        </w:rPr>
        <w:t>Option 2: Three candidate values for 16-QAM are added in the legacy table.</w:t>
      </w:r>
    </w:p>
    <w:p w14:paraId="49CF99EF" w14:textId="77777777" w:rsidR="0098092C" w:rsidRDefault="0030498B">
      <w:pPr>
        <w:pStyle w:val="ListParagraph"/>
        <w:numPr>
          <w:ilvl w:val="0"/>
          <w:numId w:val="17"/>
        </w:numPr>
        <w:overflowPunct w:val="0"/>
        <w:autoSpaceDE w:val="0"/>
        <w:autoSpaceDN w:val="0"/>
        <w:adjustRightInd w:val="0"/>
        <w:spacing w:after="180" w:line="240" w:lineRule="auto"/>
        <w:ind w:leftChars="364" w:left="1161"/>
        <w:contextualSpacing/>
        <w:jc w:val="left"/>
        <w:textAlignment w:val="baseline"/>
        <w:rPr>
          <w:rFonts w:ascii="Times New Roman" w:hAnsi="Times New Roman" w:cs="Times New Roman"/>
          <w:sz w:val="22"/>
          <w:szCs w:val="22"/>
        </w:rPr>
      </w:pPr>
      <w:r>
        <w:rPr>
          <w:rFonts w:ascii="Times New Roman" w:hAnsi="Times New Roman" w:cs="Times New Roman"/>
          <w:sz w:val="22"/>
          <w:szCs w:val="22"/>
        </w:rPr>
        <w:t>Option 3: A new CQI table is defined for 16-QAM based on the eMTC table (CQI Tables in 36.213) as a starting point</w:t>
      </w:r>
    </w:p>
    <w:p w14:paraId="3C5148BB" w14:textId="77777777" w:rsidR="0098092C" w:rsidRDefault="0030498B">
      <w:pPr>
        <w:spacing w:line="240" w:lineRule="auto"/>
      </w:pPr>
      <w:r>
        <w:rPr>
          <w:rFonts w:hint="eastAsia"/>
        </w:rPr>
        <w:t>T</w:t>
      </w:r>
      <w:r>
        <w:t>he concerns to support option 1 include: limited number of MCS entries for 16-QAM for efficient CQI reporting, “dB” step size granularity, increased size of legacy table, no backward compatible, and more UE complexity on hypothetical decoding of both NPDCCH and NPDSCH.</w:t>
      </w:r>
    </w:p>
    <w:p w14:paraId="155FFEC9" w14:textId="77777777" w:rsidR="0098092C" w:rsidRDefault="0030498B">
      <w:pPr>
        <w:spacing w:line="240" w:lineRule="auto"/>
      </w:pPr>
      <w:r>
        <w:t>The concerns to support option 2 include: large SNR gap between NPDCCH repetition 1 and 16QAM TBS, more UE complexity on hypothetical decoding of both NPDCCH and NPDSCH, and limited number of MCS entries for 16-QAM for efficient CQI reporting.</w:t>
      </w:r>
    </w:p>
    <w:p w14:paraId="1EBE181F" w14:textId="77777777" w:rsidR="0098092C" w:rsidRDefault="0030498B">
      <w:pPr>
        <w:spacing w:line="240" w:lineRule="auto"/>
      </w:pPr>
      <w:r>
        <w:rPr>
          <w:rFonts w:hint="eastAsia"/>
        </w:rPr>
        <w:t>The concerns to support option 3 include: no</w:t>
      </w:r>
      <w:r>
        <w:t>t</w:t>
      </w:r>
      <w:r>
        <w:rPr>
          <w:rFonts w:hint="eastAsia"/>
        </w:rPr>
        <w:t xml:space="preserve"> backward compatible, </w:t>
      </w:r>
      <w:r>
        <w:t xml:space="preserve">out of scope of WID, and </w:t>
      </w:r>
      <w:r>
        <w:rPr>
          <w:rFonts w:hint="eastAsia"/>
        </w:rPr>
        <w:t>additional signaling</w:t>
      </w:r>
      <w:r>
        <w:t>.</w:t>
      </w:r>
    </w:p>
    <w:p w14:paraId="7DB03274" w14:textId="77777777" w:rsidR="0098092C" w:rsidRDefault="0030498B">
      <w:pPr>
        <w:spacing w:line="240" w:lineRule="auto"/>
      </w:pPr>
      <w:r>
        <w:rPr>
          <w:rFonts w:hint="eastAsia"/>
        </w:rPr>
        <w:t>Based on the number of supporting companies, the following is proposed to move forward:</w:t>
      </w:r>
    </w:p>
    <w:p w14:paraId="6B8C7A22" w14:textId="77777777" w:rsidR="0098092C" w:rsidRDefault="0030498B">
      <w:pPr>
        <w:rPr>
          <w:b/>
        </w:rPr>
      </w:pPr>
      <w:r>
        <w:rPr>
          <w:b/>
        </w:rPr>
        <w:t>Proposal 6: For CQI table for downlink 16-QAM, down-select between following options:</w:t>
      </w:r>
    </w:p>
    <w:p w14:paraId="07365D12" w14:textId="77777777" w:rsidR="0098092C" w:rsidRDefault="0030498B">
      <w:pPr>
        <w:pStyle w:val="ListParagraph"/>
        <w:numPr>
          <w:ilvl w:val="0"/>
          <w:numId w:val="17"/>
        </w:numPr>
        <w:overflowPunct w:val="0"/>
        <w:autoSpaceDE w:val="0"/>
        <w:autoSpaceDN w:val="0"/>
        <w:adjustRightInd w:val="0"/>
        <w:spacing w:after="180" w:line="240" w:lineRule="auto"/>
        <w:ind w:leftChars="364" w:left="1161"/>
        <w:contextualSpacing/>
        <w:jc w:val="left"/>
        <w:textAlignment w:val="baseline"/>
        <w:rPr>
          <w:rFonts w:ascii="Times New Roman" w:hAnsi="Times New Roman" w:cs="Times New Roman"/>
          <w:b/>
          <w:sz w:val="22"/>
          <w:szCs w:val="22"/>
        </w:rPr>
      </w:pPr>
      <w:r>
        <w:rPr>
          <w:rFonts w:ascii="Times New Roman" w:hAnsi="Times New Roman" w:cs="Times New Roman"/>
          <w:b/>
          <w:sz w:val="22"/>
          <w:szCs w:val="22"/>
        </w:rPr>
        <w:t>Option 1: More than three candidate values for 16-QAM are added in the legacy table.</w:t>
      </w:r>
    </w:p>
    <w:p w14:paraId="4B9D329C" w14:textId="77777777" w:rsidR="0098092C" w:rsidRDefault="0030498B">
      <w:pPr>
        <w:pStyle w:val="ListParagraph"/>
        <w:numPr>
          <w:ilvl w:val="1"/>
          <w:numId w:val="17"/>
        </w:numPr>
        <w:overflowPunct w:val="0"/>
        <w:autoSpaceDE w:val="0"/>
        <w:autoSpaceDN w:val="0"/>
        <w:adjustRightInd w:val="0"/>
        <w:spacing w:after="180" w:line="240" w:lineRule="auto"/>
        <w:ind w:leftChars="691" w:left="1880"/>
        <w:contextualSpacing/>
        <w:jc w:val="left"/>
        <w:textAlignment w:val="baseline"/>
        <w:rPr>
          <w:rFonts w:ascii="Times New Roman" w:hAnsi="Times New Roman" w:cs="Times New Roman"/>
          <w:b/>
          <w:sz w:val="22"/>
          <w:szCs w:val="22"/>
        </w:rPr>
      </w:pPr>
      <w:r>
        <w:rPr>
          <w:rFonts w:ascii="Times New Roman" w:hAnsi="Times New Roman" w:cs="Times New Roman"/>
          <w:b/>
          <w:sz w:val="22"/>
          <w:szCs w:val="22"/>
        </w:rPr>
        <w:t>FFS: Which of the legacy entries are removed</w:t>
      </w:r>
    </w:p>
    <w:p w14:paraId="68AB77EA" w14:textId="77777777" w:rsidR="0098092C" w:rsidRDefault="0030498B">
      <w:pPr>
        <w:pStyle w:val="ListParagraph"/>
        <w:numPr>
          <w:ilvl w:val="0"/>
          <w:numId w:val="17"/>
        </w:numPr>
        <w:overflowPunct w:val="0"/>
        <w:autoSpaceDE w:val="0"/>
        <w:autoSpaceDN w:val="0"/>
        <w:adjustRightInd w:val="0"/>
        <w:spacing w:after="180" w:line="240" w:lineRule="auto"/>
        <w:ind w:leftChars="364" w:left="1161"/>
        <w:contextualSpacing/>
        <w:jc w:val="left"/>
        <w:textAlignment w:val="baseline"/>
        <w:rPr>
          <w:rFonts w:ascii="Times New Roman" w:hAnsi="Times New Roman" w:cs="Times New Roman"/>
          <w:b/>
          <w:sz w:val="22"/>
          <w:szCs w:val="22"/>
        </w:rPr>
      </w:pPr>
      <w:r>
        <w:rPr>
          <w:rFonts w:ascii="Times New Roman" w:hAnsi="Times New Roman" w:cs="Times New Roman"/>
          <w:b/>
          <w:sz w:val="22"/>
          <w:szCs w:val="22"/>
        </w:rPr>
        <w:t>Option 3: A new CQI table is defined for 16-QAM based on the eMTC table (CQI Tables in 36.213) as a starting point</w:t>
      </w:r>
    </w:p>
    <w:p w14:paraId="152445C5" w14:textId="77777777" w:rsidR="0098092C" w:rsidRDefault="0030498B">
      <w:pPr>
        <w:spacing w:line="240" w:lineRule="auto"/>
      </w:pPr>
      <w:r>
        <w:rPr>
          <w:rFonts w:hint="eastAsia"/>
        </w:rPr>
        <w:t>Please input your comments regarding the above proposal:</w:t>
      </w:r>
    </w:p>
    <w:tbl>
      <w:tblPr>
        <w:tblStyle w:val="TableGrid"/>
        <w:tblW w:w="0" w:type="auto"/>
        <w:tblLook w:val="04A0" w:firstRow="1" w:lastRow="0" w:firstColumn="1" w:lastColumn="0" w:noHBand="0" w:noVBand="1"/>
      </w:tblPr>
      <w:tblGrid>
        <w:gridCol w:w="1838"/>
        <w:gridCol w:w="7469"/>
      </w:tblGrid>
      <w:tr w:rsidR="0098092C" w14:paraId="584BF737" w14:textId="77777777">
        <w:tc>
          <w:tcPr>
            <w:tcW w:w="1838" w:type="dxa"/>
          </w:tcPr>
          <w:p w14:paraId="2B95506A" w14:textId="77777777" w:rsidR="0098092C" w:rsidRDefault="0030498B">
            <w:pPr>
              <w:rPr>
                <w:szCs w:val="20"/>
              </w:rPr>
            </w:pPr>
            <w:r>
              <w:rPr>
                <w:rFonts w:hint="eastAsia"/>
                <w:szCs w:val="20"/>
              </w:rPr>
              <w:t>Comp</w:t>
            </w:r>
            <w:r>
              <w:rPr>
                <w:szCs w:val="20"/>
              </w:rPr>
              <w:t>anies</w:t>
            </w:r>
          </w:p>
        </w:tc>
        <w:tc>
          <w:tcPr>
            <w:tcW w:w="7469" w:type="dxa"/>
          </w:tcPr>
          <w:p w14:paraId="1A3AAEAE" w14:textId="77777777" w:rsidR="0098092C" w:rsidRDefault="0030498B">
            <w:pPr>
              <w:rPr>
                <w:szCs w:val="20"/>
              </w:rPr>
            </w:pPr>
            <w:r>
              <w:rPr>
                <w:rFonts w:hint="eastAsia"/>
                <w:szCs w:val="20"/>
              </w:rPr>
              <w:t>Comments</w:t>
            </w:r>
          </w:p>
        </w:tc>
      </w:tr>
      <w:tr w:rsidR="0098092C" w14:paraId="33BD0FC6" w14:textId="77777777">
        <w:tc>
          <w:tcPr>
            <w:tcW w:w="1838" w:type="dxa"/>
          </w:tcPr>
          <w:p w14:paraId="7557E70C" w14:textId="77777777" w:rsidR="0098092C" w:rsidRDefault="0030498B">
            <w:r>
              <w:t>Ericsson</w:t>
            </w:r>
          </w:p>
        </w:tc>
        <w:tc>
          <w:tcPr>
            <w:tcW w:w="7469" w:type="dxa"/>
          </w:tcPr>
          <w:p w14:paraId="4847B10B" w14:textId="77777777" w:rsidR="0098092C" w:rsidRDefault="0030498B">
            <w:r>
              <w:t>We have a concern in removing Option 2 since it is the only proposal that doesn’t have an impact on the legacy Table 9.1.22.15-1 due that it simply makes use of the available reserved states.</w:t>
            </w:r>
          </w:p>
          <w:p w14:paraId="015FCC3D" w14:textId="77777777" w:rsidR="0098092C" w:rsidRDefault="0030498B">
            <w:r>
              <w:lastRenderedPageBreak/>
              <w:t>If to move forward a down-selection is to intended to be made, then the down-selection should be made between Option 1 and Option 2 since they both use the NB-IoT framework (Still the issue with Option 1 is having to remove legacy QPSK entries, and the step-size).</w:t>
            </w:r>
          </w:p>
          <w:p w14:paraId="532B0073" w14:textId="77777777" w:rsidR="0098092C" w:rsidRDefault="0098092C"/>
        </w:tc>
      </w:tr>
      <w:tr w:rsidR="0098092C" w14:paraId="55A55508" w14:textId="77777777">
        <w:tc>
          <w:tcPr>
            <w:tcW w:w="1838" w:type="dxa"/>
          </w:tcPr>
          <w:p w14:paraId="7712F59E" w14:textId="77777777" w:rsidR="0098092C" w:rsidRDefault="0030498B">
            <w:pPr>
              <w:rPr>
                <w:rFonts w:asciiTheme="minorHAnsi" w:hAnsiTheme="minorHAnsi" w:cstheme="minorHAnsi"/>
                <w:szCs w:val="20"/>
                <w:lang w:eastAsia="zh-CN"/>
              </w:rPr>
            </w:pPr>
            <w:r>
              <w:rPr>
                <w:rFonts w:asciiTheme="minorHAnsi" w:hAnsiTheme="minorHAnsi" w:cstheme="minorHAnsi"/>
                <w:szCs w:val="20"/>
                <w:lang w:eastAsia="zh-CN"/>
              </w:rPr>
              <w:lastRenderedPageBreak/>
              <w:t>Lenovo, MotoM</w:t>
            </w:r>
          </w:p>
        </w:tc>
        <w:tc>
          <w:tcPr>
            <w:tcW w:w="7469" w:type="dxa"/>
          </w:tcPr>
          <w:p w14:paraId="2D65B4AC" w14:textId="77777777" w:rsidR="0098092C" w:rsidRDefault="0030498B">
            <w:pPr>
              <w:rPr>
                <w:rFonts w:asciiTheme="minorHAnsi" w:hAnsiTheme="minorHAnsi" w:cstheme="minorHAnsi"/>
                <w:lang w:eastAsia="zh-CN"/>
              </w:rPr>
            </w:pPr>
            <w:r>
              <w:rPr>
                <w:rFonts w:asciiTheme="minorHAnsi" w:hAnsiTheme="minorHAnsi" w:cstheme="minorHAnsi"/>
                <w:lang w:eastAsia="zh-CN"/>
              </w:rPr>
              <w:t>We are OK to the proposal.</w:t>
            </w:r>
          </w:p>
          <w:p w14:paraId="31D0F125" w14:textId="77777777" w:rsidR="0098092C" w:rsidRDefault="0030498B">
            <w:pPr>
              <w:rPr>
                <w:rFonts w:asciiTheme="minorHAnsi" w:hAnsiTheme="minorHAnsi" w:cstheme="minorHAnsi"/>
                <w:lang w:eastAsia="zh-CN"/>
              </w:rPr>
            </w:pPr>
            <w:r>
              <w:rPr>
                <w:rFonts w:asciiTheme="minorHAnsi" w:hAnsiTheme="minorHAnsi" w:cstheme="minorHAnsi"/>
                <w:lang w:eastAsia="zh-CN"/>
              </w:rPr>
              <w:t>For our first preference, we should follow the NB-IoT framework as option-1, the detail reporting entries (subset of the reporting entries) are determined by higher layer parameter or channel condition with limited 4 bits.</w:t>
            </w:r>
          </w:p>
          <w:p w14:paraId="37BFD6EF" w14:textId="77777777" w:rsidR="0098092C" w:rsidRDefault="0030498B">
            <w:pPr>
              <w:rPr>
                <w:rFonts w:asciiTheme="minorHAnsi" w:hAnsiTheme="minorHAnsi" w:cstheme="minorHAnsi"/>
                <w:lang w:eastAsia="zh-CN"/>
              </w:rPr>
            </w:pPr>
            <w:r>
              <w:rPr>
                <w:rFonts w:asciiTheme="minorHAnsi" w:hAnsiTheme="minorHAnsi" w:cstheme="minorHAnsi"/>
                <w:lang w:eastAsia="zh-CN"/>
              </w:rPr>
              <w:t>If majority companies believe option 3 is aligned with the WID, we are OK, this is our second preference.</w:t>
            </w:r>
          </w:p>
        </w:tc>
      </w:tr>
      <w:tr w:rsidR="0098092C" w14:paraId="183101CC" w14:textId="77777777">
        <w:tc>
          <w:tcPr>
            <w:tcW w:w="1838" w:type="dxa"/>
          </w:tcPr>
          <w:p w14:paraId="42BBF550" w14:textId="77777777" w:rsidR="0098092C" w:rsidRDefault="0030498B">
            <w:pPr>
              <w:rPr>
                <w:szCs w:val="20"/>
                <w:lang w:eastAsia="zh-CN"/>
              </w:rPr>
            </w:pPr>
            <w:r>
              <w:rPr>
                <w:szCs w:val="20"/>
                <w:lang w:eastAsia="zh-CN"/>
              </w:rPr>
              <w:t>MTK</w:t>
            </w:r>
          </w:p>
        </w:tc>
        <w:tc>
          <w:tcPr>
            <w:tcW w:w="7469" w:type="dxa"/>
          </w:tcPr>
          <w:p w14:paraId="3FBEDCFF" w14:textId="77777777" w:rsidR="0098092C" w:rsidRDefault="0030498B">
            <w:pPr>
              <w:rPr>
                <w:szCs w:val="20"/>
                <w:lang w:eastAsia="zh-CN"/>
              </w:rPr>
            </w:pPr>
            <w:r>
              <w:rPr>
                <w:szCs w:val="20"/>
                <w:lang w:eastAsia="zh-CN"/>
              </w:rPr>
              <w:t>Ok with the proposal6, and we prefer option3.</w:t>
            </w:r>
          </w:p>
        </w:tc>
      </w:tr>
      <w:tr w:rsidR="0098092C" w14:paraId="4F19B861" w14:textId="77777777">
        <w:tc>
          <w:tcPr>
            <w:tcW w:w="1838" w:type="dxa"/>
          </w:tcPr>
          <w:p w14:paraId="2B1EBCD0" w14:textId="77777777" w:rsidR="0098092C" w:rsidRDefault="0030498B">
            <w:pPr>
              <w:rPr>
                <w:szCs w:val="20"/>
                <w:lang w:eastAsia="zh-CN"/>
              </w:rPr>
            </w:pPr>
            <w:r>
              <w:rPr>
                <w:rFonts w:hint="eastAsia"/>
                <w:szCs w:val="20"/>
                <w:lang w:eastAsia="zh-CN"/>
              </w:rPr>
              <w:t>H</w:t>
            </w:r>
            <w:r>
              <w:rPr>
                <w:szCs w:val="20"/>
                <w:lang w:eastAsia="zh-CN"/>
              </w:rPr>
              <w:t>uawei, HiSilicon</w:t>
            </w:r>
          </w:p>
        </w:tc>
        <w:tc>
          <w:tcPr>
            <w:tcW w:w="7469" w:type="dxa"/>
          </w:tcPr>
          <w:p w14:paraId="553E38E6" w14:textId="77777777" w:rsidR="0098092C" w:rsidRDefault="0030498B">
            <w:pPr>
              <w:rPr>
                <w:szCs w:val="20"/>
                <w:lang w:eastAsia="zh-CN"/>
              </w:rPr>
            </w:pPr>
            <w:r>
              <w:rPr>
                <w:szCs w:val="20"/>
                <w:lang w:eastAsia="zh-CN"/>
              </w:rPr>
              <w:t>We observe a large SNR gap between the legacy entry and the 16-QAM, thus more entries are preferred, so we are fine with this proposal.</w:t>
            </w:r>
          </w:p>
        </w:tc>
      </w:tr>
      <w:tr w:rsidR="0098092C" w14:paraId="5BE21B20" w14:textId="77777777">
        <w:tc>
          <w:tcPr>
            <w:tcW w:w="1838" w:type="dxa"/>
          </w:tcPr>
          <w:p w14:paraId="28C33F80" w14:textId="77777777" w:rsidR="0098092C" w:rsidRDefault="0030498B">
            <w:pPr>
              <w:rPr>
                <w:szCs w:val="20"/>
                <w:lang w:eastAsia="zh-CN"/>
              </w:rPr>
            </w:pPr>
            <w:r>
              <w:rPr>
                <w:szCs w:val="20"/>
                <w:lang w:eastAsia="zh-CN"/>
              </w:rPr>
              <w:t>Nokia, NSB</w:t>
            </w:r>
          </w:p>
        </w:tc>
        <w:tc>
          <w:tcPr>
            <w:tcW w:w="7469" w:type="dxa"/>
          </w:tcPr>
          <w:p w14:paraId="6567D84E" w14:textId="77777777" w:rsidR="0098092C" w:rsidRDefault="0030498B">
            <w:pPr>
              <w:rPr>
                <w:szCs w:val="20"/>
                <w:lang w:eastAsia="zh-CN"/>
              </w:rPr>
            </w:pPr>
            <w:r>
              <w:rPr>
                <w:szCs w:val="20"/>
                <w:lang w:eastAsia="zh-CN"/>
              </w:rPr>
              <w:t>We are fine with the proposal.</w:t>
            </w:r>
          </w:p>
        </w:tc>
      </w:tr>
      <w:tr w:rsidR="0098092C" w14:paraId="0E824DBF" w14:textId="77777777">
        <w:tc>
          <w:tcPr>
            <w:tcW w:w="1838" w:type="dxa"/>
          </w:tcPr>
          <w:p w14:paraId="0C377EF5" w14:textId="77777777" w:rsidR="0098092C" w:rsidRDefault="0030498B">
            <w:pPr>
              <w:rPr>
                <w:szCs w:val="20"/>
                <w:lang w:eastAsia="zh-CN"/>
              </w:rPr>
            </w:pPr>
            <w:r>
              <w:rPr>
                <w:rFonts w:hint="eastAsia"/>
                <w:szCs w:val="20"/>
                <w:lang w:eastAsia="zh-CN"/>
              </w:rPr>
              <w:t>ZTE, Sanechips</w:t>
            </w:r>
          </w:p>
        </w:tc>
        <w:tc>
          <w:tcPr>
            <w:tcW w:w="7469" w:type="dxa"/>
          </w:tcPr>
          <w:p w14:paraId="480E38CC" w14:textId="77777777" w:rsidR="0098092C" w:rsidRDefault="0030498B">
            <w:pPr>
              <w:rPr>
                <w:szCs w:val="20"/>
                <w:lang w:eastAsia="zh-CN"/>
              </w:rPr>
            </w:pPr>
            <w:r>
              <w:rPr>
                <w:rFonts w:hint="eastAsia"/>
                <w:szCs w:val="20"/>
                <w:lang w:eastAsia="zh-CN"/>
              </w:rPr>
              <w:t>We are fine with the proposal. And option3 is preferred. From our understanding, hope the following analysis can facilitate the discussion.</w:t>
            </w:r>
          </w:p>
          <w:p w14:paraId="64A5C200" w14:textId="77777777" w:rsidR="0098092C" w:rsidRDefault="0030498B">
            <w:pPr>
              <w:rPr>
                <w:szCs w:val="20"/>
                <w:lang w:eastAsia="zh-CN"/>
              </w:rPr>
            </w:pPr>
            <w:r>
              <w:rPr>
                <w:rFonts w:hint="eastAsia"/>
                <w:szCs w:val="20"/>
                <w:lang w:eastAsia="zh-CN"/>
              </w:rPr>
              <w:t xml:space="preserve">About the legacy framework, we think </w:t>
            </w:r>
            <w:r>
              <w:rPr>
                <w:rFonts w:hint="eastAsia"/>
                <w:szCs w:val="20"/>
                <w:lang w:eastAsia="zh-CN"/>
              </w:rPr>
              <w:t>‘</w:t>
            </w:r>
            <w:r>
              <w:rPr>
                <w:rFonts w:hint="eastAsia"/>
                <w:szCs w:val="20"/>
                <w:lang w:eastAsia="zh-CN"/>
              </w:rPr>
              <w:t>the framework of Rel-14</w:t>
            </w:r>
            <w:r>
              <w:rPr>
                <w:rFonts w:hint="eastAsia"/>
                <w:szCs w:val="20"/>
                <w:lang w:eastAsia="zh-CN"/>
              </w:rPr>
              <w:t>—</w:t>
            </w:r>
            <w:r>
              <w:rPr>
                <w:rFonts w:hint="eastAsia"/>
                <w:szCs w:val="20"/>
                <w:lang w:eastAsia="zh-CN"/>
              </w:rPr>
              <w:t>16</w:t>
            </w:r>
            <w:r>
              <w:rPr>
                <w:rFonts w:hint="eastAsia"/>
                <w:szCs w:val="20"/>
                <w:lang w:eastAsia="zh-CN"/>
              </w:rPr>
              <w:t>’</w:t>
            </w:r>
            <w:r>
              <w:rPr>
                <w:rFonts w:hint="eastAsia"/>
                <w:szCs w:val="20"/>
                <w:lang w:eastAsia="zh-CN"/>
              </w:rPr>
              <w:t xml:space="preserve"> means the mechanism of CQI reporting triggered by high layer and report by MAC CE should be reused, instead of reusing the same table. If the new CQI table is out of the framework, can we say new signalling to trigger the report is also out of the framework?</w:t>
            </w:r>
          </w:p>
          <w:p w14:paraId="46105650" w14:textId="77777777" w:rsidR="0098092C" w:rsidRDefault="0030498B">
            <w:pPr>
              <w:rPr>
                <w:szCs w:val="20"/>
                <w:lang w:eastAsia="zh-CN"/>
              </w:rPr>
            </w:pPr>
            <w:r>
              <w:rPr>
                <w:rFonts w:hint="eastAsia"/>
                <w:szCs w:val="20"/>
                <w:lang w:eastAsia="zh-CN"/>
              </w:rPr>
              <w:t>Additionally, for the back-compatible issue, it also does not exist. For NPDCCH report, it is the same with legacy. For the NPDSCH report, new table is used. The channel quality for NPDSCH and NPDCCH can be reported separately based on different triggering signaling. Therefore, NPDSCH report would not impact on the NPDCCH report and they are independent from each other.</w:t>
            </w:r>
          </w:p>
          <w:p w14:paraId="7BCC0C82" w14:textId="77777777" w:rsidR="0098092C" w:rsidRDefault="0030498B">
            <w:pPr>
              <w:rPr>
                <w:szCs w:val="20"/>
                <w:lang w:eastAsia="zh-CN"/>
              </w:rPr>
            </w:pPr>
            <w:r>
              <w:rPr>
                <w:rFonts w:hint="eastAsia"/>
                <w:szCs w:val="20"/>
                <w:lang w:eastAsia="zh-CN"/>
              </w:rPr>
              <w:t>Last, we</w:t>
            </w:r>
            <w:r>
              <w:rPr>
                <w:szCs w:val="20"/>
                <w:lang w:eastAsia="zh-CN"/>
              </w:rPr>
              <w:t>’</w:t>
            </w:r>
            <w:r>
              <w:rPr>
                <w:rFonts w:hint="eastAsia"/>
                <w:szCs w:val="20"/>
                <w:lang w:eastAsia="zh-CN"/>
              </w:rPr>
              <w:t>d like to mention that we already have the agreement in 104bis-emeeting,</w:t>
            </w:r>
          </w:p>
          <w:tbl>
            <w:tblPr>
              <w:tblStyle w:val="TableGrid"/>
              <w:tblW w:w="0" w:type="auto"/>
              <w:tblLook w:val="04A0" w:firstRow="1" w:lastRow="0" w:firstColumn="1" w:lastColumn="0" w:noHBand="0" w:noVBand="1"/>
            </w:tblPr>
            <w:tblGrid>
              <w:gridCol w:w="7243"/>
            </w:tblGrid>
            <w:tr w:rsidR="0098092C" w14:paraId="4E85C525" w14:textId="77777777">
              <w:tc>
                <w:tcPr>
                  <w:tcW w:w="7253" w:type="dxa"/>
                </w:tcPr>
                <w:p w14:paraId="5E08C213" w14:textId="77777777" w:rsidR="0098092C" w:rsidRDefault="0030498B">
                  <w:pPr>
                    <w:spacing w:after="0"/>
                    <w:jc w:val="left"/>
                    <w:rPr>
                      <w:b/>
                      <w:highlight w:val="green"/>
                    </w:rPr>
                  </w:pPr>
                  <w:r>
                    <w:rPr>
                      <w:rFonts w:ascii="Times" w:eastAsia="Batang" w:hAnsi="Times"/>
                      <w:b/>
                      <w:sz w:val="20"/>
                      <w:szCs w:val="24"/>
                      <w:highlight w:val="green"/>
                      <w:lang w:eastAsia="zh-CN" w:bidi="ar"/>
                    </w:rPr>
                    <w:t>Agreement</w:t>
                  </w:r>
                </w:p>
                <w:p w14:paraId="110A2DA5" w14:textId="77777777" w:rsidR="0098092C" w:rsidRDefault="0030498B">
                  <w:pPr>
                    <w:spacing w:after="0"/>
                    <w:jc w:val="left"/>
                    <w:rPr>
                      <w:szCs w:val="20"/>
                      <w:lang w:eastAsia="zh-CN"/>
                    </w:rPr>
                  </w:pPr>
                  <w:r>
                    <w:rPr>
                      <w:rFonts w:ascii="Times" w:eastAsia="Batang" w:hAnsi="Times"/>
                      <w:sz w:val="20"/>
                      <w:szCs w:val="24"/>
                      <w:lang w:eastAsia="zh-CN" w:bidi="ar"/>
                    </w:rPr>
                    <w:t>If 16-QAM is configured for NPDSCH, the channel quality report for 16-QAM is based on NPDSCH transport block that achieves an error probability not exceeding 10% BLER.</w:t>
                  </w:r>
                </w:p>
              </w:tc>
            </w:tr>
          </w:tbl>
          <w:p w14:paraId="7CE8EABD" w14:textId="77777777" w:rsidR="0098092C" w:rsidRDefault="0030498B">
            <w:pPr>
              <w:rPr>
                <w:szCs w:val="20"/>
                <w:lang w:eastAsia="zh-CN"/>
              </w:rPr>
            </w:pPr>
            <w:r>
              <w:rPr>
                <w:rFonts w:hint="eastAsia"/>
                <w:szCs w:val="20"/>
                <w:lang w:eastAsia="zh-CN"/>
              </w:rPr>
              <w:t>It means when the 16-QAM feature is configured, the CQI report should be based on NPDSCH, instead of NPDCCH.</w:t>
            </w:r>
          </w:p>
        </w:tc>
      </w:tr>
      <w:tr w:rsidR="0098092C" w14:paraId="05DAC8A8" w14:textId="77777777">
        <w:tc>
          <w:tcPr>
            <w:tcW w:w="1838" w:type="dxa"/>
          </w:tcPr>
          <w:p w14:paraId="37ED603E" w14:textId="77777777" w:rsidR="0098092C" w:rsidRDefault="0030498B">
            <w:pPr>
              <w:rPr>
                <w:szCs w:val="20"/>
                <w:lang w:eastAsia="zh-CN"/>
              </w:rPr>
            </w:pPr>
            <w:r>
              <w:rPr>
                <w:szCs w:val="20"/>
                <w:lang w:eastAsia="zh-CN"/>
              </w:rPr>
              <w:t>Qualcomm</w:t>
            </w:r>
          </w:p>
        </w:tc>
        <w:tc>
          <w:tcPr>
            <w:tcW w:w="7469" w:type="dxa"/>
          </w:tcPr>
          <w:p w14:paraId="28920BC8" w14:textId="77777777" w:rsidR="0098092C" w:rsidRDefault="0030498B">
            <w:pPr>
              <w:rPr>
                <w:szCs w:val="20"/>
                <w:lang w:eastAsia="zh-CN"/>
              </w:rPr>
            </w:pPr>
            <w:r>
              <w:rPr>
                <w:szCs w:val="20"/>
                <w:lang w:eastAsia="zh-CN"/>
              </w:rPr>
              <w:t>Our preference is to keep Option 1 with a small number of new entries.</w:t>
            </w:r>
          </w:p>
        </w:tc>
      </w:tr>
      <w:tr w:rsidR="0098092C" w14:paraId="019E9329" w14:textId="77777777">
        <w:tc>
          <w:tcPr>
            <w:tcW w:w="1838" w:type="dxa"/>
          </w:tcPr>
          <w:p w14:paraId="35509612" w14:textId="77777777" w:rsidR="0098092C" w:rsidRDefault="0030498B">
            <w:pPr>
              <w:rPr>
                <w:szCs w:val="20"/>
                <w:lang w:eastAsia="zh-CN"/>
              </w:rPr>
            </w:pPr>
            <w:r>
              <w:rPr>
                <w:rFonts w:hint="eastAsia"/>
                <w:szCs w:val="20"/>
                <w:lang w:eastAsia="zh-CN"/>
              </w:rPr>
              <w:t>L</w:t>
            </w:r>
            <w:r>
              <w:rPr>
                <w:szCs w:val="20"/>
                <w:lang w:eastAsia="zh-CN"/>
              </w:rPr>
              <w:t>enovo, MotoM</w:t>
            </w:r>
          </w:p>
        </w:tc>
        <w:tc>
          <w:tcPr>
            <w:tcW w:w="7469" w:type="dxa"/>
          </w:tcPr>
          <w:p w14:paraId="6F99FD7D" w14:textId="77777777" w:rsidR="0098092C" w:rsidRDefault="0030498B">
            <w:pPr>
              <w:rPr>
                <w:szCs w:val="20"/>
                <w:lang w:eastAsia="zh-CN"/>
              </w:rPr>
            </w:pPr>
            <w:r>
              <w:rPr>
                <w:szCs w:val="20"/>
                <w:lang w:eastAsia="zh-CN"/>
              </w:rPr>
              <w:t>Consider only 1 meeting left, we hope we should elaborate the detail solution to select instead of the general design guideline.</w:t>
            </w:r>
          </w:p>
        </w:tc>
      </w:tr>
    </w:tbl>
    <w:p w14:paraId="3B802AFE" w14:textId="77777777" w:rsidR="0098092C" w:rsidRDefault="0098092C"/>
    <w:p w14:paraId="3EFE145D" w14:textId="77777777" w:rsidR="0098092C" w:rsidRDefault="0030498B">
      <w:pPr>
        <w:pStyle w:val="Heading3"/>
      </w:pPr>
      <w:r>
        <w:rPr>
          <w:lang w:eastAsia="zh-CN"/>
        </w:rPr>
        <w:t>Issue 6: Measurement reference resource</w:t>
      </w:r>
    </w:p>
    <w:p w14:paraId="345FFAAB" w14:textId="77777777" w:rsidR="0098092C" w:rsidRDefault="0030498B">
      <w:r>
        <w:rPr>
          <w:rFonts w:hint="eastAsia"/>
        </w:rPr>
        <w:t xml:space="preserve">The </w:t>
      </w:r>
      <w:r>
        <w:t>following are proposed:</w:t>
      </w:r>
    </w:p>
    <w:tbl>
      <w:tblPr>
        <w:tblStyle w:val="TableGrid"/>
        <w:tblW w:w="0" w:type="auto"/>
        <w:tblLook w:val="04A0" w:firstRow="1" w:lastRow="0" w:firstColumn="1" w:lastColumn="0" w:noHBand="0" w:noVBand="1"/>
      </w:tblPr>
      <w:tblGrid>
        <w:gridCol w:w="1555"/>
        <w:gridCol w:w="7752"/>
      </w:tblGrid>
      <w:tr w:rsidR="0098092C" w14:paraId="5F273C6C" w14:textId="77777777">
        <w:tc>
          <w:tcPr>
            <w:tcW w:w="1555" w:type="dxa"/>
          </w:tcPr>
          <w:p w14:paraId="61204584" w14:textId="77777777" w:rsidR="0098092C" w:rsidRDefault="0030498B">
            <w:pPr>
              <w:rPr>
                <w:szCs w:val="20"/>
              </w:rPr>
            </w:pPr>
            <w:r>
              <w:rPr>
                <w:rFonts w:hint="eastAsia"/>
                <w:szCs w:val="20"/>
              </w:rPr>
              <w:t>S</w:t>
            </w:r>
            <w:r>
              <w:rPr>
                <w:szCs w:val="20"/>
              </w:rPr>
              <w:t>ourcing</w:t>
            </w:r>
          </w:p>
        </w:tc>
        <w:tc>
          <w:tcPr>
            <w:tcW w:w="7752" w:type="dxa"/>
          </w:tcPr>
          <w:p w14:paraId="2E17B92A" w14:textId="77777777" w:rsidR="0098092C" w:rsidRDefault="0030498B">
            <w:pPr>
              <w:rPr>
                <w:szCs w:val="20"/>
              </w:rPr>
            </w:pPr>
            <w:r>
              <w:rPr>
                <w:rFonts w:hint="eastAsia"/>
                <w:szCs w:val="20"/>
              </w:rPr>
              <w:t>proposals</w:t>
            </w:r>
          </w:p>
        </w:tc>
      </w:tr>
      <w:tr w:rsidR="0098092C" w14:paraId="6109A516" w14:textId="77777777">
        <w:tc>
          <w:tcPr>
            <w:tcW w:w="1555" w:type="dxa"/>
          </w:tcPr>
          <w:p w14:paraId="7F45F5F7" w14:textId="77777777" w:rsidR="0098092C" w:rsidRDefault="0030498B">
            <w:pPr>
              <w:rPr>
                <w:szCs w:val="20"/>
              </w:rPr>
            </w:pPr>
            <w:r>
              <w:rPr>
                <w:rFonts w:hint="eastAsia"/>
                <w:szCs w:val="20"/>
              </w:rPr>
              <w:lastRenderedPageBreak/>
              <w:t>[</w:t>
            </w:r>
            <w:r>
              <w:rPr>
                <w:szCs w:val="20"/>
              </w:rPr>
              <w:t>4</w:t>
            </w:r>
            <w:r>
              <w:rPr>
                <w:rFonts w:hint="eastAsia"/>
                <w:szCs w:val="20"/>
              </w:rPr>
              <w:t>]</w:t>
            </w:r>
          </w:p>
        </w:tc>
        <w:tc>
          <w:tcPr>
            <w:tcW w:w="7752" w:type="dxa"/>
          </w:tcPr>
          <w:p w14:paraId="39F9F2CD" w14:textId="77777777" w:rsidR="0098092C" w:rsidRDefault="0030498B">
            <w:pPr>
              <w:rPr>
                <w:lang w:eastAsia="en-GB"/>
              </w:rPr>
            </w:pPr>
            <w:r>
              <w:rPr>
                <w:b/>
                <w:bCs/>
                <w:lang w:eastAsia="en-GB"/>
              </w:rPr>
              <w:t>Proposal 2: Define CSI reference resource to be used for 16-QAM CQI measurement.</w:t>
            </w:r>
          </w:p>
          <w:p w14:paraId="44E475DE" w14:textId="77777777" w:rsidR="0098092C" w:rsidRDefault="0030498B">
            <w:pPr>
              <w:rPr>
                <w:iCs/>
                <w:lang w:eastAsia="en-GB"/>
              </w:rPr>
            </w:pPr>
            <w:r>
              <w:rPr>
                <w:b/>
                <w:bCs/>
                <w:lang w:eastAsia="en-GB"/>
              </w:rPr>
              <w:t xml:space="preserve">Proposal 3: The CSI reference resource is given by a set of the last </w:t>
            </w:r>
            <w:r>
              <w:rPr>
                <w:b/>
                <w:bCs/>
                <w:i/>
              </w:rPr>
              <w:t>R</w:t>
            </w:r>
            <w:r>
              <w:rPr>
                <w:b/>
                <w:bCs/>
                <w:iCs/>
                <w:vertAlign w:val="superscript"/>
              </w:rPr>
              <w:t>CSI</w:t>
            </w:r>
            <w:r>
              <w:rPr>
                <w:b/>
                <w:bCs/>
                <w:lang w:eastAsia="en-GB"/>
              </w:rPr>
              <w:t xml:space="preserve"> subframes </w:t>
            </w:r>
            <w:r>
              <w:rPr>
                <w:b/>
                <w:bCs/>
              </w:rPr>
              <w:t xml:space="preserve">used for NPDCCH monitoring </w:t>
            </w:r>
            <w:r>
              <w:rPr>
                <w:b/>
                <w:bCs/>
                <w:lang w:eastAsia="zh-CN"/>
              </w:rPr>
              <w:t xml:space="preserve">by the BL/CE UE </w:t>
            </w:r>
            <w:r>
              <w:rPr>
                <w:b/>
                <w:bCs/>
              </w:rPr>
              <w:t>in the corresponding narrowband</w:t>
            </w:r>
            <w:r>
              <w:rPr>
                <w:b/>
                <w:bCs/>
                <w:lang w:eastAsia="zh-CN"/>
              </w:rPr>
              <w:t xml:space="preserve"> before </w:t>
            </w:r>
            <w:r>
              <w:rPr>
                <w:b/>
                <w:bCs/>
                <w:i/>
              </w:rPr>
              <w:t>n</w:t>
            </w:r>
            <w:r>
              <w:rPr>
                <w:b/>
                <w:bCs/>
              </w:rPr>
              <w:t>-</w:t>
            </w:r>
            <w:r>
              <w:rPr>
                <w:b/>
                <w:bCs/>
                <w:i/>
              </w:rPr>
              <w:t>n</w:t>
            </w:r>
            <w:r>
              <w:rPr>
                <w:b/>
                <w:bCs/>
                <w:i/>
                <w:vertAlign w:val="subscript"/>
              </w:rPr>
              <w:t>CQI_ref</w:t>
            </w:r>
            <w:r>
              <w:rPr>
                <w:b/>
                <w:bCs/>
                <w:iCs/>
                <w:vertAlign w:val="subscript"/>
              </w:rPr>
              <w:t>.</w:t>
            </w:r>
          </w:p>
          <w:p w14:paraId="0B8AA5DC" w14:textId="77777777" w:rsidR="0098092C" w:rsidRDefault="0098092C">
            <w:pPr>
              <w:rPr>
                <w:szCs w:val="20"/>
              </w:rPr>
            </w:pPr>
          </w:p>
        </w:tc>
      </w:tr>
      <w:tr w:rsidR="0098092C" w14:paraId="07BB9EC7" w14:textId="77777777">
        <w:tc>
          <w:tcPr>
            <w:tcW w:w="1555" w:type="dxa"/>
          </w:tcPr>
          <w:p w14:paraId="4A0F37B9" w14:textId="77777777" w:rsidR="0098092C" w:rsidRDefault="0030498B">
            <w:pPr>
              <w:rPr>
                <w:szCs w:val="20"/>
              </w:rPr>
            </w:pPr>
            <w:r>
              <w:rPr>
                <w:rFonts w:hint="eastAsia"/>
                <w:szCs w:val="20"/>
              </w:rPr>
              <w:t>[6]</w:t>
            </w:r>
          </w:p>
        </w:tc>
        <w:tc>
          <w:tcPr>
            <w:tcW w:w="7752" w:type="dxa"/>
          </w:tcPr>
          <w:p w14:paraId="44D9A247" w14:textId="77777777" w:rsidR="0098092C" w:rsidRDefault="0030498B">
            <w:pPr>
              <w:spacing w:before="120"/>
              <w:rPr>
                <w:b/>
                <w:i/>
                <w:lang w:eastAsia="zh-CN"/>
              </w:rPr>
            </w:pPr>
            <w:r>
              <w:rPr>
                <w:rFonts w:hint="eastAsia"/>
                <w:b/>
                <w:i/>
                <w:lang w:eastAsia="zh-CN"/>
              </w:rPr>
              <w:t>Proposal</w:t>
            </w:r>
            <w:r>
              <w:rPr>
                <w:b/>
                <w:i/>
                <w:lang w:eastAsia="zh-CN"/>
              </w:rPr>
              <w:t xml:space="preserve"> </w:t>
            </w:r>
            <w:r>
              <w:rPr>
                <w:rFonts w:hint="eastAsia"/>
                <w:b/>
                <w:i/>
                <w:lang w:eastAsia="zh-CN"/>
              </w:rPr>
              <w:t xml:space="preserve">5: </w:t>
            </w:r>
            <w:r>
              <w:rPr>
                <w:b/>
                <w:i/>
                <w:lang w:eastAsia="zh-CN"/>
              </w:rPr>
              <w:t xml:space="preserve">There is no need to specify </w:t>
            </w:r>
            <w:r>
              <w:rPr>
                <w:rFonts w:hint="eastAsia"/>
                <w:b/>
                <w:i/>
                <w:lang w:eastAsia="zh-CN"/>
              </w:rPr>
              <w:t>m</w:t>
            </w:r>
            <w:r>
              <w:rPr>
                <w:b/>
                <w:i/>
                <w:lang w:eastAsia="zh-CN"/>
              </w:rPr>
              <w:t>easurement reference resource for CQI report for NB-IoT 16QAM.</w:t>
            </w:r>
          </w:p>
          <w:p w14:paraId="6C33511C" w14:textId="77777777" w:rsidR="0098092C" w:rsidRDefault="0098092C">
            <w:pPr>
              <w:rPr>
                <w:szCs w:val="20"/>
              </w:rPr>
            </w:pPr>
          </w:p>
        </w:tc>
      </w:tr>
      <w:tr w:rsidR="0098092C" w14:paraId="1B43DA4B" w14:textId="77777777">
        <w:tc>
          <w:tcPr>
            <w:tcW w:w="1555" w:type="dxa"/>
          </w:tcPr>
          <w:p w14:paraId="43C6F8A8" w14:textId="77777777" w:rsidR="0098092C" w:rsidRDefault="0030498B">
            <w:pPr>
              <w:rPr>
                <w:szCs w:val="20"/>
              </w:rPr>
            </w:pPr>
            <w:r>
              <w:rPr>
                <w:rFonts w:hint="eastAsia"/>
                <w:szCs w:val="20"/>
              </w:rPr>
              <w:t>[8]</w:t>
            </w:r>
          </w:p>
        </w:tc>
        <w:tc>
          <w:tcPr>
            <w:tcW w:w="7752" w:type="dxa"/>
          </w:tcPr>
          <w:p w14:paraId="433E1FFF" w14:textId="77777777" w:rsidR="0098092C" w:rsidRDefault="0030498B">
            <w:pPr>
              <w:pStyle w:val="Observation"/>
              <w:numPr>
                <w:ilvl w:val="0"/>
                <w:numId w:val="0"/>
              </w:numPr>
              <w:spacing w:line="240" w:lineRule="auto"/>
              <w:ind w:left="360" w:hanging="360"/>
            </w:pPr>
            <w:bookmarkStart w:id="56" w:name="_Toc83293644"/>
            <w:r>
              <w:rPr>
                <w:lang w:val="en-US"/>
              </w:rPr>
              <w:t xml:space="preserve">Observation 1 </w:t>
            </w:r>
            <w:r>
              <w:t>It is needed to define the reference resource to estimate the CQI.</w:t>
            </w:r>
            <w:bookmarkEnd w:id="56"/>
            <w:r>
              <w:t xml:space="preserve"> </w:t>
            </w:r>
          </w:p>
          <w:p w14:paraId="415E40BE" w14:textId="77777777" w:rsidR="0098092C" w:rsidRDefault="0030498B">
            <w:pPr>
              <w:pStyle w:val="Observation"/>
              <w:numPr>
                <w:ilvl w:val="0"/>
                <w:numId w:val="0"/>
              </w:numPr>
              <w:spacing w:line="240" w:lineRule="auto"/>
              <w:ind w:left="360" w:hanging="360"/>
            </w:pPr>
            <w:bookmarkStart w:id="57" w:name="_Toc83293645"/>
            <w:bookmarkStart w:id="58" w:name="_Toc82635138"/>
            <w:r>
              <w:t>Observation 2 The reason why RAN1 did not specify the measurement resource in previous releases is because RAN4 specified it in TS 36.133 (e.g., see TS 36.133 clause 6.6.2.6). Since RAN4 has no plan to discuss the core part on 16 QAM CQI report, RAN1 needs to define the reference resource in TS 36.213.</w:t>
            </w:r>
            <w:bookmarkEnd w:id="57"/>
            <w:bookmarkEnd w:id="58"/>
          </w:p>
          <w:p w14:paraId="57E6A153" w14:textId="77777777" w:rsidR="0098092C" w:rsidRDefault="0030498B">
            <w:pPr>
              <w:pStyle w:val="Proposal"/>
              <w:numPr>
                <w:ilvl w:val="0"/>
                <w:numId w:val="0"/>
              </w:numPr>
              <w:spacing w:line="240" w:lineRule="auto"/>
              <w:ind w:left="1701" w:hanging="1701"/>
            </w:pPr>
            <w:bookmarkStart w:id="59" w:name="_Toc83293668"/>
            <w:r>
              <w:t>Proposal 2 In Rel-17 for 16-QAM in DL, NRS symbols are used as reference resource for CQI measurement.</w:t>
            </w:r>
            <w:bookmarkEnd w:id="59"/>
          </w:p>
          <w:p w14:paraId="45C7C0FF" w14:textId="77777777" w:rsidR="0098092C" w:rsidRDefault="0098092C">
            <w:pPr>
              <w:rPr>
                <w:szCs w:val="20"/>
                <w:lang w:val="en-GB"/>
              </w:rPr>
            </w:pPr>
          </w:p>
        </w:tc>
      </w:tr>
    </w:tbl>
    <w:p w14:paraId="151A390E" w14:textId="77777777" w:rsidR="0098092C" w:rsidRDefault="0098092C"/>
    <w:p w14:paraId="2A0B7E57" w14:textId="77777777" w:rsidR="0098092C" w:rsidRDefault="0030498B">
      <w:r>
        <w:t>B</w:t>
      </w:r>
      <w:r>
        <w:rPr>
          <w:rFonts w:hint="eastAsia"/>
        </w:rPr>
        <w:t xml:space="preserve">ased </w:t>
      </w:r>
      <w:r>
        <w:t>on the inputs, companies still have different views on the introduction of measurement reference resources, therefore, the following is proposed to collect more views and discussions:</w:t>
      </w:r>
    </w:p>
    <w:p w14:paraId="15FAA88C" w14:textId="77777777" w:rsidR="0098092C" w:rsidRDefault="0030498B">
      <w:r>
        <w:rPr>
          <w:b/>
        </w:rPr>
        <w:t>Proposal 7: Further study on the specification of measurement reference resource.</w:t>
      </w:r>
    </w:p>
    <w:p w14:paraId="4C20CDA3" w14:textId="77777777" w:rsidR="0098092C" w:rsidRDefault="0098092C"/>
    <w:p w14:paraId="217DCAB2" w14:textId="77777777" w:rsidR="0098092C" w:rsidRDefault="0030498B">
      <w:r>
        <w:rPr>
          <w:rFonts w:hint="eastAsia"/>
        </w:rPr>
        <w:t>P</w:t>
      </w:r>
      <w:r>
        <w:t>lease input your comments regarding whether to specify the measurement reference resource.</w:t>
      </w:r>
    </w:p>
    <w:tbl>
      <w:tblPr>
        <w:tblStyle w:val="TableGrid"/>
        <w:tblW w:w="0" w:type="auto"/>
        <w:tblLook w:val="04A0" w:firstRow="1" w:lastRow="0" w:firstColumn="1" w:lastColumn="0" w:noHBand="0" w:noVBand="1"/>
      </w:tblPr>
      <w:tblGrid>
        <w:gridCol w:w="1838"/>
        <w:gridCol w:w="7469"/>
      </w:tblGrid>
      <w:tr w:rsidR="0098092C" w14:paraId="038B68BF" w14:textId="77777777">
        <w:tc>
          <w:tcPr>
            <w:tcW w:w="1838" w:type="dxa"/>
          </w:tcPr>
          <w:p w14:paraId="71D5D864" w14:textId="77777777" w:rsidR="0098092C" w:rsidRDefault="0030498B">
            <w:pPr>
              <w:rPr>
                <w:szCs w:val="20"/>
              </w:rPr>
            </w:pPr>
            <w:r>
              <w:rPr>
                <w:rFonts w:hint="eastAsia"/>
                <w:szCs w:val="20"/>
              </w:rPr>
              <w:t>Comp</w:t>
            </w:r>
            <w:r>
              <w:rPr>
                <w:szCs w:val="20"/>
              </w:rPr>
              <w:t>anies</w:t>
            </w:r>
          </w:p>
        </w:tc>
        <w:tc>
          <w:tcPr>
            <w:tcW w:w="7469" w:type="dxa"/>
          </w:tcPr>
          <w:p w14:paraId="33DB6A57" w14:textId="77777777" w:rsidR="0098092C" w:rsidRDefault="0030498B">
            <w:pPr>
              <w:rPr>
                <w:szCs w:val="20"/>
              </w:rPr>
            </w:pPr>
            <w:r>
              <w:rPr>
                <w:rFonts w:hint="eastAsia"/>
                <w:szCs w:val="20"/>
              </w:rPr>
              <w:t>Comments</w:t>
            </w:r>
          </w:p>
        </w:tc>
      </w:tr>
      <w:tr w:rsidR="0098092C" w14:paraId="553B0FBF" w14:textId="77777777">
        <w:tc>
          <w:tcPr>
            <w:tcW w:w="1838" w:type="dxa"/>
          </w:tcPr>
          <w:p w14:paraId="163E1266" w14:textId="77777777" w:rsidR="0098092C" w:rsidRDefault="0030498B">
            <w:r>
              <w:t>Ericsson</w:t>
            </w:r>
          </w:p>
        </w:tc>
        <w:tc>
          <w:tcPr>
            <w:tcW w:w="7469" w:type="dxa"/>
          </w:tcPr>
          <w:p w14:paraId="66549092" w14:textId="77777777" w:rsidR="0098092C" w:rsidRDefault="0030498B">
            <w:r>
              <w:t>The reference resource is as fundamental as the CQI mapping table.</w:t>
            </w:r>
          </w:p>
        </w:tc>
      </w:tr>
      <w:tr w:rsidR="0098092C" w14:paraId="7AA7972C" w14:textId="77777777">
        <w:tc>
          <w:tcPr>
            <w:tcW w:w="1838" w:type="dxa"/>
          </w:tcPr>
          <w:p w14:paraId="55D80301" w14:textId="77777777" w:rsidR="0098092C" w:rsidRDefault="0030498B">
            <w:pPr>
              <w:rPr>
                <w:rFonts w:asciiTheme="minorHAnsi" w:hAnsiTheme="minorHAnsi" w:cstheme="minorHAnsi"/>
                <w:szCs w:val="20"/>
                <w:lang w:eastAsia="zh-CN"/>
              </w:rPr>
            </w:pPr>
            <w:r>
              <w:rPr>
                <w:rFonts w:asciiTheme="minorHAnsi" w:hAnsiTheme="minorHAnsi" w:cstheme="minorHAnsi" w:hint="eastAsia"/>
                <w:szCs w:val="20"/>
                <w:lang w:eastAsia="zh-CN"/>
              </w:rPr>
              <w:t>L</w:t>
            </w:r>
            <w:r>
              <w:rPr>
                <w:rFonts w:asciiTheme="minorHAnsi" w:hAnsiTheme="minorHAnsi" w:cstheme="minorHAnsi"/>
                <w:szCs w:val="20"/>
                <w:lang w:eastAsia="zh-CN"/>
              </w:rPr>
              <w:t>enovo, MotoM</w:t>
            </w:r>
          </w:p>
        </w:tc>
        <w:tc>
          <w:tcPr>
            <w:tcW w:w="7469" w:type="dxa"/>
          </w:tcPr>
          <w:p w14:paraId="5AF8176D" w14:textId="77777777" w:rsidR="0098092C" w:rsidRDefault="0030498B">
            <w:pPr>
              <w:rPr>
                <w:rFonts w:asciiTheme="minorHAnsi" w:hAnsiTheme="minorHAnsi" w:cstheme="minorHAnsi"/>
                <w:szCs w:val="20"/>
                <w:lang w:eastAsia="zh-CN"/>
              </w:rPr>
            </w:pPr>
            <w:r>
              <w:rPr>
                <w:rFonts w:asciiTheme="minorHAnsi" w:hAnsiTheme="minorHAnsi" w:cstheme="minorHAnsi"/>
                <w:szCs w:val="20"/>
                <w:lang w:eastAsia="zh-CN"/>
              </w:rPr>
              <w:t>We hope we can follow legacy behavior although the reference resource is important, we don’t know what has changed compared with legacy release.</w:t>
            </w:r>
          </w:p>
        </w:tc>
      </w:tr>
      <w:tr w:rsidR="0098092C" w14:paraId="2A97B242" w14:textId="77777777">
        <w:tc>
          <w:tcPr>
            <w:tcW w:w="1838" w:type="dxa"/>
          </w:tcPr>
          <w:p w14:paraId="0A5F6661" w14:textId="77777777" w:rsidR="0098092C" w:rsidRDefault="0030498B">
            <w:pPr>
              <w:rPr>
                <w:szCs w:val="20"/>
                <w:lang w:eastAsia="zh-CN"/>
              </w:rPr>
            </w:pPr>
            <w:r>
              <w:rPr>
                <w:szCs w:val="20"/>
                <w:lang w:eastAsia="zh-CN"/>
              </w:rPr>
              <w:t>MTK</w:t>
            </w:r>
          </w:p>
        </w:tc>
        <w:tc>
          <w:tcPr>
            <w:tcW w:w="7469" w:type="dxa"/>
          </w:tcPr>
          <w:p w14:paraId="08E7403A" w14:textId="77777777" w:rsidR="0098092C" w:rsidRDefault="0030498B">
            <w:pPr>
              <w:rPr>
                <w:szCs w:val="20"/>
                <w:lang w:eastAsia="zh-CN"/>
              </w:rPr>
            </w:pPr>
            <w:r>
              <w:rPr>
                <w:szCs w:val="20"/>
                <w:lang w:eastAsia="zh-CN"/>
              </w:rPr>
              <w:t>We are ok to the proposal.</w:t>
            </w:r>
          </w:p>
        </w:tc>
      </w:tr>
      <w:tr w:rsidR="0098092C" w14:paraId="2EA22771" w14:textId="77777777">
        <w:tc>
          <w:tcPr>
            <w:tcW w:w="1838" w:type="dxa"/>
          </w:tcPr>
          <w:p w14:paraId="189E68DE" w14:textId="77777777" w:rsidR="0098092C" w:rsidRDefault="0030498B">
            <w:pPr>
              <w:rPr>
                <w:rFonts w:asciiTheme="minorHAnsi" w:hAnsiTheme="minorHAnsi" w:cstheme="minorHAnsi"/>
                <w:szCs w:val="20"/>
                <w:lang w:eastAsia="zh-CN"/>
              </w:rPr>
            </w:pPr>
            <w:r>
              <w:rPr>
                <w:rFonts w:hint="eastAsia"/>
                <w:szCs w:val="20"/>
                <w:lang w:eastAsia="zh-CN"/>
              </w:rPr>
              <w:t>H</w:t>
            </w:r>
            <w:r>
              <w:rPr>
                <w:szCs w:val="20"/>
                <w:lang w:eastAsia="zh-CN"/>
              </w:rPr>
              <w:t>uawei, HiSilicon</w:t>
            </w:r>
          </w:p>
        </w:tc>
        <w:tc>
          <w:tcPr>
            <w:tcW w:w="7469" w:type="dxa"/>
          </w:tcPr>
          <w:p w14:paraId="1029CCCA" w14:textId="77777777" w:rsidR="0098092C" w:rsidRDefault="0030498B">
            <w:pPr>
              <w:rPr>
                <w:rFonts w:asciiTheme="minorHAnsi" w:hAnsiTheme="minorHAnsi" w:cstheme="minorHAnsi"/>
                <w:szCs w:val="20"/>
                <w:lang w:eastAsia="zh-CN"/>
              </w:rPr>
            </w:pPr>
            <w:r>
              <w:rPr>
                <w:szCs w:val="20"/>
                <w:lang w:eastAsia="zh-CN"/>
              </w:rPr>
              <w:t>We have not defined the reference resource for the channel quality report in legacy, it depends on UE implementation. So we can follow the legacy even for channel quality reporting here.</w:t>
            </w:r>
          </w:p>
        </w:tc>
      </w:tr>
      <w:tr w:rsidR="0098092C" w14:paraId="12E53630" w14:textId="77777777">
        <w:tc>
          <w:tcPr>
            <w:tcW w:w="1838" w:type="dxa"/>
          </w:tcPr>
          <w:p w14:paraId="1DCFED86" w14:textId="77777777" w:rsidR="0098092C" w:rsidRDefault="0030498B">
            <w:pPr>
              <w:rPr>
                <w:szCs w:val="20"/>
                <w:lang w:eastAsia="zh-CN"/>
              </w:rPr>
            </w:pPr>
            <w:r>
              <w:rPr>
                <w:szCs w:val="20"/>
                <w:lang w:eastAsia="zh-CN"/>
              </w:rPr>
              <w:t>Nokia, NSB</w:t>
            </w:r>
          </w:p>
        </w:tc>
        <w:tc>
          <w:tcPr>
            <w:tcW w:w="7469" w:type="dxa"/>
          </w:tcPr>
          <w:p w14:paraId="4CD7EE7E" w14:textId="77777777" w:rsidR="0098092C" w:rsidRDefault="0030498B">
            <w:pPr>
              <w:rPr>
                <w:szCs w:val="20"/>
                <w:lang w:eastAsia="zh-CN"/>
              </w:rPr>
            </w:pPr>
            <w:r>
              <w:rPr>
                <w:szCs w:val="20"/>
                <w:lang w:eastAsia="zh-CN"/>
              </w:rPr>
              <w:t>We are OK with the proposal. Our preference is to define the measurement reference resource as that is typically part of the definition of CQI.</w:t>
            </w:r>
          </w:p>
        </w:tc>
      </w:tr>
      <w:tr w:rsidR="0098092C" w14:paraId="4CFFF82F" w14:textId="77777777">
        <w:tc>
          <w:tcPr>
            <w:tcW w:w="1838" w:type="dxa"/>
          </w:tcPr>
          <w:p w14:paraId="7E5C7DD1" w14:textId="77777777" w:rsidR="0098092C" w:rsidRDefault="0030498B">
            <w:pPr>
              <w:rPr>
                <w:szCs w:val="20"/>
                <w:lang w:eastAsia="zh-CN"/>
              </w:rPr>
            </w:pPr>
            <w:r>
              <w:rPr>
                <w:rFonts w:hint="eastAsia"/>
                <w:szCs w:val="20"/>
                <w:lang w:eastAsia="zh-CN"/>
              </w:rPr>
              <w:t>ZTE, Sanechips</w:t>
            </w:r>
          </w:p>
        </w:tc>
        <w:tc>
          <w:tcPr>
            <w:tcW w:w="7469" w:type="dxa"/>
          </w:tcPr>
          <w:p w14:paraId="3D53A579" w14:textId="77777777" w:rsidR="0098092C" w:rsidRDefault="0030498B">
            <w:pPr>
              <w:rPr>
                <w:szCs w:val="20"/>
                <w:lang w:eastAsia="zh-CN"/>
              </w:rPr>
            </w:pPr>
            <w:r>
              <w:rPr>
                <w:rFonts w:hint="eastAsia"/>
                <w:szCs w:val="20"/>
                <w:lang w:eastAsia="zh-CN"/>
              </w:rPr>
              <w:t xml:space="preserve">In the frequency domain, the UE can only measure CQI based on one PRB where UE monitors NPDCCH and the associated NPDSCH. In the time domain, whether to use a single subframe or multiple subframes to measure CQI can be based on UE implementation. We do not see the need to define measurement reference resource. </w:t>
            </w:r>
          </w:p>
        </w:tc>
      </w:tr>
      <w:tr w:rsidR="0098092C" w14:paraId="048A9556" w14:textId="77777777">
        <w:tc>
          <w:tcPr>
            <w:tcW w:w="1838" w:type="dxa"/>
          </w:tcPr>
          <w:p w14:paraId="12E10C20" w14:textId="77777777" w:rsidR="0098092C" w:rsidRDefault="0030498B">
            <w:pPr>
              <w:rPr>
                <w:szCs w:val="20"/>
                <w:lang w:eastAsia="zh-CN"/>
              </w:rPr>
            </w:pPr>
            <w:r>
              <w:rPr>
                <w:szCs w:val="20"/>
                <w:lang w:eastAsia="zh-CN"/>
              </w:rPr>
              <w:t>Qualcomm</w:t>
            </w:r>
          </w:p>
        </w:tc>
        <w:tc>
          <w:tcPr>
            <w:tcW w:w="7469" w:type="dxa"/>
          </w:tcPr>
          <w:p w14:paraId="5E9AF46D" w14:textId="77777777" w:rsidR="0098092C" w:rsidRDefault="0030498B">
            <w:pPr>
              <w:rPr>
                <w:szCs w:val="20"/>
                <w:lang w:eastAsia="zh-CN"/>
              </w:rPr>
            </w:pPr>
            <w:r>
              <w:rPr>
                <w:szCs w:val="20"/>
                <w:lang w:eastAsia="zh-CN"/>
              </w:rPr>
              <w:t>This was discussed also in the past when CQI was first introduced, and the conclusion was no reference resource was to be defined. It is unclear what changed.</w:t>
            </w:r>
          </w:p>
          <w:p w14:paraId="799FDA67" w14:textId="77777777" w:rsidR="0098092C" w:rsidRDefault="0030498B">
            <w:pPr>
              <w:rPr>
                <w:szCs w:val="20"/>
                <w:lang w:eastAsia="zh-CN"/>
              </w:rPr>
            </w:pPr>
            <w:r>
              <w:rPr>
                <w:szCs w:val="20"/>
                <w:lang w:eastAsia="zh-CN"/>
              </w:rPr>
              <w:lastRenderedPageBreak/>
              <w:t>Just to be clear, the “reference resource” is not the same as the set of subframes over which you perform the measurement (you can measure over a larger number of subframes to filter out noise).</w:t>
            </w:r>
          </w:p>
        </w:tc>
      </w:tr>
      <w:tr w:rsidR="0098092C" w14:paraId="3696A458" w14:textId="77777777">
        <w:tc>
          <w:tcPr>
            <w:tcW w:w="1838" w:type="dxa"/>
          </w:tcPr>
          <w:p w14:paraId="538FB7B8" w14:textId="77777777" w:rsidR="0098092C" w:rsidRDefault="0030498B">
            <w:pPr>
              <w:rPr>
                <w:szCs w:val="20"/>
                <w:lang w:eastAsia="zh-CN"/>
              </w:rPr>
            </w:pPr>
            <w:r>
              <w:rPr>
                <w:rFonts w:hint="eastAsia"/>
                <w:szCs w:val="20"/>
                <w:lang w:eastAsia="zh-CN"/>
              </w:rPr>
              <w:lastRenderedPageBreak/>
              <w:t>Moderator (Huawei)</w:t>
            </w:r>
          </w:p>
        </w:tc>
        <w:tc>
          <w:tcPr>
            <w:tcW w:w="7469" w:type="dxa"/>
          </w:tcPr>
          <w:p w14:paraId="4B87DF84" w14:textId="77777777" w:rsidR="0098092C" w:rsidRDefault="0030498B">
            <w:pPr>
              <w:rPr>
                <w:szCs w:val="20"/>
                <w:lang w:eastAsia="zh-CN"/>
              </w:rPr>
            </w:pPr>
            <w:r>
              <w:rPr>
                <w:rFonts w:hint="eastAsia"/>
                <w:szCs w:val="20"/>
                <w:lang w:eastAsia="zh-CN"/>
              </w:rPr>
              <w:t xml:space="preserve">It seems companies still have very diverse views, </w:t>
            </w:r>
            <w:r>
              <w:rPr>
                <w:szCs w:val="20"/>
                <w:lang w:eastAsia="zh-CN"/>
              </w:rPr>
              <w:t>and the situation doesn’t change compared with the last meeting. As there’s no comment raising any critical issue without the definition, I would like to close the corresponding discussion.</w:t>
            </w:r>
          </w:p>
        </w:tc>
      </w:tr>
    </w:tbl>
    <w:p w14:paraId="4C2B9232" w14:textId="77777777" w:rsidR="0098092C" w:rsidRDefault="0098092C"/>
    <w:p w14:paraId="3E9453EB" w14:textId="77777777" w:rsidR="0098092C" w:rsidRDefault="0030498B">
      <w:pPr>
        <w:pStyle w:val="Heading2"/>
        <w:rPr>
          <w:lang w:eastAsia="zh-CN"/>
        </w:rPr>
      </w:pPr>
      <w:r>
        <w:rPr>
          <w:lang w:eastAsia="zh-CN"/>
        </w:rPr>
        <w:t>Others</w:t>
      </w:r>
    </w:p>
    <w:p w14:paraId="5B642A59" w14:textId="77777777" w:rsidR="0098092C" w:rsidRDefault="0030498B">
      <w:pPr>
        <w:outlineLvl w:val="2"/>
        <w:rPr>
          <w:b/>
          <w:u w:val="single"/>
        </w:rPr>
      </w:pPr>
      <w:r>
        <w:rPr>
          <w:b/>
          <w:u w:val="single"/>
          <w:lang w:eastAsia="zh-CN"/>
        </w:rPr>
        <w:t xml:space="preserve">Issue 6: </w:t>
      </w:r>
      <w:r>
        <w:rPr>
          <w:rFonts w:hint="eastAsia"/>
          <w:b/>
          <w:u w:val="single"/>
        </w:rPr>
        <w:t>Others</w:t>
      </w:r>
    </w:p>
    <w:p w14:paraId="2CB97937" w14:textId="77777777" w:rsidR="0098092C" w:rsidRDefault="0030498B">
      <w:r>
        <w:rPr>
          <w:rFonts w:hint="eastAsia"/>
        </w:rPr>
        <w:t xml:space="preserve">The </w:t>
      </w:r>
      <w:r>
        <w:t>following are proposed:</w:t>
      </w:r>
    </w:p>
    <w:tbl>
      <w:tblPr>
        <w:tblStyle w:val="TableGrid"/>
        <w:tblW w:w="0" w:type="auto"/>
        <w:tblLook w:val="04A0" w:firstRow="1" w:lastRow="0" w:firstColumn="1" w:lastColumn="0" w:noHBand="0" w:noVBand="1"/>
      </w:tblPr>
      <w:tblGrid>
        <w:gridCol w:w="1555"/>
        <w:gridCol w:w="7752"/>
      </w:tblGrid>
      <w:tr w:rsidR="0098092C" w14:paraId="77484984" w14:textId="77777777">
        <w:tc>
          <w:tcPr>
            <w:tcW w:w="1555" w:type="dxa"/>
          </w:tcPr>
          <w:p w14:paraId="626C077F" w14:textId="77777777" w:rsidR="0098092C" w:rsidRDefault="0030498B">
            <w:pPr>
              <w:rPr>
                <w:szCs w:val="20"/>
              </w:rPr>
            </w:pPr>
            <w:r>
              <w:rPr>
                <w:rFonts w:hint="eastAsia"/>
                <w:szCs w:val="20"/>
              </w:rPr>
              <w:t>S</w:t>
            </w:r>
            <w:r>
              <w:rPr>
                <w:szCs w:val="20"/>
              </w:rPr>
              <w:t>ourcing</w:t>
            </w:r>
          </w:p>
        </w:tc>
        <w:tc>
          <w:tcPr>
            <w:tcW w:w="7752" w:type="dxa"/>
          </w:tcPr>
          <w:p w14:paraId="65688F24" w14:textId="77777777" w:rsidR="0098092C" w:rsidRDefault="0030498B">
            <w:pPr>
              <w:rPr>
                <w:szCs w:val="20"/>
              </w:rPr>
            </w:pPr>
            <w:r>
              <w:rPr>
                <w:rFonts w:hint="eastAsia"/>
                <w:szCs w:val="20"/>
              </w:rPr>
              <w:t>proposals</w:t>
            </w:r>
          </w:p>
        </w:tc>
      </w:tr>
      <w:tr w:rsidR="0098092C" w14:paraId="01B5634D" w14:textId="77777777">
        <w:tc>
          <w:tcPr>
            <w:tcW w:w="1555" w:type="dxa"/>
          </w:tcPr>
          <w:p w14:paraId="2B394D4F" w14:textId="77777777" w:rsidR="0098092C" w:rsidRDefault="0030498B">
            <w:pPr>
              <w:rPr>
                <w:szCs w:val="20"/>
              </w:rPr>
            </w:pPr>
            <w:r>
              <w:rPr>
                <w:rFonts w:hint="eastAsia"/>
                <w:szCs w:val="20"/>
              </w:rPr>
              <w:t>[8]</w:t>
            </w:r>
          </w:p>
        </w:tc>
        <w:tc>
          <w:tcPr>
            <w:tcW w:w="7752" w:type="dxa"/>
          </w:tcPr>
          <w:p w14:paraId="50578905" w14:textId="77777777" w:rsidR="0098092C" w:rsidRDefault="0030498B">
            <w:pPr>
              <w:pStyle w:val="Proposal"/>
              <w:numPr>
                <w:ilvl w:val="0"/>
                <w:numId w:val="0"/>
              </w:numPr>
              <w:spacing w:line="240" w:lineRule="auto"/>
              <w:ind w:left="1701" w:hanging="1701"/>
            </w:pPr>
            <w:bookmarkStart w:id="60" w:name="_Toc83293666"/>
            <w:r>
              <w:rPr>
                <w:lang w:val="en-US"/>
              </w:rPr>
              <w:t xml:space="preserve">Proposal 1 </w:t>
            </w:r>
            <w:r>
              <w:t>To clarify that the “</w:t>
            </w:r>
            <w:r>
              <w:rPr>
                <w:i/>
                <w:iCs/>
              </w:rPr>
              <w:t>inbandCarrierInfor</w:t>
            </w:r>
            <w:r>
              <w:t>” is not only signalled in SIB, the “</w:t>
            </w:r>
            <w:r>
              <w:rPr>
                <w:color w:val="FF0000"/>
              </w:rPr>
              <w:t>/UE specific signaling</w:t>
            </w:r>
            <w:r>
              <w:t>” is appended to related agreement from RAN1# 106-e as follows:</w:t>
            </w:r>
            <w:bookmarkEnd w:id="60"/>
          </w:p>
          <w:p w14:paraId="49305CEF" w14:textId="77777777" w:rsidR="0098092C" w:rsidRDefault="0030498B">
            <w:pPr>
              <w:pStyle w:val="Proposal"/>
              <w:numPr>
                <w:ilvl w:val="0"/>
                <w:numId w:val="0"/>
              </w:numPr>
              <w:ind w:left="1701"/>
            </w:pPr>
            <w:bookmarkStart w:id="61" w:name="_Toc83293667"/>
            <w:r>
              <w:t xml:space="preserve">“For the UE configured with 16-QAM for NPDSCH, the deployment of the carrier is signaled by </w:t>
            </w:r>
            <w:r>
              <w:rPr>
                <w:i/>
                <w:iCs/>
              </w:rPr>
              <w:t>operationModeInfo</w:t>
            </w:r>
            <w:r>
              <w:t xml:space="preserve"> in MIB or </w:t>
            </w:r>
            <w:r>
              <w:rPr>
                <w:i/>
                <w:iCs/>
              </w:rPr>
              <w:t>inbandCarrierInfo</w:t>
            </w:r>
            <w:r>
              <w:t xml:space="preserve"> in SIB</w:t>
            </w:r>
            <w:r>
              <w:rPr>
                <w:color w:val="FF0000"/>
              </w:rPr>
              <w:t>/UE specific signaling</w:t>
            </w:r>
            <w:r>
              <w:t>”</w:t>
            </w:r>
            <w:bookmarkEnd w:id="61"/>
            <w:r>
              <w:t xml:space="preserve"> </w:t>
            </w:r>
          </w:p>
          <w:p w14:paraId="5F6A07AD" w14:textId="77777777" w:rsidR="0098092C" w:rsidRDefault="0098092C">
            <w:pPr>
              <w:rPr>
                <w:szCs w:val="20"/>
                <w:lang w:val="en-GB"/>
              </w:rPr>
            </w:pPr>
          </w:p>
        </w:tc>
      </w:tr>
      <w:tr w:rsidR="0098092C" w14:paraId="275EDAC1" w14:textId="77777777">
        <w:tc>
          <w:tcPr>
            <w:tcW w:w="1555" w:type="dxa"/>
          </w:tcPr>
          <w:p w14:paraId="26AF2038" w14:textId="77777777" w:rsidR="0098092C" w:rsidRDefault="0030498B">
            <w:pPr>
              <w:rPr>
                <w:szCs w:val="20"/>
              </w:rPr>
            </w:pPr>
            <w:r>
              <w:rPr>
                <w:rFonts w:hint="eastAsia"/>
                <w:szCs w:val="20"/>
              </w:rPr>
              <w:t>[9]</w:t>
            </w:r>
          </w:p>
        </w:tc>
        <w:tc>
          <w:tcPr>
            <w:tcW w:w="7752" w:type="dxa"/>
          </w:tcPr>
          <w:p w14:paraId="2773D45F" w14:textId="77777777" w:rsidR="0098092C" w:rsidRDefault="0030498B">
            <w:pPr>
              <w:pStyle w:val="Observation"/>
              <w:numPr>
                <w:ilvl w:val="0"/>
                <w:numId w:val="0"/>
              </w:numPr>
              <w:spacing w:line="240" w:lineRule="auto"/>
              <w:ind w:left="360" w:hanging="360"/>
            </w:pPr>
            <w:bookmarkStart w:id="62" w:name="_Toc82008892"/>
            <w:bookmarkStart w:id="63" w:name="_Toc83912149"/>
            <w:r>
              <w:rPr>
                <w:lang w:val="en-US"/>
              </w:rPr>
              <w:t xml:space="preserve">Observation 1 </w:t>
            </w:r>
            <w:r>
              <w:t>The WID left open the applicability of 16-QAM for unicast in UL and DL for both FDD and TDD, hence it needs to be investigated whether the agreements we have reached to support 16-QAM hold for TDD and what would be the impact in other Working Groups.</w:t>
            </w:r>
            <w:bookmarkEnd w:id="62"/>
            <w:bookmarkEnd w:id="63"/>
          </w:p>
          <w:p w14:paraId="21A70AB1" w14:textId="77777777" w:rsidR="0098092C" w:rsidRDefault="0030498B">
            <w:pPr>
              <w:pStyle w:val="Observation"/>
              <w:numPr>
                <w:ilvl w:val="0"/>
                <w:numId w:val="0"/>
              </w:numPr>
              <w:spacing w:line="240" w:lineRule="auto"/>
              <w:ind w:left="360" w:hanging="360"/>
            </w:pPr>
            <w:bookmarkStart w:id="64" w:name="_Toc83912150"/>
            <w:bookmarkStart w:id="65" w:name="_Toc82008893"/>
            <w:r>
              <w:t>Observation 2 A preliminary assessment on RAN1 aspects touching upon TBS/MCS tables, DCI designs, DL power allocation, UL power control term, channel quality reporting, etc, seem to indicate that there won’t be any incompatibility issue with TDD.</w:t>
            </w:r>
            <w:bookmarkEnd w:id="64"/>
            <w:bookmarkEnd w:id="65"/>
            <w:r>
              <w:t xml:space="preserve"> </w:t>
            </w:r>
          </w:p>
          <w:p w14:paraId="2051FB66" w14:textId="77777777" w:rsidR="0098092C" w:rsidRDefault="0030498B">
            <w:pPr>
              <w:pStyle w:val="Observation"/>
              <w:numPr>
                <w:ilvl w:val="0"/>
                <w:numId w:val="0"/>
              </w:numPr>
              <w:spacing w:line="240" w:lineRule="auto"/>
              <w:ind w:left="360" w:hanging="360"/>
            </w:pPr>
            <w:bookmarkStart w:id="66" w:name="_Toc82008894"/>
            <w:bookmarkStart w:id="67" w:name="_Toc83912151"/>
            <w:r>
              <w:t>Observation 3 Nonetheless, it seems that from a RAN4 perspective there might be a need to add another Test Model (in the BS conformance specs) and NPDSCH demodulation requirements for supporting 16-QAM in TDD.</w:t>
            </w:r>
            <w:bookmarkEnd w:id="66"/>
            <w:bookmarkEnd w:id="67"/>
          </w:p>
          <w:p w14:paraId="04263C65" w14:textId="77777777" w:rsidR="0098092C" w:rsidRDefault="0030498B">
            <w:pPr>
              <w:pStyle w:val="Observation"/>
              <w:numPr>
                <w:ilvl w:val="0"/>
                <w:numId w:val="0"/>
              </w:numPr>
              <w:spacing w:line="240" w:lineRule="auto"/>
              <w:ind w:left="360" w:hanging="360"/>
            </w:pPr>
            <w:bookmarkStart w:id="68" w:name="_Toc83912152"/>
            <w:bookmarkStart w:id="69" w:name="_Toc82008895"/>
            <w:r>
              <w:t>Observation 4 Operators, UE vendors, Network vendors and other interested parties should discuss the relevance of supporting 16-QAM for TDD NB-IoT, especially if supporting it results in an extra impact in any of the Working Groups involved.</w:t>
            </w:r>
            <w:bookmarkEnd w:id="68"/>
            <w:bookmarkEnd w:id="69"/>
          </w:p>
          <w:p w14:paraId="49E794FB" w14:textId="77777777" w:rsidR="0098092C" w:rsidRDefault="0030498B">
            <w:pPr>
              <w:pStyle w:val="Proposal"/>
              <w:numPr>
                <w:ilvl w:val="0"/>
                <w:numId w:val="0"/>
              </w:numPr>
              <w:spacing w:line="240" w:lineRule="auto"/>
              <w:ind w:left="1701" w:hanging="1701"/>
            </w:pPr>
            <w:bookmarkStart w:id="70" w:name="_Toc83912153"/>
            <w:r>
              <w:t>Proposal 1 Discuss whether the agreements we have reached to support 16-QAM in UL and DL hold for TDD and what are the impacts in other Working Groups.</w:t>
            </w:r>
            <w:bookmarkEnd w:id="70"/>
          </w:p>
          <w:p w14:paraId="544B340E" w14:textId="77777777" w:rsidR="0098092C" w:rsidRDefault="0030498B">
            <w:pPr>
              <w:pStyle w:val="Proposal"/>
              <w:numPr>
                <w:ilvl w:val="0"/>
                <w:numId w:val="0"/>
              </w:numPr>
              <w:spacing w:line="240" w:lineRule="auto"/>
              <w:ind w:left="1701" w:hanging="1701"/>
            </w:pPr>
            <w:bookmarkStart w:id="71" w:name="_Toc83912154"/>
            <w:r>
              <w:t>Proposal 2 Decide whether 16-QAM for unicast in UL and DL is applicable for both FDD and TDD.</w:t>
            </w:r>
            <w:bookmarkEnd w:id="71"/>
          </w:p>
          <w:p w14:paraId="6418D2E1" w14:textId="77777777" w:rsidR="0098092C" w:rsidRDefault="0098092C">
            <w:pPr>
              <w:rPr>
                <w:szCs w:val="20"/>
                <w:lang w:val="en-GB"/>
              </w:rPr>
            </w:pPr>
          </w:p>
        </w:tc>
      </w:tr>
    </w:tbl>
    <w:p w14:paraId="7CFAEFDB" w14:textId="77777777" w:rsidR="0098092C" w:rsidRDefault="0098092C"/>
    <w:p w14:paraId="41D0AB48" w14:textId="77777777" w:rsidR="0098092C" w:rsidRDefault="0030498B">
      <w:r>
        <w:t xml:space="preserve">As discussed in last meeting, regarding the proposal that the </w:t>
      </w:r>
      <w:r>
        <w:rPr>
          <w:i/>
        </w:rPr>
        <w:t>inbandCarrierInfo</w:t>
      </w:r>
      <w:r>
        <w:t xml:space="preserve"> can also be signaled by UE specific signaling, the following is proposed:</w:t>
      </w:r>
    </w:p>
    <w:p w14:paraId="7D47B368" w14:textId="77777777" w:rsidR="0098092C" w:rsidRDefault="0030498B">
      <w:pPr>
        <w:autoSpaceDE/>
        <w:autoSpaceDN/>
        <w:adjustRightInd/>
        <w:snapToGrid/>
        <w:spacing w:line="240" w:lineRule="auto"/>
        <w:jc w:val="left"/>
        <w:rPr>
          <w:lang w:eastAsia="zh-CN"/>
        </w:rPr>
      </w:pPr>
      <w:r>
        <w:rPr>
          <w:b/>
          <w:bCs/>
          <w:lang w:eastAsia="zh-CN"/>
        </w:rPr>
        <w:t>Proposal 8: the agreement below is updated as</w:t>
      </w:r>
    </w:p>
    <w:p w14:paraId="42BA9D35" w14:textId="77777777" w:rsidR="0098092C" w:rsidRDefault="0030498B">
      <w:pPr>
        <w:autoSpaceDE/>
        <w:autoSpaceDN/>
        <w:adjustRightInd/>
        <w:snapToGrid/>
        <w:spacing w:line="240" w:lineRule="auto"/>
        <w:ind w:leftChars="200" w:left="440"/>
        <w:jc w:val="left"/>
        <w:rPr>
          <w:lang w:eastAsia="zh-CN"/>
        </w:rPr>
      </w:pPr>
      <w:r>
        <w:rPr>
          <w:highlight w:val="green"/>
          <w:lang w:eastAsia="zh-CN"/>
        </w:rPr>
        <w:t>Agreement</w:t>
      </w:r>
    </w:p>
    <w:p w14:paraId="0C2DE0FC" w14:textId="77777777" w:rsidR="0098092C" w:rsidRDefault="0030498B">
      <w:pPr>
        <w:rPr>
          <w:b/>
        </w:rPr>
      </w:pPr>
      <w:r>
        <w:rPr>
          <w:b/>
          <w:bCs/>
          <w:lang w:eastAsia="zh-CN"/>
        </w:rPr>
        <w:lastRenderedPageBreak/>
        <w:t xml:space="preserve">For the UE configured with 16-QAM for NPDSCH, the deployment of the carrier is signaled by </w:t>
      </w:r>
      <w:r>
        <w:rPr>
          <w:b/>
          <w:bCs/>
          <w:i/>
          <w:iCs/>
          <w:lang w:eastAsia="zh-CN"/>
        </w:rPr>
        <w:t>operationModeInfo</w:t>
      </w:r>
      <w:r>
        <w:rPr>
          <w:b/>
          <w:bCs/>
          <w:lang w:eastAsia="zh-CN"/>
        </w:rPr>
        <w:t xml:space="preserve"> in MIB or </w:t>
      </w:r>
      <w:r>
        <w:rPr>
          <w:b/>
          <w:bCs/>
          <w:i/>
          <w:iCs/>
          <w:lang w:eastAsia="zh-CN"/>
        </w:rPr>
        <w:t>inbandCarrierInfo</w:t>
      </w:r>
      <w:r>
        <w:rPr>
          <w:b/>
          <w:bCs/>
          <w:lang w:eastAsia="zh-CN"/>
        </w:rPr>
        <w:t xml:space="preserve"> in SIB</w:t>
      </w:r>
      <w:r>
        <w:rPr>
          <w:b/>
          <w:bCs/>
          <w:color w:val="FF0000"/>
          <w:lang w:eastAsia="zh-CN"/>
        </w:rPr>
        <w:t>/UE specific signaling</w:t>
      </w:r>
      <w:r>
        <w:rPr>
          <w:b/>
          <w:bCs/>
          <w:lang w:eastAsia="zh-CN"/>
        </w:rPr>
        <w:t>.</w:t>
      </w:r>
    </w:p>
    <w:p w14:paraId="571CD825" w14:textId="77777777" w:rsidR="0098092C" w:rsidRDefault="0098092C"/>
    <w:p w14:paraId="089CF0EA" w14:textId="77777777" w:rsidR="0098092C" w:rsidRDefault="0030498B">
      <w:r>
        <w:t>Please input your comments to the above proposal, and also your views on the support of 16-QAM for FDD and TDD:</w:t>
      </w:r>
    </w:p>
    <w:tbl>
      <w:tblPr>
        <w:tblStyle w:val="TableGrid"/>
        <w:tblW w:w="0" w:type="auto"/>
        <w:tblLook w:val="04A0" w:firstRow="1" w:lastRow="0" w:firstColumn="1" w:lastColumn="0" w:noHBand="0" w:noVBand="1"/>
      </w:tblPr>
      <w:tblGrid>
        <w:gridCol w:w="1838"/>
        <w:gridCol w:w="7469"/>
      </w:tblGrid>
      <w:tr w:rsidR="0098092C" w14:paraId="308FE322" w14:textId="77777777">
        <w:tc>
          <w:tcPr>
            <w:tcW w:w="1838" w:type="dxa"/>
          </w:tcPr>
          <w:p w14:paraId="07D302F3" w14:textId="77777777" w:rsidR="0098092C" w:rsidRDefault="0030498B">
            <w:pPr>
              <w:rPr>
                <w:szCs w:val="20"/>
              </w:rPr>
            </w:pPr>
            <w:r>
              <w:rPr>
                <w:rFonts w:hint="eastAsia"/>
                <w:szCs w:val="20"/>
              </w:rPr>
              <w:t>Comp</w:t>
            </w:r>
            <w:r>
              <w:rPr>
                <w:szCs w:val="20"/>
              </w:rPr>
              <w:t>anies</w:t>
            </w:r>
          </w:p>
        </w:tc>
        <w:tc>
          <w:tcPr>
            <w:tcW w:w="7469" w:type="dxa"/>
          </w:tcPr>
          <w:p w14:paraId="4524D1C2" w14:textId="77777777" w:rsidR="0098092C" w:rsidRDefault="0030498B">
            <w:pPr>
              <w:rPr>
                <w:szCs w:val="20"/>
              </w:rPr>
            </w:pPr>
            <w:r>
              <w:rPr>
                <w:rFonts w:hint="eastAsia"/>
                <w:szCs w:val="20"/>
              </w:rPr>
              <w:t>Comments</w:t>
            </w:r>
          </w:p>
        </w:tc>
      </w:tr>
      <w:tr w:rsidR="0098092C" w14:paraId="7522862A" w14:textId="77777777">
        <w:tc>
          <w:tcPr>
            <w:tcW w:w="1838" w:type="dxa"/>
          </w:tcPr>
          <w:p w14:paraId="1B095929" w14:textId="77777777" w:rsidR="0098092C" w:rsidRDefault="0030498B">
            <w:pPr>
              <w:rPr>
                <w:sz w:val="20"/>
                <w:szCs w:val="18"/>
              </w:rPr>
            </w:pPr>
            <w:r>
              <w:rPr>
                <w:sz w:val="20"/>
                <w:szCs w:val="18"/>
              </w:rPr>
              <w:t>Ericsson</w:t>
            </w:r>
          </w:p>
        </w:tc>
        <w:tc>
          <w:tcPr>
            <w:tcW w:w="7469" w:type="dxa"/>
          </w:tcPr>
          <w:p w14:paraId="50AE2A26" w14:textId="77777777" w:rsidR="0098092C" w:rsidRDefault="0030498B">
            <w:pPr>
              <w:rPr>
                <w:sz w:val="20"/>
                <w:szCs w:val="18"/>
              </w:rPr>
            </w:pPr>
            <w:r>
              <w:rPr>
                <w:sz w:val="20"/>
                <w:szCs w:val="18"/>
              </w:rPr>
              <w:t>On Proposal 8: We are OK with proposal 8, otherwise the agreement is incomplete.</w:t>
            </w:r>
          </w:p>
          <w:p w14:paraId="4493CCBF" w14:textId="77777777" w:rsidR="0098092C" w:rsidRDefault="0030498B">
            <w:pPr>
              <w:rPr>
                <w:sz w:val="20"/>
                <w:szCs w:val="18"/>
              </w:rPr>
            </w:pPr>
            <w:r>
              <w:rPr>
                <w:sz w:val="20"/>
                <w:szCs w:val="18"/>
              </w:rPr>
              <w:t>On the support of FDD and TDD: In our view it is important that operators, UE vendors, Network vendors and other interested parties discuss the relevance of supporting 16-QAM for TDD NB-IoT, especially if supporting it results in an extra impact in any of the Working Groups involved. It seems that from a RAN4 perspective there might be a need to add another Test Model (in the BS conformance specs) and NPDSCH demodulation requirements for supporting 16-QAM in TDD.</w:t>
            </w:r>
          </w:p>
        </w:tc>
      </w:tr>
      <w:tr w:rsidR="0098092C" w14:paraId="44555CD9" w14:textId="77777777">
        <w:tc>
          <w:tcPr>
            <w:tcW w:w="1838" w:type="dxa"/>
          </w:tcPr>
          <w:p w14:paraId="4881DDBD" w14:textId="77777777" w:rsidR="0098092C" w:rsidRDefault="0030498B">
            <w:pPr>
              <w:rPr>
                <w:rFonts w:asciiTheme="minorHAnsi" w:hAnsiTheme="minorHAnsi" w:cstheme="minorHAnsi"/>
                <w:lang w:eastAsia="zh-CN"/>
              </w:rPr>
            </w:pPr>
            <w:r>
              <w:rPr>
                <w:rFonts w:asciiTheme="minorHAnsi" w:hAnsiTheme="minorHAnsi" w:cstheme="minorHAnsi"/>
                <w:lang w:eastAsia="zh-CN"/>
              </w:rPr>
              <w:t>Lenovo, MotoM</w:t>
            </w:r>
          </w:p>
        </w:tc>
        <w:tc>
          <w:tcPr>
            <w:tcW w:w="7469" w:type="dxa"/>
          </w:tcPr>
          <w:p w14:paraId="39246577" w14:textId="77777777" w:rsidR="0098092C" w:rsidRDefault="0030498B">
            <w:pPr>
              <w:pStyle w:val="Caption"/>
              <w:jc w:val="left"/>
              <w:rPr>
                <w:rFonts w:asciiTheme="minorHAnsi" w:eastAsia="SimSun" w:hAnsiTheme="minorHAnsi" w:cstheme="minorHAnsi"/>
                <w:b w:val="0"/>
                <w:bCs w:val="0"/>
                <w:sz w:val="22"/>
              </w:rPr>
            </w:pPr>
            <w:r>
              <w:rPr>
                <w:rFonts w:asciiTheme="minorHAnsi" w:eastAsia="SimSun" w:hAnsiTheme="minorHAnsi" w:cstheme="minorHAnsi"/>
                <w:b w:val="0"/>
                <w:bCs w:val="0"/>
                <w:sz w:val="22"/>
              </w:rPr>
              <w:t>OK</w:t>
            </w:r>
          </w:p>
        </w:tc>
      </w:tr>
      <w:tr w:rsidR="0098092C" w14:paraId="57EAB33B" w14:textId="77777777">
        <w:tc>
          <w:tcPr>
            <w:tcW w:w="1838" w:type="dxa"/>
          </w:tcPr>
          <w:p w14:paraId="19D7C9C6" w14:textId="77777777" w:rsidR="0098092C" w:rsidRDefault="0030498B">
            <w:pPr>
              <w:rPr>
                <w:szCs w:val="20"/>
                <w:lang w:eastAsia="zh-CN"/>
              </w:rPr>
            </w:pPr>
            <w:r>
              <w:rPr>
                <w:szCs w:val="20"/>
                <w:lang w:eastAsia="zh-CN"/>
              </w:rPr>
              <w:t xml:space="preserve">MTK </w:t>
            </w:r>
          </w:p>
        </w:tc>
        <w:tc>
          <w:tcPr>
            <w:tcW w:w="7469" w:type="dxa"/>
          </w:tcPr>
          <w:p w14:paraId="06647BB6" w14:textId="77777777" w:rsidR="0098092C" w:rsidRDefault="0030498B">
            <w:pPr>
              <w:rPr>
                <w:szCs w:val="20"/>
                <w:lang w:eastAsia="zh-CN"/>
              </w:rPr>
            </w:pPr>
            <w:r>
              <w:rPr>
                <w:szCs w:val="20"/>
                <w:lang w:eastAsia="zh-CN"/>
              </w:rPr>
              <w:t>Ok with the proposal</w:t>
            </w:r>
          </w:p>
        </w:tc>
      </w:tr>
      <w:tr w:rsidR="0098092C" w14:paraId="4B15C35D" w14:textId="77777777">
        <w:tc>
          <w:tcPr>
            <w:tcW w:w="1838" w:type="dxa"/>
          </w:tcPr>
          <w:p w14:paraId="61EACE86" w14:textId="77777777" w:rsidR="0098092C" w:rsidRDefault="0030498B">
            <w:pPr>
              <w:rPr>
                <w:szCs w:val="20"/>
                <w:lang w:eastAsia="zh-CN"/>
              </w:rPr>
            </w:pPr>
            <w:r>
              <w:rPr>
                <w:rFonts w:hint="eastAsia"/>
                <w:szCs w:val="20"/>
                <w:lang w:eastAsia="zh-CN"/>
              </w:rPr>
              <w:t>H</w:t>
            </w:r>
            <w:r>
              <w:rPr>
                <w:szCs w:val="20"/>
                <w:lang w:eastAsia="zh-CN"/>
              </w:rPr>
              <w:t>uawei, HiSilicon</w:t>
            </w:r>
          </w:p>
        </w:tc>
        <w:tc>
          <w:tcPr>
            <w:tcW w:w="7469" w:type="dxa"/>
          </w:tcPr>
          <w:p w14:paraId="0801E0B2" w14:textId="77777777" w:rsidR="0098092C" w:rsidRDefault="0030498B">
            <w:pPr>
              <w:rPr>
                <w:szCs w:val="20"/>
                <w:lang w:eastAsia="zh-CN"/>
              </w:rPr>
            </w:pPr>
            <w:r>
              <w:rPr>
                <w:szCs w:val="20"/>
                <w:lang w:eastAsia="zh-CN"/>
              </w:rPr>
              <w:t>We are fine with proposal 8. And we think 16QAM can also be applicable for TDD.</w:t>
            </w:r>
          </w:p>
        </w:tc>
      </w:tr>
      <w:tr w:rsidR="0098092C" w14:paraId="67339505" w14:textId="77777777">
        <w:tc>
          <w:tcPr>
            <w:tcW w:w="1838" w:type="dxa"/>
          </w:tcPr>
          <w:p w14:paraId="1CF49131" w14:textId="77777777" w:rsidR="0098092C" w:rsidRDefault="0030498B">
            <w:pPr>
              <w:rPr>
                <w:szCs w:val="20"/>
                <w:lang w:eastAsia="zh-CN"/>
              </w:rPr>
            </w:pPr>
            <w:r>
              <w:rPr>
                <w:szCs w:val="20"/>
                <w:lang w:eastAsia="zh-CN"/>
              </w:rPr>
              <w:t>Nokia, NSB</w:t>
            </w:r>
          </w:p>
        </w:tc>
        <w:tc>
          <w:tcPr>
            <w:tcW w:w="7469" w:type="dxa"/>
          </w:tcPr>
          <w:p w14:paraId="6D72C66F" w14:textId="77777777" w:rsidR="0098092C" w:rsidRDefault="0030498B">
            <w:pPr>
              <w:rPr>
                <w:szCs w:val="20"/>
                <w:lang w:eastAsia="zh-CN"/>
              </w:rPr>
            </w:pPr>
            <w:r>
              <w:rPr>
                <w:szCs w:val="20"/>
                <w:lang w:eastAsia="zh-CN"/>
              </w:rPr>
              <w:t>We are OK with proposal 8. The 16-QAM feature is applicable for TDD and we don’t see any RAN1 issue.</w:t>
            </w:r>
          </w:p>
        </w:tc>
      </w:tr>
      <w:tr w:rsidR="0098092C" w14:paraId="4A86BC4B" w14:textId="77777777">
        <w:tc>
          <w:tcPr>
            <w:tcW w:w="1838" w:type="dxa"/>
          </w:tcPr>
          <w:p w14:paraId="40E8D508" w14:textId="77777777" w:rsidR="0098092C" w:rsidRDefault="0030498B">
            <w:pPr>
              <w:rPr>
                <w:szCs w:val="20"/>
                <w:lang w:eastAsia="zh-CN"/>
              </w:rPr>
            </w:pPr>
            <w:r>
              <w:rPr>
                <w:rFonts w:hint="eastAsia"/>
                <w:szCs w:val="20"/>
                <w:lang w:eastAsia="zh-CN"/>
              </w:rPr>
              <w:t>ZTE, Sanechips</w:t>
            </w:r>
          </w:p>
        </w:tc>
        <w:tc>
          <w:tcPr>
            <w:tcW w:w="7469" w:type="dxa"/>
          </w:tcPr>
          <w:p w14:paraId="3F41632E" w14:textId="77777777" w:rsidR="0098092C" w:rsidRDefault="0030498B">
            <w:pPr>
              <w:rPr>
                <w:szCs w:val="20"/>
                <w:lang w:eastAsia="zh-CN"/>
              </w:rPr>
            </w:pPr>
            <w:r>
              <w:rPr>
                <w:rFonts w:hint="eastAsia"/>
                <w:szCs w:val="20"/>
                <w:lang w:eastAsia="zh-CN"/>
              </w:rPr>
              <w:t>OK with proposal 8</w:t>
            </w:r>
          </w:p>
        </w:tc>
      </w:tr>
      <w:tr w:rsidR="0098092C" w14:paraId="3005F906" w14:textId="77777777">
        <w:tc>
          <w:tcPr>
            <w:tcW w:w="1838" w:type="dxa"/>
          </w:tcPr>
          <w:p w14:paraId="2DF26842" w14:textId="77777777" w:rsidR="0098092C" w:rsidRDefault="0030498B">
            <w:pPr>
              <w:rPr>
                <w:szCs w:val="20"/>
                <w:lang w:eastAsia="zh-CN"/>
              </w:rPr>
            </w:pPr>
            <w:r>
              <w:rPr>
                <w:rFonts w:hint="eastAsia"/>
                <w:szCs w:val="20"/>
                <w:lang w:eastAsia="zh-CN"/>
              </w:rPr>
              <w:t>Moderator (Huawei)</w:t>
            </w:r>
          </w:p>
        </w:tc>
        <w:tc>
          <w:tcPr>
            <w:tcW w:w="7469" w:type="dxa"/>
          </w:tcPr>
          <w:p w14:paraId="47966BBE" w14:textId="77777777" w:rsidR="0098092C" w:rsidRDefault="0030498B">
            <w:pPr>
              <w:rPr>
                <w:szCs w:val="20"/>
                <w:lang w:eastAsia="zh-CN"/>
              </w:rPr>
            </w:pPr>
            <w:r>
              <w:rPr>
                <w:rFonts w:hint="eastAsia"/>
                <w:szCs w:val="20"/>
                <w:lang w:eastAsia="zh-CN"/>
              </w:rPr>
              <w:t>Proposal 8 is stable.</w:t>
            </w:r>
          </w:p>
          <w:p w14:paraId="70B0219A" w14:textId="77777777" w:rsidR="0098092C" w:rsidRDefault="0030498B">
            <w:pPr>
              <w:rPr>
                <w:szCs w:val="20"/>
                <w:lang w:eastAsia="zh-CN"/>
              </w:rPr>
            </w:pPr>
            <w:r>
              <w:rPr>
                <w:szCs w:val="20"/>
                <w:lang w:eastAsia="zh-CN"/>
              </w:rPr>
              <w:t>For support of TDD, it can be discussed at UE feature email thread.</w:t>
            </w:r>
          </w:p>
        </w:tc>
      </w:tr>
    </w:tbl>
    <w:p w14:paraId="702F1A31" w14:textId="77777777" w:rsidR="0098092C" w:rsidRDefault="0098092C"/>
    <w:p w14:paraId="5A0CC0C9" w14:textId="77777777" w:rsidR="0098092C" w:rsidRDefault="0030498B">
      <w:pPr>
        <w:pStyle w:val="Heading1"/>
      </w:pPr>
      <w:r>
        <w:rPr>
          <w:rFonts w:hint="eastAsia"/>
          <w:lang w:eastAsia="zh-CN"/>
        </w:rPr>
        <w:t>Summary</w:t>
      </w:r>
    </w:p>
    <w:p w14:paraId="364CC9F1" w14:textId="77777777" w:rsidR="0098092C" w:rsidRDefault="0098092C"/>
    <w:p w14:paraId="3AEC041C" w14:textId="77777777" w:rsidR="0098092C" w:rsidRDefault="0030498B">
      <w:pPr>
        <w:pStyle w:val="Heading1"/>
        <w:numPr>
          <w:ilvl w:val="0"/>
          <w:numId w:val="0"/>
        </w:numPr>
        <w:spacing w:before="240"/>
        <w:ind w:left="431" w:hanging="431"/>
      </w:pPr>
      <w:r>
        <w:t>References</w:t>
      </w:r>
      <w:r>
        <w:rPr>
          <w:noProof/>
          <w:kern w:val="2"/>
          <w:lang w:eastAsia="zh-CN"/>
        </w:rPr>
        <mc:AlternateContent>
          <mc:Choice Requires="wps">
            <w:drawing>
              <wp:anchor distT="0" distB="0" distL="114300" distR="114300" simplePos="0" relativeHeight="251660288" behindDoc="0" locked="1" layoutInCell="0" hidden="1" allowOverlap="1" wp14:anchorId="14A94DFB" wp14:editId="3E21495C">
                <wp:simplePos x="0" y="0"/>
                <wp:positionH relativeFrom="page">
                  <wp:posOffset>0</wp:posOffset>
                </wp:positionH>
                <wp:positionV relativeFrom="page">
                  <wp:posOffset>0</wp:posOffset>
                </wp:positionV>
                <wp:extent cx="635" cy="635"/>
                <wp:effectExtent l="9525" t="9525" r="8890" b="8890"/>
                <wp:wrapNone/>
                <wp:docPr id="1" name="任意多边形 4"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任意多边形 4"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60288;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p>
    <w:p w14:paraId="0B666CAF" w14:textId="77777777" w:rsidR="0098092C" w:rsidRDefault="0030498B">
      <w:pPr>
        <w:pStyle w:val="ListParagraph"/>
        <w:numPr>
          <w:ilvl w:val="0"/>
          <w:numId w:val="28"/>
        </w:numPr>
        <w:spacing w:after="60"/>
        <w:rPr>
          <w:rFonts w:ascii="Times New Roman" w:hAnsi="Times New Roman" w:cs="Times New Roman"/>
          <w:sz w:val="22"/>
        </w:rPr>
      </w:pPr>
      <w:bookmarkStart w:id="72" w:name="_Ref520312828"/>
      <w:r>
        <w:rPr>
          <w:rFonts w:ascii="Times New Roman" w:hAnsi="Times New Roman" w:cs="Times New Roman"/>
          <w:sz w:val="22"/>
        </w:rPr>
        <w:t xml:space="preserve">RP-211340, “WID revision: Additional enhancements for NB-IoT and LTE-MTC”, </w:t>
      </w:r>
      <w:bookmarkEnd w:id="72"/>
      <w:r>
        <w:rPr>
          <w:rFonts w:ascii="Times New Roman" w:hAnsi="Times New Roman" w:cs="Times New Roman"/>
          <w:sz w:val="22"/>
        </w:rPr>
        <w:t>Huawei, HiSilicon, RAN#92e, E-meeting, June 2021.</w:t>
      </w:r>
    </w:p>
    <w:p w14:paraId="73642620" w14:textId="77777777" w:rsidR="0098092C" w:rsidRDefault="0030498B">
      <w:pPr>
        <w:pStyle w:val="ListParagraph"/>
        <w:numPr>
          <w:ilvl w:val="0"/>
          <w:numId w:val="28"/>
        </w:numPr>
        <w:spacing w:after="60"/>
        <w:rPr>
          <w:rFonts w:ascii="Times New Roman" w:hAnsi="Times New Roman" w:cs="Times New Roman"/>
          <w:sz w:val="22"/>
        </w:rPr>
      </w:pPr>
      <w:r>
        <w:rPr>
          <w:rFonts w:ascii="Times New Roman" w:hAnsi="Times New Roman" w:cs="Times New Roman"/>
          <w:sz w:val="22"/>
        </w:rPr>
        <w:t>R1-2108777</w:t>
      </w:r>
      <w:r>
        <w:rPr>
          <w:rFonts w:ascii="Times New Roman" w:hAnsi="Times New Roman" w:cs="Times New Roman"/>
          <w:sz w:val="22"/>
        </w:rPr>
        <w:tab/>
        <w:t>Support of 16QAM for unicast in UL and DL in NB-IoT</w:t>
      </w:r>
      <w:r>
        <w:rPr>
          <w:rFonts w:ascii="Times New Roman" w:hAnsi="Times New Roman" w:cs="Times New Roman"/>
          <w:sz w:val="22"/>
        </w:rPr>
        <w:tab/>
        <w:t>Huawei, HiSilicon</w:t>
      </w:r>
    </w:p>
    <w:p w14:paraId="64178E70" w14:textId="77777777" w:rsidR="0098092C" w:rsidRDefault="0030498B">
      <w:pPr>
        <w:pStyle w:val="ListParagraph"/>
        <w:numPr>
          <w:ilvl w:val="0"/>
          <w:numId w:val="28"/>
        </w:numPr>
        <w:spacing w:after="60"/>
        <w:rPr>
          <w:rFonts w:ascii="Times New Roman" w:hAnsi="Times New Roman" w:cs="Times New Roman"/>
          <w:sz w:val="22"/>
        </w:rPr>
      </w:pPr>
      <w:r>
        <w:rPr>
          <w:rFonts w:ascii="Times New Roman" w:hAnsi="Times New Roman" w:cs="Times New Roman"/>
          <w:sz w:val="22"/>
        </w:rPr>
        <w:t>R1-2109174</w:t>
      </w:r>
      <w:r>
        <w:rPr>
          <w:rFonts w:ascii="Times New Roman" w:hAnsi="Times New Roman" w:cs="Times New Roman"/>
          <w:sz w:val="22"/>
        </w:rPr>
        <w:tab/>
        <w:t>Support of 16-QAM for NB-IoT</w:t>
      </w:r>
      <w:r>
        <w:rPr>
          <w:rFonts w:ascii="Times New Roman" w:hAnsi="Times New Roman" w:cs="Times New Roman"/>
          <w:sz w:val="22"/>
        </w:rPr>
        <w:tab/>
        <w:t>Qualcomm Incorporated</w:t>
      </w:r>
    </w:p>
    <w:p w14:paraId="76C03F6B" w14:textId="77777777" w:rsidR="0098092C" w:rsidRDefault="0030498B">
      <w:pPr>
        <w:pStyle w:val="ListParagraph"/>
        <w:numPr>
          <w:ilvl w:val="0"/>
          <w:numId w:val="28"/>
        </w:numPr>
        <w:spacing w:after="60"/>
        <w:rPr>
          <w:rFonts w:ascii="Times New Roman" w:hAnsi="Times New Roman" w:cs="Times New Roman"/>
          <w:sz w:val="22"/>
        </w:rPr>
      </w:pPr>
      <w:r>
        <w:rPr>
          <w:rFonts w:ascii="Times New Roman" w:hAnsi="Times New Roman" w:cs="Times New Roman"/>
          <w:sz w:val="22"/>
        </w:rPr>
        <w:t>R1-2109314</w:t>
      </w:r>
      <w:r>
        <w:rPr>
          <w:rFonts w:ascii="Times New Roman" w:hAnsi="Times New Roman" w:cs="Times New Roman"/>
          <w:sz w:val="22"/>
        </w:rPr>
        <w:tab/>
        <w:t>Support of 16-QAM for NB-IoT</w:t>
      </w:r>
      <w:r>
        <w:rPr>
          <w:rFonts w:ascii="Times New Roman" w:hAnsi="Times New Roman" w:cs="Times New Roman"/>
          <w:sz w:val="22"/>
        </w:rPr>
        <w:tab/>
        <w:t>Nokia, Nokia Shanghai Bell</w:t>
      </w:r>
    </w:p>
    <w:p w14:paraId="484DD8D1" w14:textId="77777777" w:rsidR="0098092C" w:rsidRDefault="0030498B">
      <w:pPr>
        <w:pStyle w:val="ListParagraph"/>
        <w:numPr>
          <w:ilvl w:val="0"/>
          <w:numId w:val="28"/>
        </w:numPr>
        <w:spacing w:after="60"/>
        <w:rPr>
          <w:rFonts w:ascii="Times New Roman" w:hAnsi="Times New Roman" w:cs="Times New Roman"/>
          <w:sz w:val="22"/>
        </w:rPr>
      </w:pPr>
      <w:r>
        <w:rPr>
          <w:rFonts w:ascii="Times New Roman" w:hAnsi="Times New Roman" w:cs="Times New Roman"/>
          <w:sz w:val="22"/>
        </w:rPr>
        <w:t>R1-2109320</w:t>
      </w:r>
      <w:r>
        <w:rPr>
          <w:rFonts w:ascii="Times New Roman" w:hAnsi="Times New Roman" w:cs="Times New Roman"/>
          <w:sz w:val="22"/>
        </w:rPr>
        <w:tab/>
        <w:t>Support 16QAM for NBIoT</w:t>
      </w:r>
      <w:r>
        <w:rPr>
          <w:rFonts w:ascii="Times New Roman" w:hAnsi="Times New Roman" w:cs="Times New Roman"/>
          <w:sz w:val="22"/>
        </w:rPr>
        <w:tab/>
        <w:t>Lenovo, Motorola Mobility</w:t>
      </w:r>
    </w:p>
    <w:p w14:paraId="6D83A7F5" w14:textId="77777777" w:rsidR="0098092C" w:rsidRDefault="0030498B">
      <w:pPr>
        <w:pStyle w:val="ListParagraph"/>
        <w:numPr>
          <w:ilvl w:val="0"/>
          <w:numId w:val="28"/>
        </w:numPr>
        <w:spacing w:after="60"/>
        <w:rPr>
          <w:rFonts w:ascii="Times New Roman" w:hAnsi="Times New Roman" w:cs="Times New Roman"/>
          <w:sz w:val="22"/>
        </w:rPr>
      </w:pPr>
      <w:r>
        <w:rPr>
          <w:rFonts w:ascii="Times New Roman" w:hAnsi="Times New Roman" w:cs="Times New Roman"/>
          <w:sz w:val="22"/>
        </w:rPr>
        <w:t>R1-2109337</w:t>
      </w:r>
      <w:r>
        <w:rPr>
          <w:rFonts w:ascii="Times New Roman" w:hAnsi="Times New Roman" w:cs="Times New Roman"/>
          <w:sz w:val="22"/>
        </w:rPr>
        <w:tab/>
        <w:t>Discussion on UL and DL 16QAM for NB-IoT</w:t>
      </w:r>
      <w:r>
        <w:rPr>
          <w:rFonts w:ascii="Times New Roman" w:hAnsi="Times New Roman" w:cs="Times New Roman"/>
          <w:sz w:val="22"/>
        </w:rPr>
        <w:tab/>
        <w:t>ZTE, Sanechips</w:t>
      </w:r>
    </w:p>
    <w:p w14:paraId="6ECF60A1" w14:textId="77777777" w:rsidR="0098092C" w:rsidRDefault="0030498B">
      <w:pPr>
        <w:pStyle w:val="ListParagraph"/>
        <w:numPr>
          <w:ilvl w:val="0"/>
          <w:numId w:val="28"/>
        </w:numPr>
        <w:spacing w:after="60"/>
        <w:rPr>
          <w:rFonts w:ascii="Times New Roman" w:hAnsi="Times New Roman" w:cs="Times New Roman"/>
          <w:sz w:val="22"/>
        </w:rPr>
      </w:pPr>
      <w:r>
        <w:rPr>
          <w:rFonts w:ascii="Times New Roman" w:hAnsi="Times New Roman" w:cs="Times New Roman"/>
          <w:sz w:val="22"/>
        </w:rPr>
        <w:t>R1-2109559</w:t>
      </w:r>
      <w:r>
        <w:rPr>
          <w:rFonts w:ascii="Times New Roman" w:hAnsi="Times New Roman" w:cs="Times New Roman"/>
          <w:sz w:val="22"/>
        </w:rPr>
        <w:tab/>
        <w:t>Remaining Issues on supporting 16QAM in NB-IOT R17</w:t>
      </w:r>
      <w:r>
        <w:rPr>
          <w:rFonts w:ascii="Times New Roman" w:hAnsi="Times New Roman" w:cs="Times New Roman"/>
          <w:sz w:val="22"/>
        </w:rPr>
        <w:tab/>
        <w:t>MediaTek Inc.</w:t>
      </w:r>
    </w:p>
    <w:p w14:paraId="24BAFFCB" w14:textId="77777777" w:rsidR="0098092C" w:rsidRDefault="0030498B">
      <w:pPr>
        <w:pStyle w:val="ListParagraph"/>
        <w:numPr>
          <w:ilvl w:val="0"/>
          <w:numId w:val="28"/>
        </w:numPr>
        <w:spacing w:after="60"/>
        <w:rPr>
          <w:rFonts w:ascii="Times New Roman" w:hAnsi="Times New Roman" w:cs="Times New Roman"/>
          <w:sz w:val="22"/>
        </w:rPr>
      </w:pPr>
      <w:r>
        <w:rPr>
          <w:rFonts w:ascii="Times New Roman" w:hAnsi="Times New Roman" w:cs="Times New Roman"/>
          <w:sz w:val="22"/>
        </w:rPr>
        <w:t>R1-2110316</w:t>
      </w:r>
      <w:r>
        <w:rPr>
          <w:rFonts w:ascii="Times New Roman" w:hAnsi="Times New Roman" w:cs="Times New Roman"/>
          <w:sz w:val="22"/>
        </w:rPr>
        <w:tab/>
        <w:t>Support of 16-QAM for unicast in UL and DL in NB-IoT</w:t>
      </w:r>
      <w:r>
        <w:rPr>
          <w:rFonts w:ascii="Times New Roman" w:hAnsi="Times New Roman" w:cs="Times New Roman"/>
          <w:sz w:val="22"/>
        </w:rPr>
        <w:tab/>
        <w:t>Ericsson</w:t>
      </w:r>
    </w:p>
    <w:p w14:paraId="34F3D99A" w14:textId="77777777" w:rsidR="0098092C" w:rsidRDefault="0030498B">
      <w:pPr>
        <w:pStyle w:val="ListParagraph"/>
        <w:numPr>
          <w:ilvl w:val="0"/>
          <w:numId w:val="28"/>
        </w:numPr>
        <w:spacing w:after="60"/>
        <w:rPr>
          <w:rFonts w:ascii="Times New Roman" w:hAnsi="Times New Roman" w:cs="Times New Roman"/>
          <w:sz w:val="22"/>
        </w:rPr>
      </w:pPr>
      <w:r>
        <w:rPr>
          <w:rFonts w:ascii="Times New Roman" w:hAnsi="Times New Roman" w:cs="Times New Roman"/>
          <w:sz w:val="22"/>
        </w:rPr>
        <w:t>R1-2110318</w:t>
      </w:r>
      <w:r>
        <w:rPr>
          <w:rFonts w:ascii="Times New Roman" w:hAnsi="Times New Roman" w:cs="Times New Roman"/>
          <w:sz w:val="22"/>
        </w:rPr>
        <w:tab/>
        <w:t>On the support of 16-QAM for unicast in UL and DL for TDD NB-IoT</w:t>
      </w:r>
      <w:r>
        <w:rPr>
          <w:rFonts w:ascii="Times New Roman" w:hAnsi="Times New Roman" w:cs="Times New Roman"/>
          <w:sz w:val="22"/>
        </w:rPr>
        <w:tab/>
        <w:t>Ericsson</w:t>
      </w:r>
    </w:p>
    <w:sectPr w:rsidR="0098092C">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F9AEF0" w14:textId="77777777" w:rsidR="00E7142E" w:rsidRDefault="00E7142E"/>
  </w:endnote>
  <w:endnote w:type="continuationSeparator" w:id="0">
    <w:p w14:paraId="79BA1B72" w14:textId="77777777" w:rsidR="00E7142E" w:rsidRDefault="00E71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LineDraw">
    <w:charset w:val="02"/>
    <w:family w:val="modern"/>
    <w:pitch w:val="fixed"/>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96534E" w14:textId="77777777" w:rsidR="00E7142E" w:rsidRDefault="00E7142E"/>
  </w:footnote>
  <w:footnote w:type="continuationSeparator" w:id="0">
    <w:p w14:paraId="7CDBA517" w14:textId="77777777" w:rsidR="00E7142E" w:rsidRDefault="00E714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63C8887"/>
    <w:multiLevelType w:val="multilevel"/>
    <w:tmpl w:val="C63C8887"/>
    <w:lvl w:ilvl="0">
      <w:start w:val="1"/>
      <w:numFmt w:val="bullet"/>
      <w:lvlText w:val=""/>
      <w:lvlJc w:val="left"/>
      <w:pPr>
        <w:tabs>
          <w:tab w:val="left" w:pos="0"/>
        </w:tabs>
        <w:ind w:left="720" w:hanging="360"/>
      </w:pPr>
      <w:rPr>
        <w:rFonts w:ascii="Symbol" w:hAnsi="Symbol" w:hint="default"/>
      </w:rPr>
    </w:lvl>
    <w:lvl w:ilvl="1">
      <w:start w:val="1"/>
      <w:numFmt w:val="bullet"/>
      <w:lvlText w:val="o"/>
      <w:lvlJc w:val="left"/>
      <w:pPr>
        <w:tabs>
          <w:tab w:val="left" w:pos="0"/>
        </w:tabs>
        <w:ind w:left="1440" w:hanging="360"/>
      </w:pPr>
      <w:rPr>
        <w:rFonts w:ascii="Courier New" w:hAnsi="Courier New" w:cs="Yu Gothic" w:hint="default"/>
      </w:rPr>
    </w:lvl>
    <w:lvl w:ilvl="2">
      <w:start w:val="1"/>
      <w:numFmt w:val="bullet"/>
      <w:lvlText w:val=""/>
      <w:lvlJc w:val="left"/>
      <w:pPr>
        <w:tabs>
          <w:tab w:val="left" w:pos="0"/>
        </w:tabs>
        <w:ind w:left="2160" w:hanging="360"/>
      </w:pPr>
      <w:rPr>
        <w:rFonts w:ascii="Wingdings" w:hAnsi="Wingdings" w:hint="default"/>
      </w:rPr>
    </w:lvl>
    <w:lvl w:ilvl="3">
      <w:start w:val="1"/>
      <w:numFmt w:val="bullet"/>
      <w:lvlText w:val=""/>
      <w:lvlJc w:val="left"/>
      <w:pPr>
        <w:tabs>
          <w:tab w:val="left" w:pos="0"/>
        </w:tabs>
        <w:ind w:left="2880" w:hanging="360"/>
      </w:pPr>
      <w:rPr>
        <w:rFonts w:ascii="Symbol" w:hAnsi="Symbol" w:hint="default"/>
      </w:rPr>
    </w:lvl>
    <w:lvl w:ilvl="4">
      <w:start w:val="1"/>
      <w:numFmt w:val="bullet"/>
      <w:lvlText w:val="o"/>
      <w:lvlJc w:val="left"/>
      <w:pPr>
        <w:tabs>
          <w:tab w:val="left" w:pos="0"/>
        </w:tabs>
        <w:ind w:left="3600" w:hanging="360"/>
      </w:pPr>
      <w:rPr>
        <w:rFonts w:ascii="Courier New" w:hAnsi="Courier New" w:cs="Yu Gothic" w:hint="default"/>
      </w:rPr>
    </w:lvl>
    <w:lvl w:ilvl="5">
      <w:start w:val="1"/>
      <w:numFmt w:val="bullet"/>
      <w:lvlText w:val=""/>
      <w:lvlJc w:val="left"/>
      <w:pPr>
        <w:tabs>
          <w:tab w:val="left" w:pos="0"/>
        </w:tabs>
        <w:ind w:left="4320" w:hanging="360"/>
      </w:pPr>
      <w:rPr>
        <w:rFonts w:ascii="Wingdings" w:hAnsi="Wingdings" w:hint="default"/>
      </w:rPr>
    </w:lvl>
    <w:lvl w:ilvl="6">
      <w:start w:val="1"/>
      <w:numFmt w:val="bullet"/>
      <w:lvlText w:val=""/>
      <w:lvlJc w:val="left"/>
      <w:pPr>
        <w:tabs>
          <w:tab w:val="left" w:pos="0"/>
        </w:tabs>
        <w:ind w:left="5040" w:hanging="360"/>
      </w:pPr>
      <w:rPr>
        <w:rFonts w:ascii="Symbol" w:hAnsi="Symbol" w:hint="default"/>
      </w:rPr>
    </w:lvl>
    <w:lvl w:ilvl="7">
      <w:start w:val="1"/>
      <w:numFmt w:val="bullet"/>
      <w:lvlText w:val="o"/>
      <w:lvlJc w:val="left"/>
      <w:pPr>
        <w:tabs>
          <w:tab w:val="left" w:pos="0"/>
        </w:tabs>
        <w:ind w:left="5760" w:hanging="360"/>
      </w:pPr>
      <w:rPr>
        <w:rFonts w:ascii="Courier New" w:hAnsi="Courier New" w:cs="Yu Gothic" w:hint="default"/>
      </w:rPr>
    </w:lvl>
    <w:lvl w:ilvl="8">
      <w:start w:val="1"/>
      <w:numFmt w:val="bullet"/>
      <w:lvlText w:val=""/>
      <w:lvlJc w:val="left"/>
      <w:pPr>
        <w:tabs>
          <w:tab w:val="left" w:pos="0"/>
        </w:tabs>
        <w:ind w:left="6480" w:hanging="360"/>
      </w:pPr>
      <w:rPr>
        <w:rFonts w:ascii="Wingdings" w:hAnsi="Wingdings" w:hint="default"/>
      </w:rPr>
    </w:lvl>
  </w:abstractNum>
  <w:abstractNum w:abstractNumId="1"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2" w15:restartNumberingAfterBreak="0">
    <w:nsid w:val="076E2715"/>
    <w:multiLevelType w:val="multilevel"/>
    <w:tmpl w:val="076E2715"/>
    <w:lvl w:ilvl="0">
      <w:start w:val="16"/>
      <w:numFmt w:val="bullet"/>
      <w:lvlText w:val="-"/>
      <w:lvlJc w:val="left"/>
      <w:pPr>
        <w:ind w:left="780" w:hanging="360"/>
      </w:pPr>
      <w:rPr>
        <w:rFonts w:ascii="Times New Roman" w:eastAsiaTheme="minorEastAsia"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 w15:restartNumberingAfterBreak="0">
    <w:nsid w:val="0ACD003D"/>
    <w:multiLevelType w:val="multilevel"/>
    <w:tmpl w:val="0ACD003D"/>
    <w:lvl w:ilvl="0">
      <w:start w:val="1"/>
      <w:numFmt w:val="bullet"/>
      <w:lvlText w:val=""/>
      <w:lvlJc w:val="left"/>
      <w:pPr>
        <w:ind w:left="712" w:hanging="360"/>
      </w:pPr>
      <w:rPr>
        <w:rFonts w:ascii="Symbol" w:hAnsi="Symbol" w:hint="default"/>
      </w:rPr>
    </w:lvl>
    <w:lvl w:ilvl="1">
      <w:start w:val="1"/>
      <w:numFmt w:val="bullet"/>
      <w:lvlText w:val="o"/>
      <w:lvlJc w:val="left"/>
      <w:pPr>
        <w:ind w:left="1432" w:hanging="360"/>
      </w:pPr>
      <w:rPr>
        <w:rFonts w:ascii="Courier New" w:hAnsi="Courier New" w:cs="Courier New" w:hint="default"/>
      </w:rPr>
    </w:lvl>
    <w:lvl w:ilvl="2">
      <w:start w:val="1"/>
      <w:numFmt w:val="bullet"/>
      <w:lvlText w:val=""/>
      <w:lvlJc w:val="left"/>
      <w:pPr>
        <w:ind w:left="2152" w:hanging="360"/>
      </w:pPr>
      <w:rPr>
        <w:rFonts w:ascii="Wingdings" w:hAnsi="Wingdings" w:hint="default"/>
      </w:rPr>
    </w:lvl>
    <w:lvl w:ilvl="3">
      <w:start w:val="1"/>
      <w:numFmt w:val="bullet"/>
      <w:lvlText w:val=""/>
      <w:lvlJc w:val="left"/>
      <w:pPr>
        <w:ind w:left="2872" w:hanging="360"/>
      </w:pPr>
      <w:rPr>
        <w:rFonts w:ascii="Symbol" w:hAnsi="Symbol" w:hint="default"/>
      </w:rPr>
    </w:lvl>
    <w:lvl w:ilvl="4">
      <w:start w:val="1"/>
      <w:numFmt w:val="bullet"/>
      <w:lvlText w:val="o"/>
      <w:lvlJc w:val="left"/>
      <w:pPr>
        <w:ind w:left="3592" w:hanging="360"/>
      </w:pPr>
      <w:rPr>
        <w:rFonts w:ascii="Courier New" w:hAnsi="Courier New" w:cs="Courier New" w:hint="default"/>
      </w:rPr>
    </w:lvl>
    <w:lvl w:ilvl="5">
      <w:start w:val="1"/>
      <w:numFmt w:val="bullet"/>
      <w:lvlText w:val=""/>
      <w:lvlJc w:val="left"/>
      <w:pPr>
        <w:ind w:left="4312" w:hanging="360"/>
      </w:pPr>
      <w:rPr>
        <w:rFonts w:ascii="Wingdings" w:hAnsi="Wingdings" w:hint="default"/>
      </w:rPr>
    </w:lvl>
    <w:lvl w:ilvl="6">
      <w:start w:val="1"/>
      <w:numFmt w:val="bullet"/>
      <w:lvlText w:val=""/>
      <w:lvlJc w:val="left"/>
      <w:pPr>
        <w:ind w:left="5032" w:hanging="360"/>
      </w:pPr>
      <w:rPr>
        <w:rFonts w:ascii="Symbol" w:hAnsi="Symbol" w:hint="default"/>
      </w:rPr>
    </w:lvl>
    <w:lvl w:ilvl="7">
      <w:start w:val="1"/>
      <w:numFmt w:val="bullet"/>
      <w:lvlText w:val="o"/>
      <w:lvlJc w:val="left"/>
      <w:pPr>
        <w:ind w:left="5752" w:hanging="360"/>
      </w:pPr>
      <w:rPr>
        <w:rFonts w:ascii="Courier New" w:hAnsi="Courier New" w:cs="Courier New" w:hint="default"/>
      </w:rPr>
    </w:lvl>
    <w:lvl w:ilvl="8">
      <w:start w:val="1"/>
      <w:numFmt w:val="bullet"/>
      <w:lvlText w:val=""/>
      <w:lvlJc w:val="left"/>
      <w:pPr>
        <w:ind w:left="6472" w:hanging="360"/>
      </w:pPr>
      <w:rPr>
        <w:rFonts w:ascii="Wingdings" w:hAnsi="Wingdings" w:hint="default"/>
      </w:rPr>
    </w:lvl>
  </w:abstractNum>
  <w:abstractNum w:abstractNumId="4" w15:restartNumberingAfterBreak="0">
    <w:nsid w:val="0C0253CE"/>
    <w:multiLevelType w:val="multilevel"/>
    <w:tmpl w:val="0C0253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48C72ED"/>
    <w:multiLevelType w:val="multilevel"/>
    <w:tmpl w:val="148C72E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AE45014"/>
    <w:multiLevelType w:val="multilevel"/>
    <w:tmpl w:val="1AE4501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22F12738"/>
    <w:multiLevelType w:val="multilevel"/>
    <w:tmpl w:val="22F12738"/>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8" w15:restartNumberingAfterBreak="0">
    <w:nsid w:val="259B7128"/>
    <w:multiLevelType w:val="multilevel"/>
    <w:tmpl w:val="259B7128"/>
    <w:lvl w:ilvl="0">
      <w:start w:val="1"/>
      <w:numFmt w:val="bullet"/>
      <w:pStyle w:val="Proposalsub"/>
      <w:lvlText w:val=""/>
      <w:lvlJc w:val="left"/>
      <w:pPr>
        <w:ind w:left="-524" w:hanging="360"/>
      </w:pPr>
      <w:rPr>
        <w:rFonts w:ascii="Symbol" w:hAnsi="Symbol" w:hint="default"/>
      </w:rPr>
    </w:lvl>
    <w:lvl w:ilvl="1">
      <w:numFmt w:val="bullet"/>
      <w:pStyle w:val="Proposalsubsub"/>
      <w:lvlText w:val="-"/>
      <w:lvlJc w:val="left"/>
      <w:pPr>
        <w:ind w:left="-84" w:hanging="400"/>
      </w:pPr>
      <w:rPr>
        <w:rFonts w:ascii="Times New Roman" w:eastAsia="Batang" w:hAnsi="Times New Roman" w:cs="Times New Roman" w:hint="default"/>
      </w:rPr>
    </w:lvl>
    <w:lvl w:ilvl="2">
      <w:start w:val="677"/>
      <w:numFmt w:val="bullet"/>
      <w:lvlText w:val="–"/>
      <w:lvlJc w:val="left"/>
      <w:pPr>
        <w:ind w:left="316" w:hanging="400"/>
      </w:pPr>
      <w:rPr>
        <w:rFonts w:ascii="Arial" w:hAnsi="Arial" w:hint="default"/>
      </w:rPr>
    </w:lvl>
    <w:lvl w:ilvl="3">
      <w:start w:val="1"/>
      <w:numFmt w:val="bullet"/>
      <w:lvlText w:val=""/>
      <w:lvlJc w:val="left"/>
      <w:pPr>
        <w:ind w:left="716" w:hanging="400"/>
      </w:pPr>
      <w:rPr>
        <w:rFonts w:ascii="Wingdings" w:hAnsi="Wingdings" w:hint="default"/>
      </w:rPr>
    </w:lvl>
    <w:lvl w:ilvl="4">
      <w:start w:val="1"/>
      <w:numFmt w:val="bullet"/>
      <w:lvlText w:val=""/>
      <w:lvlJc w:val="left"/>
      <w:pPr>
        <w:ind w:left="1116" w:hanging="400"/>
      </w:pPr>
      <w:rPr>
        <w:rFonts w:ascii="Wingdings" w:hAnsi="Wingdings" w:hint="default"/>
      </w:rPr>
    </w:lvl>
    <w:lvl w:ilvl="5">
      <w:start w:val="1"/>
      <w:numFmt w:val="bullet"/>
      <w:lvlText w:val=""/>
      <w:lvlJc w:val="left"/>
      <w:pPr>
        <w:ind w:left="1516" w:hanging="400"/>
      </w:pPr>
      <w:rPr>
        <w:rFonts w:ascii="Wingdings" w:hAnsi="Wingdings" w:hint="default"/>
      </w:rPr>
    </w:lvl>
    <w:lvl w:ilvl="6">
      <w:start w:val="1"/>
      <w:numFmt w:val="bullet"/>
      <w:lvlText w:val=""/>
      <w:lvlJc w:val="left"/>
      <w:pPr>
        <w:ind w:left="1916" w:hanging="400"/>
      </w:pPr>
      <w:rPr>
        <w:rFonts w:ascii="Wingdings" w:hAnsi="Wingdings" w:hint="default"/>
      </w:rPr>
    </w:lvl>
    <w:lvl w:ilvl="7">
      <w:start w:val="1"/>
      <w:numFmt w:val="bullet"/>
      <w:lvlText w:val=""/>
      <w:lvlJc w:val="left"/>
      <w:pPr>
        <w:ind w:left="2316" w:hanging="400"/>
      </w:pPr>
      <w:rPr>
        <w:rFonts w:ascii="Wingdings" w:hAnsi="Wingdings" w:hint="default"/>
      </w:rPr>
    </w:lvl>
    <w:lvl w:ilvl="8">
      <w:start w:val="1"/>
      <w:numFmt w:val="bullet"/>
      <w:lvlText w:val=""/>
      <w:lvlJc w:val="left"/>
      <w:pPr>
        <w:ind w:left="2716" w:hanging="400"/>
      </w:pPr>
      <w:rPr>
        <w:rFonts w:ascii="Wingdings" w:hAnsi="Wingdings" w:hint="default"/>
      </w:rPr>
    </w:lvl>
  </w:abstractNum>
  <w:abstractNum w:abstractNumId="9" w15:restartNumberingAfterBreak="0">
    <w:nsid w:val="2F312599"/>
    <w:multiLevelType w:val="multilevel"/>
    <w:tmpl w:val="2F312599"/>
    <w:lvl w:ilvl="0">
      <w:start w:val="8"/>
      <w:numFmt w:val="bullet"/>
      <w:lvlText w:val="-"/>
      <w:lvlJc w:val="left"/>
      <w:pPr>
        <w:ind w:left="470" w:hanging="420"/>
      </w:pPr>
      <w:rPr>
        <w:rFonts w:ascii="Times New Roman" w:eastAsia="SimSun" w:hAnsi="Times New Roman" w:cs="Times New Roman" w:hint="default"/>
      </w:rPr>
    </w:lvl>
    <w:lvl w:ilvl="1">
      <w:start w:val="1"/>
      <w:numFmt w:val="bullet"/>
      <w:lvlText w:val=""/>
      <w:lvlJc w:val="left"/>
      <w:pPr>
        <w:ind w:left="890" w:hanging="420"/>
      </w:pPr>
      <w:rPr>
        <w:rFonts w:ascii="Wingdings" w:hAnsi="Wingdings" w:hint="default"/>
      </w:rPr>
    </w:lvl>
    <w:lvl w:ilvl="2">
      <w:start w:val="1"/>
      <w:numFmt w:val="bullet"/>
      <w:lvlText w:val=""/>
      <w:lvlJc w:val="left"/>
      <w:pPr>
        <w:ind w:left="1310" w:hanging="420"/>
      </w:pPr>
      <w:rPr>
        <w:rFonts w:ascii="Wingdings" w:hAnsi="Wingdings" w:hint="default"/>
      </w:rPr>
    </w:lvl>
    <w:lvl w:ilvl="3">
      <w:start w:val="1"/>
      <w:numFmt w:val="bullet"/>
      <w:lvlText w:val=""/>
      <w:lvlJc w:val="left"/>
      <w:pPr>
        <w:ind w:left="1730" w:hanging="420"/>
      </w:pPr>
      <w:rPr>
        <w:rFonts w:ascii="Wingdings" w:hAnsi="Wingdings" w:hint="default"/>
      </w:rPr>
    </w:lvl>
    <w:lvl w:ilvl="4">
      <w:start w:val="1"/>
      <w:numFmt w:val="bullet"/>
      <w:lvlText w:val=""/>
      <w:lvlJc w:val="left"/>
      <w:pPr>
        <w:ind w:left="2150" w:hanging="420"/>
      </w:pPr>
      <w:rPr>
        <w:rFonts w:ascii="Wingdings" w:hAnsi="Wingdings" w:hint="default"/>
      </w:rPr>
    </w:lvl>
    <w:lvl w:ilvl="5">
      <w:start w:val="1"/>
      <w:numFmt w:val="bullet"/>
      <w:lvlText w:val=""/>
      <w:lvlJc w:val="left"/>
      <w:pPr>
        <w:ind w:left="2570" w:hanging="420"/>
      </w:pPr>
      <w:rPr>
        <w:rFonts w:ascii="Wingdings" w:hAnsi="Wingdings" w:hint="default"/>
      </w:rPr>
    </w:lvl>
    <w:lvl w:ilvl="6">
      <w:start w:val="1"/>
      <w:numFmt w:val="bullet"/>
      <w:lvlText w:val=""/>
      <w:lvlJc w:val="left"/>
      <w:pPr>
        <w:ind w:left="2990" w:hanging="420"/>
      </w:pPr>
      <w:rPr>
        <w:rFonts w:ascii="Wingdings" w:hAnsi="Wingdings" w:hint="default"/>
      </w:rPr>
    </w:lvl>
    <w:lvl w:ilvl="7">
      <w:start w:val="1"/>
      <w:numFmt w:val="bullet"/>
      <w:lvlText w:val=""/>
      <w:lvlJc w:val="left"/>
      <w:pPr>
        <w:ind w:left="3410" w:hanging="420"/>
      </w:pPr>
      <w:rPr>
        <w:rFonts w:ascii="Wingdings" w:hAnsi="Wingdings" w:hint="default"/>
      </w:rPr>
    </w:lvl>
    <w:lvl w:ilvl="8">
      <w:start w:val="1"/>
      <w:numFmt w:val="bullet"/>
      <w:lvlText w:val=""/>
      <w:lvlJc w:val="left"/>
      <w:pPr>
        <w:ind w:left="3830" w:hanging="420"/>
      </w:pPr>
      <w:rPr>
        <w:rFonts w:ascii="Wingdings" w:hAnsi="Wingdings" w:hint="default"/>
      </w:rPr>
    </w:lvl>
  </w:abstractNum>
  <w:abstractNum w:abstractNumId="10" w15:restartNumberingAfterBreak="0">
    <w:nsid w:val="34ED2A1F"/>
    <w:multiLevelType w:val="multilevel"/>
    <w:tmpl w:val="34ED2A1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3831796D"/>
    <w:multiLevelType w:val="multilevel"/>
    <w:tmpl w:val="3831796D"/>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B9C01AF"/>
    <w:multiLevelType w:val="multilevel"/>
    <w:tmpl w:val="3B9C01AF"/>
    <w:lvl w:ilvl="0">
      <w:start w:val="5"/>
      <w:numFmt w:val="bullet"/>
      <w:lvlText w:val="-"/>
      <w:lvlJc w:val="left"/>
      <w:pPr>
        <w:ind w:left="78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4916037B"/>
    <w:multiLevelType w:val="multilevel"/>
    <w:tmpl w:val="4916037B"/>
    <w:lvl w:ilvl="0">
      <w:start w:val="1"/>
      <w:numFmt w:val="bullet"/>
      <w:lvlText w:val=""/>
      <w:lvlJc w:val="left"/>
      <w:pPr>
        <w:ind w:left="-42" w:hanging="360"/>
      </w:pPr>
      <w:rPr>
        <w:rFonts w:ascii="Symbol" w:hAnsi="Symbol" w:hint="default"/>
      </w:rPr>
    </w:lvl>
    <w:lvl w:ilvl="1">
      <w:start w:val="1"/>
      <w:numFmt w:val="bullet"/>
      <w:lvlText w:val="o"/>
      <w:lvlJc w:val="left"/>
      <w:pPr>
        <w:ind w:left="678" w:hanging="360"/>
      </w:pPr>
      <w:rPr>
        <w:rFonts w:ascii="Courier New" w:hAnsi="Courier New" w:cs="Courier New" w:hint="default"/>
      </w:rPr>
    </w:lvl>
    <w:lvl w:ilvl="2">
      <w:start w:val="1"/>
      <w:numFmt w:val="bullet"/>
      <w:lvlText w:val=""/>
      <w:lvlJc w:val="left"/>
      <w:pPr>
        <w:ind w:left="1398" w:hanging="360"/>
      </w:pPr>
      <w:rPr>
        <w:rFonts w:ascii="Wingdings" w:hAnsi="Wingdings" w:hint="default"/>
      </w:rPr>
    </w:lvl>
    <w:lvl w:ilvl="3">
      <w:start w:val="1"/>
      <w:numFmt w:val="bullet"/>
      <w:lvlText w:val=""/>
      <w:lvlJc w:val="left"/>
      <w:pPr>
        <w:ind w:left="2118" w:hanging="360"/>
      </w:pPr>
      <w:rPr>
        <w:rFonts w:ascii="Symbol" w:hAnsi="Symbol" w:hint="default"/>
      </w:rPr>
    </w:lvl>
    <w:lvl w:ilvl="4">
      <w:start w:val="1"/>
      <w:numFmt w:val="bullet"/>
      <w:lvlText w:val="o"/>
      <w:lvlJc w:val="left"/>
      <w:pPr>
        <w:ind w:left="2838" w:hanging="360"/>
      </w:pPr>
      <w:rPr>
        <w:rFonts w:ascii="Courier New" w:hAnsi="Courier New" w:cs="Courier New" w:hint="default"/>
      </w:rPr>
    </w:lvl>
    <w:lvl w:ilvl="5">
      <w:start w:val="1"/>
      <w:numFmt w:val="bullet"/>
      <w:lvlText w:val=""/>
      <w:lvlJc w:val="left"/>
      <w:pPr>
        <w:ind w:left="3558" w:hanging="360"/>
      </w:pPr>
      <w:rPr>
        <w:rFonts w:ascii="Wingdings" w:hAnsi="Wingdings" w:hint="default"/>
      </w:rPr>
    </w:lvl>
    <w:lvl w:ilvl="6">
      <w:start w:val="1"/>
      <w:numFmt w:val="bullet"/>
      <w:lvlText w:val=""/>
      <w:lvlJc w:val="left"/>
      <w:pPr>
        <w:ind w:left="4278" w:hanging="360"/>
      </w:pPr>
      <w:rPr>
        <w:rFonts w:ascii="Symbol" w:hAnsi="Symbol" w:hint="default"/>
      </w:rPr>
    </w:lvl>
    <w:lvl w:ilvl="7">
      <w:start w:val="1"/>
      <w:numFmt w:val="bullet"/>
      <w:lvlText w:val="o"/>
      <w:lvlJc w:val="left"/>
      <w:pPr>
        <w:ind w:left="4998" w:hanging="360"/>
      </w:pPr>
      <w:rPr>
        <w:rFonts w:ascii="Courier New" w:hAnsi="Courier New" w:cs="Courier New" w:hint="default"/>
      </w:rPr>
    </w:lvl>
    <w:lvl w:ilvl="8">
      <w:start w:val="1"/>
      <w:numFmt w:val="bullet"/>
      <w:lvlText w:val=""/>
      <w:lvlJc w:val="left"/>
      <w:pPr>
        <w:ind w:left="5718" w:hanging="360"/>
      </w:pPr>
      <w:rPr>
        <w:rFonts w:ascii="Wingdings" w:hAnsi="Wingdings" w:hint="default"/>
      </w:rPr>
    </w:lvl>
  </w:abstractNum>
  <w:abstractNum w:abstractNumId="16"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7" w15:restartNumberingAfterBreak="0">
    <w:nsid w:val="4AEE5CCF"/>
    <w:multiLevelType w:val="multilevel"/>
    <w:tmpl w:val="4AEE5C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4CC450B0"/>
    <w:multiLevelType w:val="multilevel"/>
    <w:tmpl w:val="4CC450B0"/>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20" w15:restartNumberingAfterBreak="0">
    <w:nsid w:val="4DE1775D"/>
    <w:multiLevelType w:val="multilevel"/>
    <w:tmpl w:val="4DE177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2C808D9"/>
    <w:multiLevelType w:val="multilevel"/>
    <w:tmpl w:val="52C808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2FD4D0F"/>
    <w:multiLevelType w:val="multilevel"/>
    <w:tmpl w:val="62FD4D0F"/>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b/>
      </w:rPr>
    </w:lvl>
    <w:lvl w:ilvl="3">
      <w:start w:val="1"/>
      <w:numFmt w:val="decimal"/>
      <w:pStyle w:val="Heading4"/>
      <w:lvlText w:val="%1.%2.%3.%4"/>
      <w:lvlJc w:val="left"/>
      <w:pPr>
        <w:tabs>
          <w:tab w:val="left" w:pos="864"/>
        </w:tabs>
        <w:ind w:left="864" w:hanging="864"/>
      </w:pPr>
      <w:rPr>
        <w:rFonts w:hint="default"/>
        <w:b/>
      </w:rPr>
    </w:lvl>
    <w:lvl w:ilvl="4">
      <w:start w:val="1"/>
      <w:numFmt w:val="decimal"/>
      <w:pStyle w:val="Heading5"/>
      <w:lvlText w:val="%1.%2.%3.%4.%5"/>
      <w:lvlJc w:val="left"/>
      <w:pPr>
        <w:tabs>
          <w:tab w:val="left" w:pos="0"/>
        </w:tabs>
        <w:ind w:left="0" w:firstLine="0"/>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4" w15:restartNumberingAfterBreak="0">
    <w:nsid w:val="684E4F14"/>
    <w:multiLevelType w:val="multilevel"/>
    <w:tmpl w:val="684E4F14"/>
    <w:lvl w:ilvl="0">
      <w:start w:val="1"/>
      <w:numFmt w:val="bullet"/>
      <w:lvlText w:val=""/>
      <w:lvlJc w:val="left"/>
      <w:pPr>
        <w:ind w:left="2061" w:hanging="360"/>
      </w:pPr>
      <w:rPr>
        <w:rFonts w:ascii="Symbol" w:hAnsi="Symbol" w:hint="default"/>
      </w:rPr>
    </w:lvl>
    <w:lvl w:ilvl="1">
      <w:start w:val="1"/>
      <w:numFmt w:val="bullet"/>
      <w:lvlText w:val="o"/>
      <w:lvlJc w:val="left"/>
      <w:pPr>
        <w:ind w:left="2781" w:hanging="360"/>
      </w:pPr>
      <w:rPr>
        <w:rFonts w:ascii="Courier New" w:hAnsi="Courier New" w:cs="Courier New" w:hint="default"/>
      </w:rPr>
    </w:lvl>
    <w:lvl w:ilvl="2">
      <w:start w:val="1"/>
      <w:numFmt w:val="bullet"/>
      <w:lvlText w:val=""/>
      <w:lvlJc w:val="left"/>
      <w:pPr>
        <w:ind w:left="3501" w:hanging="360"/>
      </w:pPr>
      <w:rPr>
        <w:rFonts w:ascii="Wingdings" w:hAnsi="Wingdings" w:hint="default"/>
      </w:rPr>
    </w:lvl>
    <w:lvl w:ilvl="3">
      <w:start w:val="1"/>
      <w:numFmt w:val="bullet"/>
      <w:lvlText w:val=""/>
      <w:lvlJc w:val="left"/>
      <w:pPr>
        <w:ind w:left="4221" w:hanging="360"/>
      </w:pPr>
      <w:rPr>
        <w:rFonts w:ascii="Symbol" w:hAnsi="Symbol" w:hint="default"/>
      </w:rPr>
    </w:lvl>
    <w:lvl w:ilvl="4">
      <w:start w:val="1"/>
      <w:numFmt w:val="bullet"/>
      <w:lvlText w:val="o"/>
      <w:lvlJc w:val="left"/>
      <w:pPr>
        <w:ind w:left="4941" w:hanging="360"/>
      </w:pPr>
      <w:rPr>
        <w:rFonts w:ascii="Courier New" w:hAnsi="Courier New" w:cs="Courier New" w:hint="default"/>
      </w:rPr>
    </w:lvl>
    <w:lvl w:ilvl="5">
      <w:start w:val="1"/>
      <w:numFmt w:val="bullet"/>
      <w:lvlText w:val=""/>
      <w:lvlJc w:val="left"/>
      <w:pPr>
        <w:ind w:left="5661" w:hanging="360"/>
      </w:pPr>
      <w:rPr>
        <w:rFonts w:ascii="Wingdings" w:hAnsi="Wingdings" w:hint="default"/>
      </w:rPr>
    </w:lvl>
    <w:lvl w:ilvl="6">
      <w:start w:val="1"/>
      <w:numFmt w:val="bullet"/>
      <w:lvlText w:val=""/>
      <w:lvlJc w:val="left"/>
      <w:pPr>
        <w:ind w:left="6381" w:hanging="360"/>
      </w:pPr>
      <w:rPr>
        <w:rFonts w:ascii="Symbol" w:hAnsi="Symbol" w:hint="default"/>
      </w:rPr>
    </w:lvl>
    <w:lvl w:ilvl="7">
      <w:start w:val="1"/>
      <w:numFmt w:val="bullet"/>
      <w:lvlText w:val="o"/>
      <w:lvlJc w:val="left"/>
      <w:pPr>
        <w:ind w:left="7101" w:hanging="360"/>
      </w:pPr>
      <w:rPr>
        <w:rFonts w:ascii="Courier New" w:hAnsi="Courier New" w:cs="Courier New" w:hint="default"/>
      </w:rPr>
    </w:lvl>
    <w:lvl w:ilvl="8">
      <w:start w:val="1"/>
      <w:numFmt w:val="bullet"/>
      <w:lvlText w:val=""/>
      <w:lvlJc w:val="left"/>
      <w:pPr>
        <w:ind w:left="7821" w:hanging="360"/>
      </w:pPr>
      <w:rPr>
        <w:rFonts w:ascii="Wingdings" w:hAnsi="Wingdings" w:hint="default"/>
      </w:rPr>
    </w:lvl>
  </w:abstractNum>
  <w:abstractNum w:abstractNumId="25"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26"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7972CA5"/>
    <w:multiLevelType w:val="multilevel"/>
    <w:tmpl w:val="77972C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3"/>
  </w:num>
  <w:num w:numId="2">
    <w:abstractNumId w:val="1"/>
  </w:num>
  <w:num w:numId="3">
    <w:abstractNumId w:val="12"/>
  </w:num>
  <w:num w:numId="4">
    <w:abstractNumId w:val="25"/>
  </w:num>
  <w:num w:numId="5">
    <w:abstractNumId w:val="13"/>
  </w:num>
  <w:num w:numId="6">
    <w:abstractNumId w:val="8"/>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18"/>
  </w:num>
  <w:num w:numId="10">
    <w:abstractNumId w:val="16"/>
  </w:num>
  <w:num w:numId="11">
    <w:abstractNumId w:val="6"/>
  </w:num>
  <w:num w:numId="12">
    <w:abstractNumId w:val="2"/>
  </w:num>
  <w:num w:numId="13">
    <w:abstractNumId w:val="4"/>
  </w:num>
  <w:num w:numId="14">
    <w:abstractNumId w:val="27"/>
  </w:num>
  <w:num w:numId="15">
    <w:abstractNumId w:val="14"/>
  </w:num>
  <w:num w:numId="16">
    <w:abstractNumId w:val="5"/>
  </w:num>
  <w:num w:numId="17">
    <w:abstractNumId w:val="15"/>
  </w:num>
  <w:num w:numId="18">
    <w:abstractNumId w:val="17"/>
  </w:num>
  <w:num w:numId="19">
    <w:abstractNumId w:val="7"/>
  </w:num>
  <w:num w:numId="20">
    <w:abstractNumId w:val="19"/>
  </w:num>
  <w:num w:numId="21">
    <w:abstractNumId w:val="22"/>
  </w:num>
  <w:num w:numId="22">
    <w:abstractNumId w:val="3"/>
  </w:num>
  <w:num w:numId="23">
    <w:abstractNumId w:val="9"/>
  </w:num>
  <w:num w:numId="24">
    <w:abstractNumId w:val="11"/>
  </w:num>
  <w:num w:numId="25">
    <w:abstractNumId w:val="24"/>
  </w:num>
  <w:num w:numId="26">
    <w:abstractNumId w:val="20"/>
  </w:num>
  <w:num w:numId="27">
    <w:abstractNumId w:val="0"/>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hyphenationZone w:val="425"/>
  <w:drawingGridVerticalSpacing w:val="156"/>
  <w:displayHorizontalDrawingGridEvery w:val="0"/>
  <w:displayVerticalDrawingGridEvery w:val="2"/>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B0C"/>
    <w:rsid w:val="00000C7E"/>
    <w:rsid w:val="00000EE6"/>
    <w:rsid w:val="000014E3"/>
    <w:rsid w:val="00001CE9"/>
    <w:rsid w:val="000020FE"/>
    <w:rsid w:val="000022F3"/>
    <w:rsid w:val="00002C1A"/>
    <w:rsid w:val="00002D68"/>
    <w:rsid w:val="00003868"/>
    <w:rsid w:val="000038B5"/>
    <w:rsid w:val="00003C98"/>
    <w:rsid w:val="00003DA4"/>
    <w:rsid w:val="00004A73"/>
    <w:rsid w:val="00005154"/>
    <w:rsid w:val="000057D4"/>
    <w:rsid w:val="00005FE0"/>
    <w:rsid w:val="00006AE9"/>
    <w:rsid w:val="00007341"/>
    <w:rsid w:val="000105DB"/>
    <w:rsid w:val="00010C3C"/>
    <w:rsid w:val="00010DB8"/>
    <w:rsid w:val="00010EBF"/>
    <w:rsid w:val="00011030"/>
    <w:rsid w:val="000111B7"/>
    <w:rsid w:val="000112C7"/>
    <w:rsid w:val="00011ADE"/>
    <w:rsid w:val="00011FFD"/>
    <w:rsid w:val="000120E8"/>
    <w:rsid w:val="00012C5E"/>
    <w:rsid w:val="00012FCB"/>
    <w:rsid w:val="00012FCF"/>
    <w:rsid w:val="0001300A"/>
    <w:rsid w:val="00013484"/>
    <w:rsid w:val="00013504"/>
    <w:rsid w:val="00013DBD"/>
    <w:rsid w:val="000148FD"/>
    <w:rsid w:val="0001493B"/>
    <w:rsid w:val="00014BCA"/>
    <w:rsid w:val="0001512C"/>
    <w:rsid w:val="00015470"/>
    <w:rsid w:val="000157E1"/>
    <w:rsid w:val="000158E0"/>
    <w:rsid w:val="00016A7C"/>
    <w:rsid w:val="000170C5"/>
    <w:rsid w:val="000172E1"/>
    <w:rsid w:val="000174E9"/>
    <w:rsid w:val="0001751B"/>
    <w:rsid w:val="00017B47"/>
    <w:rsid w:val="00017E3A"/>
    <w:rsid w:val="000200EC"/>
    <w:rsid w:val="0002013D"/>
    <w:rsid w:val="0002042A"/>
    <w:rsid w:val="000209DD"/>
    <w:rsid w:val="00021E97"/>
    <w:rsid w:val="00021F55"/>
    <w:rsid w:val="000224DD"/>
    <w:rsid w:val="000230C7"/>
    <w:rsid w:val="00023F35"/>
    <w:rsid w:val="0002440D"/>
    <w:rsid w:val="0002444C"/>
    <w:rsid w:val="000244C3"/>
    <w:rsid w:val="00024EF8"/>
    <w:rsid w:val="00025535"/>
    <w:rsid w:val="000255A5"/>
    <w:rsid w:val="000255A9"/>
    <w:rsid w:val="00026440"/>
    <w:rsid w:val="00026932"/>
    <w:rsid w:val="00026BDA"/>
    <w:rsid w:val="00026C5D"/>
    <w:rsid w:val="00026F95"/>
    <w:rsid w:val="00026F97"/>
    <w:rsid w:val="0002736B"/>
    <w:rsid w:val="0002751C"/>
    <w:rsid w:val="0002768A"/>
    <w:rsid w:val="00027893"/>
    <w:rsid w:val="00027A17"/>
    <w:rsid w:val="00027D03"/>
    <w:rsid w:val="0003087E"/>
    <w:rsid w:val="00031654"/>
    <w:rsid w:val="0003166F"/>
    <w:rsid w:val="000317BB"/>
    <w:rsid w:val="00031C10"/>
    <w:rsid w:val="000323CA"/>
    <w:rsid w:val="0003269F"/>
    <w:rsid w:val="00032B90"/>
    <w:rsid w:val="00032C30"/>
    <w:rsid w:val="00033F68"/>
    <w:rsid w:val="00034225"/>
    <w:rsid w:val="00034347"/>
    <w:rsid w:val="00034540"/>
    <w:rsid w:val="00034A8D"/>
    <w:rsid w:val="00035731"/>
    <w:rsid w:val="00036461"/>
    <w:rsid w:val="000368AC"/>
    <w:rsid w:val="00036C07"/>
    <w:rsid w:val="00041804"/>
    <w:rsid w:val="00041E44"/>
    <w:rsid w:val="00041F26"/>
    <w:rsid w:val="00042F55"/>
    <w:rsid w:val="000437CD"/>
    <w:rsid w:val="00044966"/>
    <w:rsid w:val="00044C83"/>
    <w:rsid w:val="00044F67"/>
    <w:rsid w:val="00044FD0"/>
    <w:rsid w:val="00045189"/>
    <w:rsid w:val="000459DF"/>
    <w:rsid w:val="00045F1E"/>
    <w:rsid w:val="00046628"/>
    <w:rsid w:val="00046D23"/>
    <w:rsid w:val="00046EFB"/>
    <w:rsid w:val="0004703E"/>
    <w:rsid w:val="00047310"/>
    <w:rsid w:val="00047867"/>
    <w:rsid w:val="00047E8E"/>
    <w:rsid w:val="000500EE"/>
    <w:rsid w:val="000505D1"/>
    <w:rsid w:val="0005191F"/>
    <w:rsid w:val="00051965"/>
    <w:rsid w:val="00051D6E"/>
    <w:rsid w:val="00051E13"/>
    <w:rsid w:val="0005201F"/>
    <w:rsid w:val="00052460"/>
    <w:rsid w:val="0005323C"/>
    <w:rsid w:val="00053871"/>
    <w:rsid w:val="000538F4"/>
    <w:rsid w:val="00053A7D"/>
    <w:rsid w:val="00053C15"/>
    <w:rsid w:val="00053D69"/>
    <w:rsid w:val="00053E55"/>
    <w:rsid w:val="000544C2"/>
    <w:rsid w:val="000546A4"/>
    <w:rsid w:val="00054B86"/>
    <w:rsid w:val="0005510B"/>
    <w:rsid w:val="00055276"/>
    <w:rsid w:val="00055487"/>
    <w:rsid w:val="000559CF"/>
    <w:rsid w:val="00055EA4"/>
    <w:rsid w:val="00056541"/>
    <w:rsid w:val="0005664D"/>
    <w:rsid w:val="00056B9C"/>
    <w:rsid w:val="000571E0"/>
    <w:rsid w:val="00057482"/>
    <w:rsid w:val="000574A8"/>
    <w:rsid w:val="000575AE"/>
    <w:rsid w:val="00057A67"/>
    <w:rsid w:val="0006003E"/>
    <w:rsid w:val="00060F7E"/>
    <w:rsid w:val="00061114"/>
    <w:rsid w:val="00061374"/>
    <w:rsid w:val="00061786"/>
    <w:rsid w:val="000617AC"/>
    <w:rsid w:val="00061B6A"/>
    <w:rsid w:val="00061BAB"/>
    <w:rsid w:val="00061CC0"/>
    <w:rsid w:val="00061EB0"/>
    <w:rsid w:val="00062275"/>
    <w:rsid w:val="000622CB"/>
    <w:rsid w:val="000625EB"/>
    <w:rsid w:val="000629DD"/>
    <w:rsid w:val="00062A20"/>
    <w:rsid w:val="000633DA"/>
    <w:rsid w:val="00064607"/>
    <w:rsid w:val="00064735"/>
    <w:rsid w:val="00064A7A"/>
    <w:rsid w:val="00064E50"/>
    <w:rsid w:val="00065337"/>
    <w:rsid w:val="00065643"/>
    <w:rsid w:val="000657FA"/>
    <w:rsid w:val="00065F92"/>
    <w:rsid w:val="00066409"/>
    <w:rsid w:val="000667BB"/>
    <w:rsid w:val="00066C57"/>
    <w:rsid w:val="00067AB8"/>
    <w:rsid w:val="00067CA1"/>
    <w:rsid w:val="00070616"/>
    <w:rsid w:val="0007066F"/>
    <w:rsid w:val="00070681"/>
    <w:rsid w:val="000706A4"/>
    <w:rsid w:val="00070EEE"/>
    <w:rsid w:val="0007158A"/>
    <w:rsid w:val="000718E1"/>
    <w:rsid w:val="00072858"/>
    <w:rsid w:val="000736C3"/>
    <w:rsid w:val="000742F8"/>
    <w:rsid w:val="00074305"/>
    <w:rsid w:val="000747CD"/>
    <w:rsid w:val="00074E35"/>
    <w:rsid w:val="0007517E"/>
    <w:rsid w:val="00075603"/>
    <w:rsid w:val="0007579D"/>
    <w:rsid w:val="000757B2"/>
    <w:rsid w:val="00076702"/>
    <w:rsid w:val="0007693B"/>
    <w:rsid w:val="00077628"/>
    <w:rsid w:val="00077E0D"/>
    <w:rsid w:val="000801B7"/>
    <w:rsid w:val="0008071E"/>
    <w:rsid w:val="000813FF"/>
    <w:rsid w:val="000828DE"/>
    <w:rsid w:val="00082E50"/>
    <w:rsid w:val="00083442"/>
    <w:rsid w:val="000836C4"/>
    <w:rsid w:val="00083735"/>
    <w:rsid w:val="0008417F"/>
    <w:rsid w:val="00084630"/>
    <w:rsid w:val="000847E5"/>
    <w:rsid w:val="0008491A"/>
    <w:rsid w:val="000853B9"/>
    <w:rsid w:val="0008569D"/>
    <w:rsid w:val="00085E6A"/>
    <w:rsid w:val="00086611"/>
    <w:rsid w:val="0008661C"/>
    <w:rsid w:val="000866C9"/>
    <w:rsid w:val="00086775"/>
    <w:rsid w:val="000867DD"/>
    <w:rsid w:val="00086D30"/>
    <w:rsid w:val="0008710B"/>
    <w:rsid w:val="00087592"/>
    <w:rsid w:val="00090134"/>
    <w:rsid w:val="00090276"/>
    <w:rsid w:val="00091028"/>
    <w:rsid w:val="000913C7"/>
    <w:rsid w:val="00091C85"/>
    <w:rsid w:val="00092FA9"/>
    <w:rsid w:val="0009325E"/>
    <w:rsid w:val="000934CA"/>
    <w:rsid w:val="00093507"/>
    <w:rsid w:val="00094D54"/>
    <w:rsid w:val="00095DCA"/>
    <w:rsid w:val="0009610E"/>
    <w:rsid w:val="0009615C"/>
    <w:rsid w:val="00096296"/>
    <w:rsid w:val="00096873"/>
    <w:rsid w:val="00096B94"/>
    <w:rsid w:val="00096DAB"/>
    <w:rsid w:val="00096F97"/>
    <w:rsid w:val="000970AC"/>
    <w:rsid w:val="00097407"/>
    <w:rsid w:val="00097677"/>
    <w:rsid w:val="00097768"/>
    <w:rsid w:val="00097986"/>
    <w:rsid w:val="00097BCB"/>
    <w:rsid w:val="000A0150"/>
    <w:rsid w:val="000A03CA"/>
    <w:rsid w:val="000A106A"/>
    <w:rsid w:val="000A1204"/>
    <w:rsid w:val="000A1FC8"/>
    <w:rsid w:val="000A207A"/>
    <w:rsid w:val="000A21EA"/>
    <w:rsid w:val="000A276C"/>
    <w:rsid w:val="000A2BB8"/>
    <w:rsid w:val="000A2F8D"/>
    <w:rsid w:val="000A31DC"/>
    <w:rsid w:val="000A350B"/>
    <w:rsid w:val="000A36C8"/>
    <w:rsid w:val="000A39D4"/>
    <w:rsid w:val="000A3EFF"/>
    <w:rsid w:val="000A4240"/>
    <w:rsid w:val="000A4B90"/>
    <w:rsid w:val="000A4FAB"/>
    <w:rsid w:val="000A595A"/>
    <w:rsid w:val="000A5F4B"/>
    <w:rsid w:val="000A6052"/>
    <w:rsid w:val="000A6702"/>
    <w:rsid w:val="000A69B8"/>
    <w:rsid w:val="000A6F0C"/>
    <w:rsid w:val="000A7A02"/>
    <w:rsid w:val="000A7A1D"/>
    <w:rsid w:val="000B0055"/>
    <w:rsid w:val="000B0569"/>
    <w:rsid w:val="000B05D3"/>
    <w:rsid w:val="000B1654"/>
    <w:rsid w:val="000B1725"/>
    <w:rsid w:val="000B17AE"/>
    <w:rsid w:val="000B1BC1"/>
    <w:rsid w:val="000B1DB6"/>
    <w:rsid w:val="000B26D8"/>
    <w:rsid w:val="000B280A"/>
    <w:rsid w:val="000B2C1F"/>
    <w:rsid w:val="000B3454"/>
    <w:rsid w:val="000B3585"/>
    <w:rsid w:val="000B361C"/>
    <w:rsid w:val="000B3895"/>
    <w:rsid w:val="000B391F"/>
    <w:rsid w:val="000B3B8B"/>
    <w:rsid w:val="000B4764"/>
    <w:rsid w:val="000B4A26"/>
    <w:rsid w:val="000B51D2"/>
    <w:rsid w:val="000B526E"/>
    <w:rsid w:val="000B5836"/>
    <w:rsid w:val="000B5D4F"/>
    <w:rsid w:val="000B5D92"/>
    <w:rsid w:val="000B654A"/>
    <w:rsid w:val="000B73A5"/>
    <w:rsid w:val="000B76E4"/>
    <w:rsid w:val="000B78BC"/>
    <w:rsid w:val="000B7974"/>
    <w:rsid w:val="000C0609"/>
    <w:rsid w:val="000C0A0F"/>
    <w:rsid w:val="000C0F47"/>
    <w:rsid w:val="000C1594"/>
    <w:rsid w:val="000C16C1"/>
    <w:rsid w:val="000C2AFF"/>
    <w:rsid w:val="000C30EC"/>
    <w:rsid w:val="000C3109"/>
    <w:rsid w:val="000C33D6"/>
    <w:rsid w:val="000C46CD"/>
    <w:rsid w:val="000C5555"/>
    <w:rsid w:val="000C5EA0"/>
    <w:rsid w:val="000C5EEA"/>
    <w:rsid w:val="000C6197"/>
    <w:rsid w:val="000C61FC"/>
    <w:rsid w:val="000C6549"/>
    <w:rsid w:val="000C6649"/>
    <w:rsid w:val="000C6A1F"/>
    <w:rsid w:val="000C7018"/>
    <w:rsid w:val="000C7127"/>
    <w:rsid w:val="000C7520"/>
    <w:rsid w:val="000C7AA9"/>
    <w:rsid w:val="000C7AC3"/>
    <w:rsid w:val="000C7DB7"/>
    <w:rsid w:val="000C7F32"/>
    <w:rsid w:val="000D0B4D"/>
    <w:rsid w:val="000D15A0"/>
    <w:rsid w:val="000D1C04"/>
    <w:rsid w:val="000D1D12"/>
    <w:rsid w:val="000D1E14"/>
    <w:rsid w:val="000D1ECC"/>
    <w:rsid w:val="000D2F3E"/>
    <w:rsid w:val="000D3A9A"/>
    <w:rsid w:val="000D3E4E"/>
    <w:rsid w:val="000D41D5"/>
    <w:rsid w:val="000D447F"/>
    <w:rsid w:val="000D4BEB"/>
    <w:rsid w:val="000D4E0E"/>
    <w:rsid w:val="000D5125"/>
    <w:rsid w:val="000D5337"/>
    <w:rsid w:val="000D5A61"/>
    <w:rsid w:val="000D5DF4"/>
    <w:rsid w:val="000D616D"/>
    <w:rsid w:val="000D6A75"/>
    <w:rsid w:val="000D7302"/>
    <w:rsid w:val="000D7FF5"/>
    <w:rsid w:val="000E0688"/>
    <w:rsid w:val="000E0870"/>
    <w:rsid w:val="000E0FC7"/>
    <w:rsid w:val="000E10C2"/>
    <w:rsid w:val="000E1399"/>
    <w:rsid w:val="000E1875"/>
    <w:rsid w:val="000E1D52"/>
    <w:rsid w:val="000E1E48"/>
    <w:rsid w:val="000E1F34"/>
    <w:rsid w:val="000E3D86"/>
    <w:rsid w:val="000E3DCB"/>
    <w:rsid w:val="000E4301"/>
    <w:rsid w:val="000E4625"/>
    <w:rsid w:val="000E4C00"/>
    <w:rsid w:val="000E533B"/>
    <w:rsid w:val="000E5434"/>
    <w:rsid w:val="000E54DF"/>
    <w:rsid w:val="000E5B94"/>
    <w:rsid w:val="000E5FF0"/>
    <w:rsid w:val="000E669B"/>
    <w:rsid w:val="000E6D62"/>
    <w:rsid w:val="000E7170"/>
    <w:rsid w:val="000E71BF"/>
    <w:rsid w:val="000E73AF"/>
    <w:rsid w:val="000E7EFB"/>
    <w:rsid w:val="000F01F5"/>
    <w:rsid w:val="000F064D"/>
    <w:rsid w:val="000F097E"/>
    <w:rsid w:val="000F0AEF"/>
    <w:rsid w:val="000F0EEC"/>
    <w:rsid w:val="000F0FDA"/>
    <w:rsid w:val="000F13AB"/>
    <w:rsid w:val="000F1AF3"/>
    <w:rsid w:val="000F1E4E"/>
    <w:rsid w:val="000F2093"/>
    <w:rsid w:val="000F2380"/>
    <w:rsid w:val="000F2762"/>
    <w:rsid w:val="000F27D1"/>
    <w:rsid w:val="000F28AF"/>
    <w:rsid w:val="000F2926"/>
    <w:rsid w:val="000F2A0B"/>
    <w:rsid w:val="000F2A70"/>
    <w:rsid w:val="000F3331"/>
    <w:rsid w:val="000F36F3"/>
    <w:rsid w:val="000F3835"/>
    <w:rsid w:val="000F3D0B"/>
    <w:rsid w:val="000F3E48"/>
    <w:rsid w:val="000F405E"/>
    <w:rsid w:val="000F455E"/>
    <w:rsid w:val="000F4EEB"/>
    <w:rsid w:val="000F4F88"/>
    <w:rsid w:val="000F5184"/>
    <w:rsid w:val="000F5523"/>
    <w:rsid w:val="000F55B2"/>
    <w:rsid w:val="000F5D01"/>
    <w:rsid w:val="000F63F3"/>
    <w:rsid w:val="000F6634"/>
    <w:rsid w:val="000F6B1D"/>
    <w:rsid w:val="000F6DD8"/>
    <w:rsid w:val="000F7176"/>
    <w:rsid w:val="000F75CD"/>
    <w:rsid w:val="000F7887"/>
    <w:rsid w:val="000F7D4A"/>
    <w:rsid w:val="00100025"/>
    <w:rsid w:val="0010061A"/>
    <w:rsid w:val="00100C9A"/>
    <w:rsid w:val="00100D34"/>
    <w:rsid w:val="0010109B"/>
    <w:rsid w:val="00101C0A"/>
    <w:rsid w:val="00101F9A"/>
    <w:rsid w:val="001024CA"/>
    <w:rsid w:val="0010276E"/>
    <w:rsid w:val="00102C81"/>
    <w:rsid w:val="00102CC4"/>
    <w:rsid w:val="001031A4"/>
    <w:rsid w:val="001032FC"/>
    <w:rsid w:val="0010332A"/>
    <w:rsid w:val="001035EB"/>
    <w:rsid w:val="0010384F"/>
    <w:rsid w:val="0010394E"/>
    <w:rsid w:val="0010409D"/>
    <w:rsid w:val="0010434A"/>
    <w:rsid w:val="00105522"/>
    <w:rsid w:val="001056F1"/>
    <w:rsid w:val="001059E5"/>
    <w:rsid w:val="00105DBC"/>
    <w:rsid w:val="00105F65"/>
    <w:rsid w:val="00106EEF"/>
    <w:rsid w:val="0010765E"/>
    <w:rsid w:val="001076E8"/>
    <w:rsid w:val="00110554"/>
    <w:rsid w:val="00110927"/>
    <w:rsid w:val="001109C0"/>
    <w:rsid w:val="00110AE4"/>
    <w:rsid w:val="00110C5A"/>
    <w:rsid w:val="00110D83"/>
    <w:rsid w:val="00111462"/>
    <w:rsid w:val="00111493"/>
    <w:rsid w:val="00111C29"/>
    <w:rsid w:val="00112870"/>
    <w:rsid w:val="00112883"/>
    <w:rsid w:val="00112AAA"/>
    <w:rsid w:val="00112DE6"/>
    <w:rsid w:val="001138C2"/>
    <w:rsid w:val="00113D87"/>
    <w:rsid w:val="001147ED"/>
    <w:rsid w:val="00114845"/>
    <w:rsid w:val="001150DF"/>
    <w:rsid w:val="001155A1"/>
    <w:rsid w:val="001157E3"/>
    <w:rsid w:val="00115D0D"/>
    <w:rsid w:val="001164BE"/>
    <w:rsid w:val="00116D02"/>
    <w:rsid w:val="00117348"/>
    <w:rsid w:val="001179E1"/>
    <w:rsid w:val="00117E5B"/>
    <w:rsid w:val="001201A2"/>
    <w:rsid w:val="00120A33"/>
    <w:rsid w:val="00120E57"/>
    <w:rsid w:val="00120F18"/>
    <w:rsid w:val="00120F2F"/>
    <w:rsid w:val="0012118E"/>
    <w:rsid w:val="001214DD"/>
    <w:rsid w:val="00121D19"/>
    <w:rsid w:val="00121FC4"/>
    <w:rsid w:val="0012208B"/>
    <w:rsid w:val="00122369"/>
    <w:rsid w:val="00122CAD"/>
    <w:rsid w:val="001230FE"/>
    <w:rsid w:val="0012324E"/>
    <w:rsid w:val="00123B36"/>
    <w:rsid w:val="00123B46"/>
    <w:rsid w:val="001243F3"/>
    <w:rsid w:val="00124CEF"/>
    <w:rsid w:val="00125382"/>
    <w:rsid w:val="001269FF"/>
    <w:rsid w:val="00126E55"/>
    <w:rsid w:val="00127A5B"/>
    <w:rsid w:val="00127FAD"/>
    <w:rsid w:val="00130373"/>
    <w:rsid w:val="00130BB0"/>
    <w:rsid w:val="001311E4"/>
    <w:rsid w:val="00131986"/>
    <w:rsid w:val="00131FC1"/>
    <w:rsid w:val="00132F7E"/>
    <w:rsid w:val="00133C1F"/>
    <w:rsid w:val="00134E29"/>
    <w:rsid w:val="001351A3"/>
    <w:rsid w:val="0013532C"/>
    <w:rsid w:val="00135433"/>
    <w:rsid w:val="0013558E"/>
    <w:rsid w:val="001356FB"/>
    <w:rsid w:val="0013741D"/>
    <w:rsid w:val="0013750F"/>
    <w:rsid w:val="00137A73"/>
    <w:rsid w:val="0014091B"/>
    <w:rsid w:val="00140944"/>
    <w:rsid w:val="00143303"/>
    <w:rsid w:val="001436F6"/>
    <w:rsid w:val="00143856"/>
    <w:rsid w:val="00143A6D"/>
    <w:rsid w:val="00143BCF"/>
    <w:rsid w:val="001442B6"/>
    <w:rsid w:val="001442E5"/>
    <w:rsid w:val="001444F0"/>
    <w:rsid w:val="0014494E"/>
    <w:rsid w:val="00144E5D"/>
    <w:rsid w:val="001453BC"/>
    <w:rsid w:val="0014593B"/>
    <w:rsid w:val="00145E65"/>
    <w:rsid w:val="00145F55"/>
    <w:rsid w:val="00146314"/>
    <w:rsid w:val="0014673B"/>
    <w:rsid w:val="00146A57"/>
    <w:rsid w:val="00146BA8"/>
    <w:rsid w:val="00146F76"/>
    <w:rsid w:val="001479DD"/>
    <w:rsid w:val="00147EEB"/>
    <w:rsid w:val="001503D5"/>
    <w:rsid w:val="001507C2"/>
    <w:rsid w:val="0015084A"/>
    <w:rsid w:val="00150EEC"/>
    <w:rsid w:val="00151139"/>
    <w:rsid w:val="0015168C"/>
    <w:rsid w:val="001517DE"/>
    <w:rsid w:val="00151E46"/>
    <w:rsid w:val="001521D4"/>
    <w:rsid w:val="001522EE"/>
    <w:rsid w:val="00152562"/>
    <w:rsid w:val="001525BB"/>
    <w:rsid w:val="00152716"/>
    <w:rsid w:val="00152F33"/>
    <w:rsid w:val="001530C2"/>
    <w:rsid w:val="001531CF"/>
    <w:rsid w:val="00153622"/>
    <w:rsid w:val="001540CC"/>
    <w:rsid w:val="00154136"/>
    <w:rsid w:val="00154870"/>
    <w:rsid w:val="00154994"/>
    <w:rsid w:val="00155328"/>
    <w:rsid w:val="001554D8"/>
    <w:rsid w:val="00155D73"/>
    <w:rsid w:val="00156735"/>
    <w:rsid w:val="001569A7"/>
    <w:rsid w:val="00160814"/>
    <w:rsid w:val="00160C75"/>
    <w:rsid w:val="00161677"/>
    <w:rsid w:val="001626B9"/>
    <w:rsid w:val="00162EAC"/>
    <w:rsid w:val="00163079"/>
    <w:rsid w:val="00163590"/>
    <w:rsid w:val="00163687"/>
    <w:rsid w:val="00163EC1"/>
    <w:rsid w:val="00164B02"/>
    <w:rsid w:val="00165E72"/>
    <w:rsid w:val="00166908"/>
    <w:rsid w:val="00166A3D"/>
    <w:rsid w:val="00166A52"/>
    <w:rsid w:val="00166EE1"/>
    <w:rsid w:val="0016723D"/>
    <w:rsid w:val="0016734E"/>
    <w:rsid w:val="00167B05"/>
    <w:rsid w:val="001700F7"/>
    <w:rsid w:val="00170378"/>
    <w:rsid w:val="00171520"/>
    <w:rsid w:val="001715D2"/>
    <w:rsid w:val="001718B6"/>
    <w:rsid w:val="00171B83"/>
    <w:rsid w:val="00172556"/>
    <w:rsid w:val="00172868"/>
    <w:rsid w:val="0017293C"/>
    <w:rsid w:val="00172A27"/>
    <w:rsid w:val="00172B09"/>
    <w:rsid w:val="0017316A"/>
    <w:rsid w:val="0017365C"/>
    <w:rsid w:val="00174204"/>
    <w:rsid w:val="0017437A"/>
    <w:rsid w:val="00174503"/>
    <w:rsid w:val="0017482D"/>
    <w:rsid w:val="00174C2D"/>
    <w:rsid w:val="0017554A"/>
    <w:rsid w:val="00175A5F"/>
    <w:rsid w:val="00176496"/>
    <w:rsid w:val="00176692"/>
    <w:rsid w:val="00176B1B"/>
    <w:rsid w:val="00180085"/>
    <w:rsid w:val="0018033D"/>
    <w:rsid w:val="0018088A"/>
    <w:rsid w:val="00180AC2"/>
    <w:rsid w:val="00180D96"/>
    <w:rsid w:val="00180F1B"/>
    <w:rsid w:val="00181796"/>
    <w:rsid w:val="00181F3A"/>
    <w:rsid w:val="00182313"/>
    <w:rsid w:val="001823C7"/>
    <w:rsid w:val="00182A67"/>
    <w:rsid w:val="001830E3"/>
    <w:rsid w:val="00183414"/>
    <w:rsid w:val="00183896"/>
    <w:rsid w:val="001845C3"/>
    <w:rsid w:val="0018463C"/>
    <w:rsid w:val="0018540A"/>
    <w:rsid w:val="00185B5B"/>
    <w:rsid w:val="00185EA9"/>
    <w:rsid w:val="00186374"/>
    <w:rsid w:val="00186606"/>
    <w:rsid w:val="00186BB3"/>
    <w:rsid w:val="00186F19"/>
    <w:rsid w:val="00187FEF"/>
    <w:rsid w:val="0019007A"/>
    <w:rsid w:val="0019039D"/>
    <w:rsid w:val="001903D5"/>
    <w:rsid w:val="00190C36"/>
    <w:rsid w:val="001912ED"/>
    <w:rsid w:val="001914B6"/>
    <w:rsid w:val="00191538"/>
    <w:rsid w:val="00191A12"/>
    <w:rsid w:val="00191C57"/>
    <w:rsid w:val="00192705"/>
    <w:rsid w:val="001930BF"/>
    <w:rsid w:val="00193852"/>
    <w:rsid w:val="00193DBE"/>
    <w:rsid w:val="00194232"/>
    <w:rsid w:val="001944E1"/>
    <w:rsid w:val="00194B89"/>
    <w:rsid w:val="00194DDF"/>
    <w:rsid w:val="001953C2"/>
    <w:rsid w:val="00195C04"/>
    <w:rsid w:val="00195F90"/>
    <w:rsid w:val="001964DA"/>
    <w:rsid w:val="001967A6"/>
    <w:rsid w:val="001967E6"/>
    <w:rsid w:val="00196F3E"/>
    <w:rsid w:val="0019744E"/>
    <w:rsid w:val="001A0200"/>
    <w:rsid w:val="001A07C5"/>
    <w:rsid w:val="001A0C6A"/>
    <w:rsid w:val="001A0E29"/>
    <w:rsid w:val="001A0E57"/>
    <w:rsid w:val="001A12CE"/>
    <w:rsid w:val="001A1CC5"/>
    <w:rsid w:val="001A2CC3"/>
    <w:rsid w:val="001A2DC8"/>
    <w:rsid w:val="001A4370"/>
    <w:rsid w:val="001A4644"/>
    <w:rsid w:val="001A550B"/>
    <w:rsid w:val="001A5BC1"/>
    <w:rsid w:val="001A5C87"/>
    <w:rsid w:val="001A5EC6"/>
    <w:rsid w:val="001A6781"/>
    <w:rsid w:val="001B018C"/>
    <w:rsid w:val="001B036F"/>
    <w:rsid w:val="001B056B"/>
    <w:rsid w:val="001B0E7B"/>
    <w:rsid w:val="001B1194"/>
    <w:rsid w:val="001B1436"/>
    <w:rsid w:val="001B168B"/>
    <w:rsid w:val="001B20BF"/>
    <w:rsid w:val="001B215E"/>
    <w:rsid w:val="001B2A24"/>
    <w:rsid w:val="001B2B12"/>
    <w:rsid w:val="001B2C45"/>
    <w:rsid w:val="001B3142"/>
    <w:rsid w:val="001B3335"/>
    <w:rsid w:val="001B3FF5"/>
    <w:rsid w:val="001B4152"/>
    <w:rsid w:val="001B4927"/>
    <w:rsid w:val="001B534A"/>
    <w:rsid w:val="001B5548"/>
    <w:rsid w:val="001B56A6"/>
    <w:rsid w:val="001B5764"/>
    <w:rsid w:val="001B5A98"/>
    <w:rsid w:val="001B5BCC"/>
    <w:rsid w:val="001B6688"/>
    <w:rsid w:val="001B6930"/>
    <w:rsid w:val="001B69E9"/>
    <w:rsid w:val="001B7171"/>
    <w:rsid w:val="001B7489"/>
    <w:rsid w:val="001B7C53"/>
    <w:rsid w:val="001C0303"/>
    <w:rsid w:val="001C0557"/>
    <w:rsid w:val="001C0892"/>
    <w:rsid w:val="001C0C0B"/>
    <w:rsid w:val="001C0D22"/>
    <w:rsid w:val="001C0EE1"/>
    <w:rsid w:val="001C0F94"/>
    <w:rsid w:val="001C192D"/>
    <w:rsid w:val="001C22B7"/>
    <w:rsid w:val="001C22C8"/>
    <w:rsid w:val="001C2360"/>
    <w:rsid w:val="001C24E0"/>
    <w:rsid w:val="001C2715"/>
    <w:rsid w:val="001C2A48"/>
    <w:rsid w:val="001C2A9E"/>
    <w:rsid w:val="001C2AB7"/>
    <w:rsid w:val="001C2E5D"/>
    <w:rsid w:val="001C2E90"/>
    <w:rsid w:val="001C3233"/>
    <w:rsid w:val="001C3305"/>
    <w:rsid w:val="001C380E"/>
    <w:rsid w:val="001C3B14"/>
    <w:rsid w:val="001C3BB4"/>
    <w:rsid w:val="001C3DCD"/>
    <w:rsid w:val="001C3EA3"/>
    <w:rsid w:val="001C462B"/>
    <w:rsid w:val="001C4895"/>
    <w:rsid w:val="001C4C9C"/>
    <w:rsid w:val="001C5117"/>
    <w:rsid w:val="001C53BB"/>
    <w:rsid w:val="001C572A"/>
    <w:rsid w:val="001C5B4B"/>
    <w:rsid w:val="001C6277"/>
    <w:rsid w:val="001D00B5"/>
    <w:rsid w:val="001D0813"/>
    <w:rsid w:val="001D1355"/>
    <w:rsid w:val="001D1530"/>
    <w:rsid w:val="001D177E"/>
    <w:rsid w:val="001D1AF3"/>
    <w:rsid w:val="001D1B9E"/>
    <w:rsid w:val="001D2B05"/>
    <w:rsid w:val="001D2D89"/>
    <w:rsid w:val="001D3A63"/>
    <w:rsid w:val="001D3E61"/>
    <w:rsid w:val="001D3F39"/>
    <w:rsid w:val="001D506C"/>
    <w:rsid w:val="001D536A"/>
    <w:rsid w:val="001D5C31"/>
    <w:rsid w:val="001D5D85"/>
    <w:rsid w:val="001D6D5D"/>
    <w:rsid w:val="001D7027"/>
    <w:rsid w:val="001D738F"/>
    <w:rsid w:val="001D7A0B"/>
    <w:rsid w:val="001E0025"/>
    <w:rsid w:val="001E19C4"/>
    <w:rsid w:val="001E1A9F"/>
    <w:rsid w:val="001E21E3"/>
    <w:rsid w:val="001E245A"/>
    <w:rsid w:val="001E2873"/>
    <w:rsid w:val="001E2C98"/>
    <w:rsid w:val="001E2DB1"/>
    <w:rsid w:val="001E31F2"/>
    <w:rsid w:val="001E323F"/>
    <w:rsid w:val="001E3F2E"/>
    <w:rsid w:val="001E3FF0"/>
    <w:rsid w:val="001E4579"/>
    <w:rsid w:val="001E5531"/>
    <w:rsid w:val="001E5A29"/>
    <w:rsid w:val="001E5BA5"/>
    <w:rsid w:val="001E5F0B"/>
    <w:rsid w:val="001E5FA9"/>
    <w:rsid w:val="001E60CE"/>
    <w:rsid w:val="001E628E"/>
    <w:rsid w:val="001E6CEC"/>
    <w:rsid w:val="001E6CFD"/>
    <w:rsid w:val="001E6FC1"/>
    <w:rsid w:val="001E720C"/>
    <w:rsid w:val="001E756B"/>
    <w:rsid w:val="001E7A56"/>
    <w:rsid w:val="001E7AD4"/>
    <w:rsid w:val="001F017A"/>
    <w:rsid w:val="001F20B0"/>
    <w:rsid w:val="001F261F"/>
    <w:rsid w:val="001F2A04"/>
    <w:rsid w:val="001F3016"/>
    <w:rsid w:val="001F34CF"/>
    <w:rsid w:val="001F3FBF"/>
    <w:rsid w:val="001F432F"/>
    <w:rsid w:val="001F44B6"/>
    <w:rsid w:val="001F5BF9"/>
    <w:rsid w:val="001F5DCB"/>
    <w:rsid w:val="001F6122"/>
    <w:rsid w:val="001F618F"/>
    <w:rsid w:val="001F65BD"/>
    <w:rsid w:val="001F6690"/>
    <w:rsid w:val="001F724C"/>
    <w:rsid w:val="001F792B"/>
    <w:rsid w:val="001F7A66"/>
    <w:rsid w:val="001F7C0A"/>
    <w:rsid w:val="001F7CA1"/>
    <w:rsid w:val="00200BB8"/>
    <w:rsid w:val="00200DC2"/>
    <w:rsid w:val="00200E25"/>
    <w:rsid w:val="00200FFF"/>
    <w:rsid w:val="002020F2"/>
    <w:rsid w:val="0020229E"/>
    <w:rsid w:val="002034AD"/>
    <w:rsid w:val="00203F67"/>
    <w:rsid w:val="00204575"/>
    <w:rsid w:val="0020472A"/>
    <w:rsid w:val="00204766"/>
    <w:rsid w:val="0020619A"/>
    <w:rsid w:val="00206360"/>
    <w:rsid w:val="0020667C"/>
    <w:rsid w:val="00206C01"/>
    <w:rsid w:val="00206ED2"/>
    <w:rsid w:val="00207AEC"/>
    <w:rsid w:val="002104BB"/>
    <w:rsid w:val="00210B54"/>
    <w:rsid w:val="00210F5A"/>
    <w:rsid w:val="00211B73"/>
    <w:rsid w:val="00211D14"/>
    <w:rsid w:val="0021254B"/>
    <w:rsid w:val="00212A0B"/>
    <w:rsid w:val="00212E41"/>
    <w:rsid w:val="00212E7C"/>
    <w:rsid w:val="00213362"/>
    <w:rsid w:val="00213ADB"/>
    <w:rsid w:val="00213BA3"/>
    <w:rsid w:val="00213E75"/>
    <w:rsid w:val="002147B2"/>
    <w:rsid w:val="00214926"/>
    <w:rsid w:val="00215450"/>
    <w:rsid w:val="00215B09"/>
    <w:rsid w:val="00216BC1"/>
    <w:rsid w:val="002172CD"/>
    <w:rsid w:val="00220502"/>
    <w:rsid w:val="00220579"/>
    <w:rsid w:val="00220850"/>
    <w:rsid w:val="00220CF1"/>
    <w:rsid w:val="002214A3"/>
    <w:rsid w:val="002219F8"/>
    <w:rsid w:val="00221A5C"/>
    <w:rsid w:val="00221AC8"/>
    <w:rsid w:val="0022258D"/>
    <w:rsid w:val="00222A47"/>
    <w:rsid w:val="00222C02"/>
    <w:rsid w:val="00222C09"/>
    <w:rsid w:val="00222CB3"/>
    <w:rsid w:val="00222DE8"/>
    <w:rsid w:val="00223873"/>
    <w:rsid w:val="00223C49"/>
    <w:rsid w:val="00223CF2"/>
    <w:rsid w:val="00223E29"/>
    <w:rsid w:val="00223F48"/>
    <w:rsid w:val="002246BD"/>
    <w:rsid w:val="002246E9"/>
    <w:rsid w:val="00224793"/>
    <w:rsid w:val="00224981"/>
    <w:rsid w:val="00224A46"/>
    <w:rsid w:val="00224BB3"/>
    <w:rsid w:val="00224E7B"/>
    <w:rsid w:val="002251B2"/>
    <w:rsid w:val="0022536A"/>
    <w:rsid w:val="00225469"/>
    <w:rsid w:val="0022574C"/>
    <w:rsid w:val="002257C5"/>
    <w:rsid w:val="00226545"/>
    <w:rsid w:val="00226AF5"/>
    <w:rsid w:val="00226BA0"/>
    <w:rsid w:val="00227386"/>
    <w:rsid w:val="00227579"/>
    <w:rsid w:val="0023044C"/>
    <w:rsid w:val="002308BC"/>
    <w:rsid w:val="002314CE"/>
    <w:rsid w:val="0023168D"/>
    <w:rsid w:val="0023194C"/>
    <w:rsid w:val="0023250E"/>
    <w:rsid w:val="00232647"/>
    <w:rsid w:val="00232964"/>
    <w:rsid w:val="00232975"/>
    <w:rsid w:val="00232EE8"/>
    <w:rsid w:val="00232F22"/>
    <w:rsid w:val="0023325B"/>
    <w:rsid w:val="00233617"/>
    <w:rsid w:val="00233A97"/>
    <w:rsid w:val="00233D2E"/>
    <w:rsid w:val="002352DE"/>
    <w:rsid w:val="0023559E"/>
    <w:rsid w:val="00235BC0"/>
    <w:rsid w:val="00235C0F"/>
    <w:rsid w:val="00236CCD"/>
    <w:rsid w:val="00237251"/>
    <w:rsid w:val="00237493"/>
    <w:rsid w:val="0023775C"/>
    <w:rsid w:val="00237FC6"/>
    <w:rsid w:val="0024009A"/>
    <w:rsid w:val="0024021F"/>
    <w:rsid w:val="00240A0D"/>
    <w:rsid w:val="00241295"/>
    <w:rsid w:val="002415E2"/>
    <w:rsid w:val="00241E10"/>
    <w:rsid w:val="00242B75"/>
    <w:rsid w:val="00243198"/>
    <w:rsid w:val="002438FD"/>
    <w:rsid w:val="00243C46"/>
    <w:rsid w:val="00243C63"/>
    <w:rsid w:val="0024437A"/>
    <w:rsid w:val="00245078"/>
    <w:rsid w:val="00245AF4"/>
    <w:rsid w:val="00245F85"/>
    <w:rsid w:val="00245F8C"/>
    <w:rsid w:val="00246631"/>
    <w:rsid w:val="00246A63"/>
    <w:rsid w:val="00246C0C"/>
    <w:rsid w:val="00247645"/>
    <w:rsid w:val="0024771A"/>
    <w:rsid w:val="00247B46"/>
    <w:rsid w:val="00247E83"/>
    <w:rsid w:val="00250430"/>
    <w:rsid w:val="002508D5"/>
    <w:rsid w:val="002509C3"/>
    <w:rsid w:val="00251BB9"/>
    <w:rsid w:val="00252DED"/>
    <w:rsid w:val="00252E57"/>
    <w:rsid w:val="00252FAE"/>
    <w:rsid w:val="00253760"/>
    <w:rsid w:val="00253C4C"/>
    <w:rsid w:val="00253F65"/>
    <w:rsid w:val="00254AA7"/>
    <w:rsid w:val="002552CC"/>
    <w:rsid w:val="00255311"/>
    <w:rsid w:val="002553E3"/>
    <w:rsid w:val="0025567B"/>
    <w:rsid w:val="00255B36"/>
    <w:rsid w:val="00255D81"/>
    <w:rsid w:val="00256826"/>
    <w:rsid w:val="002568CB"/>
    <w:rsid w:val="00256F9C"/>
    <w:rsid w:val="00257159"/>
    <w:rsid w:val="002573C0"/>
    <w:rsid w:val="00257577"/>
    <w:rsid w:val="0025780E"/>
    <w:rsid w:val="0026012A"/>
    <w:rsid w:val="0026114A"/>
    <w:rsid w:val="00261717"/>
    <w:rsid w:val="0026203D"/>
    <w:rsid w:val="00262370"/>
    <w:rsid w:val="0026270D"/>
    <w:rsid w:val="002632D5"/>
    <w:rsid w:val="00263BB6"/>
    <w:rsid w:val="00263FE3"/>
    <w:rsid w:val="00264DB2"/>
    <w:rsid w:val="00265338"/>
    <w:rsid w:val="0026571F"/>
    <w:rsid w:val="00265822"/>
    <w:rsid w:val="00265870"/>
    <w:rsid w:val="00265C82"/>
    <w:rsid w:val="002677BA"/>
    <w:rsid w:val="00267E3E"/>
    <w:rsid w:val="00267E4B"/>
    <w:rsid w:val="0027072E"/>
    <w:rsid w:val="00270890"/>
    <w:rsid w:val="002712FE"/>
    <w:rsid w:val="002713F4"/>
    <w:rsid w:val="00272532"/>
    <w:rsid w:val="002727FF"/>
    <w:rsid w:val="00272FDB"/>
    <w:rsid w:val="002732FC"/>
    <w:rsid w:val="00273747"/>
    <w:rsid w:val="00273822"/>
    <w:rsid w:val="0027388E"/>
    <w:rsid w:val="0027398A"/>
    <w:rsid w:val="00273B75"/>
    <w:rsid w:val="0027402F"/>
    <w:rsid w:val="0027448A"/>
    <w:rsid w:val="0027557E"/>
    <w:rsid w:val="0027563C"/>
    <w:rsid w:val="00275727"/>
    <w:rsid w:val="00275A5C"/>
    <w:rsid w:val="00275F7C"/>
    <w:rsid w:val="0027669D"/>
    <w:rsid w:val="00276A19"/>
    <w:rsid w:val="00276BB8"/>
    <w:rsid w:val="0027762E"/>
    <w:rsid w:val="00277749"/>
    <w:rsid w:val="00277927"/>
    <w:rsid w:val="00277A76"/>
    <w:rsid w:val="0028004D"/>
    <w:rsid w:val="00280D5E"/>
    <w:rsid w:val="00280E93"/>
    <w:rsid w:val="002810F3"/>
    <w:rsid w:val="00281FAD"/>
    <w:rsid w:val="002826EF"/>
    <w:rsid w:val="002827D3"/>
    <w:rsid w:val="002828A0"/>
    <w:rsid w:val="00282A53"/>
    <w:rsid w:val="00282E5F"/>
    <w:rsid w:val="00282EFF"/>
    <w:rsid w:val="00283D75"/>
    <w:rsid w:val="00284094"/>
    <w:rsid w:val="00284678"/>
    <w:rsid w:val="00284899"/>
    <w:rsid w:val="00284E26"/>
    <w:rsid w:val="00285EA9"/>
    <w:rsid w:val="00285FE3"/>
    <w:rsid w:val="00286AF5"/>
    <w:rsid w:val="00286BC8"/>
    <w:rsid w:val="00287B72"/>
    <w:rsid w:val="002903E8"/>
    <w:rsid w:val="0029067E"/>
    <w:rsid w:val="00290B9A"/>
    <w:rsid w:val="00290F73"/>
    <w:rsid w:val="00291FA0"/>
    <w:rsid w:val="00292762"/>
    <w:rsid w:val="00292B4C"/>
    <w:rsid w:val="00292F6C"/>
    <w:rsid w:val="0029330F"/>
    <w:rsid w:val="002933A6"/>
    <w:rsid w:val="00294357"/>
    <w:rsid w:val="00294610"/>
    <w:rsid w:val="00294C02"/>
    <w:rsid w:val="00295054"/>
    <w:rsid w:val="0029517C"/>
    <w:rsid w:val="002954DA"/>
    <w:rsid w:val="00295BC1"/>
    <w:rsid w:val="00296129"/>
    <w:rsid w:val="00296195"/>
    <w:rsid w:val="00296370"/>
    <w:rsid w:val="00296808"/>
    <w:rsid w:val="00297417"/>
    <w:rsid w:val="002974F0"/>
    <w:rsid w:val="00297883"/>
    <w:rsid w:val="00297944"/>
    <w:rsid w:val="00297BD8"/>
    <w:rsid w:val="002A0155"/>
    <w:rsid w:val="002A06AA"/>
    <w:rsid w:val="002A136E"/>
    <w:rsid w:val="002A143F"/>
    <w:rsid w:val="002A17C9"/>
    <w:rsid w:val="002A1B28"/>
    <w:rsid w:val="002A2507"/>
    <w:rsid w:val="002A2942"/>
    <w:rsid w:val="002A2EB1"/>
    <w:rsid w:val="002A310A"/>
    <w:rsid w:val="002A3119"/>
    <w:rsid w:val="002A313C"/>
    <w:rsid w:val="002A32F1"/>
    <w:rsid w:val="002A36BE"/>
    <w:rsid w:val="002A3764"/>
    <w:rsid w:val="002A3A6E"/>
    <w:rsid w:val="002A3C00"/>
    <w:rsid w:val="002A3E3E"/>
    <w:rsid w:val="002A4144"/>
    <w:rsid w:val="002A43D5"/>
    <w:rsid w:val="002A485C"/>
    <w:rsid w:val="002A48C4"/>
    <w:rsid w:val="002A4EC9"/>
    <w:rsid w:val="002A54B5"/>
    <w:rsid w:val="002A5DC2"/>
    <w:rsid w:val="002A6050"/>
    <w:rsid w:val="002A6377"/>
    <w:rsid w:val="002A6C30"/>
    <w:rsid w:val="002A712B"/>
    <w:rsid w:val="002A7282"/>
    <w:rsid w:val="002A7776"/>
    <w:rsid w:val="002B0315"/>
    <w:rsid w:val="002B0DDB"/>
    <w:rsid w:val="002B0EEB"/>
    <w:rsid w:val="002B2723"/>
    <w:rsid w:val="002B289F"/>
    <w:rsid w:val="002B2993"/>
    <w:rsid w:val="002B2E89"/>
    <w:rsid w:val="002B321B"/>
    <w:rsid w:val="002B35E1"/>
    <w:rsid w:val="002B4198"/>
    <w:rsid w:val="002B42FB"/>
    <w:rsid w:val="002B48A4"/>
    <w:rsid w:val="002B4DC7"/>
    <w:rsid w:val="002B4E84"/>
    <w:rsid w:val="002B53CD"/>
    <w:rsid w:val="002B5C3F"/>
    <w:rsid w:val="002B5F56"/>
    <w:rsid w:val="002B623C"/>
    <w:rsid w:val="002B639A"/>
    <w:rsid w:val="002B64B5"/>
    <w:rsid w:val="002B6C34"/>
    <w:rsid w:val="002B6E85"/>
    <w:rsid w:val="002B6EF7"/>
    <w:rsid w:val="002B749D"/>
    <w:rsid w:val="002B76A1"/>
    <w:rsid w:val="002B7726"/>
    <w:rsid w:val="002B7EA7"/>
    <w:rsid w:val="002C011C"/>
    <w:rsid w:val="002C065B"/>
    <w:rsid w:val="002C0CD1"/>
    <w:rsid w:val="002C0EFD"/>
    <w:rsid w:val="002C1540"/>
    <w:rsid w:val="002C15E8"/>
    <w:rsid w:val="002C19B8"/>
    <w:rsid w:val="002C1BB8"/>
    <w:rsid w:val="002C212A"/>
    <w:rsid w:val="002C236B"/>
    <w:rsid w:val="002C27F1"/>
    <w:rsid w:val="002C2994"/>
    <w:rsid w:val="002C2D58"/>
    <w:rsid w:val="002C321F"/>
    <w:rsid w:val="002C3389"/>
    <w:rsid w:val="002C3464"/>
    <w:rsid w:val="002C3548"/>
    <w:rsid w:val="002C3D76"/>
    <w:rsid w:val="002C52A7"/>
    <w:rsid w:val="002C533B"/>
    <w:rsid w:val="002C5391"/>
    <w:rsid w:val="002C64DC"/>
    <w:rsid w:val="002C6EEE"/>
    <w:rsid w:val="002C7261"/>
    <w:rsid w:val="002C75DB"/>
    <w:rsid w:val="002C7623"/>
    <w:rsid w:val="002C76F0"/>
    <w:rsid w:val="002C7724"/>
    <w:rsid w:val="002D0F73"/>
    <w:rsid w:val="002D0FB2"/>
    <w:rsid w:val="002D103C"/>
    <w:rsid w:val="002D11E9"/>
    <w:rsid w:val="002D199B"/>
    <w:rsid w:val="002D25AC"/>
    <w:rsid w:val="002D349E"/>
    <w:rsid w:val="002D39A9"/>
    <w:rsid w:val="002D3A17"/>
    <w:rsid w:val="002D5A04"/>
    <w:rsid w:val="002D633B"/>
    <w:rsid w:val="002D6397"/>
    <w:rsid w:val="002D72EC"/>
    <w:rsid w:val="002D7BD6"/>
    <w:rsid w:val="002E03EB"/>
    <w:rsid w:val="002E05B5"/>
    <w:rsid w:val="002E0648"/>
    <w:rsid w:val="002E07F3"/>
    <w:rsid w:val="002E13FB"/>
    <w:rsid w:val="002E16D1"/>
    <w:rsid w:val="002E26BB"/>
    <w:rsid w:val="002E2ABE"/>
    <w:rsid w:val="002E2D8D"/>
    <w:rsid w:val="002E32B5"/>
    <w:rsid w:val="002E3CDA"/>
    <w:rsid w:val="002E5FCC"/>
    <w:rsid w:val="002E62B1"/>
    <w:rsid w:val="002E6654"/>
    <w:rsid w:val="002E66F2"/>
    <w:rsid w:val="002E68DF"/>
    <w:rsid w:val="002E6B6E"/>
    <w:rsid w:val="002E6D32"/>
    <w:rsid w:val="002E7277"/>
    <w:rsid w:val="002E7426"/>
    <w:rsid w:val="002E7946"/>
    <w:rsid w:val="002E79D6"/>
    <w:rsid w:val="002F0230"/>
    <w:rsid w:val="002F0FF0"/>
    <w:rsid w:val="002F16D9"/>
    <w:rsid w:val="002F16DC"/>
    <w:rsid w:val="002F1B87"/>
    <w:rsid w:val="002F1E03"/>
    <w:rsid w:val="002F1FBB"/>
    <w:rsid w:val="002F23F4"/>
    <w:rsid w:val="002F303E"/>
    <w:rsid w:val="002F3295"/>
    <w:rsid w:val="002F333E"/>
    <w:rsid w:val="002F3B93"/>
    <w:rsid w:val="002F3BFB"/>
    <w:rsid w:val="002F3F4A"/>
    <w:rsid w:val="002F480E"/>
    <w:rsid w:val="002F4BB2"/>
    <w:rsid w:val="002F50A4"/>
    <w:rsid w:val="002F527F"/>
    <w:rsid w:val="002F657D"/>
    <w:rsid w:val="002F678D"/>
    <w:rsid w:val="002F6C16"/>
    <w:rsid w:val="002F6E61"/>
    <w:rsid w:val="002F7EBA"/>
    <w:rsid w:val="003000E6"/>
    <w:rsid w:val="003006BE"/>
    <w:rsid w:val="003008A4"/>
    <w:rsid w:val="00300A85"/>
    <w:rsid w:val="00300D0A"/>
    <w:rsid w:val="00300FE0"/>
    <w:rsid w:val="0030172E"/>
    <w:rsid w:val="00301A5C"/>
    <w:rsid w:val="00301BB5"/>
    <w:rsid w:val="00301C0B"/>
    <w:rsid w:val="00301ED8"/>
    <w:rsid w:val="00301F2C"/>
    <w:rsid w:val="00302493"/>
    <w:rsid w:val="00302638"/>
    <w:rsid w:val="00302B02"/>
    <w:rsid w:val="003032C5"/>
    <w:rsid w:val="003034E3"/>
    <w:rsid w:val="003039BC"/>
    <w:rsid w:val="00303B00"/>
    <w:rsid w:val="00303B86"/>
    <w:rsid w:val="0030427F"/>
    <w:rsid w:val="00304900"/>
    <w:rsid w:val="0030498B"/>
    <w:rsid w:val="00305359"/>
    <w:rsid w:val="003053BE"/>
    <w:rsid w:val="00305746"/>
    <w:rsid w:val="00305834"/>
    <w:rsid w:val="003061F9"/>
    <w:rsid w:val="00306431"/>
    <w:rsid w:val="003066C9"/>
    <w:rsid w:val="00306753"/>
    <w:rsid w:val="00307131"/>
    <w:rsid w:val="00307A4E"/>
    <w:rsid w:val="0031033F"/>
    <w:rsid w:val="00310C26"/>
    <w:rsid w:val="00310EDB"/>
    <w:rsid w:val="003112FB"/>
    <w:rsid w:val="00311ABE"/>
    <w:rsid w:val="003121F7"/>
    <w:rsid w:val="003125FA"/>
    <w:rsid w:val="003131AD"/>
    <w:rsid w:val="003135EF"/>
    <w:rsid w:val="00313C24"/>
    <w:rsid w:val="00313DE7"/>
    <w:rsid w:val="00313EF8"/>
    <w:rsid w:val="00314510"/>
    <w:rsid w:val="003147A7"/>
    <w:rsid w:val="00314AE3"/>
    <w:rsid w:val="00314C93"/>
    <w:rsid w:val="00315C80"/>
    <w:rsid w:val="00315E56"/>
    <w:rsid w:val="00315FE6"/>
    <w:rsid w:val="0031661A"/>
    <w:rsid w:val="0031687C"/>
    <w:rsid w:val="003173EF"/>
    <w:rsid w:val="00317567"/>
    <w:rsid w:val="003176A2"/>
    <w:rsid w:val="0031799A"/>
    <w:rsid w:val="00317C4C"/>
    <w:rsid w:val="003202D9"/>
    <w:rsid w:val="003205C9"/>
    <w:rsid w:val="003207BF"/>
    <w:rsid w:val="0032166D"/>
    <w:rsid w:val="00321CAC"/>
    <w:rsid w:val="00321D29"/>
    <w:rsid w:val="00322A44"/>
    <w:rsid w:val="003249D3"/>
    <w:rsid w:val="003252EB"/>
    <w:rsid w:val="003253BF"/>
    <w:rsid w:val="003254EC"/>
    <w:rsid w:val="00326D05"/>
    <w:rsid w:val="00326E4D"/>
    <w:rsid w:val="00326F06"/>
    <w:rsid w:val="00326FC8"/>
    <w:rsid w:val="00327CFA"/>
    <w:rsid w:val="00327F6A"/>
    <w:rsid w:val="00330202"/>
    <w:rsid w:val="003304A5"/>
    <w:rsid w:val="00330F33"/>
    <w:rsid w:val="0033145B"/>
    <w:rsid w:val="003314CD"/>
    <w:rsid w:val="003316A1"/>
    <w:rsid w:val="00331855"/>
    <w:rsid w:val="003320E2"/>
    <w:rsid w:val="00332827"/>
    <w:rsid w:val="00332894"/>
    <w:rsid w:val="00332BBD"/>
    <w:rsid w:val="00332C55"/>
    <w:rsid w:val="00332CAF"/>
    <w:rsid w:val="0033355D"/>
    <w:rsid w:val="00333A7D"/>
    <w:rsid w:val="00333CB5"/>
    <w:rsid w:val="003340B1"/>
    <w:rsid w:val="00334512"/>
    <w:rsid w:val="0033453B"/>
    <w:rsid w:val="00334632"/>
    <w:rsid w:val="00334991"/>
    <w:rsid w:val="00334EA6"/>
    <w:rsid w:val="00335444"/>
    <w:rsid w:val="00335A5E"/>
    <w:rsid w:val="003363A0"/>
    <w:rsid w:val="003363EA"/>
    <w:rsid w:val="003367E7"/>
    <w:rsid w:val="00336817"/>
    <w:rsid w:val="00336964"/>
    <w:rsid w:val="00336B77"/>
    <w:rsid w:val="00337076"/>
    <w:rsid w:val="00337814"/>
    <w:rsid w:val="003378C2"/>
    <w:rsid w:val="00337CF0"/>
    <w:rsid w:val="003400CA"/>
    <w:rsid w:val="00340DB0"/>
    <w:rsid w:val="0034134A"/>
    <w:rsid w:val="00342FD5"/>
    <w:rsid w:val="003432B8"/>
    <w:rsid w:val="00343416"/>
    <w:rsid w:val="003436E5"/>
    <w:rsid w:val="003440B2"/>
    <w:rsid w:val="00344844"/>
    <w:rsid w:val="00344BB8"/>
    <w:rsid w:val="00344E03"/>
    <w:rsid w:val="00344EC9"/>
    <w:rsid w:val="00345659"/>
    <w:rsid w:val="00345789"/>
    <w:rsid w:val="0034589A"/>
    <w:rsid w:val="00345A57"/>
    <w:rsid w:val="00345A5F"/>
    <w:rsid w:val="00345B52"/>
    <w:rsid w:val="00345C7B"/>
    <w:rsid w:val="0035159F"/>
    <w:rsid w:val="00351CCF"/>
    <w:rsid w:val="00351F01"/>
    <w:rsid w:val="00351F11"/>
    <w:rsid w:val="0035218F"/>
    <w:rsid w:val="00352360"/>
    <w:rsid w:val="0035306D"/>
    <w:rsid w:val="0035376D"/>
    <w:rsid w:val="00353D88"/>
    <w:rsid w:val="00353F5A"/>
    <w:rsid w:val="003541D1"/>
    <w:rsid w:val="003542D4"/>
    <w:rsid w:val="003543A6"/>
    <w:rsid w:val="003554A0"/>
    <w:rsid w:val="00355DF6"/>
    <w:rsid w:val="00356450"/>
    <w:rsid w:val="003564E9"/>
    <w:rsid w:val="00356B77"/>
    <w:rsid w:val="00356B84"/>
    <w:rsid w:val="00356CF7"/>
    <w:rsid w:val="003571A3"/>
    <w:rsid w:val="003572B7"/>
    <w:rsid w:val="003572ED"/>
    <w:rsid w:val="00357A79"/>
    <w:rsid w:val="00357BB9"/>
    <w:rsid w:val="003602F8"/>
    <w:rsid w:val="0036067F"/>
    <w:rsid w:val="003609B0"/>
    <w:rsid w:val="0036122E"/>
    <w:rsid w:val="00361ECE"/>
    <w:rsid w:val="00362E83"/>
    <w:rsid w:val="00364677"/>
    <w:rsid w:val="00364828"/>
    <w:rsid w:val="00364B28"/>
    <w:rsid w:val="00364D14"/>
    <w:rsid w:val="00365F7E"/>
    <w:rsid w:val="00366B53"/>
    <w:rsid w:val="0036782F"/>
    <w:rsid w:val="00367849"/>
    <w:rsid w:val="00367C81"/>
    <w:rsid w:val="003702C3"/>
    <w:rsid w:val="0037089F"/>
    <w:rsid w:val="0037104C"/>
    <w:rsid w:val="0037148E"/>
    <w:rsid w:val="00371E6F"/>
    <w:rsid w:val="0037266E"/>
    <w:rsid w:val="00372793"/>
    <w:rsid w:val="0037286C"/>
    <w:rsid w:val="003735FF"/>
    <w:rsid w:val="00373B1D"/>
    <w:rsid w:val="00374FFE"/>
    <w:rsid w:val="003751DB"/>
    <w:rsid w:val="003759D1"/>
    <w:rsid w:val="00375B2F"/>
    <w:rsid w:val="00375BDA"/>
    <w:rsid w:val="00376EC7"/>
    <w:rsid w:val="0037767E"/>
    <w:rsid w:val="0038004A"/>
    <w:rsid w:val="00380727"/>
    <w:rsid w:val="0038100A"/>
    <w:rsid w:val="00381F9B"/>
    <w:rsid w:val="00382717"/>
    <w:rsid w:val="00383869"/>
    <w:rsid w:val="00383B42"/>
    <w:rsid w:val="00383B9C"/>
    <w:rsid w:val="00383C8C"/>
    <w:rsid w:val="00384F28"/>
    <w:rsid w:val="00384F88"/>
    <w:rsid w:val="00385334"/>
    <w:rsid w:val="003853B9"/>
    <w:rsid w:val="00385A41"/>
    <w:rsid w:val="00385D27"/>
    <w:rsid w:val="00387129"/>
    <w:rsid w:val="0038715D"/>
    <w:rsid w:val="0038772B"/>
    <w:rsid w:val="00387D55"/>
    <w:rsid w:val="00387DC7"/>
    <w:rsid w:val="0039020F"/>
    <w:rsid w:val="00390709"/>
    <w:rsid w:val="00391195"/>
    <w:rsid w:val="00391303"/>
    <w:rsid w:val="003915BC"/>
    <w:rsid w:val="00391803"/>
    <w:rsid w:val="003918BA"/>
    <w:rsid w:val="00391E04"/>
    <w:rsid w:val="00392098"/>
    <w:rsid w:val="003931EC"/>
    <w:rsid w:val="003935CF"/>
    <w:rsid w:val="00393DE6"/>
    <w:rsid w:val="00393F6C"/>
    <w:rsid w:val="003941D0"/>
    <w:rsid w:val="003943CB"/>
    <w:rsid w:val="00394B33"/>
    <w:rsid w:val="0039637A"/>
    <w:rsid w:val="003964D2"/>
    <w:rsid w:val="00396B72"/>
    <w:rsid w:val="00396F10"/>
    <w:rsid w:val="003973CD"/>
    <w:rsid w:val="00397549"/>
    <w:rsid w:val="00397660"/>
    <w:rsid w:val="003A02C5"/>
    <w:rsid w:val="003A0414"/>
    <w:rsid w:val="003A063A"/>
    <w:rsid w:val="003A0A9B"/>
    <w:rsid w:val="003A0D28"/>
    <w:rsid w:val="003A1B2C"/>
    <w:rsid w:val="003A2018"/>
    <w:rsid w:val="003A235F"/>
    <w:rsid w:val="003A2570"/>
    <w:rsid w:val="003A2C08"/>
    <w:rsid w:val="003A2E5D"/>
    <w:rsid w:val="003A310C"/>
    <w:rsid w:val="003A31CC"/>
    <w:rsid w:val="003A3492"/>
    <w:rsid w:val="003A38F8"/>
    <w:rsid w:val="003A426C"/>
    <w:rsid w:val="003A428F"/>
    <w:rsid w:val="003A4993"/>
    <w:rsid w:val="003A4D20"/>
    <w:rsid w:val="003A4E39"/>
    <w:rsid w:val="003A4FE5"/>
    <w:rsid w:val="003A505E"/>
    <w:rsid w:val="003A5C54"/>
    <w:rsid w:val="003A62AB"/>
    <w:rsid w:val="003A686E"/>
    <w:rsid w:val="003A6CAA"/>
    <w:rsid w:val="003A6D01"/>
    <w:rsid w:val="003A7006"/>
    <w:rsid w:val="003A7AFB"/>
    <w:rsid w:val="003B0339"/>
    <w:rsid w:val="003B034F"/>
    <w:rsid w:val="003B0C18"/>
    <w:rsid w:val="003B0EDD"/>
    <w:rsid w:val="003B12CD"/>
    <w:rsid w:val="003B18C4"/>
    <w:rsid w:val="003B1BCB"/>
    <w:rsid w:val="003B320F"/>
    <w:rsid w:val="003B34FF"/>
    <w:rsid w:val="003B3945"/>
    <w:rsid w:val="003B47B7"/>
    <w:rsid w:val="003B4BB7"/>
    <w:rsid w:val="003B58A9"/>
    <w:rsid w:val="003B594B"/>
    <w:rsid w:val="003B5E9A"/>
    <w:rsid w:val="003B5FD3"/>
    <w:rsid w:val="003B6060"/>
    <w:rsid w:val="003B60B8"/>
    <w:rsid w:val="003B62E8"/>
    <w:rsid w:val="003B644A"/>
    <w:rsid w:val="003B68E7"/>
    <w:rsid w:val="003B6B71"/>
    <w:rsid w:val="003B7071"/>
    <w:rsid w:val="003B7DAE"/>
    <w:rsid w:val="003C00F0"/>
    <w:rsid w:val="003C018C"/>
    <w:rsid w:val="003C02B6"/>
    <w:rsid w:val="003C06D6"/>
    <w:rsid w:val="003C0B89"/>
    <w:rsid w:val="003C0BFD"/>
    <w:rsid w:val="003C1054"/>
    <w:rsid w:val="003C1179"/>
    <w:rsid w:val="003C14C1"/>
    <w:rsid w:val="003C150C"/>
    <w:rsid w:val="003C1512"/>
    <w:rsid w:val="003C1801"/>
    <w:rsid w:val="003C1AF9"/>
    <w:rsid w:val="003C284A"/>
    <w:rsid w:val="003C2B0D"/>
    <w:rsid w:val="003C35E4"/>
    <w:rsid w:val="003C371C"/>
    <w:rsid w:val="003C451B"/>
    <w:rsid w:val="003C4C11"/>
    <w:rsid w:val="003C5771"/>
    <w:rsid w:val="003C5856"/>
    <w:rsid w:val="003C5E20"/>
    <w:rsid w:val="003C6213"/>
    <w:rsid w:val="003C68DD"/>
    <w:rsid w:val="003C71A2"/>
    <w:rsid w:val="003C72C6"/>
    <w:rsid w:val="003C76CA"/>
    <w:rsid w:val="003C7B63"/>
    <w:rsid w:val="003C7D58"/>
    <w:rsid w:val="003C7E53"/>
    <w:rsid w:val="003D00B5"/>
    <w:rsid w:val="003D02BD"/>
    <w:rsid w:val="003D10D0"/>
    <w:rsid w:val="003D1803"/>
    <w:rsid w:val="003D2A2C"/>
    <w:rsid w:val="003D3673"/>
    <w:rsid w:val="003D3C59"/>
    <w:rsid w:val="003D3D10"/>
    <w:rsid w:val="003D48E3"/>
    <w:rsid w:val="003D5664"/>
    <w:rsid w:val="003D5E21"/>
    <w:rsid w:val="003D632F"/>
    <w:rsid w:val="003D6D37"/>
    <w:rsid w:val="003D7B6C"/>
    <w:rsid w:val="003E0CCE"/>
    <w:rsid w:val="003E1741"/>
    <w:rsid w:val="003E1988"/>
    <w:rsid w:val="003E1A73"/>
    <w:rsid w:val="003E20C7"/>
    <w:rsid w:val="003E2201"/>
    <w:rsid w:val="003E26EC"/>
    <w:rsid w:val="003E34B6"/>
    <w:rsid w:val="003E3A4F"/>
    <w:rsid w:val="003E3C35"/>
    <w:rsid w:val="003E3C51"/>
    <w:rsid w:val="003E4637"/>
    <w:rsid w:val="003E4A61"/>
    <w:rsid w:val="003E4AF3"/>
    <w:rsid w:val="003E5707"/>
    <w:rsid w:val="003E5771"/>
    <w:rsid w:val="003E5B19"/>
    <w:rsid w:val="003E5C93"/>
    <w:rsid w:val="003E65D2"/>
    <w:rsid w:val="003E6D17"/>
    <w:rsid w:val="003E717C"/>
    <w:rsid w:val="003E71BF"/>
    <w:rsid w:val="003E7706"/>
    <w:rsid w:val="003E7E99"/>
    <w:rsid w:val="003F069E"/>
    <w:rsid w:val="003F07C4"/>
    <w:rsid w:val="003F0E8A"/>
    <w:rsid w:val="003F17C7"/>
    <w:rsid w:val="003F1F08"/>
    <w:rsid w:val="003F25C4"/>
    <w:rsid w:val="003F2678"/>
    <w:rsid w:val="003F26D3"/>
    <w:rsid w:val="003F27F3"/>
    <w:rsid w:val="003F2E13"/>
    <w:rsid w:val="003F2F14"/>
    <w:rsid w:val="003F317C"/>
    <w:rsid w:val="003F384D"/>
    <w:rsid w:val="003F393F"/>
    <w:rsid w:val="003F3C82"/>
    <w:rsid w:val="003F43F1"/>
    <w:rsid w:val="003F4530"/>
    <w:rsid w:val="003F4684"/>
    <w:rsid w:val="003F5ED3"/>
    <w:rsid w:val="003F627E"/>
    <w:rsid w:val="003F6FA4"/>
    <w:rsid w:val="003F73AF"/>
    <w:rsid w:val="003F7520"/>
    <w:rsid w:val="003F7771"/>
    <w:rsid w:val="003F7E43"/>
    <w:rsid w:val="0040052E"/>
    <w:rsid w:val="00400F56"/>
    <w:rsid w:val="00401385"/>
    <w:rsid w:val="00401696"/>
    <w:rsid w:val="00401764"/>
    <w:rsid w:val="00401F95"/>
    <w:rsid w:val="0040203C"/>
    <w:rsid w:val="00402134"/>
    <w:rsid w:val="004023D1"/>
    <w:rsid w:val="00403296"/>
    <w:rsid w:val="004032A8"/>
    <w:rsid w:val="004032CB"/>
    <w:rsid w:val="00403404"/>
    <w:rsid w:val="00403693"/>
    <w:rsid w:val="00403C28"/>
    <w:rsid w:val="00403D5B"/>
    <w:rsid w:val="004042BF"/>
    <w:rsid w:val="0040444B"/>
    <w:rsid w:val="004054A3"/>
    <w:rsid w:val="004055E1"/>
    <w:rsid w:val="00405926"/>
    <w:rsid w:val="00405CE3"/>
    <w:rsid w:val="00405DB1"/>
    <w:rsid w:val="00406B46"/>
    <w:rsid w:val="00406D87"/>
    <w:rsid w:val="00406F2D"/>
    <w:rsid w:val="00406F7D"/>
    <w:rsid w:val="00407191"/>
    <w:rsid w:val="00407A1A"/>
    <w:rsid w:val="00407A33"/>
    <w:rsid w:val="0041011F"/>
    <w:rsid w:val="004103F2"/>
    <w:rsid w:val="00410744"/>
    <w:rsid w:val="004107F9"/>
    <w:rsid w:val="004109A2"/>
    <w:rsid w:val="00410E1E"/>
    <w:rsid w:val="00410F81"/>
    <w:rsid w:val="00411649"/>
    <w:rsid w:val="00411DAF"/>
    <w:rsid w:val="004124CF"/>
    <w:rsid w:val="0041284A"/>
    <w:rsid w:val="00412A93"/>
    <w:rsid w:val="00412DFC"/>
    <w:rsid w:val="00413031"/>
    <w:rsid w:val="004139FF"/>
    <w:rsid w:val="00413C01"/>
    <w:rsid w:val="00413C8C"/>
    <w:rsid w:val="00414693"/>
    <w:rsid w:val="004148C3"/>
    <w:rsid w:val="00415166"/>
    <w:rsid w:val="00415282"/>
    <w:rsid w:val="00415A61"/>
    <w:rsid w:val="00415B18"/>
    <w:rsid w:val="004160FB"/>
    <w:rsid w:val="00416185"/>
    <w:rsid w:val="00416376"/>
    <w:rsid w:val="00416D49"/>
    <w:rsid w:val="00417840"/>
    <w:rsid w:val="00417CA2"/>
    <w:rsid w:val="00420014"/>
    <w:rsid w:val="00420365"/>
    <w:rsid w:val="00420F6A"/>
    <w:rsid w:val="00421029"/>
    <w:rsid w:val="0042128E"/>
    <w:rsid w:val="004212BC"/>
    <w:rsid w:val="00421EEF"/>
    <w:rsid w:val="00422123"/>
    <w:rsid w:val="004221FE"/>
    <w:rsid w:val="004223F6"/>
    <w:rsid w:val="00422422"/>
    <w:rsid w:val="00422BF4"/>
    <w:rsid w:val="00423327"/>
    <w:rsid w:val="00423467"/>
    <w:rsid w:val="00423486"/>
    <w:rsid w:val="0042349E"/>
    <w:rsid w:val="00424AB2"/>
    <w:rsid w:val="00424DE5"/>
    <w:rsid w:val="0042523A"/>
    <w:rsid w:val="0042558A"/>
    <w:rsid w:val="0042589A"/>
    <w:rsid w:val="0042640A"/>
    <w:rsid w:val="004264A1"/>
    <w:rsid w:val="0043043B"/>
    <w:rsid w:val="00430839"/>
    <w:rsid w:val="004310A6"/>
    <w:rsid w:val="00431870"/>
    <w:rsid w:val="004320E6"/>
    <w:rsid w:val="004324DD"/>
    <w:rsid w:val="00432FF8"/>
    <w:rsid w:val="00433223"/>
    <w:rsid w:val="00433FB8"/>
    <w:rsid w:val="0043429B"/>
    <w:rsid w:val="0043458E"/>
    <w:rsid w:val="0043475E"/>
    <w:rsid w:val="0043512F"/>
    <w:rsid w:val="00435C60"/>
    <w:rsid w:val="0043606E"/>
    <w:rsid w:val="00436152"/>
    <w:rsid w:val="004362FE"/>
    <w:rsid w:val="004366C5"/>
    <w:rsid w:val="00437795"/>
    <w:rsid w:val="00440581"/>
    <w:rsid w:val="00440712"/>
    <w:rsid w:val="00440BEF"/>
    <w:rsid w:val="00441868"/>
    <w:rsid w:val="00441C63"/>
    <w:rsid w:val="00442004"/>
    <w:rsid w:val="0044242C"/>
    <w:rsid w:val="00442D23"/>
    <w:rsid w:val="00443EF7"/>
    <w:rsid w:val="00443FCA"/>
    <w:rsid w:val="0044493D"/>
    <w:rsid w:val="00444D80"/>
    <w:rsid w:val="004450E9"/>
    <w:rsid w:val="004452BC"/>
    <w:rsid w:val="0044587E"/>
    <w:rsid w:val="004458C8"/>
    <w:rsid w:val="00445F7C"/>
    <w:rsid w:val="00446041"/>
    <w:rsid w:val="00446612"/>
    <w:rsid w:val="0044694A"/>
    <w:rsid w:val="00446B94"/>
    <w:rsid w:val="004474D7"/>
    <w:rsid w:val="00447BDB"/>
    <w:rsid w:val="00447FA6"/>
    <w:rsid w:val="0045099F"/>
    <w:rsid w:val="004509B0"/>
    <w:rsid w:val="00450D2D"/>
    <w:rsid w:val="00450F62"/>
    <w:rsid w:val="00452276"/>
    <w:rsid w:val="00452606"/>
    <w:rsid w:val="00452FE8"/>
    <w:rsid w:val="004530A9"/>
    <w:rsid w:val="00453209"/>
    <w:rsid w:val="004534EC"/>
    <w:rsid w:val="00453771"/>
    <w:rsid w:val="00453BD0"/>
    <w:rsid w:val="00453F33"/>
    <w:rsid w:val="00454684"/>
    <w:rsid w:val="00454767"/>
    <w:rsid w:val="00454941"/>
    <w:rsid w:val="0045496B"/>
    <w:rsid w:val="00454C5A"/>
    <w:rsid w:val="00454D8A"/>
    <w:rsid w:val="00455830"/>
    <w:rsid w:val="00455B99"/>
    <w:rsid w:val="004561EA"/>
    <w:rsid w:val="00456C1C"/>
    <w:rsid w:val="00456DBD"/>
    <w:rsid w:val="00456EF9"/>
    <w:rsid w:val="00456F8B"/>
    <w:rsid w:val="004577A7"/>
    <w:rsid w:val="004577D0"/>
    <w:rsid w:val="00457C0D"/>
    <w:rsid w:val="00457D21"/>
    <w:rsid w:val="00457F58"/>
    <w:rsid w:val="00460031"/>
    <w:rsid w:val="004604DF"/>
    <w:rsid w:val="0046080E"/>
    <w:rsid w:val="004611ED"/>
    <w:rsid w:val="0046197C"/>
    <w:rsid w:val="00461F5F"/>
    <w:rsid w:val="004623C8"/>
    <w:rsid w:val="004626F5"/>
    <w:rsid w:val="00462B4A"/>
    <w:rsid w:val="00462B5E"/>
    <w:rsid w:val="00462BAA"/>
    <w:rsid w:val="00463302"/>
    <w:rsid w:val="00463B3E"/>
    <w:rsid w:val="00463DD2"/>
    <w:rsid w:val="004645DF"/>
    <w:rsid w:val="0046479B"/>
    <w:rsid w:val="004648C0"/>
    <w:rsid w:val="004648CD"/>
    <w:rsid w:val="00464A2B"/>
    <w:rsid w:val="00464ABB"/>
    <w:rsid w:val="00464CEE"/>
    <w:rsid w:val="004656E4"/>
    <w:rsid w:val="0046692F"/>
    <w:rsid w:val="00466ABC"/>
    <w:rsid w:val="00466B0A"/>
    <w:rsid w:val="004671E1"/>
    <w:rsid w:val="00467E75"/>
    <w:rsid w:val="004702F5"/>
    <w:rsid w:val="0047031A"/>
    <w:rsid w:val="004704BC"/>
    <w:rsid w:val="00470DFA"/>
    <w:rsid w:val="004710D7"/>
    <w:rsid w:val="004712E5"/>
    <w:rsid w:val="0047137F"/>
    <w:rsid w:val="00471638"/>
    <w:rsid w:val="00471CAA"/>
    <w:rsid w:val="00471FD8"/>
    <w:rsid w:val="004720F4"/>
    <w:rsid w:val="00472286"/>
    <w:rsid w:val="0047234B"/>
    <w:rsid w:val="00472CE9"/>
    <w:rsid w:val="00474445"/>
    <w:rsid w:val="0047501D"/>
    <w:rsid w:val="004755B7"/>
    <w:rsid w:val="004755EE"/>
    <w:rsid w:val="00475C01"/>
    <w:rsid w:val="00476A2D"/>
    <w:rsid w:val="004775C5"/>
    <w:rsid w:val="00477A7D"/>
    <w:rsid w:val="00482091"/>
    <w:rsid w:val="004824EE"/>
    <w:rsid w:val="0048274E"/>
    <w:rsid w:val="0048302B"/>
    <w:rsid w:val="004830A8"/>
    <w:rsid w:val="004832D5"/>
    <w:rsid w:val="0048370E"/>
    <w:rsid w:val="0048468B"/>
    <w:rsid w:val="00485AD6"/>
    <w:rsid w:val="00485F9D"/>
    <w:rsid w:val="0048603C"/>
    <w:rsid w:val="00486126"/>
    <w:rsid w:val="00486550"/>
    <w:rsid w:val="004868BD"/>
    <w:rsid w:val="00487D86"/>
    <w:rsid w:val="00487D8D"/>
    <w:rsid w:val="00490179"/>
    <w:rsid w:val="00490416"/>
    <w:rsid w:val="00490627"/>
    <w:rsid w:val="004908DE"/>
    <w:rsid w:val="00490ADF"/>
    <w:rsid w:val="00490F8C"/>
    <w:rsid w:val="0049126F"/>
    <w:rsid w:val="004919EC"/>
    <w:rsid w:val="00492B6D"/>
    <w:rsid w:val="00492C47"/>
    <w:rsid w:val="004939C1"/>
    <w:rsid w:val="00493B01"/>
    <w:rsid w:val="00493EAE"/>
    <w:rsid w:val="004948E7"/>
    <w:rsid w:val="00494931"/>
    <w:rsid w:val="00494A76"/>
    <w:rsid w:val="00495074"/>
    <w:rsid w:val="00495443"/>
    <w:rsid w:val="00495959"/>
    <w:rsid w:val="00495EE8"/>
    <w:rsid w:val="004972B5"/>
    <w:rsid w:val="004977DF"/>
    <w:rsid w:val="004A0921"/>
    <w:rsid w:val="004A0B59"/>
    <w:rsid w:val="004A1395"/>
    <w:rsid w:val="004A1A44"/>
    <w:rsid w:val="004A2040"/>
    <w:rsid w:val="004A211C"/>
    <w:rsid w:val="004A24B8"/>
    <w:rsid w:val="004A2994"/>
    <w:rsid w:val="004A2A17"/>
    <w:rsid w:val="004A2D40"/>
    <w:rsid w:val="004A2FE7"/>
    <w:rsid w:val="004A3320"/>
    <w:rsid w:val="004A3328"/>
    <w:rsid w:val="004A36E1"/>
    <w:rsid w:val="004A3CD2"/>
    <w:rsid w:val="004A405D"/>
    <w:rsid w:val="004A422F"/>
    <w:rsid w:val="004A43B0"/>
    <w:rsid w:val="004A482C"/>
    <w:rsid w:val="004A4DB4"/>
    <w:rsid w:val="004A5222"/>
    <w:rsid w:val="004A590D"/>
    <w:rsid w:val="004A5B57"/>
    <w:rsid w:val="004A6229"/>
    <w:rsid w:val="004A634E"/>
    <w:rsid w:val="004A6635"/>
    <w:rsid w:val="004A685B"/>
    <w:rsid w:val="004A6D5D"/>
    <w:rsid w:val="004A72FB"/>
    <w:rsid w:val="004A7372"/>
    <w:rsid w:val="004A739C"/>
    <w:rsid w:val="004A7A2C"/>
    <w:rsid w:val="004A7E7F"/>
    <w:rsid w:val="004B10C3"/>
    <w:rsid w:val="004B11D3"/>
    <w:rsid w:val="004B123B"/>
    <w:rsid w:val="004B1A30"/>
    <w:rsid w:val="004B25E6"/>
    <w:rsid w:val="004B2600"/>
    <w:rsid w:val="004B29B5"/>
    <w:rsid w:val="004B35BF"/>
    <w:rsid w:val="004B3D27"/>
    <w:rsid w:val="004B40D1"/>
    <w:rsid w:val="004B4244"/>
    <w:rsid w:val="004B49A0"/>
    <w:rsid w:val="004B50E4"/>
    <w:rsid w:val="004B5C7D"/>
    <w:rsid w:val="004B63FC"/>
    <w:rsid w:val="004B670C"/>
    <w:rsid w:val="004B6935"/>
    <w:rsid w:val="004B71A5"/>
    <w:rsid w:val="004B76D9"/>
    <w:rsid w:val="004B76DF"/>
    <w:rsid w:val="004B78F3"/>
    <w:rsid w:val="004B7B5A"/>
    <w:rsid w:val="004C047B"/>
    <w:rsid w:val="004C1540"/>
    <w:rsid w:val="004C1917"/>
    <w:rsid w:val="004C1B27"/>
    <w:rsid w:val="004C1C8B"/>
    <w:rsid w:val="004C2B29"/>
    <w:rsid w:val="004C2B57"/>
    <w:rsid w:val="004C3083"/>
    <w:rsid w:val="004C3AD9"/>
    <w:rsid w:val="004C3DA8"/>
    <w:rsid w:val="004C402E"/>
    <w:rsid w:val="004C4340"/>
    <w:rsid w:val="004C437B"/>
    <w:rsid w:val="004C4635"/>
    <w:rsid w:val="004C46FD"/>
    <w:rsid w:val="004C5040"/>
    <w:rsid w:val="004C51E4"/>
    <w:rsid w:val="004C6C67"/>
    <w:rsid w:val="004C7106"/>
    <w:rsid w:val="004C72BA"/>
    <w:rsid w:val="004C7537"/>
    <w:rsid w:val="004C7549"/>
    <w:rsid w:val="004D0874"/>
    <w:rsid w:val="004D0AA5"/>
    <w:rsid w:val="004D0E0C"/>
    <w:rsid w:val="004D1761"/>
    <w:rsid w:val="004D2037"/>
    <w:rsid w:val="004D204F"/>
    <w:rsid w:val="004D2085"/>
    <w:rsid w:val="004D2147"/>
    <w:rsid w:val="004D2375"/>
    <w:rsid w:val="004D2485"/>
    <w:rsid w:val="004D25C3"/>
    <w:rsid w:val="004D281C"/>
    <w:rsid w:val="004D2A2D"/>
    <w:rsid w:val="004D2AFC"/>
    <w:rsid w:val="004D2BF3"/>
    <w:rsid w:val="004D2FAA"/>
    <w:rsid w:val="004D3C79"/>
    <w:rsid w:val="004D4240"/>
    <w:rsid w:val="004D46E3"/>
    <w:rsid w:val="004D4809"/>
    <w:rsid w:val="004D4B60"/>
    <w:rsid w:val="004D4CFE"/>
    <w:rsid w:val="004D4DAB"/>
    <w:rsid w:val="004D56AB"/>
    <w:rsid w:val="004D56EA"/>
    <w:rsid w:val="004D5752"/>
    <w:rsid w:val="004D5852"/>
    <w:rsid w:val="004D638A"/>
    <w:rsid w:val="004D6613"/>
    <w:rsid w:val="004D6734"/>
    <w:rsid w:val="004D67ED"/>
    <w:rsid w:val="004D7500"/>
    <w:rsid w:val="004D7572"/>
    <w:rsid w:val="004E01AE"/>
    <w:rsid w:val="004E064E"/>
    <w:rsid w:val="004E22CE"/>
    <w:rsid w:val="004E29DD"/>
    <w:rsid w:val="004E2D30"/>
    <w:rsid w:val="004E39A4"/>
    <w:rsid w:val="004E470A"/>
    <w:rsid w:val="004E559B"/>
    <w:rsid w:val="004E5B63"/>
    <w:rsid w:val="004E6058"/>
    <w:rsid w:val="004E65E8"/>
    <w:rsid w:val="004E6A09"/>
    <w:rsid w:val="004E6D35"/>
    <w:rsid w:val="004E7478"/>
    <w:rsid w:val="004E762D"/>
    <w:rsid w:val="004E7B4E"/>
    <w:rsid w:val="004E7D07"/>
    <w:rsid w:val="004F013E"/>
    <w:rsid w:val="004F04B2"/>
    <w:rsid w:val="004F07A6"/>
    <w:rsid w:val="004F099B"/>
    <w:rsid w:val="004F0A24"/>
    <w:rsid w:val="004F0EF5"/>
    <w:rsid w:val="004F1908"/>
    <w:rsid w:val="004F1911"/>
    <w:rsid w:val="004F1B5C"/>
    <w:rsid w:val="004F1CEB"/>
    <w:rsid w:val="004F1E55"/>
    <w:rsid w:val="004F3397"/>
    <w:rsid w:val="004F411B"/>
    <w:rsid w:val="004F45AF"/>
    <w:rsid w:val="004F473E"/>
    <w:rsid w:val="004F4848"/>
    <w:rsid w:val="004F4EBE"/>
    <w:rsid w:val="004F5472"/>
    <w:rsid w:val="004F61A4"/>
    <w:rsid w:val="004F693A"/>
    <w:rsid w:val="004F7296"/>
    <w:rsid w:val="004F733B"/>
    <w:rsid w:val="004F7D4F"/>
    <w:rsid w:val="004F7DD0"/>
    <w:rsid w:val="005001F6"/>
    <w:rsid w:val="00500458"/>
    <w:rsid w:val="0050088F"/>
    <w:rsid w:val="00500C74"/>
    <w:rsid w:val="005022D9"/>
    <w:rsid w:val="00502324"/>
    <w:rsid w:val="0050236E"/>
    <w:rsid w:val="00502856"/>
    <w:rsid w:val="0050289C"/>
    <w:rsid w:val="005031C6"/>
    <w:rsid w:val="00503237"/>
    <w:rsid w:val="00503264"/>
    <w:rsid w:val="00503922"/>
    <w:rsid w:val="0050406F"/>
    <w:rsid w:val="00504F17"/>
    <w:rsid w:val="00504F49"/>
    <w:rsid w:val="00505260"/>
    <w:rsid w:val="00505965"/>
    <w:rsid w:val="005059D9"/>
    <w:rsid w:val="00505F82"/>
    <w:rsid w:val="005060D1"/>
    <w:rsid w:val="005061F4"/>
    <w:rsid w:val="00507194"/>
    <w:rsid w:val="0050748C"/>
    <w:rsid w:val="0050755D"/>
    <w:rsid w:val="005076AA"/>
    <w:rsid w:val="00507A2E"/>
    <w:rsid w:val="00507ABF"/>
    <w:rsid w:val="00507E8A"/>
    <w:rsid w:val="0051028E"/>
    <w:rsid w:val="005104E4"/>
    <w:rsid w:val="00510901"/>
    <w:rsid w:val="00510AD0"/>
    <w:rsid w:val="0051170A"/>
    <w:rsid w:val="00511816"/>
    <w:rsid w:val="005118EB"/>
    <w:rsid w:val="00511E9F"/>
    <w:rsid w:val="00513200"/>
    <w:rsid w:val="005133C7"/>
    <w:rsid w:val="00513F0A"/>
    <w:rsid w:val="00514180"/>
    <w:rsid w:val="0051470F"/>
    <w:rsid w:val="00514EF6"/>
    <w:rsid w:val="005152E0"/>
    <w:rsid w:val="005155AC"/>
    <w:rsid w:val="005155CC"/>
    <w:rsid w:val="005168D6"/>
    <w:rsid w:val="00516B65"/>
    <w:rsid w:val="005174AB"/>
    <w:rsid w:val="00517B52"/>
    <w:rsid w:val="0052005E"/>
    <w:rsid w:val="005215D5"/>
    <w:rsid w:val="005217C1"/>
    <w:rsid w:val="0052186C"/>
    <w:rsid w:val="00522CD5"/>
    <w:rsid w:val="00522FAF"/>
    <w:rsid w:val="00523108"/>
    <w:rsid w:val="0052322E"/>
    <w:rsid w:val="00523C79"/>
    <w:rsid w:val="00523CFC"/>
    <w:rsid w:val="0052435A"/>
    <w:rsid w:val="00524D08"/>
    <w:rsid w:val="005251C7"/>
    <w:rsid w:val="005259C4"/>
    <w:rsid w:val="005261B6"/>
    <w:rsid w:val="00526420"/>
    <w:rsid w:val="005266F8"/>
    <w:rsid w:val="00526830"/>
    <w:rsid w:val="00526B3D"/>
    <w:rsid w:val="00526E15"/>
    <w:rsid w:val="0052771C"/>
    <w:rsid w:val="00527D02"/>
    <w:rsid w:val="005303FF"/>
    <w:rsid w:val="0053050C"/>
    <w:rsid w:val="005310A8"/>
    <w:rsid w:val="00531989"/>
    <w:rsid w:val="00532865"/>
    <w:rsid w:val="00532F1D"/>
    <w:rsid w:val="005332FB"/>
    <w:rsid w:val="0053363E"/>
    <w:rsid w:val="005340FF"/>
    <w:rsid w:val="005346BA"/>
    <w:rsid w:val="00535322"/>
    <w:rsid w:val="00535E11"/>
    <w:rsid w:val="00535E92"/>
    <w:rsid w:val="0053620D"/>
    <w:rsid w:val="00536516"/>
    <w:rsid w:val="005368D3"/>
    <w:rsid w:val="0053704D"/>
    <w:rsid w:val="0053709B"/>
    <w:rsid w:val="005371BD"/>
    <w:rsid w:val="005375CE"/>
    <w:rsid w:val="00537C0B"/>
    <w:rsid w:val="005408B0"/>
    <w:rsid w:val="00541297"/>
    <w:rsid w:val="00541914"/>
    <w:rsid w:val="00541BDF"/>
    <w:rsid w:val="00541F3E"/>
    <w:rsid w:val="00541FC7"/>
    <w:rsid w:val="00541FE6"/>
    <w:rsid w:val="00542064"/>
    <w:rsid w:val="005421CF"/>
    <w:rsid w:val="005432F2"/>
    <w:rsid w:val="00543E6B"/>
    <w:rsid w:val="00544B08"/>
    <w:rsid w:val="00545526"/>
    <w:rsid w:val="00545644"/>
    <w:rsid w:val="00545AB1"/>
    <w:rsid w:val="00546E01"/>
    <w:rsid w:val="005476FF"/>
    <w:rsid w:val="00550005"/>
    <w:rsid w:val="005506DE"/>
    <w:rsid w:val="00550CF9"/>
    <w:rsid w:val="00551416"/>
    <w:rsid w:val="005517EF"/>
    <w:rsid w:val="00551A86"/>
    <w:rsid w:val="005527D6"/>
    <w:rsid w:val="005529FF"/>
    <w:rsid w:val="00552E14"/>
    <w:rsid w:val="00552EDD"/>
    <w:rsid w:val="00553314"/>
    <w:rsid w:val="005537C4"/>
    <w:rsid w:val="005537F7"/>
    <w:rsid w:val="005539DC"/>
    <w:rsid w:val="005540B6"/>
    <w:rsid w:val="00554202"/>
    <w:rsid w:val="00554442"/>
    <w:rsid w:val="005545EB"/>
    <w:rsid w:val="00554C5A"/>
    <w:rsid w:val="0055663B"/>
    <w:rsid w:val="00556AB2"/>
    <w:rsid w:val="00556E25"/>
    <w:rsid w:val="0055798C"/>
    <w:rsid w:val="00557DA3"/>
    <w:rsid w:val="00557F62"/>
    <w:rsid w:val="005602B7"/>
    <w:rsid w:val="00560339"/>
    <w:rsid w:val="005607C7"/>
    <w:rsid w:val="00561B9C"/>
    <w:rsid w:val="00561D3F"/>
    <w:rsid w:val="00562017"/>
    <w:rsid w:val="0056246D"/>
    <w:rsid w:val="00563494"/>
    <w:rsid w:val="00563E06"/>
    <w:rsid w:val="0056408F"/>
    <w:rsid w:val="005643B6"/>
    <w:rsid w:val="005645D4"/>
    <w:rsid w:val="005658C6"/>
    <w:rsid w:val="00565C38"/>
    <w:rsid w:val="00565D7F"/>
    <w:rsid w:val="005668D2"/>
    <w:rsid w:val="00566BB8"/>
    <w:rsid w:val="00566D26"/>
    <w:rsid w:val="0056701B"/>
    <w:rsid w:val="0056706B"/>
    <w:rsid w:val="00567366"/>
    <w:rsid w:val="005675B3"/>
    <w:rsid w:val="005678C6"/>
    <w:rsid w:val="00570070"/>
    <w:rsid w:val="00570601"/>
    <w:rsid w:val="00570A06"/>
    <w:rsid w:val="00571253"/>
    <w:rsid w:val="00571352"/>
    <w:rsid w:val="00571E35"/>
    <w:rsid w:val="00571ECF"/>
    <w:rsid w:val="00572A2E"/>
    <w:rsid w:val="00573552"/>
    <w:rsid w:val="00573D6D"/>
    <w:rsid w:val="0057434E"/>
    <w:rsid w:val="005744E2"/>
    <w:rsid w:val="00575129"/>
    <w:rsid w:val="0057513F"/>
    <w:rsid w:val="005752B6"/>
    <w:rsid w:val="0057578B"/>
    <w:rsid w:val="0057626C"/>
    <w:rsid w:val="00576714"/>
    <w:rsid w:val="0057695F"/>
    <w:rsid w:val="00576B78"/>
    <w:rsid w:val="00576D0C"/>
    <w:rsid w:val="00577756"/>
    <w:rsid w:val="00577B85"/>
    <w:rsid w:val="00580085"/>
    <w:rsid w:val="00580574"/>
    <w:rsid w:val="0058058F"/>
    <w:rsid w:val="005812BC"/>
    <w:rsid w:val="005812D1"/>
    <w:rsid w:val="00582AC5"/>
    <w:rsid w:val="005841DD"/>
    <w:rsid w:val="00584691"/>
    <w:rsid w:val="0058515E"/>
    <w:rsid w:val="00585A67"/>
    <w:rsid w:val="00586858"/>
    <w:rsid w:val="00586C46"/>
    <w:rsid w:val="005870C1"/>
    <w:rsid w:val="00587206"/>
    <w:rsid w:val="00587A82"/>
    <w:rsid w:val="00587AEF"/>
    <w:rsid w:val="00590F12"/>
    <w:rsid w:val="005915B4"/>
    <w:rsid w:val="00591846"/>
    <w:rsid w:val="00591B99"/>
    <w:rsid w:val="00592276"/>
    <w:rsid w:val="005924AA"/>
    <w:rsid w:val="00592A88"/>
    <w:rsid w:val="00592B4D"/>
    <w:rsid w:val="00592C93"/>
    <w:rsid w:val="0059304E"/>
    <w:rsid w:val="00593311"/>
    <w:rsid w:val="0059338F"/>
    <w:rsid w:val="0059399D"/>
    <w:rsid w:val="00593B5C"/>
    <w:rsid w:val="00593FB4"/>
    <w:rsid w:val="005943EA"/>
    <w:rsid w:val="0059457F"/>
    <w:rsid w:val="00594699"/>
    <w:rsid w:val="005946F9"/>
    <w:rsid w:val="005949A3"/>
    <w:rsid w:val="00595167"/>
    <w:rsid w:val="00595504"/>
    <w:rsid w:val="00595C06"/>
    <w:rsid w:val="00595D38"/>
    <w:rsid w:val="00596674"/>
    <w:rsid w:val="005976FB"/>
    <w:rsid w:val="00597839"/>
    <w:rsid w:val="005979C6"/>
    <w:rsid w:val="00597CE4"/>
    <w:rsid w:val="005A0045"/>
    <w:rsid w:val="005A097F"/>
    <w:rsid w:val="005A0CBE"/>
    <w:rsid w:val="005A0ED6"/>
    <w:rsid w:val="005A1333"/>
    <w:rsid w:val="005A1578"/>
    <w:rsid w:val="005A1B5B"/>
    <w:rsid w:val="005A1E06"/>
    <w:rsid w:val="005A292C"/>
    <w:rsid w:val="005A31C2"/>
    <w:rsid w:val="005A57C6"/>
    <w:rsid w:val="005A72EE"/>
    <w:rsid w:val="005A75F9"/>
    <w:rsid w:val="005B00E3"/>
    <w:rsid w:val="005B085A"/>
    <w:rsid w:val="005B118A"/>
    <w:rsid w:val="005B1BAF"/>
    <w:rsid w:val="005B1D99"/>
    <w:rsid w:val="005B2310"/>
    <w:rsid w:val="005B2671"/>
    <w:rsid w:val="005B2E1F"/>
    <w:rsid w:val="005B3238"/>
    <w:rsid w:val="005B39E7"/>
    <w:rsid w:val="005B410D"/>
    <w:rsid w:val="005B42C2"/>
    <w:rsid w:val="005B44B9"/>
    <w:rsid w:val="005B4C42"/>
    <w:rsid w:val="005B4F9B"/>
    <w:rsid w:val="005B51B1"/>
    <w:rsid w:val="005B5761"/>
    <w:rsid w:val="005B609E"/>
    <w:rsid w:val="005B6BA9"/>
    <w:rsid w:val="005B7143"/>
    <w:rsid w:val="005B71DF"/>
    <w:rsid w:val="005B72CD"/>
    <w:rsid w:val="005C0171"/>
    <w:rsid w:val="005C09E0"/>
    <w:rsid w:val="005C0BB6"/>
    <w:rsid w:val="005C101F"/>
    <w:rsid w:val="005C1643"/>
    <w:rsid w:val="005C18C1"/>
    <w:rsid w:val="005C2003"/>
    <w:rsid w:val="005C2C99"/>
    <w:rsid w:val="005C31E6"/>
    <w:rsid w:val="005C3535"/>
    <w:rsid w:val="005C3731"/>
    <w:rsid w:val="005C3CAE"/>
    <w:rsid w:val="005C4343"/>
    <w:rsid w:val="005C444F"/>
    <w:rsid w:val="005C4951"/>
    <w:rsid w:val="005C4E3C"/>
    <w:rsid w:val="005C4ED2"/>
    <w:rsid w:val="005C4EE9"/>
    <w:rsid w:val="005C4F92"/>
    <w:rsid w:val="005C5129"/>
    <w:rsid w:val="005C55F8"/>
    <w:rsid w:val="005C6298"/>
    <w:rsid w:val="005C655C"/>
    <w:rsid w:val="005C69DD"/>
    <w:rsid w:val="005C6C78"/>
    <w:rsid w:val="005C7588"/>
    <w:rsid w:val="005C767A"/>
    <w:rsid w:val="005D0C90"/>
    <w:rsid w:val="005D167D"/>
    <w:rsid w:val="005D16FC"/>
    <w:rsid w:val="005D1735"/>
    <w:rsid w:val="005D1C62"/>
    <w:rsid w:val="005D1D5F"/>
    <w:rsid w:val="005D24E0"/>
    <w:rsid w:val="005D29EB"/>
    <w:rsid w:val="005D337C"/>
    <w:rsid w:val="005D3ED7"/>
    <w:rsid w:val="005D3F6B"/>
    <w:rsid w:val="005D4A47"/>
    <w:rsid w:val="005D5052"/>
    <w:rsid w:val="005D5077"/>
    <w:rsid w:val="005D57EF"/>
    <w:rsid w:val="005D5A48"/>
    <w:rsid w:val="005D5A8D"/>
    <w:rsid w:val="005D5AF2"/>
    <w:rsid w:val="005D6005"/>
    <w:rsid w:val="005D600C"/>
    <w:rsid w:val="005D638C"/>
    <w:rsid w:val="005E0418"/>
    <w:rsid w:val="005E05CA"/>
    <w:rsid w:val="005E0E53"/>
    <w:rsid w:val="005E0F13"/>
    <w:rsid w:val="005E1663"/>
    <w:rsid w:val="005E1A9B"/>
    <w:rsid w:val="005E2085"/>
    <w:rsid w:val="005E2F9B"/>
    <w:rsid w:val="005E4F8A"/>
    <w:rsid w:val="005E5487"/>
    <w:rsid w:val="005E5C75"/>
    <w:rsid w:val="005E5D46"/>
    <w:rsid w:val="005E6272"/>
    <w:rsid w:val="005E7242"/>
    <w:rsid w:val="005E756D"/>
    <w:rsid w:val="005E7829"/>
    <w:rsid w:val="005E7986"/>
    <w:rsid w:val="005E7B78"/>
    <w:rsid w:val="005F01E2"/>
    <w:rsid w:val="005F043C"/>
    <w:rsid w:val="005F06BD"/>
    <w:rsid w:val="005F0711"/>
    <w:rsid w:val="005F1547"/>
    <w:rsid w:val="005F1557"/>
    <w:rsid w:val="005F1E09"/>
    <w:rsid w:val="005F2329"/>
    <w:rsid w:val="005F2464"/>
    <w:rsid w:val="005F252C"/>
    <w:rsid w:val="005F26D2"/>
    <w:rsid w:val="005F2FB8"/>
    <w:rsid w:val="005F4184"/>
    <w:rsid w:val="005F4E44"/>
    <w:rsid w:val="005F4F20"/>
    <w:rsid w:val="005F5642"/>
    <w:rsid w:val="005F6160"/>
    <w:rsid w:val="005F6976"/>
    <w:rsid w:val="005F6ED8"/>
    <w:rsid w:val="005F7916"/>
    <w:rsid w:val="006002D9"/>
    <w:rsid w:val="00600E35"/>
    <w:rsid w:val="00601C1F"/>
    <w:rsid w:val="006020E5"/>
    <w:rsid w:val="00602EE7"/>
    <w:rsid w:val="00603255"/>
    <w:rsid w:val="00603453"/>
    <w:rsid w:val="00603498"/>
    <w:rsid w:val="006038C6"/>
    <w:rsid w:val="00604600"/>
    <w:rsid w:val="0060506F"/>
    <w:rsid w:val="00605A7C"/>
    <w:rsid w:val="00606AB7"/>
    <w:rsid w:val="00606DC1"/>
    <w:rsid w:val="00606E15"/>
    <w:rsid w:val="0060714C"/>
    <w:rsid w:val="006071D4"/>
    <w:rsid w:val="006074B0"/>
    <w:rsid w:val="006074EE"/>
    <w:rsid w:val="006075AF"/>
    <w:rsid w:val="00607663"/>
    <w:rsid w:val="00611461"/>
    <w:rsid w:val="00612117"/>
    <w:rsid w:val="0061215E"/>
    <w:rsid w:val="00612548"/>
    <w:rsid w:val="00612782"/>
    <w:rsid w:val="006127B4"/>
    <w:rsid w:val="00612C6A"/>
    <w:rsid w:val="006130AA"/>
    <w:rsid w:val="0061363D"/>
    <w:rsid w:val="00613A9B"/>
    <w:rsid w:val="00613DB9"/>
    <w:rsid w:val="006144E9"/>
    <w:rsid w:val="0061474B"/>
    <w:rsid w:val="00614E24"/>
    <w:rsid w:val="0061550F"/>
    <w:rsid w:val="006159F6"/>
    <w:rsid w:val="00615E52"/>
    <w:rsid w:val="0061630F"/>
    <w:rsid w:val="006163B3"/>
    <w:rsid w:val="006169EC"/>
    <w:rsid w:val="00616B28"/>
    <w:rsid w:val="00616E1F"/>
    <w:rsid w:val="00617371"/>
    <w:rsid w:val="006173B4"/>
    <w:rsid w:val="006174BB"/>
    <w:rsid w:val="00617AB6"/>
    <w:rsid w:val="00617CEC"/>
    <w:rsid w:val="00617CFE"/>
    <w:rsid w:val="00617D32"/>
    <w:rsid w:val="00617FBB"/>
    <w:rsid w:val="006207A2"/>
    <w:rsid w:val="006219CF"/>
    <w:rsid w:val="00622572"/>
    <w:rsid w:val="0062307D"/>
    <w:rsid w:val="00623B73"/>
    <w:rsid w:val="00623E77"/>
    <w:rsid w:val="00624009"/>
    <w:rsid w:val="00624574"/>
    <w:rsid w:val="00624E2E"/>
    <w:rsid w:val="00625A03"/>
    <w:rsid w:val="00625A33"/>
    <w:rsid w:val="00626304"/>
    <w:rsid w:val="006263F2"/>
    <w:rsid w:val="0062688B"/>
    <w:rsid w:val="00626CD8"/>
    <w:rsid w:val="00626E81"/>
    <w:rsid w:val="00627290"/>
    <w:rsid w:val="00630938"/>
    <w:rsid w:val="00630A25"/>
    <w:rsid w:val="00630C07"/>
    <w:rsid w:val="00630C78"/>
    <w:rsid w:val="00630E78"/>
    <w:rsid w:val="00631100"/>
    <w:rsid w:val="0063122F"/>
    <w:rsid w:val="006313FF"/>
    <w:rsid w:val="006318F4"/>
    <w:rsid w:val="006340CE"/>
    <w:rsid w:val="00634221"/>
    <w:rsid w:val="006346F7"/>
    <w:rsid w:val="006352D0"/>
    <w:rsid w:val="0063594F"/>
    <w:rsid w:val="00635AEF"/>
    <w:rsid w:val="00635CED"/>
    <w:rsid w:val="006360AD"/>
    <w:rsid w:val="00636958"/>
    <w:rsid w:val="0063707C"/>
    <w:rsid w:val="00637507"/>
    <w:rsid w:val="006377ED"/>
    <w:rsid w:val="00640387"/>
    <w:rsid w:val="0064058B"/>
    <w:rsid w:val="006407B2"/>
    <w:rsid w:val="00640960"/>
    <w:rsid w:val="0064109E"/>
    <w:rsid w:val="006416F5"/>
    <w:rsid w:val="00641BF0"/>
    <w:rsid w:val="00642097"/>
    <w:rsid w:val="0064236C"/>
    <w:rsid w:val="0064245A"/>
    <w:rsid w:val="00642738"/>
    <w:rsid w:val="00642DA0"/>
    <w:rsid w:val="00643679"/>
    <w:rsid w:val="006442E2"/>
    <w:rsid w:val="0064458E"/>
    <w:rsid w:val="00644618"/>
    <w:rsid w:val="00644DE9"/>
    <w:rsid w:val="006453AF"/>
    <w:rsid w:val="00645E71"/>
    <w:rsid w:val="0064649D"/>
    <w:rsid w:val="0064662D"/>
    <w:rsid w:val="00647130"/>
    <w:rsid w:val="006477B1"/>
    <w:rsid w:val="00650100"/>
    <w:rsid w:val="00650312"/>
    <w:rsid w:val="006505DB"/>
    <w:rsid w:val="006507AA"/>
    <w:rsid w:val="00650CB0"/>
    <w:rsid w:val="0065241F"/>
    <w:rsid w:val="0065266B"/>
    <w:rsid w:val="00652750"/>
    <w:rsid w:val="00652BBB"/>
    <w:rsid w:val="00654950"/>
    <w:rsid w:val="006549CF"/>
    <w:rsid w:val="00654A07"/>
    <w:rsid w:val="00654FD4"/>
    <w:rsid w:val="006555EA"/>
    <w:rsid w:val="006558D3"/>
    <w:rsid w:val="006559F2"/>
    <w:rsid w:val="00655B12"/>
    <w:rsid w:val="00655E13"/>
    <w:rsid w:val="00655E96"/>
    <w:rsid w:val="006561EE"/>
    <w:rsid w:val="0065627D"/>
    <w:rsid w:val="00656338"/>
    <w:rsid w:val="00656956"/>
    <w:rsid w:val="00656A2E"/>
    <w:rsid w:val="0065706F"/>
    <w:rsid w:val="00657A5D"/>
    <w:rsid w:val="00657D2D"/>
    <w:rsid w:val="006603B2"/>
    <w:rsid w:val="00660757"/>
    <w:rsid w:val="006608AF"/>
    <w:rsid w:val="00660AEA"/>
    <w:rsid w:val="00661516"/>
    <w:rsid w:val="00661E04"/>
    <w:rsid w:val="0066203E"/>
    <w:rsid w:val="006627CF"/>
    <w:rsid w:val="00662BAA"/>
    <w:rsid w:val="00662CB6"/>
    <w:rsid w:val="006634C3"/>
    <w:rsid w:val="00663527"/>
    <w:rsid w:val="00663754"/>
    <w:rsid w:val="00663849"/>
    <w:rsid w:val="00663E60"/>
    <w:rsid w:val="00664B22"/>
    <w:rsid w:val="00665228"/>
    <w:rsid w:val="00665B5D"/>
    <w:rsid w:val="00665B8B"/>
    <w:rsid w:val="0066608D"/>
    <w:rsid w:val="00666210"/>
    <w:rsid w:val="0066687B"/>
    <w:rsid w:val="00666E85"/>
    <w:rsid w:val="0066737C"/>
    <w:rsid w:val="00667A96"/>
    <w:rsid w:val="0067062D"/>
    <w:rsid w:val="0067099D"/>
    <w:rsid w:val="006710D3"/>
    <w:rsid w:val="00671320"/>
    <w:rsid w:val="00671360"/>
    <w:rsid w:val="00671B41"/>
    <w:rsid w:val="00671D8A"/>
    <w:rsid w:val="00672539"/>
    <w:rsid w:val="00672619"/>
    <w:rsid w:val="00672799"/>
    <w:rsid w:val="00672DE4"/>
    <w:rsid w:val="006730CE"/>
    <w:rsid w:val="006731F2"/>
    <w:rsid w:val="00673459"/>
    <w:rsid w:val="006734CD"/>
    <w:rsid w:val="006735E9"/>
    <w:rsid w:val="006738FE"/>
    <w:rsid w:val="00673D17"/>
    <w:rsid w:val="0067534A"/>
    <w:rsid w:val="0067573F"/>
    <w:rsid w:val="006757DE"/>
    <w:rsid w:val="00675B9A"/>
    <w:rsid w:val="00675C14"/>
    <w:rsid w:val="00675F3E"/>
    <w:rsid w:val="00676D76"/>
    <w:rsid w:val="00677013"/>
    <w:rsid w:val="006770BA"/>
    <w:rsid w:val="00677470"/>
    <w:rsid w:val="00677F16"/>
    <w:rsid w:val="006800EA"/>
    <w:rsid w:val="006803B1"/>
    <w:rsid w:val="006809F7"/>
    <w:rsid w:val="00680EF7"/>
    <w:rsid w:val="00682026"/>
    <w:rsid w:val="006823CB"/>
    <w:rsid w:val="00683596"/>
    <w:rsid w:val="00683617"/>
    <w:rsid w:val="00683861"/>
    <w:rsid w:val="00683B75"/>
    <w:rsid w:val="00683DC1"/>
    <w:rsid w:val="00683ED8"/>
    <w:rsid w:val="0068413A"/>
    <w:rsid w:val="00684268"/>
    <w:rsid w:val="0068442A"/>
    <w:rsid w:val="00684516"/>
    <w:rsid w:val="0068503D"/>
    <w:rsid w:val="0068531E"/>
    <w:rsid w:val="006857AF"/>
    <w:rsid w:val="00685983"/>
    <w:rsid w:val="00686592"/>
    <w:rsid w:val="00686C1D"/>
    <w:rsid w:val="00687122"/>
    <w:rsid w:val="006873C2"/>
    <w:rsid w:val="00687AE1"/>
    <w:rsid w:val="00690299"/>
    <w:rsid w:val="00690B75"/>
    <w:rsid w:val="00690BBA"/>
    <w:rsid w:val="00690D89"/>
    <w:rsid w:val="00691A89"/>
    <w:rsid w:val="00691C34"/>
    <w:rsid w:val="006920A8"/>
    <w:rsid w:val="006927F8"/>
    <w:rsid w:val="006934C5"/>
    <w:rsid w:val="006934FB"/>
    <w:rsid w:val="00693D9D"/>
    <w:rsid w:val="00694003"/>
    <w:rsid w:val="00694130"/>
    <w:rsid w:val="0069434F"/>
    <w:rsid w:val="00694806"/>
    <w:rsid w:val="006949A0"/>
    <w:rsid w:val="00695E3C"/>
    <w:rsid w:val="00695E43"/>
    <w:rsid w:val="00696126"/>
    <w:rsid w:val="006965A0"/>
    <w:rsid w:val="00697672"/>
    <w:rsid w:val="00697D77"/>
    <w:rsid w:val="00697DAA"/>
    <w:rsid w:val="006A0026"/>
    <w:rsid w:val="006A05C3"/>
    <w:rsid w:val="006A07E0"/>
    <w:rsid w:val="006A0CD2"/>
    <w:rsid w:val="006A0CDB"/>
    <w:rsid w:val="006A1A80"/>
    <w:rsid w:val="006A239D"/>
    <w:rsid w:val="006A250E"/>
    <w:rsid w:val="006A2569"/>
    <w:rsid w:val="006A25C3"/>
    <w:rsid w:val="006A30D4"/>
    <w:rsid w:val="006A35A7"/>
    <w:rsid w:val="006A4CDF"/>
    <w:rsid w:val="006A4E8C"/>
    <w:rsid w:val="006A6546"/>
    <w:rsid w:val="006A6763"/>
    <w:rsid w:val="006A68C5"/>
    <w:rsid w:val="006A697F"/>
    <w:rsid w:val="006A6D7E"/>
    <w:rsid w:val="006A6DE4"/>
    <w:rsid w:val="006A6EA2"/>
    <w:rsid w:val="006A73FD"/>
    <w:rsid w:val="006A7494"/>
    <w:rsid w:val="006A7A48"/>
    <w:rsid w:val="006B06AA"/>
    <w:rsid w:val="006B07B7"/>
    <w:rsid w:val="006B0970"/>
    <w:rsid w:val="006B09A1"/>
    <w:rsid w:val="006B0CF9"/>
    <w:rsid w:val="006B1217"/>
    <w:rsid w:val="006B1368"/>
    <w:rsid w:val="006B13FA"/>
    <w:rsid w:val="006B1526"/>
    <w:rsid w:val="006B19FD"/>
    <w:rsid w:val="006B1DF3"/>
    <w:rsid w:val="006B20A7"/>
    <w:rsid w:val="006B280A"/>
    <w:rsid w:val="006B2AFF"/>
    <w:rsid w:val="006B2E41"/>
    <w:rsid w:val="006B33BC"/>
    <w:rsid w:val="006B35B6"/>
    <w:rsid w:val="006B38CD"/>
    <w:rsid w:val="006B3B3A"/>
    <w:rsid w:val="006B4172"/>
    <w:rsid w:val="006B5085"/>
    <w:rsid w:val="006B5291"/>
    <w:rsid w:val="006B5682"/>
    <w:rsid w:val="006B5EA1"/>
    <w:rsid w:val="006B6650"/>
    <w:rsid w:val="006B683D"/>
    <w:rsid w:val="006B68D0"/>
    <w:rsid w:val="006B6A50"/>
    <w:rsid w:val="006B6CEC"/>
    <w:rsid w:val="006B6E6E"/>
    <w:rsid w:val="006B73DB"/>
    <w:rsid w:val="006B7811"/>
    <w:rsid w:val="006B78CA"/>
    <w:rsid w:val="006B78FC"/>
    <w:rsid w:val="006C01DA"/>
    <w:rsid w:val="006C04EB"/>
    <w:rsid w:val="006C095D"/>
    <w:rsid w:val="006C1823"/>
    <w:rsid w:val="006C1B86"/>
    <w:rsid w:val="006C1E89"/>
    <w:rsid w:val="006C1F4F"/>
    <w:rsid w:val="006C2D55"/>
    <w:rsid w:val="006C2F84"/>
    <w:rsid w:val="006C37B9"/>
    <w:rsid w:val="006C3807"/>
    <w:rsid w:val="006C3CE5"/>
    <w:rsid w:val="006C442A"/>
    <w:rsid w:val="006C4ECA"/>
    <w:rsid w:val="006C520F"/>
    <w:rsid w:val="006C5A0B"/>
    <w:rsid w:val="006C5F80"/>
    <w:rsid w:val="006C6190"/>
    <w:rsid w:val="006C6444"/>
    <w:rsid w:val="006C6788"/>
    <w:rsid w:val="006C6835"/>
    <w:rsid w:val="006C7848"/>
    <w:rsid w:val="006D05FC"/>
    <w:rsid w:val="006D1513"/>
    <w:rsid w:val="006D179D"/>
    <w:rsid w:val="006D1AD3"/>
    <w:rsid w:val="006D1CCE"/>
    <w:rsid w:val="006D21C2"/>
    <w:rsid w:val="006D2365"/>
    <w:rsid w:val="006D246D"/>
    <w:rsid w:val="006D2B65"/>
    <w:rsid w:val="006D2CE3"/>
    <w:rsid w:val="006D30B6"/>
    <w:rsid w:val="006D3B2B"/>
    <w:rsid w:val="006D3B98"/>
    <w:rsid w:val="006D3C4C"/>
    <w:rsid w:val="006D4945"/>
    <w:rsid w:val="006D4FA3"/>
    <w:rsid w:val="006D58E9"/>
    <w:rsid w:val="006D599B"/>
    <w:rsid w:val="006D5C4B"/>
    <w:rsid w:val="006D5F99"/>
    <w:rsid w:val="006D72FD"/>
    <w:rsid w:val="006D78ED"/>
    <w:rsid w:val="006D799A"/>
    <w:rsid w:val="006E02CC"/>
    <w:rsid w:val="006E061A"/>
    <w:rsid w:val="006E086C"/>
    <w:rsid w:val="006E0C5F"/>
    <w:rsid w:val="006E1114"/>
    <w:rsid w:val="006E1378"/>
    <w:rsid w:val="006E1818"/>
    <w:rsid w:val="006E1D97"/>
    <w:rsid w:val="006E1ECC"/>
    <w:rsid w:val="006E2CB9"/>
    <w:rsid w:val="006E30C3"/>
    <w:rsid w:val="006E335F"/>
    <w:rsid w:val="006E3709"/>
    <w:rsid w:val="006E435A"/>
    <w:rsid w:val="006E467A"/>
    <w:rsid w:val="006E4D6E"/>
    <w:rsid w:val="006E541F"/>
    <w:rsid w:val="006E5D9F"/>
    <w:rsid w:val="006E660E"/>
    <w:rsid w:val="006E6A29"/>
    <w:rsid w:val="006E6B6D"/>
    <w:rsid w:val="006E6CA1"/>
    <w:rsid w:val="006E6D0F"/>
    <w:rsid w:val="006E7693"/>
    <w:rsid w:val="006E782F"/>
    <w:rsid w:val="006E797F"/>
    <w:rsid w:val="006E7F95"/>
    <w:rsid w:val="006F069E"/>
    <w:rsid w:val="006F1766"/>
    <w:rsid w:val="006F1932"/>
    <w:rsid w:val="006F1AE1"/>
    <w:rsid w:val="006F1E86"/>
    <w:rsid w:val="006F2940"/>
    <w:rsid w:val="006F2FD7"/>
    <w:rsid w:val="006F3932"/>
    <w:rsid w:val="006F3C0F"/>
    <w:rsid w:val="006F3E12"/>
    <w:rsid w:val="006F3E5E"/>
    <w:rsid w:val="006F3F8A"/>
    <w:rsid w:val="006F44DD"/>
    <w:rsid w:val="006F47AC"/>
    <w:rsid w:val="006F56A6"/>
    <w:rsid w:val="006F582B"/>
    <w:rsid w:val="006F5FC9"/>
    <w:rsid w:val="006F632F"/>
    <w:rsid w:val="006F722D"/>
    <w:rsid w:val="006F7ABA"/>
    <w:rsid w:val="0070231F"/>
    <w:rsid w:val="00702505"/>
    <w:rsid w:val="00703625"/>
    <w:rsid w:val="0070393D"/>
    <w:rsid w:val="00703AE9"/>
    <w:rsid w:val="00703B95"/>
    <w:rsid w:val="00704156"/>
    <w:rsid w:val="00704350"/>
    <w:rsid w:val="007045B9"/>
    <w:rsid w:val="0070490F"/>
    <w:rsid w:val="0070503A"/>
    <w:rsid w:val="007051F6"/>
    <w:rsid w:val="00705AF4"/>
    <w:rsid w:val="0070620D"/>
    <w:rsid w:val="007065E4"/>
    <w:rsid w:val="00706B5A"/>
    <w:rsid w:val="00706DA4"/>
    <w:rsid w:val="00706E79"/>
    <w:rsid w:val="0070724D"/>
    <w:rsid w:val="00707581"/>
    <w:rsid w:val="00707AED"/>
    <w:rsid w:val="00710975"/>
    <w:rsid w:val="00710CA6"/>
    <w:rsid w:val="0071118C"/>
    <w:rsid w:val="007117FC"/>
    <w:rsid w:val="00712072"/>
    <w:rsid w:val="007121FD"/>
    <w:rsid w:val="00713183"/>
    <w:rsid w:val="007132FF"/>
    <w:rsid w:val="00713A7F"/>
    <w:rsid w:val="00713D73"/>
    <w:rsid w:val="00714DD8"/>
    <w:rsid w:val="00715280"/>
    <w:rsid w:val="00715DC6"/>
    <w:rsid w:val="00716773"/>
    <w:rsid w:val="00716789"/>
    <w:rsid w:val="00716936"/>
    <w:rsid w:val="00716AC3"/>
    <w:rsid w:val="007171F1"/>
    <w:rsid w:val="007174F1"/>
    <w:rsid w:val="00717BFE"/>
    <w:rsid w:val="00720BB4"/>
    <w:rsid w:val="00721BBE"/>
    <w:rsid w:val="00721F16"/>
    <w:rsid w:val="00722065"/>
    <w:rsid w:val="00722361"/>
    <w:rsid w:val="00722EDC"/>
    <w:rsid w:val="00723225"/>
    <w:rsid w:val="007232D1"/>
    <w:rsid w:val="00723392"/>
    <w:rsid w:val="007238A0"/>
    <w:rsid w:val="0072407F"/>
    <w:rsid w:val="007242AE"/>
    <w:rsid w:val="007244D3"/>
    <w:rsid w:val="00724ACC"/>
    <w:rsid w:val="0072519C"/>
    <w:rsid w:val="00725562"/>
    <w:rsid w:val="00725860"/>
    <w:rsid w:val="00725CD0"/>
    <w:rsid w:val="00726389"/>
    <w:rsid w:val="00726829"/>
    <w:rsid w:val="00726912"/>
    <w:rsid w:val="00726E05"/>
    <w:rsid w:val="007272A1"/>
    <w:rsid w:val="007276D4"/>
    <w:rsid w:val="00730492"/>
    <w:rsid w:val="00730714"/>
    <w:rsid w:val="00731314"/>
    <w:rsid w:val="00731385"/>
    <w:rsid w:val="0073195E"/>
    <w:rsid w:val="00731ACF"/>
    <w:rsid w:val="00731DF0"/>
    <w:rsid w:val="007325F5"/>
    <w:rsid w:val="007327EA"/>
    <w:rsid w:val="00732C27"/>
    <w:rsid w:val="0073318E"/>
    <w:rsid w:val="00733907"/>
    <w:rsid w:val="0073420F"/>
    <w:rsid w:val="007347A8"/>
    <w:rsid w:val="00734985"/>
    <w:rsid w:val="00734B45"/>
    <w:rsid w:val="00734CB7"/>
    <w:rsid w:val="007354C8"/>
    <w:rsid w:val="007354FE"/>
    <w:rsid w:val="007358DE"/>
    <w:rsid w:val="00735BD9"/>
    <w:rsid w:val="00735C11"/>
    <w:rsid w:val="00735C41"/>
    <w:rsid w:val="00735FC6"/>
    <w:rsid w:val="007361FB"/>
    <w:rsid w:val="00736684"/>
    <w:rsid w:val="00736B55"/>
    <w:rsid w:val="00736E72"/>
    <w:rsid w:val="00737054"/>
    <w:rsid w:val="00737210"/>
    <w:rsid w:val="0073753F"/>
    <w:rsid w:val="00737690"/>
    <w:rsid w:val="007378A7"/>
    <w:rsid w:val="00737DFF"/>
    <w:rsid w:val="00740134"/>
    <w:rsid w:val="00740951"/>
    <w:rsid w:val="00741187"/>
    <w:rsid w:val="00741563"/>
    <w:rsid w:val="007418D7"/>
    <w:rsid w:val="00742467"/>
    <w:rsid w:val="00742A02"/>
    <w:rsid w:val="0074328C"/>
    <w:rsid w:val="00743513"/>
    <w:rsid w:val="00743557"/>
    <w:rsid w:val="0074355D"/>
    <w:rsid w:val="007438B6"/>
    <w:rsid w:val="007443D4"/>
    <w:rsid w:val="0074469D"/>
    <w:rsid w:val="00744821"/>
    <w:rsid w:val="0074545B"/>
    <w:rsid w:val="007455B6"/>
    <w:rsid w:val="00745762"/>
    <w:rsid w:val="007459CA"/>
    <w:rsid w:val="00745CA2"/>
    <w:rsid w:val="00745DAA"/>
    <w:rsid w:val="00746747"/>
    <w:rsid w:val="0074693E"/>
    <w:rsid w:val="00747068"/>
    <w:rsid w:val="007474DF"/>
    <w:rsid w:val="00747FEB"/>
    <w:rsid w:val="007503CC"/>
    <w:rsid w:val="00750C4D"/>
    <w:rsid w:val="0075150D"/>
    <w:rsid w:val="00751CCE"/>
    <w:rsid w:val="00751EEC"/>
    <w:rsid w:val="00752185"/>
    <w:rsid w:val="00752A91"/>
    <w:rsid w:val="007532BD"/>
    <w:rsid w:val="00753432"/>
    <w:rsid w:val="00753AEC"/>
    <w:rsid w:val="00753EA7"/>
    <w:rsid w:val="007545ED"/>
    <w:rsid w:val="0075492E"/>
    <w:rsid w:val="00754A1E"/>
    <w:rsid w:val="00754E23"/>
    <w:rsid w:val="00755DD2"/>
    <w:rsid w:val="00756617"/>
    <w:rsid w:val="00756D68"/>
    <w:rsid w:val="00757046"/>
    <w:rsid w:val="00757BD1"/>
    <w:rsid w:val="00760C43"/>
    <w:rsid w:val="007611AB"/>
    <w:rsid w:val="00761B30"/>
    <w:rsid w:val="00761E2A"/>
    <w:rsid w:val="00763399"/>
    <w:rsid w:val="00763482"/>
    <w:rsid w:val="00763A56"/>
    <w:rsid w:val="00764805"/>
    <w:rsid w:val="007650A2"/>
    <w:rsid w:val="00765404"/>
    <w:rsid w:val="00765970"/>
    <w:rsid w:val="00765AF8"/>
    <w:rsid w:val="007660C1"/>
    <w:rsid w:val="00766285"/>
    <w:rsid w:val="00766288"/>
    <w:rsid w:val="007662E3"/>
    <w:rsid w:val="007666D6"/>
    <w:rsid w:val="00766756"/>
    <w:rsid w:val="0076740F"/>
    <w:rsid w:val="0076784C"/>
    <w:rsid w:val="00767A47"/>
    <w:rsid w:val="007706CF"/>
    <w:rsid w:val="007709C4"/>
    <w:rsid w:val="0077109E"/>
    <w:rsid w:val="007710D7"/>
    <w:rsid w:val="00771151"/>
    <w:rsid w:val="00771956"/>
    <w:rsid w:val="0077214E"/>
    <w:rsid w:val="00772278"/>
    <w:rsid w:val="00772451"/>
    <w:rsid w:val="0077272C"/>
    <w:rsid w:val="00772790"/>
    <w:rsid w:val="00772B77"/>
    <w:rsid w:val="0077320C"/>
    <w:rsid w:val="0077370B"/>
    <w:rsid w:val="007744DC"/>
    <w:rsid w:val="00774692"/>
    <w:rsid w:val="00774CF6"/>
    <w:rsid w:val="00774DC1"/>
    <w:rsid w:val="007751BE"/>
    <w:rsid w:val="007752DE"/>
    <w:rsid w:val="00775345"/>
    <w:rsid w:val="00775704"/>
    <w:rsid w:val="00775855"/>
    <w:rsid w:val="00775F35"/>
    <w:rsid w:val="0077600C"/>
    <w:rsid w:val="00776057"/>
    <w:rsid w:val="0077612F"/>
    <w:rsid w:val="007765CE"/>
    <w:rsid w:val="00776874"/>
    <w:rsid w:val="0077690E"/>
    <w:rsid w:val="00776CD8"/>
    <w:rsid w:val="00776FB2"/>
    <w:rsid w:val="00777246"/>
    <w:rsid w:val="00777499"/>
    <w:rsid w:val="00777593"/>
    <w:rsid w:val="00777F5B"/>
    <w:rsid w:val="00780D56"/>
    <w:rsid w:val="00780E03"/>
    <w:rsid w:val="00781014"/>
    <w:rsid w:val="00781418"/>
    <w:rsid w:val="007815D5"/>
    <w:rsid w:val="00781B75"/>
    <w:rsid w:val="007823A2"/>
    <w:rsid w:val="00782772"/>
    <w:rsid w:val="00782AB4"/>
    <w:rsid w:val="00782CE8"/>
    <w:rsid w:val="00783440"/>
    <w:rsid w:val="00783A22"/>
    <w:rsid w:val="0078474F"/>
    <w:rsid w:val="0078475A"/>
    <w:rsid w:val="0078495E"/>
    <w:rsid w:val="00784AC1"/>
    <w:rsid w:val="00784BE0"/>
    <w:rsid w:val="00785018"/>
    <w:rsid w:val="007863AC"/>
    <w:rsid w:val="00786BF5"/>
    <w:rsid w:val="00787020"/>
    <w:rsid w:val="0078737F"/>
    <w:rsid w:val="0078757E"/>
    <w:rsid w:val="007877C0"/>
    <w:rsid w:val="00787F50"/>
    <w:rsid w:val="00790194"/>
    <w:rsid w:val="0079025D"/>
    <w:rsid w:val="0079031D"/>
    <w:rsid w:val="00790337"/>
    <w:rsid w:val="007904E5"/>
    <w:rsid w:val="007906DB"/>
    <w:rsid w:val="0079098D"/>
    <w:rsid w:val="00791310"/>
    <w:rsid w:val="00792077"/>
    <w:rsid w:val="007921E0"/>
    <w:rsid w:val="007925A7"/>
    <w:rsid w:val="00792936"/>
    <w:rsid w:val="00793022"/>
    <w:rsid w:val="0079311F"/>
    <w:rsid w:val="0079397A"/>
    <w:rsid w:val="00793C79"/>
    <w:rsid w:val="00793E00"/>
    <w:rsid w:val="00793E4F"/>
    <w:rsid w:val="00793FFC"/>
    <w:rsid w:val="0079431A"/>
    <w:rsid w:val="007943FA"/>
    <w:rsid w:val="00794BC6"/>
    <w:rsid w:val="00794DB0"/>
    <w:rsid w:val="00795278"/>
    <w:rsid w:val="00795656"/>
    <w:rsid w:val="00795A05"/>
    <w:rsid w:val="007961E7"/>
    <w:rsid w:val="00796620"/>
    <w:rsid w:val="0079689B"/>
    <w:rsid w:val="007969B8"/>
    <w:rsid w:val="00797442"/>
    <w:rsid w:val="00797BE9"/>
    <w:rsid w:val="007A04A0"/>
    <w:rsid w:val="007A04C4"/>
    <w:rsid w:val="007A05FF"/>
    <w:rsid w:val="007A0719"/>
    <w:rsid w:val="007A08EF"/>
    <w:rsid w:val="007A0D21"/>
    <w:rsid w:val="007A0E9B"/>
    <w:rsid w:val="007A1239"/>
    <w:rsid w:val="007A16DD"/>
    <w:rsid w:val="007A1AD6"/>
    <w:rsid w:val="007A1B3B"/>
    <w:rsid w:val="007A1F2B"/>
    <w:rsid w:val="007A2B6A"/>
    <w:rsid w:val="007A3C1C"/>
    <w:rsid w:val="007A3C24"/>
    <w:rsid w:val="007A3EBD"/>
    <w:rsid w:val="007A3F42"/>
    <w:rsid w:val="007A40ED"/>
    <w:rsid w:val="007A4132"/>
    <w:rsid w:val="007A4934"/>
    <w:rsid w:val="007A50BE"/>
    <w:rsid w:val="007A5F4A"/>
    <w:rsid w:val="007A6B78"/>
    <w:rsid w:val="007A70AC"/>
    <w:rsid w:val="007A7656"/>
    <w:rsid w:val="007A7C20"/>
    <w:rsid w:val="007B0206"/>
    <w:rsid w:val="007B036F"/>
    <w:rsid w:val="007B073A"/>
    <w:rsid w:val="007B0FBD"/>
    <w:rsid w:val="007B143F"/>
    <w:rsid w:val="007B2752"/>
    <w:rsid w:val="007B298C"/>
    <w:rsid w:val="007B2C5E"/>
    <w:rsid w:val="007B379D"/>
    <w:rsid w:val="007B3F24"/>
    <w:rsid w:val="007B47FF"/>
    <w:rsid w:val="007B4F7B"/>
    <w:rsid w:val="007B66BC"/>
    <w:rsid w:val="007B6804"/>
    <w:rsid w:val="007B68F5"/>
    <w:rsid w:val="007B6C45"/>
    <w:rsid w:val="007B7646"/>
    <w:rsid w:val="007B76B2"/>
    <w:rsid w:val="007B7AF9"/>
    <w:rsid w:val="007B7C6F"/>
    <w:rsid w:val="007C02F4"/>
    <w:rsid w:val="007C0E3B"/>
    <w:rsid w:val="007C1C46"/>
    <w:rsid w:val="007C2008"/>
    <w:rsid w:val="007C2411"/>
    <w:rsid w:val="007C250B"/>
    <w:rsid w:val="007C292D"/>
    <w:rsid w:val="007C2D92"/>
    <w:rsid w:val="007C3EDD"/>
    <w:rsid w:val="007C4027"/>
    <w:rsid w:val="007C4C3D"/>
    <w:rsid w:val="007C53DD"/>
    <w:rsid w:val="007C5A25"/>
    <w:rsid w:val="007C5A45"/>
    <w:rsid w:val="007C63AC"/>
    <w:rsid w:val="007C64D4"/>
    <w:rsid w:val="007C6CA0"/>
    <w:rsid w:val="007C713C"/>
    <w:rsid w:val="007C732A"/>
    <w:rsid w:val="007C75AB"/>
    <w:rsid w:val="007C7E90"/>
    <w:rsid w:val="007D012A"/>
    <w:rsid w:val="007D0197"/>
    <w:rsid w:val="007D02C5"/>
    <w:rsid w:val="007D033A"/>
    <w:rsid w:val="007D039D"/>
    <w:rsid w:val="007D0A66"/>
    <w:rsid w:val="007D1675"/>
    <w:rsid w:val="007D1F3D"/>
    <w:rsid w:val="007D22E0"/>
    <w:rsid w:val="007D2687"/>
    <w:rsid w:val="007D2C1C"/>
    <w:rsid w:val="007D31A2"/>
    <w:rsid w:val="007D3590"/>
    <w:rsid w:val="007D35F7"/>
    <w:rsid w:val="007D3A4D"/>
    <w:rsid w:val="007D3D37"/>
    <w:rsid w:val="007D3D42"/>
    <w:rsid w:val="007D4357"/>
    <w:rsid w:val="007D456C"/>
    <w:rsid w:val="007D4800"/>
    <w:rsid w:val="007D48AD"/>
    <w:rsid w:val="007D4993"/>
    <w:rsid w:val="007D4ED2"/>
    <w:rsid w:val="007D5071"/>
    <w:rsid w:val="007D5262"/>
    <w:rsid w:val="007D55B0"/>
    <w:rsid w:val="007D6058"/>
    <w:rsid w:val="007D62D2"/>
    <w:rsid w:val="007D641E"/>
    <w:rsid w:val="007D6516"/>
    <w:rsid w:val="007D66B3"/>
    <w:rsid w:val="007D6B60"/>
    <w:rsid w:val="007D6C87"/>
    <w:rsid w:val="007D73E0"/>
    <w:rsid w:val="007D77C0"/>
    <w:rsid w:val="007D7EE9"/>
    <w:rsid w:val="007E0166"/>
    <w:rsid w:val="007E0579"/>
    <w:rsid w:val="007E082E"/>
    <w:rsid w:val="007E183D"/>
    <w:rsid w:val="007E26FA"/>
    <w:rsid w:val="007E2F60"/>
    <w:rsid w:val="007E2F6F"/>
    <w:rsid w:val="007E3304"/>
    <w:rsid w:val="007E3312"/>
    <w:rsid w:val="007E3510"/>
    <w:rsid w:val="007E3764"/>
    <w:rsid w:val="007E3AED"/>
    <w:rsid w:val="007E3CD8"/>
    <w:rsid w:val="007E3E36"/>
    <w:rsid w:val="007E4136"/>
    <w:rsid w:val="007E4C1E"/>
    <w:rsid w:val="007E4DFD"/>
    <w:rsid w:val="007E5777"/>
    <w:rsid w:val="007E5FF2"/>
    <w:rsid w:val="007E6543"/>
    <w:rsid w:val="007E6947"/>
    <w:rsid w:val="007E6C1B"/>
    <w:rsid w:val="007E7104"/>
    <w:rsid w:val="007E769D"/>
    <w:rsid w:val="007E7AC7"/>
    <w:rsid w:val="007E7F0C"/>
    <w:rsid w:val="007F03B4"/>
    <w:rsid w:val="007F0744"/>
    <w:rsid w:val="007F077E"/>
    <w:rsid w:val="007F0C10"/>
    <w:rsid w:val="007F0D0E"/>
    <w:rsid w:val="007F130D"/>
    <w:rsid w:val="007F15DB"/>
    <w:rsid w:val="007F1932"/>
    <w:rsid w:val="007F219C"/>
    <w:rsid w:val="007F23F2"/>
    <w:rsid w:val="007F267E"/>
    <w:rsid w:val="007F2A0B"/>
    <w:rsid w:val="007F32C2"/>
    <w:rsid w:val="007F3677"/>
    <w:rsid w:val="007F3841"/>
    <w:rsid w:val="007F3875"/>
    <w:rsid w:val="007F4C3D"/>
    <w:rsid w:val="007F4FE5"/>
    <w:rsid w:val="007F5411"/>
    <w:rsid w:val="007F6508"/>
    <w:rsid w:val="007F7516"/>
    <w:rsid w:val="007F7876"/>
    <w:rsid w:val="00800256"/>
    <w:rsid w:val="00800D5B"/>
    <w:rsid w:val="00801171"/>
    <w:rsid w:val="00801D6F"/>
    <w:rsid w:val="00802358"/>
    <w:rsid w:val="00802C58"/>
    <w:rsid w:val="00802E3E"/>
    <w:rsid w:val="00802FA7"/>
    <w:rsid w:val="00803BA5"/>
    <w:rsid w:val="00804AC8"/>
    <w:rsid w:val="00804C48"/>
    <w:rsid w:val="00805714"/>
    <w:rsid w:val="00805EE9"/>
    <w:rsid w:val="00806418"/>
    <w:rsid w:val="0080644D"/>
    <w:rsid w:val="00806511"/>
    <w:rsid w:val="00806574"/>
    <w:rsid w:val="00806E93"/>
    <w:rsid w:val="00807298"/>
    <w:rsid w:val="00807325"/>
    <w:rsid w:val="008075B4"/>
    <w:rsid w:val="00807717"/>
    <w:rsid w:val="00807B2B"/>
    <w:rsid w:val="00807CC2"/>
    <w:rsid w:val="00807E51"/>
    <w:rsid w:val="00807FC1"/>
    <w:rsid w:val="00810512"/>
    <w:rsid w:val="00810A68"/>
    <w:rsid w:val="00810C62"/>
    <w:rsid w:val="0081137D"/>
    <w:rsid w:val="0081161B"/>
    <w:rsid w:val="008125CD"/>
    <w:rsid w:val="00812D23"/>
    <w:rsid w:val="00812F39"/>
    <w:rsid w:val="0081304D"/>
    <w:rsid w:val="00813541"/>
    <w:rsid w:val="00813639"/>
    <w:rsid w:val="008143AF"/>
    <w:rsid w:val="008147BD"/>
    <w:rsid w:val="00814AE2"/>
    <w:rsid w:val="008150E1"/>
    <w:rsid w:val="0081568C"/>
    <w:rsid w:val="00815A41"/>
    <w:rsid w:val="0081637D"/>
    <w:rsid w:val="008163D2"/>
    <w:rsid w:val="008166F5"/>
    <w:rsid w:val="00816892"/>
    <w:rsid w:val="00816897"/>
    <w:rsid w:val="00816D83"/>
    <w:rsid w:val="00817EF4"/>
    <w:rsid w:val="00817F41"/>
    <w:rsid w:val="008202B0"/>
    <w:rsid w:val="008204FC"/>
    <w:rsid w:val="00820AA5"/>
    <w:rsid w:val="00820BB1"/>
    <w:rsid w:val="00820DF3"/>
    <w:rsid w:val="00820ED7"/>
    <w:rsid w:val="00820EFF"/>
    <w:rsid w:val="008210A5"/>
    <w:rsid w:val="00821344"/>
    <w:rsid w:val="008218FE"/>
    <w:rsid w:val="00821B78"/>
    <w:rsid w:val="00821BDA"/>
    <w:rsid w:val="00823129"/>
    <w:rsid w:val="008236E6"/>
    <w:rsid w:val="008239D7"/>
    <w:rsid w:val="0082401D"/>
    <w:rsid w:val="0082409D"/>
    <w:rsid w:val="00824384"/>
    <w:rsid w:val="0082529F"/>
    <w:rsid w:val="00825F66"/>
    <w:rsid w:val="00826377"/>
    <w:rsid w:val="008265AC"/>
    <w:rsid w:val="00826ABE"/>
    <w:rsid w:val="00826E71"/>
    <w:rsid w:val="00827290"/>
    <w:rsid w:val="00827A83"/>
    <w:rsid w:val="008300D4"/>
    <w:rsid w:val="0083050B"/>
    <w:rsid w:val="00830884"/>
    <w:rsid w:val="00830EE0"/>
    <w:rsid w:val="0083156B"/>
    <w:rsid w:val="0083167F"/>
    <w:rsid w:val="008316EA"/>
    <w:rsid w:val="00831A19"/>
    <w:rsid w:val="00831D0B"/>
    <w:rsid w:val="00831F0C"/>
    <w:rsid w:val="00832099"/>
    <w:rsid w:val="008325BF"/>
    <w:rsid w:val="00832B2E"/>
    <w:rsid w:val="00832DAD"/>
    <w:rsid w:val="008333F0"/>
    <w:rsid w:val="00833DEA"/>
    <w:rsid w:val="00833F8C"/>
    <w:rsid w:val="00834061"/>
    <w:rsid w:val="0083458C"/>
    <w:rsid w:val="00834871"/>
    <w:rsid w:val="00834960"/>
    <w:rsid w:val="00834AAB"/>
    <w:rsid w:val="00835578"/>
    <w:rsid w:val="00836023"/>
    <w:rsid w:val="00836603"/>
    <w:rsid w:val="0083664D"/>
    <w:rsid w:val="00836E52"/>
    <w:rsid w:val="0083728B"/>
    <w:rsid w:val="00837345"/>
    <w:rsid w:val="008373E9"/>
    <w:rsid w:val="0083752C"/>
    <w:rsid w:val="00837A5C"/>
    <w:rsid w:val="00840792"/>
    <w:rsid w:val="008409D2"/>
    <w:rsid w:val="00840E7B"/>
    <w:rsid w:val="008416AC"/>
    <w:rsid w:val="00841C2E"/>
    <w:rsid w:val="0084208C"/>
    <w:rsid w:val="00842253"/>
    <w:rsid w:val="00842978"/>
    <w:rsid w:val="00842C60"/>
    <w:rsid w:val="00843415"/>
    <w:rsid w:val="00844208"/>
    <w:rsid w:val="008442C7"/>
    <w:rsid w:val="008443A7"/>
    <w:rsid w:val="00844480"/>
    <w:rsid w:val="008445FC"/>
    <w:rsid w:val="00844602"/>
    <w:rsid w:val="00844870"/>
    <w:rsid w:val="00844ED7"/>
    <w:rsid w:val="00844F3F"/>
    <w:rsid w:val="00845475"/>
    <w:rsid w:val="00845485"/>
    <w:rsid w:val="00845935"/>
    <w:rsid w:val="008464FF"/>
    <w:rsid w:val="00846DD0"/>
    <w:rsid w:val="008470B2"/>
    <w:rsid w:val="00847EBB"/>
    <w:rsid w:val="00847F89"/>
    <w:rsid w:val="008515A9"/>
    <w:rsid w:val="008515FD"/>
    <w:rsid w:val="00851682"/>
    <w:rsid w:val="00851865"/>
    <w:rsid w:val="00851A07"/>
    <w:rsid w:val="00851CFC"/>
    <w:rsid w:val="008521D4"/>
    <w:rsid w:val="00852936"/>
    <w:rsid w:val="00852AE3"/>
    <w:rsid w:val="008531B0"/>
    <w:rsid w:val="008532BB"/>
    <w:rsid w:val="008532DB"/>
    <w:rsid w:val="00853807"/>
    <w:rsid w:val="008539D1"/>
    <w:rsid w:val="00853DCF"/>
    <w:rsid w:val="0085441F"/>
    <w:rsid w:val="00854E60"/>
    <w:rsid w:val="0085515C"/>
    <w:rsid w:val="0085542D"/>
    <w:rsid w:val="00856F3A"/>
    <w:rsid w:val="008570FA"/>
    <w:rsid w:val="00860114"/>
    <w:rsid w:val="00860E03"/>
    <w:rsid w:val="0086160C"/>
    <w:rsid w:val="00861C6A"/>
    <w:rsid w:val="00861E53"/>
    <w:rsid w:val="00862315"/>
    <w:rsid w:val="00862340"/>
    <w:rsid w:val="0086266C"/>
    <w:rsid w:val="008628A4"/>
    <w:rsid w:val="00863578"/>
    <w:rsid w:val="00863659"/>
    <w:rsid w:val="0086367A"/>
    <w:rsid w:val="008636DA"/>
    <w:rsid w:val="008642CB"/>
    <w:rsid w:val="00864C83"/>
    <w:rsid w:val="00865837"/>
    <w:rsid w:val="00865DD3"/>
    <w:rsid w:val="00866368"/>
    <w:rsid w:val="00866660"/>
    <w:rsid w:val="00866716"/>
    <w:rsid w:val="00867014"/>
    <w:rsid w:val="0086738D"/>
    <w:rsid w:val="00867A93"/>
    <w:rsid w:val="00867E28"/>
    <w:rsid w:val="00867F55"/>
    <w:rsid w:val="0087001D"/>
    <w:rsid w:val="008702CB"/>
    <w:rsid w:val="008706F7"/>
    <w:rsid w:val="008707C5"/>
    <w:rsid w:val="00870ABA"/>
    <w:rsid w:val="00871D9D"/>
    <w:rsid w:val="008721A8"/>
    <w:rsid w:val="008726C1"/>
    <w:rsid w:val="00872911"/>
    <w:rsid w:val="00872A8D"/>
    <w:rsid w:val="00872B82"/>
    <w:rsid w:val="00872D1C"/>
    <w:rsid w:val="00872D76"/>
    <w:rsid w:val="00872D7A"/>
    <w:rsid w:val="00873290"/>
    <w:rsid w:val="00873293"/>
    <w:rsid w:val="00873B2C"/>
    <w:rsid w:val="00873DE3"/>
    <w:rsid w:val="0087428A"/>
    <w:rsid w:val="008742B7"/>
    <w:rsid w:val="008743F2"/>
    <w:rsid w:val="00874402"/>
    <w:rsid w:val="00874460"/>
    <w:rsid w:val="00875032"/>
    <w:rsid w:val="0087560D"/>
    <w:rsid w:val="00875691"/>
    <w:rsid w:val="0087591E"/>
    <w:rsid w:val="00875D37"/>
    <w:rsid w:val="00875E4C"/>
    <w:rsid w:val="00876735"/>
    <w:rsid w:val="00876C95"/>
    <w:rsid w:val="00876E8C"/>
    <w:rsid w:val="00877199"/>
    <w:rsid w:val="008772D2"/>
    <w:rsid w:val="008775DD"/>
    <w:rsid w:val="0087768D"/>
    <w:rsid w:val="00877746"/>
    <w:rsid w:val="008778A9"/>
    <w:rsid w:val="00877A86"/>
    <w:rsid w:val="00877A87"/>
    <w:rsid w:val="00877F2E"/>
    <w:rsid w:val="008802B2"/>
    <w:rsid w:val="00880408"/>
    <w:rsid w:val="00880915"/>
    <w:rsid w:val="00880F7E"/>
    <w:rsid w:val="00880FEB"/>
    <w:rsid w:val="00881298"/>
    <w:rsid w:val="00881334"/>
    <w:rsid w:val="0088165F"/>
    <w:rsid w:val="00881D66"/>
    <w:rsid w:val="00881D74"/>
    <w:rsid w:val="008829EC"/>
    <w:rsid w:val="00882F1E"/>
    <w:rsid w:val="00883A32"/>
    <w:rsid w:val="00883D07"/>
    <w:rsid w:val="00884432"/>
    <w:rsid w:val="0088450F"/>
    <w:rsid w:val="0088479C"/>
    <w:rsid w:val="0088484F"/>
    <w:rsid w:val="008848F9"/>
    <w:rsid w:val="00884F33"/>
    <w:rsid w:val="00885026"/>
    <w:rsid w:val="008859D0"/>
    <w:rsid w:val="008868B6"/>
    <w:rsid w:val="00886AC6"/>
    <w:rsid w:val="00886BC9"/>
    <w:rsid w:val="00886F01"/>
    <w:rsid w:val="008874D6"/>
    <w:rsid w:val="0088781E"/>
    <w:rsid w:val="00887A11"/>
    <w:rsid w:val="0089022D"/>
    <w:rsid w:val="00890237"/>
    <w:rsid w:val="008910BC"/>
    <w:rsid w:val="00891547"/>
    <w:rsid w:val="00891CC7"/>
    <w:rsid w:val="00891F65"/>
    <w:rsid w:val="00891FDB"/>
    <w:rsid w:val="008928D8"/>
    <w:rsid w:val="00892E8C"/>
    <w:rsid w:val="0089310A"/>
    <w:rsid w:val="00893A83"/>
    <w:rsid w:val="00893BED"/>
    <w:rsid w:val="0089403F"/>
    <w:rsid w:val="00894206"/>
    <w:rsid w:val="008947FC"/>
    <w:rsid w:val="00894AB7"/>
    <w:rsid w:val="008951AF"/>
    <w:rsid w:val="0089534E"/>
    <w:rsid w:val="008955C4"/>
    <w:rsid w:val="00895B5F"/>
    <w:rsid w:val="00895E78"/>
    <w:rsid w:val="008964BD"/>
    <w:rsid w:val="0089661F"/>
    <w:rsid w:val="0089681A"/>
    <w:rsid w:val="0089706C"/>
    <w:rsid w:val="0089719C"/>
    <w:rsid w:val="008A07EE"/>
    <w:rsid w:val="008A1187"/>
    <w:rsid w:val="008A11D1"/>
    <w:rsid w:val="008A1464"/>
    <w:rsid w:val="008A157A"/>
    <w:rsid w:val="008A1C24"/>
    <w:rsid w:val="008A1CD0"/>
    <w:rsid w:val="008A1D78"/>
    <w:rsid w:val="008A2324"/>
    <w:rsid w:val="008A24DE"/>
    <w:rsid w:val="008A2686"/>
    <w:rsid w:val="008A2C01"/>
    <w:rsid w:val="008A38C0"/>
    <w:rsid w:val="008A3BC6"/>
    <w:rsid w:val="008A4047"/>
    <w:rsid w:val="008A49A6"/>
    <w:rsid w:val="008A53B0"/>
    <w:rsid w:val="008A6252"/>
    <w:rsid w:val="008A697D"/>
    <w:rsid w:val="008A69FF"/>
    <w:rsid w:val="008A6E07"/>
    <w:rsid w:val="008A708D"/>
    <w:rsid w:val="008A7110"/>
    <w:rsid w:val="008A7167"/>
    <w:rsid w:val="008A764D"/>
    <w:rsid w:val="008A794F"/>
    <w:rsid w:val="008A7B00"/>
    <w:rsid w:val="008B05E2"/>
    <w:rsid w:val="008B0656"/>
    <w:rsid w:val="008B0D41"/>
    <w:rsid w:val="008B1444"/>
    <w:rsid w:val="008B1753"/>
    <w:rsid w:val="008B1A84"/>
    <w:rsid w:val="008B1B0D"/>
    <w:rsid w:val="008B21CB"/>
    <w:rsid w:val="008B22AC"/>
    <w:rsid w:val="008B273C"/>
    <w:rsid w:val="008B332B"/>
    <w:rsid w:val="008B3B2B"/>
    <w:rsid w:val="008B3D37"/>
    <w:rsid w:val="008B3E77"/>
    <w:rsid w:val="008B3EC8"/>
    <w:rsid w:val="008B3FE9"/>
    <w:rsid w:val="008B428D"/>
    <w:rsid w:val="008B42D1"/>
    <w:rsid w:val="008B42FC"/>
    <w:rsid w:val="008B43D9"/>
    <w:rsid w:val="008B4E5C"/>
    <w:rsid w:val="008B53AA"/>
    <w:rsid w:val="008B5998"/>
    <w:rsid w:val="008B5D5D"/>
    <w:rsid w:val="008B60B4"/>
    <w:rsid w:val="008B64D3"/>
    <w:rsid w:val="008B6A29"/>
    <w:rsid w:val="008B6B1A"/>
    <w:rsid w:val="008B6F24"/>
    <w:rsid w:val="008B7365"/>
    <w:rsid w:val="008B7628"/>
    <w:rsid w:val="008B7C85"/>
    <w:rsid w:val="008C08A0"/>
    <w:rsid w:val="008C0BAC"/>
    <w:rsid w:val="008C0BC1"/>
    <w:rsid w:val="008C0C47"/>
    <w:rsid w:val="008C1BA4"/>
    <w:rsid w:val="008C1D5D"/>
    <w:rsid w:val="008C1E1F"/>
    <w:rsid w:val="008C1F04"/>
    <w:rsid w:val="008C2581"/>
    <w:rsid w:val="008C2847"/>
    <w:rsid w:val="008C2F23"/>
    <w:rsid w:val="008C4A13"/>
    <w:rsid w:val="008C4E86"/>
    <w:rsid w:val="008C4F5F"/>
    <w:rsid w:val="008C5422"/>
    <w:rsid w:val="008C5DAD"/>
    <w:rsid w:val="008C6158"/>
    <w:rsid w:val="008C6380"/>
    <w:rsid w:val="008C677A"/>
    <w:rsid w:val="008C6D99"/>
    <w:rsid w:val="008C6EEB"/>
    <w:rsid w:val="008C7C4B"/>
    <w:rsid w:val="008D00A1"/>
    <w:rsid w:val="008D0296"/>
    <w:rsid w:val="008D041A"/>
    <w:rsid w:val="008D0F60"/>
    <w:rsid w:val="008D18F1"/>
    <w:rsid w:val="008D1A60"/>
    <w:rsid w:val="008D1AD9"/>
    <w:rsid w:val="008D23A3"/>
    <w:rsid w:val="008D28D2"/>
    <w:rsid w:val="008D303E"/>
    <w:rsid w:val="008D3162"/>
    <w:rsid w:val="008D3171"/>
    <w:rsid w:val="008D3373"/>
    <w:rsid w:val="008D34C8"/>
    <w:rsid w:val="008D3592"/>
    <w:rsid w:val="008D35E2"/>
    <w:rsid w:val="008D363F"/>
    <w:rsid w:val="008D3688"/>
    <w:rsid w:val="008D3783"/>
    <w:rsid w:val="008D3DCE"/>
    <w:rsid w:val="008D3EE7"/>
    <w:rsid w:val="008D4701"/>
    <w:rsid w:val="008D4E4A"/>
    <w:rsid w:val="008D5075"/>
    <w:rsid w:val="008D5382"/>
    <w:rsid w:val="008D5987"/>
    <w:rsid w:val="008D5B49"/>
    <w:rsid w:val="008D6393"/>
    <w:rsid w:val="008D6A60"/>
    <w:rsid w:val="008D6F61"/>
    <w:rsid w:val="008D7163"/>
    <w:rsid w:val="008D75A9"/>
    <w:rsid w:val="008E0173"/>
    <w:rsid w:val="008E028A"/>
    <w:rsid w:val="008E09E9"/>
    <w:rsid w:val="008E1464"/>
    <w:rsid w:val="008E1499"/>
    <w:rsid w:val="008E2651"/>
    <w:rsid w:val="008E2A4C"/>
    <w:rsid w:val="008E2A5D"/>
    <w:rsid w:val="008E2D82"/>
    <w:rsid w:val="008E2E7B"/>
    <w:rsid w:val="008E30CC"/>
    <w:rsid w:val="008E363E"/>
    <w:rsid w:val="008E36CF"/>
    <w:rsid w:val="008E3814"/>
    <w:rsid w:val="008E3DD8"/>
    <w:rsid w:val="008E42A9"/>
    <w:rsid w:val="008E42F3"/>
    <w:rsid w:val="008E4BC7"/>
    <w:rsid w:val="008E55C1"/>
    <w:rsid w:val="008E565B"/>
    <w:rsid w:val="008E5B34"/>
    <w:rsid w:val="008E60BF"/>
    <w:rsid w:val="008E66EB"/>
    <w:rsid w:val="008E74CD"/>
    <w:rsid w:val="008E751D"/>
    <w:rsid w:val="008E7764"/>
    <w:rsid w:val="008E7A1F"/>
    <w:rsid w:val="008E7A50"/>
    <w:rsid w:val="008E7C0F"/>
    <w:rsid w:val="008E7F39"/>
    <w:rsid w:val="008F01BA"/>
    <w:rsid w:val="008F197F"/>
    <w:rsid w:val="008F1C16"/>
    <w:rsid w:val="008F2CC7"/>
    <w:rsid w:val="008F2CCD"/>
    <w:rsid w:val="008F2E92"/>
    <w:rsid w:val="008F3822"/>
    <w:rsid w:val="008F3F11"/>
    <w:rsid w:val="008F43A2"/>
    <w:rsid w:val="008F549C"/>
    <w:rsid w:val="008F57F6"/>
    <w:rsid w:val="008F58BD"/>
    <w:rsid w:val="008F5DB2"/>
    <w:rsid w:val="008F5FF8"/>
    <w:rsid w:val="008F675C"/>
    <w:rsid w:val="008F7141"/>
    <w:rsid w:val="008F78D7"/>
    <w:rsid w:val="008F7A11"/>
    <w:rsid w:val="008F7A8F"/>
    <w:rsid w:val="008F7B12"/>
    <w:rsid w:val="008F7CBE"/>
    <w:rsid w:val="00900101"/>
    <w:rsid w:val="009005FD"/>
    <w:rsid w:val="009006F3"/>
    <w:rsid w:val="0090244F"/>
    <w:rsid w:val="009029CE"/>
    <w:rsid w:val="00902AD4"/>
    <w:rsid w:val="00902B27"/>
    <w:rsid w:val="00902CEA"/>
    <w:rsid w:val="00903521"/>
    <w:rsid w:val="009039C6"/>
    <w:rsid w:val="00903B00"/>
    <w:rsid w:val="009042C9"/>
    <w:rsid w:val="00904570"/>
    <w:rsid w:val="00904649"/>
    <w:rsid w:val="00904BDE"/>
    <w:rsid w:val="00904FF2"/>
    <w:rsid w:val="009054EA"/>
    <w:rsid w:val="00905947"/>
    <w:rsid w:val="00906608"/>
    <w:rsid w:val="00906D82"/>
    <w:rsid w:val="00906DFE"/>
    <w:rsid w:val="00906E11"/>
    <w:rsid w:val="0090786D"/>
    <w:rsid w:val="009102AC"/>
    <w:rsid w:val="0091081E"/>
    <w:rsid w:val="00910E69"/>
    <w:rsid w:val="00910E77"/>
    <w:rsid w:val="009114D0"/>
    <w:rsid w:val="009115C1"/>
    <w:rsid w:val="00911DF7"/>
    <w:rsid w:val="009124E7"/>
    <w:rsid w:val="00912B0E"/>
    <w:rsid w:val="00912CE3"/>
    <w:rsid w:val="00912D09"/>
    <w:rsid w:val="00912E6F"/>
    <w:rsid w:val="00913456"/>
    <w:rsid w:val="009135B6"/>
    <w:rsid w:val="00914270"/>
    <w:rsid w:val="009142D5"/>
    <w:rsid w:val="00914366"/>
    <w:rsid w:val="00914AEB"/>
    <w:rsid w:val="009153C0"/>
    <w:rsid w:val="009155E0"/>
    <w:rsid w:val="00916AFC"/>
    <w:rsid w:val="00917813"/>
    <w:rsid w:val="00917DB1"/>
    <w:rsid w:val="00917F6D"/>
    <w:rsid w:val="00920058"/>
    <w:rsid w:val="009200D4"/>
    <w:rsid w:val="00920565"/>
    <w:rsid w:val="00921CF8"/>
    <w:rsid w:val="00922154"/>
    <w:rsid w:val="0092258E"/>
    <w:rsid w:val="0092316C"/>
    <w:rsid w:val="0092417B"/>
    <w:rsid w:val="00924289"/>
    <w:rsid w:val="00924313"/>
    <w:rsid w:val="00925511"/>
    <w:rsid w:val="00926FD5"/>
    <w:rsid w:val="00927A66"/>
    <w:rsid w:val="00927C22"/>
    <w:rsid w:val="00931672"/>
    <w:rsid w:val="00931998"/>
    <w:rsid w:val="00931BC6"/>
    <w:rsid w:val="00932099"/>
    <w:rsid w:val="009336F2"/>
    <w:rsid w:val="00933E76"/>
    <w:rsid w:val="009349AD"/>
    <w:rsid w:val="00934D8F"/>
    <w:rsid w:val="00934E4B"/>
    <w:rsid w:val="0093517C"/>
    <w:rsid w:val="009360F2"/>
    <w:rsid w:val="009362EB"/>
    <w:rsid w:val="00936330"/>
    <w:rsid w:val="0093683B"/>
    <w:rsid w:val="00936BA2"/>
    <w:rsid w:val="00936D34"/>
    <w:rsid w:val="0093714A"/>
    <w:rsid w:val="00937305"/>
    <w:rsid w:val="00937725"/>
    <w:rsid w:val="009377F4"/>
    <w:rsid w:val="00937F79"/>
    <w:rsid w:val="00940295"/>
    <w:rsid w:val="0094033B"/>
    <w:rsid w:val="00941CD5"/>
    <w:rsid w:val="00941DE0"/>
    <w:rsid w:val="009426F8"/>
    <w:rsid w:val="00942804"/>
    <w:rsid w:val="00942958"/>
    <w:rsid w:val="00942B48"/>
    <w:rsid w:val="00942C21"/>
    <w:rsid w:val="00942E33"/>
    <w:rsid w:val="009435BD"/>
    <w:rsid w:val="0094365E"/>
    <w:rsid w:val="0094369A"/>
    <w:rsid w:val="00943740"/>
    <w:rsid w:val="009438BC"/>
    <w:rsid w:val="00943A5E"/>
    <w:rsid w:val="00943B10"/>
    <w:rsid w:val="00943C9F"/>
    <w:rsid w:val="0094410E"/>
    <w:rsid w:val="009442D4"/>
    <w:rsid w:val="009443E2"/>
    <w:rsid w:val="0094494F"/>
    <w:rsid w:val="0094507A"/>
    <w:rsid w:val="0094541E"/>
    <w:rsid w:val="0094555E"/>
    <w:rsid w:val="00945C1B"/>
    <w:rsid w:val="009463D9"/>
    <w:rsid w:val="00946646"/>
    <w:rsid w:val="00946749"/>
    <w:rsid w:val="00946A8E"/>
    <w:rsid w:val="00946B17"/>
    <w:rsid w:val="00946F76"/>
    <w:rsid w:val="00947166"/>
    <w:rsid w:val="00947B04"/>
    <w:rsid w:val="00947D63"/>
    <w:rsid w:val="00947DB8"/>
    <w:rsid w:val="0095019D"/>
    <w:rsid w:val="00952236"/>
    <w:rsid w:val="00952888"/>
    <w:rsid w:val="00952EDF"/>
    <w:rsid w:val="00953202"/>
    <w:rsid w:val="00953720"/>
    <w:rsid w:val="00953E69"/>
    <w:rsid w:val="0095458F"/>
    <w:rsid w:val="0095640E"/>
    <w:rsid w:val="00956559"/>
    <w:rsid w:val="009565CE"/>
    <w:rsid w:val="0095691D"/>
    <w:rsid w:val="0095725D"/>
    <w:rsid w:val="00957519"/>
    <w:rsid w:val="00957842"/>
    <w:rsid w:val="00957B17"/>
    <w:rsid w:val="00957EB7"/>
    <w:rsid w:val="00960C06"/>
    <w:rsid w:val="00961037"/>
    <w:rsid w:val="009610F0"/>
    <w:rsid w:val="0096119C"/>
    <w:rsid w:val="00961388"/>
    <w:rsid w:val="00961B3F"/>
    <w:rsid w:val="00961B77"/>
    <w:rsid w:val="0096231C"/>
    <w:rsid w:val="00962666"/>
    <w:rsid w:val="00962846"/>
    <w:rsid w:val="00963A08"/>
    <w:rsid w:val="00963BC3"/>
    <w:rsid w:val="009643BF"/>
    <w:rsid w:val="00964B8F"/>
    <w:rsid w:val="00964C6C"/>
    <w:rsid w:val="00964D31"/>
    <w:rsid w:val="00965448"/>
    <w:rsid w:val="0096586D"/>
    <w:rsid w:val="00965D94"/>
    <w:rsid w:val="00966245"/>
    <w:rsid w:val="00966360"/>
    <w:rsid w:val="0096736F"/>
    <w:rsid w:val="00970169"/>
    <w:rsid w:val="0097041B"/>
    <w:rsid w:val="009707EE"/>
    <w:rsid w:val="009709AF"/>
    <w:rsid w:val="00970E4C"/>
    <w:rsid w:val="00970FEF"/>
    <w:rsid w:val="009721E7"/>
    <w:rsid w:val="00972781"/>
    <w:rsid w:val="00972A83"/>
    <w:rsid w:val="00972A88"/>
    <w:rsid w:val="00972B7F"/>
    <w:rsid w:val="00972F51"/>
    <w:rsid w:val="00972FF9"/>
    <w:rsid w:val="00973EB1"/>
    <w:rsid w:val="009747AB"/>
    <w:rsid w:val="00974827"/>
    <w:rsid w:val="00974D06"/>
    <w:rsid w:val="00974E86"/>
    <w:rsid w:val="00974EBC"/>
    <w:rsid w:val="00974FDE"/>
    <w:rsid w:val="00975006"/>
    <w:rsid w:val="00975295"/>
    <w:rsid w:val="009753D5"/>
    <w:rsid w:val="009760EB"/>
    <w:rsid w:val="009761A3"/>
    <w:rsid w:val="00976899"/>
    <w:rsid w:val="00976D2C"/>
    <w:rsid w:val="0097788A"/>
    <w:rsid w:val="0098092C"/>
    <w:rsid w:val="00980BB7"/>
    <w:rsid w:val="00981806"/>
    <w:rsid w:val="00981C27"/>
    <w:rsid w:val="00981F80"/>
    <w:rsid w:val="009828F3"/>
    <w:rsid w:val="00982B2D"/>
    <w:rsid w:val="00983617"/>
    <w:rsid w:val="00983803"/>
    <w:rsid w:val="00983A36"/>
    <w:rsid w:val="00983D39"/>
    <w:rsid w:val="00984A9B"/>
    <w:rsid w:val="00984D71"/>
    <w:rsid w:val="00986107"/>
    <w:rsid w:val="0098693B"/>
    <w:rsid w:val="00987142"/>
    <w:rsid w:val="00987405"/>
    <w:rsid w:val="0098758A"/>
    <w:rsid w:val="00987ACF"/>
    <w:rsid w:val="00990648"/>
    <w:rsid w:val="009906F8"/>
    <w:rsid w:val="00990ABA"/>
    <w:rsid w:val="0099129C"/>
    <w:rsid w:val="00991707"/>
    <w:rsid w:val="00991909"/>
    <w:rsid w:val="009919A8"/>
    <w:rsid w:val="00991C6A"/>
    <w:rsid w:val="00992BF3"/>
    <w:rsid w:val="00992F0C"/>
    <w:rsid w:val="00993120"/>
    <w:rsid w:val="00993C19"/>
    <w:rsid w:val="009944C0"/>
    <w:rsid w:val="00994DF2"/>
    <w:rsid w:val="009950F8"/>
    <w:rsid w:val="0099599E"/>
    <w:rsid w:val="00995AFF"/>
    <w:rsid w:val="00995D28"/>
    <w:rsid w:val="00996AAA"/>
    <w:rsid w:val="00996FE0"/>
    <w:rsid w:val="00997354"/>
    <w:rsid w:val="00997384"/>
    <w:rsid w:val="00997F38"/>
    <w:rsid w:val="009A033D"/>
    <w:rsid w:val="009A075B"/>
    <w:rsid w:val="009A0C6E"/>
    <w:rsid w:val="009A0E73"/>
    <w:rsid w:val="009A0F1F"/>
    <w:rsid w:val="009A110F"/>
    <w:rsid w:val="009A14AE"/>
    <w:rsid w:val="009A18F9"/>
    <w:rsid w:val="009A2491"/>
    <w:rsid w:val="009A29D4"/>
    <w:rsid w:val="009A2C06"/>
    <w:rsid w:val="009A30AA"/>
    <w:rsid w:val="009A3566"/>
    <w:rsid w:val="009A3652"/>
    <w:rsid w:val="009A37E0"/>
    <w:rsid w:val="009A4416"/>
    <w:rsid w:val="009A44D8"/>
    <w:rsid w:val="009A46D6"/>
    <w:rsid w:val="009A48C1"/>
    <w:rsid w:val="009A48D4"/>
    <w:rsid w:val="009A4E33"/>
    <w:rsid w:val="009A5433"/>
    <w:rsid w:val="009A57C4"/>
    <w:rsid w:val="009A5A6C"/>
    <w:rsid w:val="009A5C85"/>
    <w:rsid w:val="009A6248"/>
    <w:rsid w:val="009A6A35"/>
    <w:rsid w:val="009A7496"/>
    <w:rsid w:val="009A79D0"/>
    <w:rsid w:val="009B030D"/>
    <w:rsid w:val="009B1152"/>
    <w:rsid w:val="009B131C"/>
    <w:rsid w:val="009B260F"/>
    <w:rsid w:val="009B2BE1"/>
    <w:rsid w:val="009B2D0C"/>
    <w:rsid w:val="009B33FE"/>
    <w:rsid w:val="009B3763"/>
    <w:rsid w:val="009B3C19"/>
    <w:rsid w:val="009B3CDE"/>
    <w:rsid w:val="009B412E"/>
    <w:rsid w:val="009B42E1"/>
    <w:rsid w:val="009B48E1"/>
    <w:rsid w:val="009B491E"/>
    <w:rsid w:val="009B4A3C"/>
    <w:rsid w:val="009B4CA0"/>
    <w:rsid w:val="009B4F6F"/>
    <w:rsid w:val="009B518E"/>
    <w:rsid w:val="009B58D6"/>
    <w:rsid w:val="009B59B8"/>
    <w:rsid w:val="009B6609"/>
    <w:rsid w:val="009B6C19"/>
    <w:rsid w:val="009B6EE6"/>
    <w:rsid w:val="009B7D9D"/>
    <w:rsid w:val="009C048B"/>
    <w:rsid w:val="009C0578"/>
    <w:rsid w:val="009C0BBB"/>
    <w:rsid w:val="009C0F8A"/>
    <w:rsid w:val="009C1715"/>
    <w:rsid w:val="009C19C6"/>
    <w:rsid w:val="009C1AA8"/>
    <w:rsid w:val="009C209B"/>
    <w:rsid w:val="009C2824"/>
    <w:rsid w:val="009C3368"/>
    <w:rsid w:val="009C38A1"/>
    <w:rsid w:val="009C3FC9"/>
    <w:rsid w:val="009C412E"/>
    <w:rsid w:val="009C4584"/>
    <w:rsid w:val="009C4803"/>
    <w:rsid w:val="009C48ED"/>
    <w:rsid w:val="009C499B"/>
    <w:rsid w:val="009C5675"/>
    <w:rsid w:val="009C5681"/>
    <w:rsid w:val="009C56E8"/>
    <w:rsid w:val="009C5BD1"/>
    <w:rsid w:val="009C6849"/>
    <w:rsid w:val="009C6945"/>
    <w:rsid w:val="009C6F8A"/>
    <w:rsid w:val="009C7717"/>
    <w:rsid w:val="009C7CB5"/>
    <w:rsid w:val="009D05B2"/>
    <w:rsid w:val="009D05E4"/>
    <w:rsid w:val="009D0E84"/>
    <w:rsid w:val="009D0FD3"/>
    <w:rsid w:val="009D126E"/>
    <w:rsid w:val="009D1504"/>
    <w:rsid w:val="009D159D"/>
    <w:rsid w:val="009D19B1"/>
    <w:rsid w:val="009D1A92"/>
    <w:rsid w:val="009D216B"/>
    <w:rsid w:val="009D23DD"/>
    <w:rsid w:val="009D24DC"/>
    <w:rsid w:val="009D33EC"/>
    <w:rsid w:val="009D3828"/>
    <w:rsid w:val="009D3B9B"/>
    <w:rsid w:val="009D5354"/>
    <w:rsid w:val="009D53B0"/>
    <w:rsid w:val="009D5C6E"/>
    <w:rsid w:val="009D626F"/>
    <w:rsid w:val="009D6446"/>
    <w:rsid w:val="009D6771"/>
    <w:rsid w:val="009D7132"/>
    <w:rsid w:val="009D7964"/>
    <w:rsid w:val="009E0043"/>
    <w:rsid w:val="009E0831"/>
    <w:rsid w:val="009E0A55"/>
    <w:rsid w:val="009E17DB"/>
    <w:rsid w:val="009E248F"/>
    <w:rsid w:val="009E2F49"/>
    <w:rsid w:val="009E35CD"/>
    <w:rsid w:val="009E36CD"/>
    <w:rsid w:val="009E3C30"/>
    <w:rsid w:val="009E41E7"/>
    <w:rsid w:val="009E43C4"/>
    <w:rsid w:val="009E4714"/>
    <w:rsid w:val="009E4735"/>
    <w:rsid w:val="009E4A6D"/>
    <w:rsid w:val="009E6249"/>
    <w:rsid w:val="009E6825"/>
    <w:rsid w:val="009E74B4"/>
    <w:rsid w:val="009E7868"/>
    <w:rsid w:val="009E78E9"/>
    <w:rsid w:val="009E79A1"/>
    <w:rsid w:val="009E7B7B"/>
    <w:rsid w:val="009E7EF9"/>
    <w:rsid w:val="009F0114"/>
    <w:rsid w:val="009F0142"/>
    <w:rsid w:val="009F01E2"/>
    <w:rsid w:val="009F06DD"/>
    <w:rsid w:val="009F0C7F"/>
    <w:rsid w:val="009F11F7"/>
    <w:rsid w:val="009F1246"/>
    <w:rsid w:val="009F1A60"/>
    <w:rsid w:val="009F2254"/>
    <w:rsid w:val="009F24B6"/>
    <w:rsid w:val="009F258F"/>
    <w:rsid w:val="009F27D4"/>
    <w:rsid w:val="009F29F6"/>
    <w:rsid w:val="009F2CBA"/>
    <w:rsid w:val="009F300E"/>
    <w:rsid w:val="009F3060"/>
    <w:rsid w:val="009F36A4"/>
    <w:rsid w:val="009F3C3E"/>
    <w:rsid w:val="009F3F9E"/>
    <w:rsid w:val="009F416B"/>
    <w:rsid w:val="009F43A1"/>
    <w:rsid w:val="009F48C0"/>
    <w:rsid w:val="009F4AC0"/>
    <w:rsid w:val="009F58F1"/>
    <w:rsid w:val="009F6150"/>
    <w:rsid w:val="009F65E8"/>
    <w:rsid w:val="009F683C"/>
    <w:rsid w:val="009F6886"/>
    <w:rsid w:val="009F68F1"/>
    <w:rsid w:val="009F706E"/>
    <w:rsid w:val="009F7610"/>
    <w:rsid w:val="00A0067B"/>
    <w:rsid w:val="00A0067D"/>
    <w:rsid w:val="00A01DE0"/>
    <w:rsid w:val="00A01F09"/>
    <w:rsid w:val="00A02165"/>
    <w:rsid w:val="00A02436"/>
    <w:rsid w:val="00A02D3C"/>
    <w:rsid w:val="00A039A1"/>
    <w:rsid w:val="00A03D42"/>
    <w:rsid w:val="00A0421E"/>
    <w:rsid w:val="00A044D0"/>
    <w:rsid w:val="00A04617"/>
    <w:rsid w:val="00A04780"/>
    <w:rsid w:val="00A05F34"/>
    <w:rsid w:val="00A06CB9"/>
    <w:rsid w:val="00A07AD6"/>
    <w:rsid w:val="00A07B60"/>
    <w:rsid w:val="00A07BBA"/>
    <w:rsid w:val="00A10150"/>
    <w:rsid w:val="00A10666"/>
    <w:rsid w:val="00A106BD"/>
    <w:rsid w:val="00A10772"/>
    <w:rsid w:val="00A10B03"/>
    <w:rsid w:val="00A110F7"/>
    <w:rsid w:val="00A11437"/>
    <w:rsid w:val="00A11DC6"/>
    <w:rsid w:val="00A12082"/>
    <w:rsid w:val="00A120D8"/>
    <w:rsid w:val="00A12238"/>
    <w:rsid w:val="00A1231B"/>
    <w:rsid w:val="00A12383"/>
    <w:rsid w:val="00A12B8C"/>
    <w:rsid w:val="00A12C8B"/>
    <w:rsid w:val="00A12F3B"/>
    <w:rsid w:val="00A130D8"/>
    <w:rsid w:val="00A132F5"/>
    <w:rsid w:val="00A13571"/>
    <w:rsid w:val="00A1397B"/>
    <w:rsid w:val="00A1414F"/>
    <w:rsid w:val="00A14258"/>
    <w:rsid w:val="00A14395"/>
    <w:rsid w:val="00A144F3"/>
    <w:rsid w:val="00A15091"/>
    <w:rsid w:val="00A153BF"/>
    <w:rsid w:val="00A15491"/>
    <w:rsid w:val="00A15C9A"/>
    <w:rsid w:val="00A15F8A"/>
    <w:rsid w:val="00A1608E"/>
    <w:rsid w:val="00A16ACD"/>
    <w:rsid w:val="00A1726D"/>
    <w:rsid w:val="00A17B36"/>
    <w:rsid w:val="00A17D25"/>
    <w:rsid w:val="00A201F1"/>
    <w:rsid w:val="00A205D9"/>
    <w:rsid w:val="00A20773"/>
    <w:rsid w:val="00A21753"/>
    <w:rsid w:val="00A2177C"/>
    <w:rsid w:val="00A21EDD"/>
    <w:rsid w:val="00A21FBD"/>
    <w:rsid w:val="00A2289D"/>
    <w:rsid w:val="00A22979"/>
    <w:rsid w:val="00A232A3"/>
    <w:rsid w:val="00A232E4"/>
    <w:rsid w:val="00A23417"/>
    <w:rsid w:val="00A23804"/>
    <w:rsid w:val="00A23AAB"/>
    <w:rsid w:val="00A23F00"/>
    <w:rsid w:val="00A2419B"/>
    <w:rsid w:val="00A24A3B"/>
    <w:rsid w:val="00A24BE3"/>
    <w:rsid w:val="00A24E05"/>
    <w:rsid w:val="00A24E58"/>
    <w:rsid w:val="00A25A00"/>
    <w:rsid w:val="00A260DA"/>
    <w:rsid w:val="00A26873"/>
    <w:rsid w:val="00A27D24"/>
    <w:rsid w:val="00A30679"/>
    <w:rsid w:val="00A306A3"/>
    <w:rsid w:val="00A30820"/>
    <w:rsid w:val="00A30BCA"/>
    <w:rsid w:val="00A310A4"/>
    <w:rsid w:val="00A32452"/>
    <w:rsid w:val="00A32573"/>
    <w:rsid w:val="00A327C0"/>
    <w:rsid w:val="00A331C7"/>
    <w:rsid w:val="00A33404"/>
    <w:rsid w:val="00A33D93"/>
    <w:rsid w:val="00A34C49"/>
    <w:rsid w:val="00A352AD"/>
    <w:rsid w:val="00A353A5"/>
    <w:rsid w:val="00A35671"/>
    <w:rsid w:val="00A35D25"/>
    <w:rsid w:val="00A35FEA"/>
    <w:rsid w:val="00A36003"/>
    <w:rsid w:val="00A360BC"/>
    <w:rsid w:val="00A368DA"/>
    <w:rsid w:val="00A36AEE"/>
    <w:rsid w:val="00A375CB"/>
    <w:rsid w:val="00A37B0A"/>
    <w:rsid w:val="00A37FD4"/>
    <w:rsid w:val="00A4011C"/>
    <w:rsid w:val="00A409BB"/>
    <w:rsid w:val="00A40B5C"/>
    <w:rsid w:val="00A40B72"/>
    <w:rsid w:val="00A40EC5"/>
    <w:rsid w:val="00A40ED4"/>
    <w:rsid w:val="00A416DE"/>
    <w:rsid w:val="00A419F4"/>
    <w:rsid w:val="00A41FA5"/>
    <w:rsid w:val="00A424CE"/>
    <w:rsid w:val="00A42596"/>
    <w:rsid w:val="00A42879"/>
    <w:rsid w:val="00A42F40"/>
    <w:rsid w:val="00A43804"/>
    <w:rsid w:val="00A43A59"/>
    <w:rsid w:val="00A44134"/>
    <w:rsid w:val="00A441F9"/>
    <w:rsid w:val="00A4475A"/>
    <w:rsid w:val="00A44F39"/>
    <w:rsid w:val="00A45363"/>
    <w:rsid w:val="00A45AA0"/>
    <w:rsid w:val="00A45E27"/>
    <w:rsid w:val="00A465A4"/>
    <w:rsid w:val="00A46E52"/>
    <w:rsid w:val="00A4746E"/>
    <w:rsid w:val="00A4771E"/>
    <w:rsid w:val="00A47A9C"/>
    <w:rsid w:val="00A500E8"/>
    <w:rsid w:val="00A503DE"/>
    <w:rsid w:val="00A5060F"/>
    <w:rsid w:val="00A50AFD"/>
    <w:rsid w:val="00A50D9D"/>
    <w:rsid w:val="00A50EB2"/>
    <w:rsid w:val="00A51DA5"/>
    <w:rsid w:val="00A523D4"/>
    <w:rsid w:val="00A52751"/>
    <w:rsid w:val="00A53346"/>
    <w:rsid w:val="00A53629"/>
    <w:rsid w:val="00A53962"/>
    <w:rsid w:val="00A53F2C"/>
    <w:rsid w:val="00A53F63"/>
    <w:rsid w:val="00A54576"/>
    <w:rsid w:val="00A546CB"/>
    <w:rsid w:val="00A54883"/>
    <w:rsid w:val="00A54BA7"/>
    <w:rsid w:val="00A550F0"/>
    <w:rsid w:val="00A55B9D"/>
    <w:rsid w:val="00A5632E"/>
    <w:rsid w:val="00A56772"/>
    <w:rsid w:val="00A56840"/>
    <w:rsid w:val="00A56938"/>
    <w:rsid w:val="00A5698D"/>
    <w:rsid w:val="00A56C5F"/>
    <w:rsid w:val="00A57197"/>
    <w:rsid w:val="00A57307"/>
    <w:rsid w:val="00A60049"/>
    <w:rsid w:val="00A60292"/>
    <w:rsid w:val="00A6063D"/>
    <w:rsid w:val="00A60C24"/>
    <w:rsid w:val="00A60F18"/>
    <w:rsid w:val="00A621A6"/>
    <w:rsid w:val="00A62350"/>
    <w:rsid w:val="00A62CC8"/>
    <w:rsid w:val="00A62CE5"/>
    <w:rsid w:val="00A638F7"/>
    <w:rsid w:val="00A64126"/>
    <w:rsid w:val="00A641A3"/>
    <w:rsid w:val="00A643B5"/>
    <w:rsid w:val="00A64724"/>
    <w:rsid w:val="00A6531C"/>
    <w:rsid w:val="00A65374"/>
    <w:rsid w:val="00A654ED"/>
    <w:rsid w:val="00A65A54"/>
    <w:rsid w:val="00A65CA7"/>
    <w:rsid w:val="00A65EA2"/>
    <w:rsid w:val="00A6605C"/>
    <w:rsid w:val="00A66119"/>
    <w:rsid w:val="00A664F5"/>
    <w:rsid w:val="00A6671B"/>
    <w:rsid w:val="00A66798"/>
    <w:rsid w:val="00A67A42"/>
    <w:rsid w:val="00A67E9E"/>
    <w:rsid w:val="00A70224"/>
    <w:rsid w:val="00A7075D"/>
    <w:rsid w:val="00A707D9"/>
    <w:rsid w:val="00A708D4"/>
    <w:rsid w:val="00A71059"/>
    <w:rsid w:val="00A714D3"/>
    <w:rsid w:val="00A71E84"/>
    <w:rsid w:val="00A722EA"/>
    <w:rsid w:val="00A7255C"/>
    <w:rsid w:val="00A72DF6"/>
    <w:rsid w:val="00A733C8"/>
    <w:rsid w:val="00A73D5E"/>
    <w:rsid w:val="00A746A4"/>
    <w:rsid w:val="00A746F8"/>
    <w:rsid w:val="00A74D35"/>
    <w:rsid w:val="00A754BC"/>
    <w:rsid w:val="00A7571D"/>
    <w:rsid w:val="00A76088"/>
    <w:rsid w:val="00A76D11"/>
    <w:rsid w:val="00A77145"/>
    <w:rsid w:val="00A7721F"/>
    <w:rsid w:val="00A77413"/>
    <w:rsid w:val="00A774D9"/>
    <w:rsid w:val="00A777C2"/>
    <w:rsid w:val="00A80289"/>
    <w:rsid w:val="00A807D8"/>
    <w:rsid w:val="00A80951"/>
    <w:rsid w:val="00A80A19"/>
    <w:rsid w:val="00A80F67"/>
    <w:rsid w:val="00A8120C"/>
    <w:rsid w:val="00A81CC1"/>
    <w:rsid w:val="00A82714"/>
    <w:rsid w:val="00A8271E"/>
    <w:rsid w:val="00A82C35"/>
    <w:rsid w:val="00A83724"/>
    <w:rsid w:val="00A83753"/>
    <w:rsid w:val="00A846B6"/>
    <w:rsid w:val="00A8499D"/>
    <w:rsid w:val="00A84A0D"/>
    <w:rsid w:val="00A8529D"/>
    <w:rsid w:val="00A85347"/>
    <w:rsid w:val="00A8538A"/>
    <w:rsid w:val="00A8566D"/>
    <w:rsid w:val="00A861B4"/>
    <w:rsid w:val="00A8648A"/>
    <w:rsid w:val="00A8704A"/>
    <w:rsid w:val="00A90861"/>
    <w:rsid w:val="00A90EFD"/>
    <w:rsid w:val="00A911E5"/>
    <w:rsid w:val="00A917B3"/>
    <w:rsid w:val="00A921E6"/>
    <w:rsid w:val="00A9235E"/>
    <w:rsid w:val="00A92BB6"/>
    <w:rsid w:val="00A92F01"/>
    <w:rsid w:val="00A9386C"/>
    <w:rsid w:val="00A93A1B"/>
    <w:rsid w:val="00A93C2F"/>
    <w:rsid w:val="00A943E3"/>
    <w:rsid w:val="00A9480D"/>
    <w:rsid w:val="00A94CA9"/>
    <w:rsid w:val="00A94DB3"/>
    <w:rsid w:val="00A94FEE"/>
    <w:rsid w:val="00A952ED"/>
    <w:rsid w:val="00A9542B"/>
    <w:rsid w:val="00A963C7"/>
    <w:rsid w:val="00A9640A"/>
    <w:rsid w:val="00A96593"/>
    <w:rsid w:val="00A96CF0"/>
    <w:rsid w:val="00A97F4F"/>
    <w:rsid w:val="00AA0F3F"/>
    <w:rsid w:val="00AA131A"/>
    <w:rsid w:val="00AA1936"/>
    <w:rsid w:val="00AA2060"/>
    <w:rsid w:val="00AA234A"/>
    <w:rsid w:val="00AA2A56"/>
    <w:rsid w:val="00AA2B8F"/>
    <w:rsid w:val="00AA30E1"/>
    <w:rsid w:val="00AA31B1"/>
    <w:rsid w:val="00AA35C0"/>
    <w:rsid w:val="00AA38D1"/>
    <w:rsid w:val="00AA3DF0"/>
    <w:rsid w:val="00AA4A43"/>
    <w:rsid w:val="00AA4D2F"/>
    <w:rsid w:val="00AA5441"/>
    <w:rsid w:val="00AA54BB"/>
    <w:rsid w:val="00AA592A"/>
    <w:rsid w:val="00AA5F7C"/>
    <w:rsid w:val="00AA63FA"/>
    <w:rsid w:val="00AA65EE"/>
    <w:rsid w:val="00AA6C2E"/>
    <w:rsid w:val="00AA7736"/>
    <w:rsid w:val="00AA78FF"/>
    <w:rsid w:val="00AB0A53"/>
    <w:rsid w:val="00AB1396"/>
    <w:rsid w:val="00AB1C66"/>
    <w:rsid w:val="00AB20A4"/>
    <w:rsid w:val="00AB4B66"/>
    <w:rsid w:val="00AB4E30"/>
    <w:rsid w:val="00AB5015"/>
    <w:rsid w:val="00AB5623"/>
    <w:rsid w:val="00AB5680"/>
    <w:rsid w:val="00AB572E"/>
    <w:rsid w:val="00AB573D"/>
    <w:rsid w:val="00AB7551"/>
    <w:rsid w:val="00AB79D6"/>
    <w:rsid w:val="00AB7A28"/>
    <w:rsid w:val="00AB7AA0"/>
    <w:rsid w:val="00AB7B62"/>
    <w:rsid w:val="00AC06C6"/>
    <w:rsid w:val="00AC0954"/>
    <w:rsid w:val="00AC0B71"/>
    <w:rsid w:val="00AC0DF7"/>
    <w:rsid w:val="00AC0EFF"/>
    <w:rsid w:val="00AC12B7"/>
    <w:rsid w:val="00AC1D47"/>
    <w:rsid w:val="00AC1F65"/>
    <w:rsid w:val="00AC210F"/>
    <w:rsid w:val="00AC39C3"/>
    <w:rsid w:val="00AC3CFD"/>
    <w:rsid w:val="00AC467C"/>
    <w:rsid w:val="00AC4ACC"/>
    <w:rsid w:val="00AC4AF0"/>
    <w:rsid w:val="00AC5218"/>
    <w:rsid w:val="00AC5432"/>
    <w:rsid w:val="00AC55DC"/>
    <w:rsid w:val="00AC56F3"/>
    <w:rsid w:val="00AC5A87"/>
    <w:rsid w:val="00AC644F"/>
    <w:rsid w:val="00AC6CAF"/>
    <w:rsid w:val="00AC7B40"/>
    <w:rsid w:val="00AD026E"/>
    <w:rsid w:val="00AD0ECA"/>
    <w:rsid w:val="00AD11D0"/>
    <w:rsid w:val="00AD16D8"/>
    <w:rsid w:val="00AD1777"/>
    <w:rsid w:val="00AD1958"/>
    <w:rsid w:val="00AD2795"/>
    <w:rsid w:val="00AD2B1F"/>
    <w:rsid w:val="00AD2BFE"/>
    <w:rsid w:val="00AD4C7C"/>
    <w:rsid w:val="00AD5E16"/>
    <w:rsid w:val="00AD6373"/>
    <w:rsid w:val="00AD7225"/>
    <w:rsid w:val="00AD76FD"/>
    <w:rsid w:val="00AD778F"/>
    <w:rsid w:val="00AD7DC4"/>
    <w:rsid w:val="00AE0294"/>
    <w:rsid w:val="00AE032F"/>
    <w:rsid w:val="00AE0B81"/>
    <w:rsid w:val="00AE209B"/>
    <w:rsid w:val="00AE20B2"/>
    <w:rsid w:val="00AE22DE"/>
    <w:rsid w:val="00AE2626"/>
    <w:rsid w:val="00AE2CEA"/>
    <w:rsid w:val="00AE2D1A"/>
    <w:rsid w:val="00AE2FC6"/>
    <w:rsid w:val="00AE3499"/>
    <w:rsid w:val="00AE471C"/>
    <w:rsid w:val="00AE4AFA"/>
    <w:rsid w:val="00AE54CF"/>
    <w:rsid w:val="00AE5557"/>
    <w:rsid w:val="00AE58ED"/>
    <w:rsid w:val="00AE5FC5"/>
    <w:rsid w:val="00AE642E"/>
    <w:rsid w:val="00AE69D0"/>
    <w:rsid w:val="00AE6E27"/>
    <w:rsid w:val="00AE731E"/>
    <w:rsid w:val="00AE767A"/>
    <w:rsid w:val="00AE7EBC"/>
    <w:rsid w:val="00AF0053"/>
    <w:rsid w:val="00AF0575"/>
    <w:rsid w:val="00AF0D48"/>
    <w:rsid w:val="00AF1A65"/>
    <w:rsid w:val="00AF1ECA"/>
    <w:rsid w:val="00AF246E"/>
    <w:rsid w:val="00AF2488"/>
    <w:rsid w:val="00AF2F7E"/>
    <w:rsid w:val="00AF39FC"/>
    <w:rsid w:val="00AF3A78"/>
    <w:rsid w:val="00AF3D0C"/>
    <w:rsid w:val="00AF3FF6"/>
    <w:rsid w:val="00AF441A"/>
    <w:rsid w:val="00AF4491"/>
    <w:rsid w:val="00AF4648"/>
    <w:rsid w:val="00AF469B"/>
    <w:rsid w:val="00AF4A33"/>
    <w:rsid w:val="00AF5338"/>
    <w:rsid w:val="00AF5BCD"/>
    <w:rsid w:val="00AF6471"/>
    <w:rsid w:val="00AF655B"/>
    <w:rsid w:val="00AF660E"/>
    <w:rsid w:val="00AF7667"/>
    <w:rsid w:val="00AF788B"/>
    <w:rsid w:val="00AF7E2B"/>
    <w:rsid w:val="00B003EE"/>
    <w:rsid w:val="00B00493"/>
    <w:rsid w:val="00B004B1"/>
    <w:rsid w:val="00B01177"/>
    <w:rsid w:val="00B015AE"/>
    <w:rsid w:val="00B015B4"/>
    <w:rsid w:val="00B01AC6"/>
    <w:rsid w:val="00B01EF4"/>
    <w:rsid w:val="00B027E4"/>
    <w:rsid w:val="00B0324D"/>
    <w:rsid w:val="00B032CC"/>
    <w:rsid w:val="00B033EC"/>
    <w:rsid w:val="00B03A71"/>
    <w:rsid w:val="00B03AE2"/>
    <w:rsid w:val="00B03EF2"/>
    <w:rsid w:val="00B05C77"/>
    <w:rsid w:val="00B05CBB"/>
    <w:rsid w:val="00B063D6"/>
    <w:rsid w:val="00B066F0"/>
    <w:rsid w:val="00B06824"/>
    <w:rsid w:val="00B07637"/>
    <w:rsid w:val="00B103C7"/>
    <w:rsid w:val="00B10D2A"/>
    <w:rsid w:val="00B10E88"/>
    <w:rsid w:val="00B118C4"/>
    <w:rsid w:val="00B11E0F"/>
    <w:rsid w:val="00B11F4A"/>
    <w:rsid w:val="00B129AC"/>
    <w:rsid w:val="00B13284"/>
    <w:rsid w:val="00B13A06"/>
    <w:rsid w:val="00B13BF8"/>
    <w:rsid w:val="00B14AED"/>
    <w:rsid w:val="00B15151"/>
    <w:rsid w:val="00B154BB"/>
    <w:rsid w:val="00B155A1"/>
    <w:rsid w:val="00B15798"/>
    <w:rsid w:val="00B158E8"/>
    <w:rsid w:val="00B15B13"/>
    <w:rsid w:val="00B16739"/>
    <w:rsid w:val="00B16782"/>
    <w:rsid w:val="00B170EA"/>
    <w:rsid w:val="00B172E5"/>
    <w:rsid w:val="00B1770C"/>
    <w:rsid w:val="00B17815"/>
    <w:rsid w:val="00B17E66"/>
    <w:rsid w:val="00B204E8"/>
    <w:rsid w:val="00B209BB"/>
    <w:rsid w:val="00B20A16"/>
    <w:rsid w:val="00B213ED"/>
    <w:rsid w:val="00B21B96"/>
    <w:rsid w:val="00B223AF"/>
    <w:rsid w:val="00B226F5"/>
    <w:rsid w:val="00B241BD"/>
    <w:rsid w:val="00B2475C"/>
    <w:rsid w:val="00B257C1"/>
    <w:rsid w:val="00B2656B"/>
    <w:rsid w:val="00B2658D"/>
    <w:rsid w:val="00B26754"/>
    <w:rsid w:val="00B26FC0"/>
    <w:rsid w:val="00B270E0"/>
    <w:rsid w:val="00B2712F"/>
    <w:rsid w:val="00B27174"/>
    <w:rsid w:val="00B27411"/>
    <w:rsid w:val="00B2795A"/>
    <w:rsid w:val="00B2796D"/>
    <w:rsid w:val="00B3031B"/>
    <w:rsid w:val="00B3092F"/>
    <w:rsid w:val="00B3103B"/>
    <w:rsid w:val="00B31B3C"/>
    <w:rsid w:val="00B31E8A"/>
    <w:rsid w:val="00B3203F"/>
    <w:rsid w:val="00B32278"/>
    <w:rsid w:val="00B32DBE"/>
    <w:rsid w:val="00B32F1A"/>
    <w:rsid w:val="00B33150"/>
    <w:rsid w:val="00B337BC"/>
    <w:rsid w:val="00B343F4"/>
    <w:rsid w:val="00B346C0"/>
    <w:rsid w:val="00B34912"/>
    <w:rsid w:val="00B349BD"/>
    <w:rsid w:val="00B34A04"/>
    <w:rsid w:val="00B34DFD"/>
    <w:rsid w:val="00B353EF"/>
    <w:rsid w:val="00B35581"/>
    <w:rsid w:val="00B359B0"/>
    <w:rsid w:val="00B35C61"/>
    <w:rsid w:val="00B36192"/>
    <w:rsid w:val="00B361E8"/>
    <w:rsid w:val="00B362AD"/>
    <w:rsid w:val="00B363EF"/>
    <w:rsid w:val="00B364C7"/>
    <w:rsid w:val="00B36F40"/>
    <w:rsid w:val="00B37BB4"/>
    <w:rsid w:val="00B37D9D"/>
    <w:rsid w:val="00B401E9"/>
    <w:rsid w:val="00B402C9"/>
    <w:rsid w:val="00B4161E"/>
    <w:rsid w:val="00B41790"/>
    <w:rsid w:val="00B41910"/>
    <w:rsid w:val="00B42B79"/>
    <w:rsid w:val="00B42DB7"/>
    <w:rsid w:val="00B42F44"/>
    <w:rsid w:val="00B43040"/>
    <w:rsid w:val="00B438F4"/>
    <w:rsid w:val="00B4397C"/>
    <w:rsid w:val="00B43BA4"/>
    <w:rsid w:val="00B450F3"/>
    <w:rsid w:val="00B451A6"/>
    <w:rsid w:val="00B4621B"/>
    <w:rsid w:val="00B465AD"/>
    <w:rsid w:val="00B46C46"/>
    <w:rsid w:val="00B46D0F"/>
    <w:rsid w:val="00B46EF9"/>
    <w:rsid w:val="00B504FA"/>
    <w:rsid w:val="00B507F0"/>
    <w:rsid w:val="00B51D3F"/>
    <w:rsid w:val="00B51E8B"/>
    <w:rsid w:val="00B520CD"/>
    <w:rsid w:val="00B52111"/>
    <w:rsid w:val="00B524DF"/>
    <w:rsid w:val="00B524FA"/>
    <w:rsid w:val="00B526E8"/>
    <w:rsid w:val="00B52C5E"/>
    <w:rsid w:val="00B53582"/>
    <w:rsid w:val="00B5359E"/>
    <w:rsid w:val="00B53D3A"/>
    <w:rsid w:val="00B53D5D"/>
    <w:rsid w:val="00B53F21"/>
    <w:rsid w:val="00B5436B"/>
    <w:rsid w:val="00B54475"/>
    <w:rsid w:val="00B54771"/>
    <w:rsid w:val="00B548FB"/>
    <w:rsid w:val="00B54FB3"/>
    <w:rsid w:val="00B5574A"/>
    <w:rsid w:val="00B5587E"/>
    <w:rsid w:val="00B56240"/>
    <w:rsid w:val="00B56B47"/>
    <w:rsid w:val="00B57563"/>
    <w:rsid w:val="00B57718"/>
    <w:rsid w:val="00B57853"/>
    <w:rsid w:val="00B603A2"/>
    <w:rsid w:val="00B607C7"/>
    <w:rsid w:val="00B60A18"/>
    <w:rsid w:val="00B61519"/>
    <w:rsid w:val="00B6239A"/>
    <w:rsid w:val="00B62508"/>
    <w:rsid w:val="00B6330A"/>
    <w:rsid w:val="00B633F1"/>
    <w:rsid w:val="00B6352C"/>
    <w:rsid w:val="00B63805"/>
    <w:rsid w:val="00B63CBC"/>
    <w:rsid w:val="00B63CD8"/>
    <w:rsid w:val="00B65304"/>
    <w:rsid w:val="00B65566"/>
    <w:rsid w:val="00B65E74"/>
    <w:rsid w:val="00B65F3F"/>
    <w:rsid w:val="00B65FBB"/>
    <w:rsid w:val="00B66056"/>
    <w:rsid w:val="00B665F8"/>
    <w:rsid w:val="00B66A86"/>
    <w:rsid w:val="00B66BA8"/>
    <w:rsid w:val="00B66E0C"/>
    <w:rsid w:val="00B67CC3"/>
    <w:rsid w:val="00B67E1C"/>
    <w:rsid w:val="00B702E2"/>
    <w:rsid w:val="00B703BF"/>
    <w:rsid w:val="00B7052D"/>
    <w:rsid w:val="00B7122D"/>
    <w:rsid w:val="00B7163C"/>
    <w:rsid w:val="00B71A18"/>
    <w:rsid w:val="00B71B88"/>
    <w:rsid w:val="00B71C1B"/>
    <w:rsid w:val="00B71DE7"/>
    <w:rsid w:val="00B7223A"/>
    <w:rsid w:val="00B725AE"/>
    <w:rsid w:val="00B726D3"/>
    <w:rsid w:val="00B72D93"/>
    <w:rsid w:val="00B73D0C"/>
    <w:rsid w:val="00B744CE"/>
    <w:rsid w:val="00B74942"/>
    <w:rsid w:val="00B74CC6"/>
    <w:rsid w:val="00B754A6"/>
    <w:rsid w:val="00B756E5"/>
    <w:rsid w:val="00B756E8"/>
    <w:rsid w:val="00B756FF"/>
    <w:rsid w:val="00B75E6C"/>
    <w:rsid w:val="00B76A80"/>
    <w:rsid w:val="00B76AD6"/>
    <w:rsid w:val="00B76B73"/>
    <w:rsid w:val="00B77D9E"/>
    <w:rsid w:val="00B77FA2"/>
    <w:rsid w:val="00B80220"/>
    <w:rsid w:val="00B803D2"/>
    <w:rsid w:val="00B80413"/>
    <w:rsid w:val="00B81634"/>
    <w:rsid w:val="00B8193E"/>
    <w:rsid w:val="00B81EB9"/>
    <w:rsid w:val="00B82033"/>
    <w:rsid w:val="00B82280"/>
    <w:rsid w:val="00B82720"/>
    <w:rsid w:val="00B82B19"/>
    <w:rsid w:val="00B835D0"/>
    <w:rsid w:val="00B835F2"/>
    <w:rsid w:val="00B83BFB"/>
    <w:rsid w:val="00B85094"/>
    <w:rsid w:val="00B85720"/>
    <w:rsid w:val="00B85C09"/>
    <w:rsid w:val="00B85C12"/>
    <w:rsid w:val="00B85F60"/>
    <w:rsid w:val="00B85F67"/>
    <w:rsid w:val="00B86243"/>
    <w:rsid w:val="00B864B9"/>
    <w:rsid w:val="00B86738"/>
    <w:rsid w:val="00B86BBB"/>
    <w:rsid w:val="00B87266"/>
    <w:rsid w:val="00B87A11"/>
    <w:rsid w:val="00B87D67"/>
    <w:rsid w:val="00B90A7C"/>
    <w:rsid w:val="00B910A4"/>
    <w:rsid w:val="00B910F9"/>
    <w:rsid w:val="00B91D7C"/>
    <w:rsid w:val="00B92532"/>
    <w:rsid w:val="00B92583"/>
    <w:rsid w:val="00B93891"/>
    <w:rsid w:val="00B941B0"/>
    <w:rsid w:val="00B942A6"/>
    <w:rsid w:val="00B94AEC"/>
    <w:rsid w:val="00B96300"/>
    <w:rsid w:val="00B964C7"/>
    <w:rsid w:val="00B970CD"/>
    <w:rsid w:val="00BA033E"/>
    <w:rsid w:val="00BA09C1"/>
    <w:rsid w:val="00BA1014"/>
    <w:rsid w:val="00BA137D"/>
    <w:rsid w:val="00BA1542"/>
    <w:rsid w:val="00BA1576"/>
    <w:rsid w:val="00BA1582"/>
    <w:rsid w:val="00BA169C"/>
    <w:rsid w:val="00BA18CF"/>
    <w:rsid w:val="00BA1B25"/>
    <w:rsid w:val="00BA1DB3"/>
    <w:rsid w:val="00BA2290"/>
    <w:rsid w:val="00BA2B0C"/>
    <w:rsid w:val="00BA2EDA"/>
    <w:rsid w:val="00BA3973"/>
    <w:rsid w:val="00BA3F0B"/>
    <w:rsid w:val="00BA3FF7"/>
    <w:rsid w:val="00BA402B"/>
    <w:rsid w:val="00BA478C"/>
    <w:rsid w:val="00BA4D03"/>
    <w:rsid w:val="00BA4D9D"/>
    <w:rsid w:val="00BA525F"/>
    <w:rsid w:val="00BA57E4"/>
    <w:rsid w:val="00BA59C8"/>
    <w:rsid w:val="00BA672F"/>
    <w:rsid w:val="00BA68F3"/>
    <w:rsid w:val="00BA69E5"/>
    <w:rsid w:val="00BA6AA1"/>
    <w:rsid w:val="00BA6EE2"/>
    <w:rsid w:val="00BA72A2"/>
    <w:rsid w:val="00BA7718"/>
    <w:rsid w:val="00BB081E"/>
    <w:rsid w:val="00BB0DB7"/>
    <w:rsid w:val="00BB0E49"/>
    <w:rsid w:val="00BB18FE"/>
    <w:rsid w:val="00BB1D31"/>
    <w:rsid w:val="00BB280B"/>
    <w:rsid w:val="00BB310B"/>
    <w:rsid w:val="00BB35C1"/>
    <w:rsid w:val="00BB4406"/>
    <w:rsid w:val="00BB49AC"/>
    <w:rsid w:val="00BB4F95"/>
    <w:rsid w:val="00BB5369"/>
    <w:rsid w:val="00BB64C7"/>
    <w:rsid w:val="00BB6543"/>
    <w:rsid w:val="00BB6A3A"/>
    <w:rsid w:val="00BB701F"/>
    <w:rsid w:val="00BB7700"/>
    <w:rsid w:val="00BB7B26"/>
    <w:rsid w:val="00BB7D48"/>
    <w:rsid w:val="00BC02EE"/>
    <w:rsid w:val="00BC0640"/>
    <w:rsid w:val="00BC0CDA"/>
    <w:rsid w:val="00BC1449"/>
    <w:rsid w:val="00BC1CFA"/>
    <w:rsid w:val="00BC1D69"/>
    <w:rsid w:val="00BC248E"/>
    <w:rsid w:val="00BC24A7"/>
    <w:rsid w:val="00BC288F"/>
    <w:rsid w:val="00BC2F7D"/>
    <w:rsid w:val="00BC35D8"/>
    <w:rsid w:val="00BC3B61"/>
    <w:rsid w:val="00BC45B9"/>
    <w:rsid w:val="00BC4763"/>
    <w:rsid w:val="00BC4C9E"/>
    <w:rsid w:val="00BC50C2"/>
    <w:rsid w:val="00BC51DC"/>
    <w:rsid w:val="00BC59B8"/>
    <w:rsid w:val="00BC5AB2"/>
    <w:rsid w:val="00BC5F6C"/>
    <w:rsid w:val="00BC6925"/>
    <w:rsid w:val="00BC7509"/>
    <w:rsid w:val="00BC794B"/>
    <w:rsid w:val="00BC7A55"/>
    <w:rsid w:val="00BC7F70"/>
    <w:rsid w:val="00BD01DF"/>
    <w:rsid w:val="00BD041C"/>
    <w:rsid w:val="00BD06B4"/>
    <w:rsid w:val="00BD0837"/>
    <w:rsid w:val="00BD09EA"/>
    <w:rsid w:val="00BD10E5"/>
    <w:rsid w:val="00BD1517"/>
    <w:rsid w:val="00BD17EF"/>
    <w:rsid w:val="00BD1D11"/>
    <w:rsid w:val="00BD2D16"/>
    <w:rsid w:val="00BD2E83"/>
    <w:rsid w:val="00BD2EA1"/>
    <w:rsid w:val="00BD2FE4"/>
    <w:rsid w:val="00BD32AA"/>
    <w:rsid w:val="00BD33D5"/>
    <w:rsid w:val="00BD3820"/>
    <w:rsid w:val="00BD3891"/>
    <w:rsid w:val="00BD4146"/>
    <w:rsid w:val="00BD4443"/>
    <w:rsid w:val="00BD463D"/>
    <w:rsid w:val="00BD4B4D"/>
    <w:rsid w:val="00BD533D"/>
    <w:rsid w:val="00BD5FFB"/>
    <w:rsid w:val="00BD7746"/>
    <w:rsid w:val="00BD7F3C"/>
    <w:rsid w:val="00BE00E7"/>
    <w:rsid w:val="00BE032F"/>
    <w:rsid w:val="00BE0916"/>
    <w:rsid w:val="00BE0F96"/>
    <w:rsid w:val="00BE1025"/>
    <w:rsid w:val="00BE1F44"/>
    <w:rsid w:val="00BE25BE"/>
    <w:rsid w:val="00BE26AF"/>
    <w:rsid w:val="00BE2C2F"/>
    <w:rsid w:val="00BE2C54"/>
    <w:rsid w:val="00BE2F08"/>
    <w:rsid w:val="00BE2F53"/>
    <w:rsid w:val="00BE2FA4"/>
    <w:rsid w:val="00BE3245"/>
    <w:rsid w:val="00BE32C3"/>
    <w:rsid w:val="00BE3478"/>
    <w:rsid w:val="00BE36C3"/>
    <w:rsid w:val="00BE3904"/>
    <w:rsid w:val="00BE3B0E"/>
    <w:rsid w:val="00BE3CCE"/>
    <w:rsid w:val="00BE42BE"/>
    <w:rsid w:val="00BE4659"/>
    <w:rsid w:val="00BE4F56"/>
    <w:rsid w:val="00BE5353"/>
    <w:rsid w:val="00BE54C3"/>
    <w:rsid w:val="00BE6065"/>
    <w:rsid w:val="00BE61C9"/>
    <w:rsid w:val="00BE671C"/>
    <w:rsid w:val="00BE694B"/>
    <w:rsid w:val="00BE736B"/>
    <w:rsid w:val="00BE7471"/>
    <w:rsid w:val="00BE754A"/>
    <w:rsid w:val="00BE7772"/>
    <w:rsid w:val="00BE7E5A"/>
    <w:rsid w:val="00BF086D"/>
    <w:rsid w:val="00BF08A6"/>
    <w:rsid w:val="00BF09F2"/>
    <w:rsid w:val="00BF0A6C"/>
    <w:rsid w:val="00BF1D8E"/>
    <w:rsid w:val="00BF265F"/>
    <w:rsid w:val="00BF2C67"/>
    <w:rsid w:val="00BF319D"/>
    <w:rsid w:val="00BF3311"/>
    <w:rsid w:val="00BF3A9F"/>
    <w:rsid w:val="00BF3B09"/>
    <w:rsid w:val="00BF3DE8"/>
    <w:rsid w:val="00BF3ED3"/>
    <w:rsid w:val="00BF4173"/>
    <w:rsid w:val="00BF5263"/>
    <w:rsid w:val="00BF62DB"/>
    <w:rsid w:val="00BF65CB"/>
    <w:rsid w:val="00BF6FB5"/>
    <w:rsid w:val="00BF7A56"/>
    <w:rsid w:val="00BF7BBE"/>
    <w:rsid w:val="00C00223"/>
    <w:rsid w:val="00C00989"/>
    <w:rsid w:val="00C00BCE"/>
    <w:rsid w:val="00C0135E"/>
    <w:rsid w:val="00C0198F"/>
    <w:rsid w:val="00C02035"/>
    <w:rsid w:val="00C025F9"/>
    <w:rsid w:val="00C02911"/>
    <w:rsid w:val="00C02C3D"/>
    <w:rsid w:val="00C02DFA"/>
    <w:rsid w:val="00C0302E"/>
    <w:rsid w:val="00C036B9"/>
    <w:rsid w:val="00C03783"/>
    <w:rsid w:val="00C03CCF"/>
    <w:rsid w:val="00C04387"/>
    <w:rsid w:val="00C04A9D"/>
    <w:rsid w:val="00C04A9F"/>
    <w:rsid w:val="00C04BAE"/>
    <w:rsid w:val="00C04BDF"/>
    <w:rsid w:val="00C04E0F"/>
    <w:rsid w:val="00C06059"/>
    <w:rsid w:val="00C0625C"/>
    <w:rsid w:val="00C067F8"/>
    <w:rsid w:val="00C06FED"/>
    <w:rsid w:val="00C07237"/>
    <w:rsid w:val="00C078D7"/>
    <w:rsid w:val="00C07C73"/>
    <w:rsid w:val="00C07D45"/>
    <w:rsid w:val="00C07FAC"/>
    <w:rsid w:val="00C106DD"/>
    <w:rsid w:val="00C10700"/>
    <w:rsid w:val="00C108C9"/>
    <w:rsid w:val="00C10D05"/>
    <w:rsid w:val="00C1125B"/>
    <w:rsid w:val="00C11316"/>
    <w:rsid w:val="00C1249F"/>
    <w:rsid w:val="00C12DF4"/>
    <w:rsid w:val="00C12EA6"/>
    <w:rsid w:val="00C1311E"/>
    <w:rsid w:val="00C13446"/>
    <w:rsid w:val="00C13529"/>
    <w:rsid w:val="00C13A5F"/>
    <w:rsid w:val="00C13A72"/>
    <w:rsid w:val="00C146AF"/>
    <w:rsid w:val="00C14C87"/>
    <w:rsid w:val="00C14CC2"/>
    <w:rsid w:val="00C154F3"/>
    <w:rsid w:val="00C15795"/>
    <w:rsid w:val="00C15EA9"/>
    <w:rsid w:val="00C16FF2"/>
    <w:rsid w:val="00C17087"/>
    <w:rsid w:val="00C177FC"/>
    <w:rsid w:val="00C17AE9"/>
    <w:rsid w:val="00C20A7F"/>
    <w:rsid w:val="00C20AE1"/>
    <w:rsid w:val="00C20CEF"/>
    <w:rsid w:val="00C2106E"/>
    <w:rsid w:val="00C210D1"/>
    <w:rsid w:val="00C22329"/>
    <w:rsid w:val="00C2254C"/>
    <w:rsid w:val="00C227ED"/>
    <w:rsid w:val="00C22AA0"/>
    <w:rsid w:val="00C232D9"/>
    <w:rsid w:val="00C23311"/>
    <w:rsid w:val="00C239C2"/>
    <w:rsid w:val="00C23C9F"/>
    <w:rsid w:val="00C23CF4"/>
    <w:rsid w:val="00C2409E"/>
    <w:rsid w:val="00C24445"/>
    <w:rsid w:val="00C24F87"/>
    <w:rsid w:val="00C25A01"/>
    <w:rsid w:val="00C2600B"/>
    <w:rsid w:val="00C261AC"/>
    <w:rsid w:val="00C26702"/>
    <w:rsid w:val="00C26832"/>
    <w:rsid w:val="00C26AB3"/>
    <w:rsid w:val="00C26F91"/>
    <w:rsid w:val="00C277D0"/>
    <w:rsid w:val="00C27B7F"/>
    <w:rsid w:val="00C30190"/>
    <w:rsid w:val="00C305C0"/>
    <w:rsid w:val="00C306CB"/>
    <w:rsid w:val="00C3111C"/>
    <w:rsid w:val="00C3135A"/>
    <w:rsid w:val="00C31951"/>
    <w:rsid w:val="00C3207A"/>
    <w:rsid w:val="00C32831"/>
    <w:rsid w:val="00C32C32"/>
    <w:rsid w:val="00C332EF"/>
    <w:rsid w:val="00C33395"/>
    <w:rsid w:val="00C33EBE"/>
    <w:rsid w:val="00C3400A"/>
    <w:rsid w:val="00C3401C"/>
    <w:rsid w:val="00C34105"/>
    <w:rsid w:val="00C346DC"/>
    <w:rsid w:val="00C34859"/>
    <w:rsid w:val="00C350D2"/>
    <w:rsid w:val="00C357EB"/>
    <w:rsid w:val="00C3591A"/>
    <w:rsid w:val="00C35A89"/>
    <w:rsid w:val="00C35DCF"/>
    <w:rsid w:val="00C36854"/>
    <w:rsid w:val="00C36F72"/>
    <w:rsid w:val="00C36FA2"/>
    <w:rsid w:val="00C37019"/>
    <w:rsid w:val="00C3788F"/>
    <w:rsid w:val="00C37F35"/>
    <w:rsid w:val="00C40313"/>
    <w:rsid w:val="00C405A7"/>
    <w:rsid w:val="00C4064E"/>
    <w:rsid w:val="00C40B79"/>
    <w:rsid w:val="00C40BA4"/>
    <w:rsid w:val="00C40E65"/>
    <w:rsid w:val="00C41496"/>
    <w:rsid w:val="00C4157C"/>
    <w:rsid w:val="00C420A3"/>
    <w:rsid w:val="00C42121"/>
    <w:rsid w:val="00C42B37"/>
    <w:rsid w:val="00C43055"/>
    <w:rsid w:val="00C43335"/>
    <w:rsid w:val="00C43D3E"/>
    <w:rsid w:val="00C43EBA"/>
    <w:rsid w:val="00C440F3"/>
    <w:rsid w:val="00C441C7"/>
    <w:rsid w:val="00C44263"/>
    <w:rsid w:val="00C444A5"/>
    <w:rsid w:val="00C44725"/>
    <w:rsid w:val="00C449C5"/>
    <w:rsid w:val="00C450D5"/>
    <w:rsid w:val="00C46507"/>
    <w:rsid w:val="00C46B45"/>
    <w:rsid w:val="00C46D75"/>
    <w:rsid w:val="00C47762"/>
    <w:rsid w:val="00C47D2A"/>
    <w:rsid w:val="00C47D67"/>
    <w:rsid w:val="00C47EA2"/>
    <w:rsid w:val="00C50258"/>
    <w:rsid w:val="00C502C9"/>
    <w:rsid w:val="00C50407"/>
    <w:rsid w:val="00C51848"/>
    <w:rsid w:val="00C51BF8"/>
    <w:rsid w:val="00C51C9D"/>
    <w:rsid w:val="00C524B4"/>
    <w:rsid w:val="00C52868"/>
    <w:rsid w:val="00C528D6"/>
    <w:rsid w:val="00C52982"/>
    <w:rsid w:val="00C52A28"/>
    <w:rsid w:val="00C52BBD"/>
    <w:rsid w:val="00C534B7"/>
    <w:rsid w:val="00C53AF5"/>
    <w:rsid w:val="00C53B39"/>
    <w:rsid w:val="00C53B52"/>
    <w:rsid w:val="00C549EE"/>
    <w:rsid w:val="00C55015"/>
    <w:rsid w:val="00C55118"/>
    <w:rsid w:val="00C55664"/>
    <w:rsid w:val="00C55C13"/>
    <w:rsid w:val="00C55F34"/>
    <w:rsid w:val="00C56254"/>
    <w:rsid w:val="00C5660C"/>
    <w:rsid w:val="00C56657"/>
    <w:rsid w:val="00C56CF4"/>
    <w:rsid w:val="00C56F31"/>
    <w:rsid w:val="00C571DA"/>
    <w:rsid w:val="00C5764E"/>
    <w:rsid w:val="00C576D6"/>
    <w:rsid w:val="00C578CA"/>
    <w:rsid w:val="00C57D2F"/>
    <w:rsid w:val="00C57E1A"/>
    <w:rsid w:val="00C57E7A"/>
    <w:rsid w:val="00C60176"/>
    <w:rsid w:val="00C601E7"/>
    <w:rsid w:val="00C60615"/>
    <w:rsid w:val="00C60DD9"/>
    <w:rsid w:val="00C619CB"/>
    <w:rsid w:val="00C61B16"/>
    <w:rsid w:val="00C61DCF"/>
    <w:rsid w:val="00C61F90"/>
    <w:rsid w:val="00C625E1"/>
    <w:rsid w:val="00C631B9"/>
    <w:rsid w:val="00C63B6C"/>
    <w:rsid w:val="00C63FE7"/>
    <w:rsid w:val="00C63FFF"/>
    <w:rsid w:val="00C640B0"/>
    <w:rsid w:val="00C64746"/>
    <w:rsid w:val="00C64FDD"/>
    <w:rsid w:val="00C656F2"/>
    <w:rsid w:val="00C65799"/>
    <w:rsid w:val="00C667B2"/>
    <w:rsid w:val="00C668F4"/>
    <w:rsid w:val="00C66EBA"/>
    <w:rsid w:val="00C66FD8"/>
    <w:rsid w:val="00C67E9C"/>
    <w:rsid w:val="00C700D1"/>
    <w:rsid w:val="00C70939"/>
    <w:rsid w:val="00C70D6A"/>
    <w:rsid w:val="00C711DD"/>
    <w:rsid w:val="00C71432"/>
    <w:rsid w:val="00C71B00"/>
    <w:rsid w:val="00C71B5B"/>
    <w:rsid w:val="00C71BC6"/>
    <w:rsid w:val="00C72010"/>
    <w:rsid w:val="00C7207F"/>
    <w:rsid w:val="00C7213E"/>
    <w:rsid w:val="00C72469"/>
    <w:rsid w:val="00C724D3"/>
    <w:rsid w:val="00C728E7"/>
    <w:rsid w:val="00C72BA8"/>
    <w:rsid w:val="00C72E13"/>
    <w:rsid w:val="00C73111"/>
    <w:rsid w:val="00C737CB"/>
    <w:rsid w:val="00C7477F"/>
    <w:rsid w:val="00C7486D"/>
    <w:rsid w:val="00C74F7D"/>
    <w:rsid w:val="00C7575D"/>
    <w:rsid w:val="00C75B2E"/>
    <w:rsid w:val="00C75ED2"/>
    <w:rsid w:val="00C76259"/>
    <w:rsid w:val="00C7648E"/>
    <w:rsid w:val="00C7761D"/>
    <w:rsid w:val="00C776DE"/>
    <w:rsid w:val="00C77AF8"/>
    <w:rsid w:val="00C77C41"/>
    <w:rsid w:val="00C77E2D"/>
    <w:rsid w:val="00C8012B"/>
    <w:rsid w:val="00C805BB"/>
    <w:rsid w:val="00C80EF5"/>
    <w:rsid w:val="00C81D3F"/>
    <w:rsid w:val="00C81DA4"/>
    <w:rsid w:val="00C82028"/>
    <w:rsid w:val="00C8212F"/>
    <w:rsid w:val="00C8288B"/>
    <w:rsid w:val="00C82F2E"/>
    <w:rsid w:val="00C83EF0"/>
    <w:rsid w:val="00C84289"/>
    <w:rsid w:val="00C84E50"/>
    <w:rsid w:val="00C852F0"/>
    <w:rsid w:val="00C85558"/>
    <w:rsid w:val="00C857CE"/>
    <w:rsid w:val="00C86095"/>
    <w:rsid w:val="00C86349"/>
    <w:rsid w:val="00C864E7"/>
    <w:rsid w:val="00C87052"/>
    <w:rsid w:val="00C87456"/>
    <w:rsid w:val="00C87557"/>
    <w:rsid w:val="00C87BB4"/>
    <w:rsid w:val="00C900EA"/>
    <w:rsid w:val="00C90613"/>
    <w:rsid w:val="00C90EBF"/>
    <w:rsid w:val="00C913E1"/>
    <w:rsid w:val="00C91D7F"/>
    <w:rsid w:val="00C920F4"/>
    <w:rsid w:val="00C9391F"/>
    <w:rsid w:val="00C93AC5"/>
    <w:rsid w:val="00C93D5C"/>
    <w:rsid w:val="00C9401E"/>
    <w:rsid w:val="00C945A7"/>
    <w:rsid w:val="00C9481E"/>
    <w:rsid w:val="00C94AA4"/>
    <w:rsid w:val="00C94BC0"/>
    <w:rsid w:val="00C94E09"/>
    <w:rsid w:val="00C950EC"/>
    <w:rsid w:val="00C95649"/>
    <w:rsid w:val="00C95869"/>
    <w:rsid w:val="00C95D91"/>
    <w:rsid w:val="00C95F41"/>
    <w:rsid w:val="00C961C0"/>
    <w:rsid w:val="00C961FC"/>
    <w:rsid w:val="00C96A02"/>
    <w:rsid w:val="00C96D42"/>
    <w:rsid w:val="00C97F89"/>
    <w:rsid w:val="00CA03C3"/>
    <w:rsid w:val="00CA17C2"/>
    <w:rsid w:val="00CA1902"/>
    <w:rsid w:val="00CA1C55"/>
    <w:rsid w:val="00CA20FF"/>
    <w:rsid w:val="00CA233B"/>
    <w:rsid w:val="00CA2469"/>
    <w:rsid w:val="00CA249D"/>
    <w:rsid w:val="00CA258A"/>
    <w:rsid w:val="00CA272A"/>
    <w:rsid w:val="00CA2845"/>
    <w:rsid w:val="00CA3537"/>
    <w:rsid w:val="00CA37AF"/>
    <w:rsid w:val="00CA4010"/>
    <w:rsid w:val="00CA42BF"/>
    <w:rsid w:val="00CA4721"/>
    <w:rsid w:val="00CA4E7E"/>
    <w:rsid w:val="00CA512C"/>
    <w:rsid w:val="00CA594B"/>
    <w:rsid w:val="00CA5A81"/>
    <w:rsid w:val="00CA5BFF"/>
    <w:rsid w:val="00CA5E95"/>
    <w:rsid w:val="00CA6DAC"/>
    <w:rsid w:val="00CA6ED1"/>
    <w:rsid w:val="00CA6EDF"/>
    <w:rsid w:val="00CA775F"/>
    <w:rsid w:val="00CA7C85"/>
    <w:rsid w:val="00CB0BD9"/>
    <w:rsid w:val="00CB19BC"/>
    <w:rsid w:val="00CB1E43"/>
    <w:rsid w:val="00CB2072"/>
    <w:rsid w:val="00CB2729"/>
    <w:rsid w:val="00CB3598"/>
    <w:rsid w:val="00CB37C7"/>
    <w:rsid w:val="00CB3ECC"/>
    <w:rsid w:val="00CB3F98"/>
    <w:rsid w:val="00CB4193"/>
    <w:rsid w:val="00CB43ED"/>
    <w:rsid w:val="00CB4AD0"/>
    <w:rsid w:val="00CB4B22"/>
    <w:rsid w:val="00CB5504"/>
    <w:rsid w:val="00CB5532"/>
    <w:rsid w:val="00CB5BE2"/>
    <w:rsid w:val="00CB5E56"/>
    <w:rsid w:val="00CB5E67"/>
    <w:rsid w:val="00CB67C4"/>
    <w:rsid w:val="00CB6B9A"/>
    <w:rsid w:val="00CB6BA5"/>
    <w:rsid w:val="00CB70CF"/>
    <w:rsid w:val="00CB7106"/>
    <w:rsid w:val="00CB7BF7"/>
    <w:rsid w:val="00CB7F17"/>
    <w:rsid w:val="00CC0197"/>
    <w:rsid w:val="00CC019E"/>
    <w:rsid w:val="00CC0580"/>
    <w:rsid w:val="00CC0656"/>
    <w:rsid w:val="00CC0F0D"/>
    <w:rsid w:val="00CC0F59"/>
    <w:rsid w:val="00CC1D5C"/>
    <w:rsid w:val="00CC1EDC"/>
    <w:rsid w:val="00CC1F4E"/>
    <w:rsid w:val="00CC21C4"/>
    <w:rsid w:val="00CC2376"/>
    <w:rsid w:val="00CC2703"/>
    <w:rsid w:val="00CC2E2F"/>
    <w:rsid w:val="00CC318F"/>
    <w:rsid w:val="00CC3627"/>
    <w:rsid w:val="00CC40BA"/>
    <w:rsid w:val="00CC47B1"/>
    <w:rsid w:val="00CC4967"/>
    <w:rsid w:val="00CC5030"/>
    <w:rsid w:val="00CC594E"/>
    <w:rsid w:val="00CC596D"/>
    <w:rsid w:val="00CC5E6A"/>
    <w:rsid w:val="00CC6851"/>
    <w:rsid w:val="00CC70A1"/>
    <w:rsid w:val="00CC7137"/>
    <w:rsid w:val="00CC7151"/>
    <w:rsid w:val="00CC7AF7"/>
    <w:rsid w:val="00CD026B"/>
    <w:rsid w:val="00CD0642"/>
    <w:rsid w:val="00CD08A7"/>
    <w:rsid w:val="00CD0DEF"/>
    <w:rsid w:val="00CD1085"/>
    <w:rsid w:val="00CD1A7D"/>
    <w:rsid w:val="00CD1F68"/>
    <w:rsid w:val="00CD2479"/>
    <w:rsid w:val="00CD274A"/>
    <w:rsid w:val="00CD2AFD"/>
    <w:rsid w:val="00CD2DC7"/>
    <w:rsid w:val="00CD306A"/>
    <w:rsid w:val="00CD33EF"/>
    <w:rsid w:val="00CD3CA1"/>
    <w:rsid w:val="00CD41AB"/>
    <w:rsid w:val="00CD46A5"/>
    <w:rsid w:val="00CD478E"/>
    <w:rsid w:val="00CD47B9"/>
    <w:rsid w:val="00CD4857"/>
    <w:rsid w:val="00CD49C3"/>
    <w:rsid w:val="00CD5240"/>
    <w:rsid w:val="00CD5799"/>
    <w:rsid w:val="00CD5813"/>
    <w:rsid w:val="00CD5A51"/>
    <w:rsid w:val="00CD628A"/>
    <w:rsid w:val="00CD632A"/>
    <w:rsid w:val="00CD6497"/>
    <w:rsid w:val="00CD64E8"/>
    <w:rsid w:val="00CD64EE"/>
    <w:rsid w:val="00CD654F"/>
    <w:rsid w:val="00CD686A"/>
    <w:rsid w:val="00CD6D90"/>
    <w:rsid w:val="00CD7087"/>
    <w:rsid w:val="00CD73C1"/>
    <w:rsid w:val="00CD7645"/>
    <w:rsid w:val="00CD7941"/>
    <w:rsid w:val="00CD7BF2"/>
    <w:rsid w:val="00CE02B2"/>
    <w:rsid w:val="00CE02D7"/>
    <w:rsid w:val="00CE12A5"/>
    <w:rsid w:val="00CE1653"/>
    <w:rsid w:val="00CE18B0"/>
    <w:rsid w:val="00CE1C24"/>
    <w:rsid w:val="00CE2063"/>
    <w:rsid w:val="00CE24B4"/>
    <w:rsid w:val="00CE3435"/>
    <w:rsid w:val="00CE354F"/>
    <w:rsid w:val="00CE372A"/>
    <w:rsid w:val="00CE393E"/>
    <w:rsid w:val="00CE3F9F"/>
    <w:rsid w:val="00CE3FC0"/>
    <w:rsid w:val="00CE41FE"/>
    <w:rsid w:val="00CE48BA"/>
    <w:rsid w:val="00CE4C7D"/>
    <w:rsid w:val="00CE57E7"/>
    <w:rsid w:val="00CE5AB4"/>
    <w:rsid w:val="00CE6267"/>
    <w:rsid w:val="00CE66B6"/>
    <w:rsid w:val="00CE693E"/>
    <w:rsid w:val="00CE69F2"/>
    <w:rsid w:val="00CE7F6E"/>
    <w:rsid w:val="00CF0946"/>
    <w:rsid w:val="00CF0E0F"/>
    <w:rsid w:val="00CF0F2C"/>
    <w:rsid w:val="00CF145D"/>
    <w:rsid w:val="00CF15B4"/>
    <w:rsid w:val="00CF188B"/>
    <w:rsid w:val="00CF195A"/>
    <w:rsid w:val="00CF236D"/>
    <w:rsid w:val="00CF2A46"/>
    <w:rsid w:val="00CF2C60"/>
    <w:rsid w:val="00CF2F02"/>
    <w:rsid w:val="00CF30BA"/>
    <w:rsid w:val="00CF33DF"/>
    <w:rsid w:val="00CF37B5"/>
    <w:rsid w:val="00CF387A"/>
    <w:rsid w:val="00CF3908"/>
    <w:rsid w:val="00CF3F4B"/>
    <w:rsid w:val="00CF412B"/>
    <w:rsid w:val="00CF4130"/>
    <w:rsid w:val="00CF4223"/>
    <w:rsid w:val="00CF44B3"/>
    <w:rsid w:val="00CF4F13"/>
    <w:rsid w:val="00CF531B"/>
    <w:rsid w:val="00CF6128"/>
    <w:rsid w:val="00CF6150"/>
    <w:rsid w:val="00CF6557"/>
    <w:rsid w:val="00CF681D"/>
    <w:rsid w:val="00CF68B4"/>
    <w:rsid w:val="00CF6A0D"/>
    <w:rsid w:val="00CF6A22"/>
    <w:rsid w:val="00CF6ACB"/>
    <w:rsid w:val="00CF739C"/>
    <w:rsid w:val="00CF7DB6"/>
    <w:rsid w:val="00CF7F50"/>
    <w:rsid w:val="00D001FB"/>
    <w:rsid w:val="00D002AF"/>
    <w:rsid w:val="00D008DD"/>
    <w:rsid w:val="00D0289F"/>
    <w:rsid w:val="00D03736"/>
    <w:rsid w:val="00D038A9"/>
    <w:rsid w:val="00D03BBE"/>
    <w:rsid w:val="00D03D03"/>
    <w:rsid w:val="00D03D2B"/>
    <w:rsid w:val="00D0466B"/>
    <w:rsid w:val="00D04F99"/>
    <w:rsid w:val="00D05DFA"/>
    <w:rsid w:val="00D062C2"/>
    <w:rsid w:val="00D06990"/>
    <w:rsid w:val="00D06BD5"/>
    <w:rsid w:val="00D075ED"/>
    <w:rsid w:val="00D076E0"/>
    <w:rsid w:val="00D103E9"/>
    <w:rsid w:val="00D1065D"/>
    <w:rsid w:val="00D11307"/>
    <w:rsid w:val="00D11319"/>
    <w:rsid w:val="00D1135C"/>
    <w:rsid w:val="00D11488"/>
    <w:rsid w:val="00D1296E"/>
    <w:rsid w:val="00D1351F"/>
    <w:rsid w:val="00D13C50"/>
    <w:rsid w:val="00D14499"/>
    <w:rsid w:val="00D14C27"/>
    <w:rsid w:val="00D14EFF"/>
    <w:rsid w:val="00D15026"/>
    <w:rsid w:val="00D153A0"/>
    <w:rsid w:val="00D1542C"/>
    <w:rsid w:val="00D15D60"/>
    <w:rsid w:val="00D15F1E"/>
    <w:rsid w:val="00D16237"/>
    <w:rsid w:val="00D1648C"/>
    <w:rsid w:val="00D17AF9"/>
    <w:rsid w:val="00D203E0"/>
    <w:rsid w:val="00D2066E"/>
    <w:rsid w:val="00D20960"/>
    <w:rsid w:val="00D20A83"/>
    <w:rsid w:val="00D20BBB"/>
    <w:rsid w:val="00D211F2"/>
    <w:rsid w:val="00D21248"/>
    <w:rsid w:val="00D21687"/>
    <w:rsid w:val="00D2215E"/>
    <w:rsid w:val="00D2221D"/>
    <w:rsid w:val="00D223B4"/>
    <w:rsid w:val="00D22C00"/>
    <w:rsid w:val="00D23075"/>
    <w:rsid w:val="00D23C5C"/>
    <w:rsid w:val="00D23DC0"/>
    <w:rsid w:val="00D2434D"/>
    <w:rsid w:val="00D246CA"/>
    <w:rsid w:val="00D24730"/>
    <w:rsid w:val="00D24C6D"/>
    <w:rsid w:val="00D24EF3"/>
    <w:rsid w:val="00D2525B"/>
    <w:rsid w:val="00D25548"/>
    <w:rsid w:val="00D25B51"/>
    <w:rsid w:val="00D25F4D"/>
    <w:rsid w:val="00D2607C"/>
    <w:rsid w:val="00D261C0"/>
    <w:rsid w:val="00D26327"/>
    <w:rsid w:val="00D26581"/>
    <w:rsid w:val="00D313DC"/>
    <w:rsid w:val="00D315C9"/>
    <w:rsid w:val="00D315F5"/>
    <w:rsid w:val="00D31A87"/>
    <w:rsid w:val="00D321F8"/>
    <w:rsid w:val="00D32341"/>
    <w:rsid w:val="00D3255E"/>
    <w:rsid w:val="00D32935"/>
    <w:rsid w:val="00D32BAF"/>
    <w:rsid w:val="00D33D64"/>
    <w:rsid w:val="00D34850"/>
    <w:rsid w:val="00D34CE7"/>
    <w:rsid w:val="00D3529F"/>
    <w:rsid w:val="00D3542E"/>
    <w:rsid w:val="00D35B0B"/>
    <w:rsid w:val="00D35C02"/>
    <w:rsid w:val="00D36193"/>
    <w:rsid w:val="00D3700D"/>
    <w:rsid w:val="00D37523"/>
    <w:rsid w:val="00D37F00"/>
    <w:rsid w:val="00D37F6B"/>
    <w:rsid w:val="00D40482"/>
    <w:rsid w:val="00D40668"/>
    <w:rsid w:val="00D411E2"/>
    <w:rsid w:val="00D41255"/>
    <w:rsid w:val="00D412EF"/>
    <w:rsid w:val="00D418EF"/>
    <w:rsid w:val="00D42611"/>
    <w:rsid w:val="00D426DD"/>
    <w:rsid w:val="00D4286A"/>
    <w:rsid w:val="00D42E3F"/>
    <w:rsid w:val="00D43456"/>
    <w:rsid w:val="00D43800"/>
    <w:rsid w:val="00D43E29"/>
    <w:rsid w:val="00D44157"/>
    <w:rsid w:val="00D4441C"/>
    <w:rsid w:val="00D449F7"/>
    <w:rsid w:val="00D4550C"/>
    <w:rsid w:val="00D45987"/>
    <w:rsid w:val="00D45AE4"/>
    <w:rsid w:val="00D45C47"/>
    <w:rsid w:val="00D45F81"/>
    <w:rsid w:val="00D47343"/>
    <w:rsid w:val="00D4740B"/>
    <w:rsid w:val="00D47935"/>
    <w:rsid w:val="00D47CDD"/>
    <w:rsid w:val="00D47FDF"/>
    <w:rsid w:val="00D50775"/>
    <w:rsid w:val="00D51B0A"/>
    <w:rsid w:val="00D51C92"/>
    <w:rsid w:val="00D51F26"/>
    <w:rsid w:val="00D53499"/>
    <w:rsid w:val="00D53995"/>
    <w:rsid w:val="00D53D44"/>
    <w:rsid w:val="00D54018"/>
    <w:rsid w:val="00D54265"/>
    <w:rsid w:val="00D5449A"/>
    <w:rsid w:val="00D546FD"/>
    <w:rsid w:val="00D54C70"/>
    <w:rsid w:val="00D54D27"/>
    <w:rsid w:val="00D54EEC"/>
    <w:rsid w:val="00D5555C"/>
    <w:rsid w:val="00D55607"/>
    <w:rsid w:val="00D55D08"/>
    <w:rsid w:val="00D55D9B"/>
    <w:rsid w:val="00D55E87"/>
    <w:rsid w:val="00D55F45"/>
    <w:rsid w:val="00D55FF7"/>
    <w:rsid w:val="00D564ED"/>
    <w:rsid w:val="00D569D5"/>
    <w:rsid w:val="00D569EC"/>
    <w:rsid w:val="00D57390"/>
    <w:rsid w:val="00D57EBC"/>
    <w:rsid w:val="00D57F24"/>
    <w:rsid w:val="00D60114"/>
    <w:rsid w:val="00D60141"/>
    <w:rsid w:val="00D6065B"/>
    <w:rsid w:val="00D609D7"/>
    <w:rsid w:val="00D61A81"/>
    <w:rsid w:val="00D61FB3"/>
    <w:rsid w:val="00D62220"/>
    <w:rsid w:val="00D626E2"/>
    <w:rsid w:val="00D626E5"/>
    <w:rsid w:val="00D62722"/>
    <w:rsid w:val="00D62F4A"/>
    <w:rsid w:val="00D6339F"/>
    <w:rsid w:val="00D63763"/>
    <w:rsid w:val="00D63949"/>
    <w:rsid w:val="00D63EE1"/>
    <w:rsid w:val="00D64554"/>
    <w:rsid w:val="00D64C17"/>
    <w:rsid w:val="00D64E97"/>
    <w:rsid w:val="00D64F37"/>
    <w:rsid w:val="00D65313"/>
    <w:rsid w:val="00D65D97"/>
    <w:rsid w:val="00D660E3"/>
    <w:rsid w:val="00D668DB"/>
    <w:rsid w:val="00D66E7D"/>
    <w:rsid w:val="00D674C0"/>
    <w:rsid w:val="00D674E9"/>
    <w:rsid w:val="00D6762A"/>
    <w:rsid w:val="00D67E73"/>
    <w:rsid w:val="00D70643"/>
    <w:rsid w:val="00D70E38"/>
    <w:rsid w:val="00D71321"/>
    <w:rsid w:val="00D7142E"/>
    <w:rsid w:val="00D71D1F"/>
    <w:rsid w:val="00D71EAA"/>
    <w:rsid w:val="00D721B1"/>
    <w:rsid w:val="00D7225B"/>
    <w:rsid w:val="00D72531"/>
    <w:rsid w:val="00D730B2"/>
    <w:rsid w:val="00D738AF"/>
    <w:rsid w:val="00D739D2"/>
    <w:rsid w:val="00D73C1A"/>
    <w:rsid w:val="00D73C4A"/>
    <w:rsid w:val="00D743AE"/>
    <w:rsid w:val="00D74607"/>
    <w:rsid w:val="00D747CE"/>
    <w:rsid w:val="00D7494B"/>
    <w:rsid w:val="00D74A8A"/>
    <w:rsid w:val="00D74E8F"/>
    <w:rsid w:val="00D75EAD"/>
    <w:rsid w:val="00D76206"/>
    <w:rsid w:val="00D76AFB"/>
    <w:rsid w:val="00D76FD3"/>
    <w:rsid w:val="00D770C4"/>
    <w:rsid w:val="00D77352"/>
    <w:rsid w:val="00D7765F"/>
    <w:rsid w:val="00D77723"/>
    <w:rsid w:val="00D80492"/>
    <w:rsid w:val="00D806DF"/>
    <w:rsid w:val="00D80852"/>
    <w:rsid w:val="00D80A89"/>
    <w:rsid w:val="00D80D90"/>
    <w:rsid w:val="00D80DD3"/>
    <w:rsid w:val="00D819D4"/>
    <w:rsid w:val="00D82147"/>
    <w:rsid w:val="00D824C1"/>
    <w:rsid w:val="00D825BE"/>
    <w:rsid w:val="00D8265D"/>
    <w:rsid w:val="00D826EE"/>
    <w:rsid w:val="00D82881"/>
    <w:rsid w:val="00D831A4"/>
    <w:rsid w:val="00D83BDA"/>
    <w:rsid w:val="00D83F75"/>
    <w:rsid w:val="00D84DC5"/>
    <w:rsid w:val="00D84EEA"/>
    <w:rsid w:val="00D852A1"/>
    <w:rsid w:val="00D85565"/>
    <w:rsid w:val="00D855DD"/>
    <w:rsid w:val="00D8582D"/>
    <w:rsid w:val="00D858E7"/>
    <w:rsid w:val="00D86117"/>
    <w:rsid w:val="00D86506"/>
    <w:rsid w:val="00D865A5"/>
    <w:rsid w:val="00D8662C"/>
    <w:rsid w:val="00D87195"/>
    <w:rsid w:val="00D87E4F"/>
    <w:rsid w:val="00D90170"/>
    <w:rsid w:val="00D9017B"/>
    <w:rsid w:val="00D90423"/>
    <w:rsid w:val="00D91308"/>
    <w:rsid w:val="00D917F4"/>
    <w:rsid w:val="00D9214A"/>
    <w:rsid w:val="00D92C6C"/>
    <w:rsid w:val="00D933C2"/>
    <w:rsid w:val="00D9418F"/>
    <w:rsid w:val="00D94C52"/>
    <w:rsid w:val="00D95745"/>
    <w:rsid w:val="00D95FFC"/>
    <w:rsid w:val="00D9638C"/>
    <w:rsid w:val="00D964D8"/>
    <w:rsid w:val="00D96C1A"/>
    <w:rsid w:val="00D973B4"/>
    <w:rsid w:val="00DA0BE2"/>
    <w:rsid w:val="00DA1BAF"/>
    <w:rsid w:val="00DA1EB8"/>
    <w:rsid w:val="00DA25F7"/>
    <w:rsid w:val="00DA265C"/>
    <w:rsid w:val="00DA274F"/>
    <w:rsid w:val="00DA2979"/>
    <w:rsid w:val="00DA2B79"/>
    <w:rsid w:val="00DA3218"/>
    <w:rsid w:val="00DA3886"/>
    <w:rsid w:val="00DA3C64"/>
    <w:rsid w:val="00DA42EE"/>
    <w:rsid w:val="00DA51EB"/>
    <w:rsid w:val="00DA56A3"/>
    <w:rsid w:val="00DA5CF5"/>
    <w:rsid w:val="00DA62F3"/>
    <w:rsid w:val="00DA64EF"/>
    <w:rsid w:val="00DA6840"/>
    <w:rsid w:val="00DA68D6"/>
    <w:rsid w:val="00DA6FEB"/>
    <w:rsid w:val="00DA7198"/>
    <w:rsid w:val="00DA71BA"/>
    <w:rsid w:val="00DA7605"/>
    <w:rsid w:val="00DB0208"/>
    <w:rsid w:val="00DB0402"/>
    <w:rsid w:val="00DB0C45"/>
    <w:rsid w:val="00DB0D83"/>
    <w:rsid w:val="00DB0EB2"/>
    <w:rsid w:val="00DB1A3F"/>
    <w:rsid w:val="00DB1A65"/>
    <w:rsid w:val="00DB1FD7"/>
    <w:rsid w:val="00DB231E"/>
    <w:rsid w:val="00DB26A5"/>
    <w:rsid w:val="00DB3055"/>
    <w:rsid w:val="00DB34BB"/>
    <w:rsid w:val="00DB38FB"/>
    <w:rsid w:val="00DB40CC"/>
    <w:rsid w:val="00DB5BA8"/>
    <w:rsid w:val="00DB5C80"/>
    <w:rsid w:val="00DB5D8D"/>
    <w:rsid w:val="00DB5F0C"/>
    <w:rsid w:val="00DB5FBC"/>
    <w:rsid w:val="00DB603D"/>
    <w:rsid w:val="00DB6B25"/>
    <w:rsid w:val="00DB6BB3"/>
    <w:rsid w:val="00DB6D64"/>
    <w:rsid w:val="00DB7554"/>
    <w:rsid w:val="00DC07CA"/>
    <w:rsid w:val="00DC07E5"/>
    <w:rsid w:val="00DC0A7C"/>
    <w:rsid w:val="00DC0EC4"/>
    <w:rsid w:val="00DC19A4"/>
    <w:rsid w:val="00DC19FF"/>
    <w:rsid w:val="00DC1A1E"/>
    <w:rsid w:val="00DC1B8A"/>
    <w:rsid w:val="00DC1BB2"/>
    <w:rsid w:val="00DC28DB"/>
    <w:rsid w:val="00DC2930"/>
    <w:rsid w:val="00DC2A41"/>
    <w:rsid w:val="00DC2E30"/>
    <w:rsid w:val="00DC3406"/>
    <w:rsid w:val="00DC3478"/>
    <w:rsid w:val="00DC3507"/>
    <w:rsid w:val="00DC3544"/>
    <w:rsid w:val="00DC36B3"/>
    <w:rsid w:val="00DC3961"/>
    <w:rsid w:val="00DC3D70"/>
    <w:rsid w:val="00DC4C6C"/>
    <w:rsid w:val="00DC4D63"/>
    <w:rsid w:val="00DC4DBA"/>
    <w:rsid w:val="00DC55EB"/>
    <w:rsid w:val="00DC5705"/>
    <w:rsid w:val="00DC58CD"/>
    <w:rsid w:val="00DC6095"/>
    <w:rsid w:val="00DC66BA"/>
    <w:rsid w:val="00DC6758"/>
    <w:rsid w:val="00DC6DE3"/>
    <w:rsid w:val="00DC6F75"/>
    <w:rsid w:val="00DC7365"/>
    <w:rsid w:val="00DD0164"/>
    <w:rsid w:val="00DD0345"/>
    <w:rsid w:val="00DD08C8"/>
    <w:rsid w:val="00DD152B"/>
    <w:rsid w:val="00DD1717"/>
    <w:rsid w:val="00DD1732"/>
    <w:rsid w:val="00DD188F"/>
    <w:rsid w:val="00DD296D"/>
    <w:rsid w:val="00DD2AF5"/>
    <w:rsid w:val="00DD2CF2"/>
    <w:rsid w:val="00DD36A2"/>
    <w:rsid w:val="00DD37B2"/>
    <w:rsid w:val="00DD394D"/>
    <w:rsid w:val="00DD43CB"/>
    <w:rsid w:val="00DD43ED"/>
    <w:rsid w:val="00DD44D3"/>
    <w:rsid w:val="00DD479B"/>
    <w:rsid w:val="00DD47A3"/>
    <w:rsid w:val="00DD480D"/>
    <w:rsid w:val="00DD4C7A"/>
    <w:rsid w:val="00DD549E"/>
    <w:rsid w:val="00DD55B1"/>
    <w:rsid w:val="00DD602F"/>
    <w:rsid w:val="00DD707C"/>
    <w:rsid w:val="00DD7241"/>
    <w:rsid w:val="00DD7621"/>
    <w:rsid w:val="00DD781F"/>
    <w:rsid w:val="00DE0290"/>
    <w:rsid w:val="00DE0780"/>
    <w:rsid w:val="00DE0810"/>
    <w:rsid w:val="00DE1310"/>
    <w:rsid w:val="00DE1486"/>
    <w:rsid w:val="00DE170E"/>
    <w:rsid w:val="00DE1CDF"/>
    <w:rsid w:val="00DE2003"/>
    <w:rsid w:val="00DE37A6"/>
    <w:rsid w:val="00DE5BEA"/>
    <w:rsid w:val="00DE5CF2"/>
    <w:rsid w:val="00DE5D28"/>
    <w:rsid w:val="00DE5FDF"/>
    <w:rsid w:val="00DE62A0"/>
    <w:rsid w:val="00DE71C1"/>
    <w:rsid w:val="00DE7BAD"/>
    <w:rsid w:val="00DE7D8E"/>
    <w:rsid w:val="00DF074D"/>
    <w:rsid w:val="00DF08AB"/>
    <w:rsid w:val="00DF095C"/>
    <w:rsid w:val="00DF0A14"/>
    <w:rsid w:val="00DF0BA1"/>
    <w:rsid w:val="00DF0E3E"/>
    <w:rsid w:val="00DF0EE1"/>
    <w:rsid w:val="00DF168F"/>
    <w:rsid w:val="00DF1C2E"/>
    <w:rsid w:val="00DF2172"/>
    <w:rsid w:val="00DF2BA6"/>
    <w:rsid w:val="00DF2BC6"/>
    <w:rsid w:val="00DF2CAF"/>
    <w:rsid w:val="00DF3A30"/>
    <w:rsid w:val="00DF3A86"/>
    <w:rsid w:val="00DF3D35"/>
    <w:rsid w:val="00DF3EF9"/>
    <w:rsid w:val="00DF437D"/>
    <w:rsid w:val="00DF51CC"/>
    <w:rsid w:val="00DF529E"/>
    <w:rsid w:val="00DF598C"/>
    <w:rsid w:val="00DF5D46"/>
    <w:rsid w:val="00DF606A"/>
    <w:rsid w:val="00DF6785"/>
    <w:rsid w:val="00DF67A4"/>
    <w:rsid w:val="00DF680F"/>
    <w:rsid w:val="00DF6946"/>
    <w:rsid w:val="00DF6FD8"/>
    <w:rsid w:val="00DF73B0"/>
    <w:rsid w:val="00DF7EF7"/>
    <w:rsid w:val="00E0018B"/>
    <w:rsid w:val="00E001E4"/>
    <w:rsid w:val="00E00CA4"/>
    <w:rsid w:val="00E00F6B"/>
    <w:rsid w:val="00E01055"/>
    <w:rsid w:val="00E02109"/>
    <w:rsid w:val="00E0214C"/>
    <w:rsid w:val="00E02524"/>
    <w:rsid w:val="00E026F2"/>
    <w:rsid w:val="00E03095"/>
    <w:rsid w:val="00E030BF"/>
    <w:rsid w:val="00E032B1"/>
    <w:rsid w:val="00E032B2"/>
    <w:rsid w:val="00E03328"/>
    <w:rsid w:val="00E033D1"/>
    <w:rsid w:val="00E03F06"/>
    <w:rsid w:val="00E058A7"/>
    <w:rsid w:val="00E0590A"/>
    <w:rsid w:val="00E05B2D"/>
    <w:rsid w:val="00E05B7F"/>
    <w:rsid w:val="00E05C26"/>
    <w:rsid w:val="00E05CF5"/>
    <w:rsid w:val="00E06574"/>
    <w:rsid w:val="00E06CB7"/>
    <w:rsid w:val="00E06E64"/>
    <w:rsid w:val="00E072B4"/>
    <w:rsid w:val="00E101E9"/>
    <w:rsid w:val="00E10226"/>
    <w:rsid w:val="00E1022F"/>
    <w:rsid w:val="00E107C6"/>
    <w:rsid w:val="00E10975"/>
    <w:rsid w:val="00E10B51"/>
    <w:rsid w:val="00E10C81"/>
    <w:rsid w:val="00E10E74"/>
    <w:rsid w:val="00E11200"/>
    <w:rsid w:val="00E1130D"/>
    <w:rsid w:val="00E1143B"/>
    <w:rsid w:val="00E117C3"/>
    <w:rsid w:val="00E12512"/>
    <w:rsid w:val="00E12726"/>
    <w:rsid w:val="00E12A18"/>
    <w:rsid w:val="00E12A73"/>
    <w:rsid w:val="00E1336A"/>
    <w:rsid w:val="00E13676"/>
    <w:rsid w:val="00E139CA"/>
    <w:rsid w:val="00E13FB4"/>
    <w:rsid w:val="00E1407A"/>
    <w:rsid w:val="00E1416A"/>
    <w:rsid w:val="00E14260"/>
    <w:rsid w:val="00E14DBB"/>
    <w:rsid w:val="00E14DFB"/>
    <w:rsid w:val="00E14F1D"/>
    <w:rsid w:val="00E15129"/>
    <w:rsid w:val="00E155E9"/>
    <w:rsid w:val="00E15B44"/>
    <w:rsid w:val="00E1672F"/>
    <w:rsid w:val="00E173C9"/>
    <w:rsid w:val="00E17BFF"/>
    <w:rsid w:val="00E206B0"/>
    <w:rsid w:val="00E2070C"/>
    <w:rsid w:val="00E20C28"/>
    <w:rsid w:val="00E20DB2"/>
    <w:rsid w:val="00E2141C"/>
    <w:rsid w:val="00E21839"/>
    <w:rsid w:val="00E21BCE"/>
    <w:rsid w:val="00E220CD"/>
    <w:rsid w:val="00E22575"/>
    <w:rsid w:val="00E2271F"/>
    <w:rsid w:val="00E22994"/>
    <w:rsid w:val="00E2377B"/>
    <w:rsid w:val="00E24198"/>
    <w:rsid w:val="00E2482A"/>
    <w:rsid w:val="00E24A25"/>
    <w:rsid w:val="00E24F4C"/>
    <w:rsid w:val="00E251A6"/>
    <w:rsid w:val="00E2581F"/>
    <w:rsid w:val="00E2588A"/>
    <w:rsid w:val="00E25ADA"/>
    <w:rsid w:val="00E25C36"/>
    <w:rsid w:val="00E26346"/>
    <w:rsid w:val="00E263FF"/>
    <w:rsid w:val="00E26A0A"/>
    <w:rsid w:val="00E30097"/>
    <w:rsid w:val="00E30305"/>
    <w:rsid w:val="00E30A15"/>
    <w:rsid w:val="00E30B79"/>
    <w:rsid w:val="00E30CCC"/>
    <w:rsid w:val="00E30EC3"/>
    <w:rsid w:val="00E30FC2"/>
    <w:rsid w:val="00E311CD"/>
    <w:rsid w:val="00E31C3D"/>
    <w:rsid w:val="00E32C8B"/>
    <w:rsid w:val="00E333B6"/>
    <w:rsid w:val="00E334BB"/>
    <w:rsid w:val="00E3384A"/>
    <w:rsid w:val="00E33A24"/>
    <w:rsid w:val="00E33A34"/>
    <w:rsid w:val="00E33BB3"/>
    <w:rsid w:val="00E34562"/>
    <w:rsid w:val="00E34654"/>
    <w:rsid w:val="00E3483B"/>
    <w:rsid w:val="00E34B6C"/>
    <w:rsid w:val="00E34D90"/>
    <w:rsid w:val="00E34DD7"/>
    <w:rsid w:val="00E34E4A"/>
    <w:rsid w:val="00E35EA2"/>
    <w:rsid w:val="00E36240"/>
    <w:rsid w:val="00E36295"/>
    <w:rsid w:val="00E362BA"/>
    <w:rsid w:val="00E36349"/>
    <w:rsid w:val="00E36684"/>
    <w:rsid w:val="00E36AB3"/>
    <w:rsid w:val="00E36F72"/>
    <w:rsid w:val="00E37898"/>
    <w:rsid w:val="00E37940"/>
    <w:rsid w:val="00E37A2E"/>
    <w:rsid w:val="00E40CFE"/>
    <w:rsid w:val="00E41015"/>
    <w:rsid w:val="00E412C7"/>
    <w:rsid w:val="00E414B6"/>
    <w:rsid w:val="00E414FD"/>
    <w:rsid w:val="00E4164E"/>
    <w:rsid w:val="00E41BE3"/>
    <w:rsid w:val="00E41E36"/>
    <w:rsid w:val="00E42028"/>
    <w:rsid w:val="00E42457"/>
    <w:rsid w:val="00E42A11"/>
    <w:rsid w:val="00E43127"/>
    <w:rsid w:val="00E433AF"/>
    <w:rsid w:val="00E4364D"/>
    <w:rsid w:val="00E439CF"/>
    <w:rsid w:val="00E43C6D"/>
    <w:rsid w:val="00E446AF"/>
    <w:rsid w:val="00E4555C"/>
    <w:rsid w:val="00E4583D"/>
    <w:rsid w:val="00E458E1"/>
    <w:rsid w:val="00E4605C"/>
    <w:rsid w:val="00E460D7"/>
    <w:rsid w:val="00E46466"/>
    <w:rsid w:val="00E467C5"/>
    <w:rsid w:val="00E47149"/>
    <w:rsid w:val="00E471E9"/>
    <w:rsid w:val="00E4724A"/>
    <w:rsid w:val="00E47532"/>
    <w:rsid w:val="00E47563"/>
    <w:rsid w:val="00E50462"/>
    <w:rsid w:val="00E506A9"/>
    <w:rsid w:val="00E506DE"/>
    <w:rsid w:val="00E50725"/>
    <w:rsid w:val="00E50868"/>
    <w:rsid w:val="00E5089E"/>
    <w:rsid w:val="00E51451"/>
    <w:rsid w:val="00E52E35"/>
    <w:rsid w:val="00E535AD"/>
    <w:rsid w:val="00E53AFF"/>
    <w:rsid w:val="00E53D26"/>
    <w:rsid w:val="00E540E4"/>
    <w:rsid w:val="00E544E5"/>
    <w:rsid w:val="00E545FA"/>
    <w:rsid w:val="00E54ACF"/>
    <w:rsid w:val="00E54D15"/>
    <w:rsid w:val="00E5539D"/>
    <w:rsid w:val="00E554D1"/>
    <w:rsid w:val="00E555D7"/>
    <w:rsid w:val="00E55FAD"/>
    <w:rsid w:val="00E561A8"/>
    <w:rsid w:val="00E561C5"/>
    <w:rsid w:val="00E5713A"/>
    <w:rsid w:val="00E57230"/>
    <w:rsid w:val="00E577B5"/>
    <w:rsid w:val="00E602E4"/>
    <w:rsid w:val="00E60377"/>
    <w:rsid w:val="00E60ADE"/>
    <w:rsid w:val="00E60EB8"/>
    <w:rsid w:val="00E61125"/>
    <w:rsid w:val="00E619BC"/>
    <w:rsid w:val="00E61A20"/>
    <w:rsid w:val="00E62186"/>
    <w:rsid w:val="00E626A8"/>
    <w:rsid w:val="00E6276E"/>
    <w:rsid w:val="00E627B6"/>
    <w:rsid w:val="00E62CAF"/>
    <w:rsid w:val="00E62F52"/>
    <w:rsid w:val="00E6334B"/>
    <w:rsid w:val="00E639E6"/>
    <w:rsid w:val="00E63A45"/>
    <w:rsid w:val="00E63B3A"/>
    <w:rsid w:val="00E645D6"/>
    <w:rsid w:val="00E64D00"/>
    <w:rsid w:val="00E65C98"/>
    <w:rsid w:val="00E6614E"/>
    <w:rsid w:val="00E6631B"/>
    <w:rsid w:val="00E6662A"/>
    <w:rsid w:val="00E66AF1"/>
    <w:rsid w:val="00E66FC2"/>
    <w:rsid w:val="00E67630"/>
    <w:rsid w:val="00E67673"/>
    <w:rsid w:val="00E679DE"/>
    <w:rsid w:val="00E67B06"/>
    <w:rsid w:val="00E70405"/>
    <w:rsid w:val="00E70686"/>
    <w:rsid w:val="00E706C4"/>
    <w:rsid w:val="00E70A0F"/>
    <w:rsid w:val="00E70C39"/>
    <w:rsid w:val="00E70CC2"/>
    <w:rsid w:val="00E7142E"/>
    <w:rsid w:val="00E71AEF"/>
    <w:rsid w:val="00E71DF8"/>
    <w:rsid w:val="00E71FBF"/>
    <w:rsid w:val="00E72CE3"/>
    <w:rsid w:val="00E72FF1"/>
    <w:rsid w:val="00E73AFC"/>
    <w:rsid w:val="00E742A9"/>
    <w:rsid w:val="00E74373"/>
    <w:rsid w:val="00E74DAD"/>
    <w:rsid w:val="00E7568B"/>
    <w:rsid w:val="00E763C8"/>
    <w:rsid w:val="00E769AA"/>
    <w:rsid w:val="00E772E1"/>
    <w:rsid w:val="00E77891"/>
    <w:rsid w:val="00E77B1B"/>
    <w:rsid w:val="00E77CE5"/>
    <w:rsid w:val="00E80A85"/>
    <w:rsid w:val="00E8147A"/>
    <w:rsid w:val="00E814A2"/>
    <w:rsid w:val="00E8196F"/>
    <w:rsid w:val="00E81B18"/>
    <w:rsid w:val="00E81DE0"/>
    <w:rsid w:val="00E822DC"/>
    <w:rsid w:val="00E823C8"/>
    <w:rsid w:val="00E823F4"/>
    <w:rsid w:val="00E82DDC"/>
    <w:rsid w:val="00E82F72"/>
    <w:rsid w:val="00E838F0"/>
    <w:rsid w:val="00E83C61"/>
    <w:rsid w:val="00E83E5D"/>
    <w:rsid w:val="00E840B4"/>
    <w:rsid w:val="00E84519"/>
    <w:rsid w:val="00E84879"/>
    <w:rsid w:val="00E8506F"/>
    <w:rsid w:val="00E85912"/>
    <w:rsid w:val="00E85D8F"/>
    <w:rsid w:val="00E8722C"/>
    <w:rsid w:val="00E8756F"/>
    <w:rsid w:val="00E876B4"/>
    <w:rsid w:val="00E877E7"/>
    <w:rsid w:val="00E91F22"/>
    <w:rsid w:val="00E91F75"/>
    <w:rsid w:val="00E925DC"/>
    <w:rsid w:val="00E9289D"/>
    <w:rsid w:val="00E9340C"/>
    <w:rsid w:val="00E93652"/>
    <w:rsid w:val="00E93C4A"/>
    <w:rsid w:val="00E93DEA"/>
    <w:rsid w:val="00E94202"/>
    <w:rsid w:val="00E9432F"/>
    <w:rsid w:val="00E944B8"/>
    <w:rsid w:val="00E9513C"/>
    <w:rsid w:val="00E95BB6"/>
    <w:rsid w:val="00E95C7E"/>
    <w:rsid w:val="00E95FB9"/>
    <w:rsid w:val="00E9643F"/>
    <w:rsid w:val="00E965C4"/>
    <w:rsid w:val="00E967C7"/>
    <w:rsid w:val="00E96BFB"/>
    <w:rsid w:val="00E96CC9"/>
    <w:rsid w:val="00E971BC"/>
    <w:rsid w:val="00E97ECF"/>
    <w:rsid w:val="00E97FF1"/>
    <w:rsid w:val="00EA12E2"/>
    <w:rsid w:val="00EA1AB9"/>
    <w:rsid w:val="00EA1C33"/>
    <w:rsid w:val="00EA247F"/>
    <w:rsid w:val="00EA2DEF"/>
    <w:rsid w:val="00EA2E30"/>
    <w:rsid w:val="00EA2E9A"/>
    <w:rsid w:val="00EA431F"/>
    <w:rsid w:val="00EA4429"/>
    <w:rsid w:val="00EA4496"/>
    <w:rsid w:val="00EA48DF"/>
    <w:rsid w:val="00EA4BA7"/>
    <w:rsid w:val="00EA4DF8"/>
    <w:rsid w:val="00EA54F3"/>
    <w:rsid w:val="00EA5C52"/>
    <w:rsid w:val="00EA6167"/>
    <w:rsid w:val="00EA6CAC"/>
    <w:rsid w:val="00EA73D7"/>
    <w:rsid w:val="00EA7C74"/>
    <w:rsid w:val="00EA7CF4"/>
    <w:rsid w:val="00EA7E5F"/>
    <w:rsid w:val="00EB0187"/>
    <w:rsid w:val="00EB046A"/>
    <w:rsid w:val="00EB06B3"/>
    <w:rsid w:val="00EB1031"/>
    <w:rsid w:val="00EB138C"/>
    <w:rsid w:val="00EB165E"/>
    <w:rsid w:val="00EB1CD0"/>
    <w:rsid w:val="00EB2023"/>
    <w:rsid w:val="00EB246E"/>
    <w:rsid w:val="00EB24DE"/>
    <w:rsid w:val="00EB2791"/>
    <w:rsid w:val="00EB27DA"/>
    <w:rsid w:val="00EB2FDE"/>
    <w:rsid w:val="00EB427B"/>
    <w:rsid w:val="00EB449B"/>
    <w:rsid w:val="00EB4819"/>
    <w:rsid w:val="00EB52FF"/>
    <w:rsid w:val="00EB5452"/>
    <w:rsid w:val="00EB545D"/>
    <w:rsid w:val="00EB5B8D"/>
    <w:rsid w:val="00EB5BB1"/>
    <w:rsid w:val="00EB622B"/>
    <w:rsid w:val="00EB6299"/>
    <w:rsid w:val="00EB6F4A"/>
    <w:rsid w:val="00EB749A"/>
    <w:rsid w:val="00EB7E97"/>
    <w:rsid w:val="00EC08B3"/>
    <w:rsid w:val="00EC0A2D"/>
    <w:rsid w:val="00EC0A7E"/>
    <w:rsid w:val="00EC0F23"/>
    <w:rsid w:val="00EC21F9"/>
    <w:rsid w:val="00EC23BF"/>
    <w:rsid w:val="00EC277D"/>
    <w:rsid w:val="00EC2922"/>
    <w:rsid w:val="00EC2A65"/>
    <w:rsid w:val="00EC2C77"/>
    <w:rsid w:val="00EC2D54"/>
    <w:rsid w:val="00EC2FB7"/>
    <w:rsid w:val="00EC364C"/>
    <w:rsid w:val="00EC38D5"/>
    <w:rsid w:val="00EC42AF"/>
    <w:rsid w:val="00EC4679"/>
    <w:rsid w:val="00EC473A"/>
    <w:rsid w:val="00EC4B40"/>
    <w:rsid w:val="00EC4F3A"/>
    <w:rsid w:val="00EC521D"/>
    <w:rsid w:val="00EC52D2"/>
    <w:rsid w:val="00EC54F2"/>
    <w:rsid w:val="00EC5C39"/>
    <w:rsid w:val="00EC5CE6"/>
    <w:rsid w:val="00EC64D6"/>
    <w:rsid w:val="00EC6845"/>
    <w:rsid w:val="00EC689D"/>
    <w:rsid w:val="00EC7439"/>
    <w:rsid w:val="00EC7BDF"/>
    <w:rsid w:val="00EC7CD5"/>
    <w:rsid w:val="00EC7F89"/>
    <w:rsid w:val="00ED08FB"/>
    <w:rsid w:val="00ED0A91"/>
    <w:rsid w:val="00ED0E23"/>
    <w:rsid w:val="00ED0E50"/>
    <w:rsid w:val="00ED0F25"/>
    <w:rsid w:val="00ED1522"/>
    <w:rsid w:val="00ED201F"/>
    <w:rsid w:val="00ED22F6"/>
    <w:rsid w:val="00ED2718"/>
    <w:rsid w:val="00ED2773"/>
    <w:rsid w:val="00ED2804"/>
    <w:rsid w:val="00ED2AF4"/>
    <w:rsid w:val="00ED2BA6"/>
    <w:rsid w:val="00ED3017"/>
    <w:rsid w:val="00ED3029"/>
    <w:rsid w:val="00ED32BC"/>
    <w:rsid w:val="00ED339C"/>
    <w:rsid w:val="00ED3555"/>
    <w:rsid w:val="00ED36CB"/>
    <w:rsid w:val="00ED398E"/>
    <w:rsid w:val="00ED3A2B"/>
    <w:rsid w:val="00ED3AEE"/>
    <w:rsid w:val="00ED3D1B"/>
    <w:rsid w:val="00ED3FAA"/>
    <w:rsid w:val="00ED4B42"/>
    <w:rsid w:val="00ED51B4"/>
    <w:rsid w:val="00ED6134"/>
    <w:rsid w:val="00ED61E0"/>
    <w:rsid w:val="00ED6953"/>
    <w:rsid w:val="00ED6D7E"/>
    <w:rsid w:val="00ED70AD"/>
    <w:rsid w:val="00ED72CC"/>
    <w:rsid w:val="00ED7857"/>
    <w:rsid w:val="00ED7B47"/>
    <w:rsid w:val="00ED7C1C"/>
    <w:rsid w:val="00EE0301"/>
    <w:rsid w:val="00EE0566"/>
    <w:rsid w:val="00EE0791"/>
    <w:rsid w:val="00EE0C30"/>
    <w:rsid w:val="00EE1559"/>
    <w:rsid w:val="00EE1A46"/>
    <w:rsid w:val="00EE1B4D"/>
    <w:rsid w:val="00EE1F41"/>
    <w:rsid w:val="00EE21B9"/>
    <w:rsid w:val="00EE2471"/>
    <w:rsid w:val="00EE283D"/>
    <w:rsid w:val="00EE35A2"/>
    <w:rsid w:val="00EE3627"/>
    <w:rsid w:val="00EE3E7E"/>
    <w:rsid w:val="00EE427D"/>
    <w:rsid w:val="00EE4A6E"/>
    <w:rsid w:val="00EE501B"/>
    <w:rsid w:val="00EE5401"/>
    <w:rsid w:val="00EE5C18"/>
    <w:rsid w:val="00EE5C78"/>
    <w:rsid w:val="00EE6E6D"/>
    <w:rsid w:val="00EE7084"/>
    <w:rsid w:val="00EE7396"/>
    <w:rsid w:val="00EE7428"/>
    <w:rsid w:val="00EE7440"/>
    <w:rsid w:val="00EE74FE"/>
    <w:rsid w:val="00EE7510"/>
    <w:rsid w:val="00EE7A3C"/>
    <w:rsid w:val="00EE7BA2"/>
    <w:rsid w:val="00EF0278"/>
    <w:rsid w:val="00EF0447"/>
    <w:rsid w:val="00EF046D"/>
    <w:rsid w:val="00EF055A"/>
    <w:rsid w:val="00EF0C0B"/>
    <w:rsid w:val="00EF13DE"/>
    <w:rsid w:val="00EF1A43"/>
    <w:rsid w:val="00EF1B2A"/>
    <w:rsid w:val="00EF1C70"/>
    <w:rsid w:val="00EF1C81"/>
    <w:rsid w:val="00EF1CF5"/>
    <w:rsid w:val="00EF2161"/>
    <w:rsid w:val="00EF22DE"/>
    <w:rsid w:val="00EF2B17"/>
    <w:rsid w:val="00EF2C0D"/>
    <w:rsid w:val="00EF3163"/>
    <w:rsid w:val="00EF3251"/>
    <w:rsid w:val="00EF37EF"/>
    <w:rsid w:val="00EF47B1"/>
    <w:rsid w:val="00EF5281"/>
    <w:rsid w:val="00EF57E4"/>
    <w:rsid w:val="00EF5E2F"/>
    <w:rsid w:val="00EF6294"/>
    <w:rsid w:val="00EF6510"/>
    <w:rsid w:val="00EF6BBF"/>
    <w:rsid w:val="00EF7AB1"/>
    <w:rsid w:val="00EF7FBD"/>
    <w:rsid w:val="00F00071"/>
    <w:rsid w:val="00F00CEC"/>
    <w:rsid w:val="00F01E6B"/>
    <w:rsid w:val="00F023E7"/>
    <w:rsid w:val="00F029CE"/>
    <w:rsid w:val="00F03A25"/>
    <w:rsid w:val="00F04071"/>
    <w:rsid w:val="00F0416E"/>
    <w:rsid w:val="00F04199"/>
    <w:rsid w:val="00F0449D"/>
    <w:rsid w:val="00F04B19"/>
    <w:rsid w:val="00F04E71"/>
    <w:rsid w:val="00F04F41"/>
    <w:rsid w:val="00F0571D"/>
    <w:rsid w:val="00F059FF"/>
    <w:rsid w:val="00F062B6"/>
    <w:rsid w:val="00F0669A"/>
    <w:rsid w:val="00F07936"/>
    <w:rsid w:val="00F07CC9"/>
    <w:rsid w:val="00F07D28"/>
    <w:rsid w:val="00F07E9E"/>
    <w:rsid w:val="00F07F38"/>
    <w:rsid w:val="00F1000E"/>
    <w:rsid w:val="00F10225"/>
    <w:rsid w:val="00F1027E"/>
    <w:rsid w:val="00F104EB"/>
    <w:rsid w:val="00F10B0A"/>
    <w:rsid w:val="00F11310"/>
    <w:rsid w:val="00F11485"/>
    <w:rsid w:val="00F11694"/>
    <w:rsid w:val="00F11F4C"/>
    <w:rsid w:val="00F12396"/>
    <w:rsid w:val="00F12AC2"/>
    <w:rsid w:val="00F13500"/>
    <w:rsid w:val="00F13C3D"/>
    <w:rsid w:val="00F13F71"/>
    <w:rsid w:val="00F14EEC"/>
    <w:rsid w:val="00F1577B"/>
    <w:rsid w:val="00F15C4F"/>
    <w:rsid w:val="00F17546"/>
    <w:rsid w:val="00F178AE"/>
    <w:rsid w:val="00F1798B"/>
    <w:rsid w:val="00F179F6"/>
    <w:rsid w:val="00F17C6E"/>
    <w:rsid w:val="00F21383"/>
    <w:rsid w:val="00F213CA"/>
    <w:rsid w:val="00F2167D"/>
    <w:rsid w:val="00F21AAB"/>
    <w:rsid w:val="00F220E7"/>
    <w:rsid w:val="00F22165"/>
    <w:rsid w:val="00F2247A"/>
    <w:rsid w:val="00F227A7"/>
    <w:rsid w:val="00F22A64"/>
    <w:rsid w:val="00F243F5"/>
    <w:rsid w:val="00F24A08"/>
    <w:rsid w:val="00F24BFD"/>
    <w:rsid w:val="00F2513B"/>
    <w:rsid w:val="00F253FF"/>
    <w:rsid w:val="00F26228"/>
    <w:rsid w:val="00F2659B"/>
    <w:rsid w:val="00F266E6"/>
    <w:rsid w:val="00F27CB2"/>
    <w:rsid w:val="00F27D70"/>
    <w:rsid w:val="00F30EBC"/>
    <w:rsid w:val="00F3133E"/>
    <w:rsid w:val="00F3178F"/>
    <w:rsid w:val="00F3239B"/>
    <w:rsid w:val="00F328D1"/>
    <w:rsid w:val="00F32B5B"/>
    <w:rsid w:val="00F32C06"/>
    <w:rsid w:val="00F33434"/>
    <w:rsid w:val="00F3393F"/>
    <w:rsid w:val="00F33EB9"/>
    <w:rsid w:val="00F342BB"/>
    <w:rsid w:val="00F34319"/>
    <w:rsid w:val="00F34847"/>
    <w:rsid w:val="00F34D07"/>
    <w:rsid w:val="00F351AE"/>
    <w:rsid w:val="00F355E1"/>
    <w:rsid w:val="00F35B4D"/>
    <w:rsid w:val="00F35C13"/>
    <w:rsid w:val="00F35DC5"/>
    <w:rsid w:val="00F35F40"/>
    <w:rsid w:val="00F35FBC"/>
    <w:rsid w:val="00F36F8A"/>
    <w:rsid w:val="00F36FEC"/>
    <w:rsid w:val="00F377C5"/>
    <w:rsid w:val="00F40A6A"/>
    <w:rsid w:val="00F40F4E"/>
    <w:rsid w:val="00F41645"/>
    <w:rsid w:val="00F417B6"/>
    <w:rsid w:val="00F4186B"/>
    <w:rsid w:val="00F41A46"/>
    <w:rsid w:val="00F4266F"/>
    <w:rsid w:val="00F42A39"/>
    <w:rsid w:val="00F43937"/>
    <w:rsid w:val="00F440AD"/>
    <w:rsid w:val="00F44345"/>
    <w:rsid w:val="00F445CD"/>
    <w:rsid w:val="00F445D7"/>
    <w:rsid w:val="00F44696"/>
    <w:rsid w:val="00F44C59"/>
    <w:rsid w:val="00F4522C"/>
    <w:rsid w:val="00F454CE"/>
    <w:rsid w:val="00F4636C"/>
    <w:rsid w:val="00F46378"/>
    <w:rsid w:val="00F466CA"/>
    <w:rsid w:val="00F46BF0"/>
    <w:rsid w:val="00F46F1A"/>
    <w:rsid w:val="00F4750D"/>
    <w:rsid w:val="00F47538"/>
    <w:rsid w:val="00F47CA5"/>
    <w:rsid w:val="00F50362"/>
    <w:rsid w:val="00F5068A"/>
    <w:rsid w:val="00F50914"/>
    <w:rsid w:val="00F509F2"/>
    <w:rsid w:val="00F50AA4"/>
    <w:rsid w:val="00F50FD8"/>
    <w:rsid w:val="00F513F5"/>
    <w:rsid w:val="00F51739"/>
    <w:rsid w:val="00F51871"/>
    <w:rsid w:val="00F51BF6"/>
    <w:rsid w:val="00F52114"/>
    <w:rsid w:val="00F52373"/>
    <w:rsid w:val="00F5294B"/>
    <w:rsid w:val="00F52B0C"/>
    <w:rsid w:val="00F53A91"/>
    <w:rsid w:val="00F53C98"/>
    <w:rsid w:val="00F55612"/>
    <w:rsid w:val="00F5577D"/>
    <w:rsid w:val="00F55F1B"/>
    <w:rsid w:val="00F5624F"/>
    <w:rsid w:val="00F56837"/>
    <w:rsid w:val="00F56B6C"/>
    <w:rsid w:val="00F57074"/>
    <w:rsid w:val="00F5716C"/>
    <w:rsid w:val="00F575C7"/>
    <w:rsid w:val="00F5795E"/>
    <w:rsid w:val="00F6006B"/>
    <w:rsid w:val="00F608A1"/>
    <w:rsid w:val="00F60B48"/>
    <w:rsid w:val="00F60C88"/>
    <w:rsid w:val="00F60EF4"/>
    <w:rsid w:val="00F61344"/>
    <w:rsid w:val="00F6136E"/>
    <w:rsid w:val="00F621E5"/>
    <w:rsid w:val="00F62669"/>
    <w:rsid w:val="00F6273D"/>
    <w:rsid w:val="00F63774"/>
    <w:rsid w:val="00F63FC3"/>
    <w:rsid w:val="00F64081"/>
    <w:rsid w:val="00F6414B"/>
    <w:rsid w:val="00F65532"/>
    <w:rsid w:val="00F65FE8"/>
    <w:rsid w:val="00F664F3"/>
    <w:rsid w:val="00F66518"/>
    <w:rsid w:val="00F665F5"/>
    <w:rsid w:val="00F66979"/>
    <w:rsid w:val="00F66F32"/>
    <w:rsid w:val="00F670F3"/>
    <w:rsid w:val="00F67317"/>
    <w:rsid w:val="00F67908"/>
    <w:rsid w:val="00F67D31"/>
    <w:rsid w:val="00F70722"/>
    <w:rsid w:val="00F71775"/>
    <w:rsid w:val="00F7179B"/>
    <w:rsid w:val="00F717C7"/>
    <w:rsid w:val="00F719B7"/>
    <w:rsid w:val="00F71A8D"/>
    <w:rsid w:val="00F71C9E"/>
    <w:rsid w:val="00F71E5D"/>
    <w:rsid w:val="00F724BC"/>
    <w:rsid w:val="00F72692"/>
    <w:rsid w:val="00F72F4A"/>
    <w:rsid w:val="00F735C5"/>
    <w:rsid w:val="00F74149"/>
    <w:rsid w:val="00F744EA"/>
    <w:rsid w:val="00F74585"/>
    <w:rsid w:val="00F74C27"/>
    <w:rsid w:val="00F7580D"/>
    <w:rsid w:val="00F76029"/>
    <w:rsid w:val="00F76B3E"/>
    <w:rsid w:val="00F76C57"/>
    <w:rsid w:val="00F76D75"/>
    <w:rsid w:val="00F76E1E"/>
    <w:rsid w:val="00F7744D"/>
    <w:rsid w:val="00F77596"/>
    <w:rsid w:val="00F77BC9"/>
    <w:rsid w:val="00F77BE3"/>
    <w:rsid w:val="00F77EC2"/>
    <w:rsid w:val="00F802AB"/>
    <w:rsid w:val="00F80923"/>
    <w:rsid w:val="00F80F13"/>
    <w:rsid w:val="00F81001"/>
    <w:rsid w:val="00F81279"/>
    <w:rsid w:val="00F81322"/>
    <w:rsid w:val="00F81D3C"/>
    <w:rsid w:val="00F81FF6"/>
    <w:rsid w:val="00F822A9"/>
    <w:rsid w:val="00F82870"/>
    <w:rsid w:val="00F82CFC"/>
    <w:rsid w:val="00F82E74"/>
    <w:rsid w:val="00F832E0"/>
    <w:rsid w:val="00F83B85"/>
    <w:rsid w:val="00F83BA2"/>
    <w:rsid w:val="00F8425B"/>
    <w:rsid w:val="00F84715"/>
    <w:rsid w:val="00F847AA"/>
    <w:rsid w:val="00F8483F"/>
    <w:rsid w:val="00F8492E"/>
    <w:rsid w:val="00F8495C"/>
    <w:rsid w:val="00F84A90"/>
    <w:rsid w:val="00F84A97"/>
    <w:rsid w:val="00F84ACC"/>
    <w:rsid w:val="00F84E3C"/>
    <w:rsid w:val="00F84EBE"/>
    <w:rsid w:val="00F851E9"/>
    <w:rsid w:val="00F85B46"/>
    <w:rsid w:val="00F85C7F"/>
    <w:rsid w:val="00F85E56"/>
    <w:rsid w:val="00F866C5"/>
    <w:rsid w:val="00F8739A"/>
    <w:rsid w:val="00F87A39"/>
    <w:rsid w:val="00F87C0B"/>
    <w:rsid w:val="00F87C9C"/>
    <w:rsid w:val="00F87EFA"/>
    <w:rsid w:val="00F90142"/>
    <w:rsid w:val="00F909EF"/>
    <w:rsid w:val="00F91891"/>
    <w:rsid w:val="00F91D84"/>
    <w:rsid w:val="00F93AF7"/>
    <w:rsid w:val="00F94139"/>
    <w:rsid w:val="00F94194"/>
    <w:rsid w:val="00F94250"/>
    <w:rsid w:val="00F94D05"/>
    <w:rsid w:val="00F95692"/>
    <w:rsid w:val="00F95921"/>
    <w:rsid w:val="00F95F7E"/>
    <w:rsid w:val="00F96123"/>
    <w:rsid w:val="00F963F7"/>
    <w:rsid w:val="00F9659F"/>
    <w:rsid w:val="00F96EDB"/>
    <w:rsid w:val="00F97202"/>
    <w:rsid w:val="00F9730D"/>
    <w:rsid w:val="00F97787"/>
    <w:rsid w:val="00FA1116"/>
    <w:rsid w:val="00FA1341"/>
    <w:rsid w:val="00FA1AAE"/>
    <w:rsid w:val="00FA1B95"/>
    <w:rsid w:val="00FA21B3"/>
    <w:rsid w:val="00FA2640"/>
    <w:rsid w:val="00FA29F7"/>
    <w:rsid w:val="00FA30F5"/>
    <w:rsid w:val="00FA33AB"/>
    <w:rsid w:val="00FA3602"/>
    <w:rsid w:val="00FA475B"/>
    <w:rsid w:val="00FA47B3"/>
    <w:rsid w:val="00FA497C"/>
    <w:rsid w:val="00FA51B4"/>
    <w:rsid w:val="00FA5412"/>
    <w:rsid w:val="00FA55BB"/>
    <w:rsid w:val="00FA6204"/>
    <w:rsid w:val="00FA64DA"/>
    <w:rsid w:val="00FA6759"/>
    <w:rsid w:val="00FA6C2A"/>
    <w:rsid w:val="00FA7120"/>
    <w:rsid w:val="00FA740A"/>
    <w:rsid w:val="00FA746F"/>
    <w:rsid w:val="00FA764E"/>
    <w:rsid w:val="00FA7E88"/>
    <w:rsid w:val="00FB05C6"/>
    <w:rsid w:val="00FB0C60"/>
    <w:rsid w:val="00FB0C95"/>
    <w:rsid w:val="00FB1CA9"/>
    <w:rsid w:val="00FB20D3"/>
    <w:rsid w:val="00FB2402"/>
    <w:rsid w:val="00FB2526"/>
    <w:rsid w:val="00FB257C"/>
    <w:rsid w:val="00FB2580"/>
    <w:rsid w:val="00FB27BE"/>
    <w:rsid w:val="00FB2D2C"/>
    <w:rsid w:val="00FB2EEC"/>
    <w:rsid w:val="00FB300E"/>
    <w:rsid w:val="00FB3466"/>
    <w:rsid w:val="00FB3764"/>
    <w:rsid w:val="00FB3A6B"/>
    <w:rsid w:val="00FB3AA6"/>
    <w:rsid w:val="00FB474C"/>
    <w:rsid w:val="00FB4BBD"/>
    <w:rsid w:val="00FB4DDB"/>
    <w:rsid w:val="00FB5169"/>
    <w:rsid w:val="00FB519A"/>
    <w:rsid w:val="00FB5C7E"/>
    <w:rsid w:val="00FB5E12"/>
    <w:rsid w:val="00FB6868"/>
    <w:rsid w:val="00FB6905"/>
    <w:rsid w:val="00FB6BDF"/>
    <w:rsid w:val="00FB7224"/>
    <w:rsid w:val="00FB739A"/>
    <w:rsid w:val="00FB7D94"/>
    <w:rsid w:val="00FC00E5"/>
    <w:rsid w:val="00FC0723"/>
    <w:rsid w:val="00FC0B9E"/>
    <w:rsid w:val="00FC0F0B"/>
    <w:rsid w:val="00FC13E3"/>
    <w:rsid w:val="00FC1936"/>
    <w:rsid w:val="00FC19C4"/>
    <w:rsid w:val="00FC1BBA"/>
    <w:rsid w:val="00FC1F14"/>
    <w:rsid w:val="00FC3372"/>
    <w:rsid w:val="00FC4110"/>
    <w:rsid w:val="00FC4430"/>
    <w:rsid w:val="00FC4495"/>
    <w:rsid w:val="00FC5858"/>
    <w:rsid w:val="00FC59AA"/>
    <w:rsid w:val="00FC6C3A"/>
    <w:rsid w:val="00FC70A1"/>
    <w:rsid w:val="00FC764A"/>
    <w:rsid w:val="00FD00AD"/>
    <w:rsid w:val="00FD04CF"/>
    <w:rsid w:val="00FD07CD"/>
    <w:rsid w:val="00FD1193"/>
    <w:rsid w:val="00FD1EE8"/>
    <w:rsid w:val="00FD24E1"/>
    <w:rsid w:val="00FD3003"/>
    <w:rsid w:val="00FD33F2"/>
    <w:rsid w:val="00FD3630"/>
    <w:rsid w:val="00FD37E0"/>
    <w:rsid w:val="00FD38EA"/>
    <w:rsid w:val="00FD4AE5"/>
    <w:rsid w:val="00FD4F6D"/>
    <w:rsid w:val="00FD52EE"/>
    <w:rsid w:val="00FD5692"/>
    <w:rsid w:val="00FD5C01"/>
    <w:rsid w:val="00FD6882"/>
    <w:rsid w:val="00FD6A53"/>
    <w:rsid w:val="00FD7130"/>
    <w:rsid w:val="00FD7450"/>
    <w:rsid w:val="00FD75B8"/>
    <w:rsid w:val="00FD78E1"/>
    <w:rsid w:val="00FE08EA"/>
    <w:rsid w:val="00FE109F"/>
    <w:rsid w:val="00FE110F"/>
    <w:rsid w:val="00FE1185"/>
    <w:rsid w:val="00FE134D"/>
    <w:rsid w:val="00FE217A"/>
    <w:rsid w:val="00FE22DD"/>
    <w:rsid w:val="00FE2DD3"/>
    <w:rsid w:val="00FE31A7"/>
    <w:rsid w:val="00FE3AB7"/>
    <w:rsid w:val="00FE3C1C"/>
    <w:rsid w:val="00FE4136"/>
    <w:rsid w:val="00FE431E"/>
    <w:rsid w:val="00FE444C"/>
    <w:rsid w:val="00FE4806"/>
    <w:rsid w:val="00FE4A2B"/>
    <w:rsid w:val="00FE50CD"/>
    <w:rsid w:val="00FE5336"/>
    <w:rsid w:val="00FE5C52"/>
    <w:rsid w:val="00FE5F5F"/>
    <w:rsid w:val="00FE5F8C"/>
    <w:rsid w:val="00FE6B24"/>
    <w:rsid w:val="00FE76AA"/>
    <w:rsid w:val="00FF01FD"/>
    <w:rsid w:val="00FF0689"/>
    <w:rsid w:val="00FF0743"/>
    <w:rsid w:val="00FF09DA"/>
    <w:rsid w:val="00FF0F95"/>
    <w:rsid w:val="00FF1397"/>
    <w:rsid w:val="00FF16F2"/>
    <w:rsid w:val="00FF1F6D"/>
    <w:rsid w:val="00FF1FB6"/>
    <w:rsid w:val="00FF1FE4"/>
    <w:rsid w:val="00FF2062"/>
    <w:rsid w:val="00FF235F"/>
    <w:rsid w:val="00FF2560"/>
    <w:rsid w:val="00FF3941"/>
    <w:rsid w:val="00FF3A67"/>
    <w:rsid w:val="00FF4051"/>
    <w:rsid w:val="00FF4095"/>
    <w:rsid w:val="00FF40E1"/>
    <w:rsid w:val="00FF42F5"/>
    <w:rsid w:val="00FF48BD"/>
    <w:rsid w:val="00FF4F64"/>
    <w:rsid w:val="00FF504B"/>
    <w:rsid w:val="00FF53A5"/>
    <w:rsid w:val="00FF5643"/>
    <w:rsid w:val="00FF5C20"/>
    <w:rsid w:val="00FF682A"/>
    <w:rsid w:val="00FF752D"/>
    <w:rsid w:val="00FF7E74"/>
    <w:rsid w:val="02D56E3E"/>
    <w:rsid w:val="0D9B3A8F"/>
    <w:rsid w:val="0FC03C25"/>
    <w:rsid w:val="197F1ACD"/>
    <w:rsid w:val="1A12680E"/>
    <w:rsid w:val="1B886CC9"/>
    <w:rsid w:val="1C7648EE"/>
    <w:rsid w:val="1EA74C2D"/>
    <w:rsid w:val="1F7E1FDA"/>
    <w:rsid w:val="209B1AFA"/>
    <w:rsid w:val="21103EE7"/>
    <w:rsid w:val="212D389C"/>
    <w:rsid w:val="2A7F2358"/>
    <w:rsid w:val="2BC92DEE"/>
    <w:rsid w:val="2EBD2946"/>
    <w:rsid w:val="31282766"/>
    <w:rsid w:val="31512AF8"/>
    <w:rsid w:val="350222C3"/>
    <w:rsid w:val="35313ED3"/>
    <w:rsid w:val="37C55D18"/>
    <w:rsid w:val="3AB85A52"/>
    <w:rsid w:val="3B837B26"/>
    <w:rsid w:val="3C437603"/>
    <w:rsid w:val="3FDE3726"/>
    <w:rsid w:val="3FE27A61"/>
    <w:rsid w:val="41A5551C"/>
    <w:rsid w:val="447454CF"/>
    <w:rsid w:val="44B636D1"/>
    <w:rsid w:val="4736265F"/>
    <w:rsid w:val="4E6F71D9"/>
    <w:rsid w:val="50012C3F"/>
    <w:rsid w:val="548E3195"/>
    <w:rsid w:val="553158EE"/>
    <w:rsid w:val="5C943092"/>
    <w:rsid w:val="5E1625DE"/>
    <w:rsid w:val="605D2841"/>
    <w:rsid w:val="607E5ACC"/>
    <w:rsid w:val="624B1CB6"/>
    <w:rsid w:val="67474B63"/>
    <w:rsid w:val="68072651"/>
    <w:rsid w:val="68A749E3"/>
    <w:rsid w:val="6CFC2304"/>
    <w:rsid w:val="793B792A"/>
    <w:rsid w:val="798E003F"/>
    <w:rsid w:val="7D7105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o:shapedefaults>
    <o:shapelayout v:ext="edit">
      <o:idmap v:ext="edit" data="1"/>
    </o:shapelayout>
  </w:shapeDefaults>
  <w:decimalSymbol w:val="."/>
  <w:listSeparator w:val=","/>
  <w14:docId w14:val="66799865"/>
  <w15:docId w15:val="{0DF78108-A047-439F-BB7D-A2AE2835E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napToGrid w:val="0"/>
      <w:spacing w:after="120"/>
      <w:jc w:val="both"/>
    </w:pPr>
    <w:rPr>
      <w:sz w:val="22"/>
      <w:szCs w:val="22"/>
      <w:lang w:val="en-US" w:eastAsia="en-US"/>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Normal"/>
    <w:next w:val="Normal"/>
    <w:link w:val="Heading2Char"/>
    <w:unhideWhenUsed/>
    <w:qFormat/>
    <w:pPr>
      <w:keepNext/>
      <w:numPr>
        <w:ilvl w:val="1"/>
        <w:numId w:val="1"/>
      </w:numPr>
      <w:tabs>
        <w:tab w:val="left" w:pos="432"/>
      </w:tabs>
      <w:spacing w:before="120"/>
      <w:outlineLvl w:val="1"/>
    </w:pPr>
    <w:rPr>
      <w:rFonts w:eastAsiaTheme="majorEastAsia"/>
      <w:b/>
      <w:sz w:val="24"/>
      <w:szCs w:val="26"/>
    </w:rPr>
  </w:style>
  <w:style w:type="paragraph" w:styleId="Heading3">
    <w:name w:val="heading 3"/>
    <w:basedOn w:val="Normal"/>
    <w:next w:val="Normal"/>
    <w:link w:val="Heading3Char"/>
    <w:unhideWhenUsed/>
    <w:qFormat/>
    <w:pPr>
      <w:keepNext/>
      <w:numPr>
        <w:ilvl w:val="2"/>
        <w:numId w:val="1"/>
      </w:numPr>
      <w:spacing w:before="120"/>
      <w:outlineLvl w:val="2"/>
    </w:pPr>
    <w:rPr>
      <w:rFonts w:eastAsiaTheme="majorEastAsia"/>
      <w:b/>
      <w:szCs w:val="24"/>
    </w:rPr>
  </w:style>
  <w:style w:type="paragraph" w:styleId="Heading4">
    <w:name w:val="heading 4"/>
    <w:basedOn w:val="Normal"/>
    <w:next w:val="Normal"/>
    <w:link w:val="Heading4Char"/>
    <w:unhideWhenUsed/>
    <w:qFormat/>
    <w:pPr>
      <w:keepNext/>
      <w:numPr>
        <w:ilvl w:val="3"/>
        <w:numId w:val="1"/>
      </w:numPr>
      <w:tabs>
        <w:tab w:val="left" w:pos="432"/>
      </w:tabs>
      <w:spacing w:before="120"/>
      <w:outlineLvl w:val="3"/>
    </w:pPr>
    <w:rPr>
      <w:rFonts w:eastAsiaTheme="majorEastAsia"/>
      <w:b/>
      <w:i/>
      <w:iCs/>
    </w:rPr>
  </w:style>
  <w:style w:type="paragraph" w:styleId="Heading5">
    <w:name w:val="heading 5"/>
    <w:basedOn w:val="Normal"/>
    <w:next w:val="Normal"/>
    <w:link w:val="Heading5Char"/>
    <w:unhideWhenUsed/>
    <w:qFormat/>
    <w:pPr>
      <w:keepNext/>
      <w:numPr>
        <w:ilvl w:val="4"/>
        <w:numId w:val="1"/>
      </w:numPr>
      <w:spacing w:before="120"/>
      <w:outlineLvl w:val="4"/>
    </w:pPr>
    <w:rPr>
      <w:rFonts w:eastAsiaTheme="majorEastAsia"/>
      <w:b/>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keepLines/>
      <w:numPr>
        <w:ilvl w:val="7"/>
      </w:numPr>
      <w:pBdr>
        <w:top w:val="single" w:sz="12" w:space="3" w:color="auto"/>
      </w:pBdr>
      <w:autoSpaceDE/>
      <w:autoSpaceDN/>
      <w:adjustRightInd/>
      <w:snapToGrid/>
      <w:spacing w:before="240" w:after="180"/>
      <w:jc w:val="left"/>
      <w:outlineLvl w:val="7"/>
    </w:pPr>
    <w:rPr>
      <w:rFonts w:ascii="Arial" w:eastAsiaTheme="minorEastAsia" w:hAnsi="Arial"/>
      <w:b w:val="0"/>
      <w:bCs w:val="0"/>
      <w:sz w:val="36"/>
      <w:szCs w:val="20"/>
      <w:lang w:val="en-GB"/>
    </w:r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keepLines/>
      <w:autoSpaceDE/>
      <w:autoSpaceDN/>
      <w:adjustRightInd/>
      <w:snapToGrid/>
      <w:spacing w:after="180"/>
      <w:ind w:left="1985" w:hanging="1985"/>
      <w:jc w:val="left"/>
      <w:outlineLvl w:val="9"/>
    </w:pPr>
    <w:rPr>
      <w:rFonts w:ascii="Arial" w:eastAsiaTheme="minorEastAsia" w:hAnsi="Arial"/>
      <w:b w:val="0"/>
      <w:sz w:val="20"/>
      <w:szCs w:val="20"/>
      <w:lang w:val="en-GB"/>
    </w:rPr>
  </w:style>
  <w:style w:type="paragraph" w:styleId="List3">
    <w:name w:val="List 3"/>
    <w:basedOn w:val="List2"/>
    <w:qFormat/>
    <w:pPr>
      <w:ind w:left="1135"/>
    </w:pPr>
  </w:style>
  <w:style w:type="paragraph" w:styleId="List2">
    <w:name w:val="List 2"/>
    <w:basedOn w:val="List"/>
    <w:qFormat/>
    <w:pPr>
      <w:autoSpaceDE/>
      <w:autoSpaceDN/>
      <w:adjustRightInd/>
      <w:snapToGrid/>
      <w:spacing w:after="180"/>
      <w:ind w:left="851" w:firstLineChars="0" w:hanging="284"/>
      <w:contextualSpacing w:val="0"/>
      <w:jc w:val="left"/>
    </w:pPr>
    <w:rPr>
      <w:rFonts w:eastAsiaTheme="minorEastAsia"/>
      <w:sz w:val="20"/>
      <w:szCs w:val="20"/>
      <w:lang w:val="en-GB"/>
    </w:rPr>
  </w:style>
  <w:style w:type="paragraph" w:styleId="List">
    <w:name w:val="List"/>
    <w:basedOn w:val="Normal"/>
    <w:unhideWhenUsed/>
    <w:qFormat/>
    <w:pPr>
      <w:ind w:left="200" w:hangingChars="200" w:hanging="200"/>
      <w:contextualSpacing/>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eastAsiaTheme="minorEastAsia"/>
      <w:sz w:val="22"/>
      <w:lang w:val="en-GB" w:eastAsia="en-US"/>
    </w:rPr>
  </w:style>
  <w:style w:type="paragraph" w:styleId="ListNumber2">
    <w:name w:val="List Number 2"/>
    <w:basedOn w:val="ListNumber"/>
    <w:qFormat/>
    <w:pPr>
      <w:ind w:left="851"/>
    </w:pPr>
  </w:style>
  <w:style w:type="paragraph" w:styleId="ListNumber">
    <w:name w:val="List Number"/>
    <w:basedOn w:val="List"/>
    <w:qFormat/>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Caption">
    <w:name w:val="caption"/>
    <w:basedOn w:val="Normal"/>
    <w:next w:val="Normal"/>
    <w:link w:val="CaptionChar"/>
    <w:qFormat/>
    <w:pPr>
      <w:jc w:val="center"/>
    </w:pPr>
    <w:rPr>
      <w:rFonts w:eastAsiaTheme="minorEastAsia"/>
      <w:b/>
      <w:bCs/>
      <w:sz w:val="21"/>
      <w:lang w:eastAsia="zh-CN"/>
    </w:rPr>
  </w:style>
  <w:style w:type="paragraph" w:styleId="DocumentMap">
    <w:name w:val="Document Map"/>
    <w:basedOn w:val="Normal"/>
    <w:link w:val="DocumentMapChar"/>
    <w:qFormat/>
    <w:pPr>
      <w:shd w:val="clear" w:color="auto" w:fill="000080"/>
      <w:autoSpaceDE/>
      <w:autoSpaceDN/>
      <w:adjustRightInd/>
      <w:snapToGrid/>
      <w:spacing w:after="180"/>
      <w:jc w:val="left"/>
    </w:pPr>
    <w:rPr>
      <w:rFonts w:ascii="Tahoma" w:eastAsiaTheme="minorEastAsia" w:hAnsi="Tahoma"/>
      <w:sz w:val="20"/>
      <w:szCs w:val="20"/>
      <w:lang w:val="en-GB"/>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link w:val="BodyTextChar"/>
    <w:qFormat/>
    <w:pPr>
      <w:overflowPunct w:val="0"/>
      <w:snapToGrid/>
      <w:spacing w:after="180"/>
      <w:jc w:val="left"/>
      <w:textAlignment w:val="baseline"/>
    </w:pPr>
    <w:rPr>
      <w:rFonts w:eastAsia="MS Mincho"/>
      <w:sz w:val="20"/>
      <w:szCs w:val="20"/>
      <w:lang w:val="en-GB" w:eastAsia="en-GB"/>
    </w:rPr>
  </w:style>
  <w:style w:type="paragraph" w:styleId="ListNumber3">
    <w:name w:val="List Number 3"/>
    <w:basedOn w:val="ListNumber2"/>
    <w:qFormat/>
    <w:pPr>
      <w:numPr>
        <w:numId w:val="2"/>
      </w:numPr>
      <w:overflowPunct w:val="0"/>
      <w:autoSpaceDE w:val="0"/>
      <w:autoSpaceDN w:val="0"/>
      <w:adjustRightInd w:val="0"/>
      <w:spacing w:after="120"/>
      <w:contextualSpacing/>
      <w:jc w:val="both"/>
      <w:textAlignment w:val="baseline"/>
    </w:pPr>
    <w:rPr>
      <w:rFonts w:ascii="Arial" w:hAnsi="Arial"/>
      <w:lang w:eastAsia="ja-JP"/>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unhideWhenUsed/>
    <w:qFormat/>
    <w:pPr>
      <w:spacing w:after="0"/>
    </w:pPr>
    <w:rPr>
      <w:rFonts w:ascii="Segoe UI" w:hAnsi="Segoe UI" w:cs="Segoe UI"/>
      <w:sz w:val="18"/>
      <w:szCs w:val="18"/>
    </w:rPr>
  </w:style>
  <w:style w:type="paragraph" w:styleId="Footer">
    <w:name w:val="footer"/>
    <w:basedOn w:val="Normal"/>
    <w:link w:val="FooterChar"/>
    <w:unhideWhenUsed/>
    <w:qFormat/>
    <w:pPr>
      <w:tabs>
        <w:tab w:val="center" w:pos="4153"/>
        <w:tab w:val="right" w:pos="8306"/>
      </w:tabs>
      <w:jc w:val="left"/>
    </w:pPr>
    <w:rPr>
      <w:sz w:val="18"/>
      <w:szCs w:val="18"/>
    </w:rPr>
  </w:style>
  <w:style w:type="paragraph" w:styleId="Header">
    <w:name w:val="header"/>
    <w:basedOn w:val="Normal"/>
    <w:link w:val="HeaderChar"/>
    <w:unhideWhenUsed/>
    <w:qFormat/>
    <w:pPr>
      <w:pBdr>
        <w:bottom w:val="single" w:sz="6" w:space="1" w:color="auto"/>
      </w:pBdr>
      <w:tabs>
        <w:tab w:val="center" w:pos="4153"/>
        <w:tab w:val="right" w:pos="8306"/>
      </w:tabs>
      <w:jc w:val="center"/>
    </w:pPr>
    <w:rPr>
      <w:sz w:val="18"/>
      <w:szCs w:val="18"/>
    </w:rPr>
  </w:style>
  <w:style w:type="paragraph" w:styleId="FootnoteText">
    <w:name w:val="footnote text"/>
    <w:basedOn w:val="Normal"/>
    <w:link w:val="FootnoteTextChar"/>
    <w:qFormat/>
    <w:pPr>
      <w:keepLines/>
      <w:autoSpaceDE/>
      <w:autoSpaceDN/>
      <w:adjustRightInd/>
      <w:snapToGrid/>
      <w:spacing w:after="0"/>
      <w:ind w:left="454" w:hanging="454"/>
      <w:jc w:val="left"/>
    </w:pPr>
    <w:rPr>
      <w:rFonts w:eastAsiaTheme="minorEastAsia"/>
      <w:sz w:val="16"/>
      <w:szCs w:val="20"/>
      <w:lang w:val="en-GB"/>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ind w:leftChars="200" w:left="200" w:hangingChars="200" w:hanging="200"/>
    </w:p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autoSpaceDE/>
      <w:autoSpaceDN/>
      <w:adjustRightInd/>
      <w:snapToGrid/>
      <w:spacing w:before="100" w:beforeAutospacing="1" w:after="100" w:afterAutospacing="1"/>
      <w:jc w:val="left"/>
    </w:pPr>
    <w:rPr>
      <w:rFonts w:eastAsiaTheme="minorEastAsia"/>
      <w:sz w:val="24"/>
      <w:szCs w:val="24"/>
    </w:rPr>
  </w:style>
  <w:style w:type="paragraph" w:styleId="Index1">
    <w:name w:val="index 1"/>
    <w:basedOn w:val="Normal"/>
    <w:next w:val="Normal"/>
    <w:qFormat/>
    <w:pPr>
      <w:keepLines/>
      <w:autoSpaceDE/>
      <w:autoSpaceDN/>
      <w:adjustRightInd/>
      <w:snapToGrid/>
      <w:spacing w:after="0"/>
      <w:jc w:val="left"/>
    </w:pPr>
    <w:rPr>
      <w:rFonts w:eastAsiaTheme="minorEastAsia"/>
      <w:sz w:val="20"/>
      <w:szCs w:val="20"/>
      <w:lang w:val="en-GB"/>
    </w:r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unhideWhenUsed/>
    <w:qFormat/>
    <w:rPr>
      <w:b/>
      <w:bCs/>
    </w:rPr>
  </w:style>
  <w:style w:type="table" w:styleId="TableGrid">
    <w:name w:val="Table Grid"/>
    <w:basedOn w:val="TableNormal"/>
    <w:uiPriority w:val="5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qFormat/>
    <w:rPr>
      <w:b/>
      <w:position w:val="6"/>
      <w:sz w:val="16"/>
    </w:rPr>
  </w:style>
  <w:style w:type="character" w:customStyle="1" w:styleId="Heading1Char">
    <w:name w:val="Heading 1 Char"/>
    <w:basedOn w:val="DefaultParagraphFont"/>
    <w:link w:val="Heading1"/>
    <w:qFormat/>
    <w:rPr>
      <w:rFonts w:ascii="Times New Roman" w:eastAsia="SimSun" w:hAnsi="Times New Roman" w:cs="Times New Roman"/>
      <w:b/>
      <w:bCs/>
      <w:kern w:val="0"/>
      <w:sz w:val="28"/>
      <w:szCs w:val="28"/>
      <w:lang w:eastAsia="en-US"/>
    </w:rPr>
  </w:style>
  <w:style w:type="character" w:customStyle="1" w:styleId="Heading2Char">
    <w:name w:val="Heading 2 Char"/>
    <w:basedOn w:val="DefaultParagraphFont"/>
    <w:link w:val="Heading2"/>
    <w:qFormat/>
    <w:rPr>
      <w:rFonts w:ascii="Times New Roman" w:eastAsiaTheme="majorEastAsia" w:hAnsi="Times New Roman" w:cs="Times New Roman"/>
      <w:b/>
      <w:kern w:val="0"/>
      <w:sz w:val="24"/>
      <w:szCs w:val="26"/>
      <w:lang w:eastAsia="en-US"/>
    </w:rPr>
  </w:style>
  <w:style w:type="character" w:customStyle="1" w:styleId="Heading3Char">
    <w:name w:val="Heading 3 Char"/>
    <w:basedOn w:val="DefaultParagraphFont"/>
    <w:link w:val="Heading3"/>
    <w:uiPriority w:val="9"/>
    <w:qFormat/>
    <w:rPr>
      <w:rFonts w:ascii="Times New Roman" w:eastAsiaTheme="majorEastAsia" w:hAnsi="Times New Roman" w:cs="Times New Roman"/>
      <w:b/>
      <w:kern w:val="0"/>
      <w:sz w:val="22"/>
      <w:szCs w:val="24"/>
      <w:lang w:eastAsia="en-US"/>
    </w:rPr>
  </w:style>
  <w:style w:type="character" w:customStyle="1" w:styleId="Heading4Char">
    <w:name w:val="Heading 4 Char"/>
    <w:basedOn w:val="DefaultParagraphFont"/>
    <w:link w:val="Heading4"/>
    <w:qFormat/>
    <w:rPr>
      <w:rFonts w:ascii="Times New Roman" w:eastAsiaTheme="majorEastAsia" w:hAnsi="Times New Roman" w:cs="Times New Roman"/>
      <w:b/>
      <w:i/>
      <w:iCs/>
      <w:kern w:val="0"/>
      <w:sz w:val="22"/>
      <w:lang w:eastAsia="en-US"/>
    </w:rPr>
  </w:style>
  <w:style w:type="character" w:customStyle="1" w:styleId="Heading5Char">
    <w:name w:val="Heading 5 Char"/>
    <w:basedOn w:val="DefaultParagraphFont"/>
    <w:link w:val="Heading5"/>
    <w:uiPriority w:val="9"/>
    <w:qFormat/>
    <w:rPr>
      <w:rFonts w:ascii="Times New Roman" w:eastAsiaTheme="majorEastAsia" w:hAnsi="Times New Roman" w:cs="Times New Roman"/>
      <w:b/>
      <w:kern w:val="0"/>
      <w:sz w:val="22"/>
      <w:lang w:eastAsia="en-US"/>
    </w:rPr>
  </w:style>
  <w:style w:type="character" w:customStyle="1" w:styleId="Heading6Char">
    <w:name w:val="Heading 6 Char"/>
    <w:basedOn w:val="DefaultParagraphFont"/>
    <w:link w:val="Heading6"/>
    <w:qFormat/>
    <w:rPr>
      <w:rFonts w:ascii="Arial" w:hAnsi="Arial" w:cs="Times New Roman"/>
      <w:kern w:val="0"/>
      <w:sz w:val="20"/>
      <w:szCs w:val="20"/>
      <w:lang w:val="en-GB" w:eastAsia="en-US"/>
    </w:rPr>
  </w:style>
  <w:style w:type="character" w:customStyle="1" w:styleId="Heading7Char">
    <w:name w:val="Heading 7 Char"/>
    <w:basedOn w:val="DefaultParagraphFont"/>
    <w:link w:val="Heading7"/>
    <w:qFormat/>
    <w:rPr>
      <w:rFonts w:ascii="Arial" w:hAnsi="Arial" w:cs="Times New Roman"/>
      <w:kern w:val="0"/>
      <w:sz w:val="20"/>
      <w:szCs w:val="20"/>
      <w:lang w:val="en-GB" w:eastAsia="en-US"/>
    </w:rPr>
  </w:style>
  <w:style w:type="character" w:customStyle="1" w:styleId="Heading8Char">
    <w:name w:val="Heading 8 Char"/>
    <w:basedOn w:val="DefaultParagraphFont"/>
    <w:link w:val="Heading8"/>
    <w:qFormat/>
    <w:rPr>
      <w:rFonts w:ascii="Arial" w:hAnsi="Arial" w:cs="Times New Roman"/>
      <w:kern w:val="0"/>
      <w:sz w:val="36"/>
      <w:szCs w:val="20"/>
      <w:lang w:val="en-GB" w:eastAsia="en-US"/>
    </w:rPr>
  </w:style>
  <w:style w:type="character" w:customStyle="1" w:styleId="Heading9Char">
    <w:name w:val="Heading 9 Char"/>
    <w:basedOn w:val="DefaultParagraphFont"/>
    <w:link w:val="Heading9"/>
    <w:qFormat/>
    <w:rPr>
      <w:rFonts w:ascii="Arial" w:hAnsi="Arial" w:cs="Times New Roman"/>
      <w:kern w:val="0"/>
      <w:sz w:val="36"/>
      <w:szCs w:val="20"/>
      <w:lang w:val="en-GB" w:eastAsia="en-US"/>
    </w:rPr>
  </w:style>
  <w:style w:type="character" w:customStyle="1" w:styleId="CaptionChar">
    <w:name w:val="Caption Char"/>
    <w:link w:val="Caption"/>
    <w:uiPriority w:val="99"/>
    <w:qFormat/>
    <w:rPr>
      <w:rFonts w:ascii="Times New Roman" w:hAnsi="Times New Roman" w:cs="Times New Roman"/>
      <w:b/>
      <w:bCs/>
      <w:kern w:val="0"/>
    </w:rPr>
  </w:style>
  <w:style w:type="paragraph" w:customStyle="1" w:styleId="References">
    <w:name w:val="References"/>
    <w:basedOn w:val="Normal"/>
    <w:qFormat/>
    <w:pPr>
      <w:numPr>
        <w:numId w:val="3"/>
      </w:numPr>
      <w:adjustRightInd/>
      <w:spacing w:after="60"/>
    </w:pPr>
    <w:rPr>
      <w:sz w:val="20"/>
      <w:szCs w:val="16"/>
    </w:rPr>
  </w:style>
  <w:style w:type="paragraph" w:styleId="ListParagraph">
    <w:name w:val="List Paragraph"/>
    <w:basedOn w:val="Normal"/>
    <w:link w:val="ListParagraphChar"/>
    <w:uiPriority w:val="34"/>
    <w:qFormat/>
    <w:pPr>
      <w:autoSpaceDE/>
      <w:autoSpaceDN/>
      <w:adjustRightInd/>
      <w:snapToGrid/>
      <w:spacing w:after="0"/>
      <w:ind w:left="720"/>
    </w:pPr>
    <w:rPr>
      <w:rFonts w:ascii="Calibri" w:hAnsi="Calibri" w:cs="Calibri"/>
      <w:sz w:val="21"/>
      <w:szCs w:val="21"/>
      <w:lang w:eastAsia="zh-CN"/>
    </w:rPr>
  </w:style>
  <w:style w:type="character" w:customStyle="1" w:styleId="ListParagraphChar">
    <w:name w:val="List Paragraph Char"/>
    <w:link w:val="ListParagraph"/>
    <w:uiPriority w:val="34"/>
    <w:qFormat/>
    <w:rPr>
      <w:rFonts w:ascii="Calibri" w:eastAsia="SimSun" w:hAnsi="Calibri" w:cs="Calibri"/>
      <w:kern w:val="0"/>
      <w:szCs w:val="21"/>
    </w:rPr>
  </w:style>
  <w:style w:type="character" w:customStyle="1" w:styleId="HeaderChar">
    <w:name w:val="Header Char"/>
    <w:basedOn w:val="DefaultParagraphFont"/>
    <w:link w:val="Header"/>
    <w:uiPriority w:val="99"/>
    <w:qFormat/>
    <w:rPr>
      <w:rFonts w:ascii="Times New Roman" w:eastAsia="SimSun" w:hAnsi="Times New Roman" w:cs="Times New Roman"/>
      <w:kern w:val="0"/>
      <w:sz w:val="18"/>
      <w:szCs w:val="18"/>
      <w:lang w:eastAsia="en-US"/>
    </w:rPr>
  </w:style>
  <w:style w:type="character" w:customStyle="1" w:styleId="FooterChar">
    <w:name w:val="Footer Char"/>
    <w:basedOn w:val="DefaultParagraphFont"/>
    <w:link w:val="Footer"/>
    <w:uiPriority w:val="99"/>
    <w:qFormat/>
    <w:rPr>
      <w:rFonts w:ascii="Times New Roman" w:eastAsia="SimSun" w:hAnsi="Times New Roman" w:cs="Times New Roman"/>
      <w:kern w:val="0"/>
      <w:sz w:val="18"/>
      <w:szCs w:val="18"/>
      <w:lang w:eastAsia="en-US"/>
    </w:rPr>
  </w:style>
  <w:style w:type="character" w:customStyle="1" w:styleId="BalloonTextChar">
    <w:name w:val="Balloon Text Char"/>
    <w:basedOn w:val="DefaultParagraphFont"/>
    <w:link w:val="BalloonText"/>
    <w:qFormat/>
    <w:rPr>
      <w:rFonts w:ascii="Segoe UI" w:eastAsia="SimSun" w:hAnsi="Segoe UI" w:cs="Segoe UI"/>
      <w:kern w:val="0"/>
      <w:sz w:val="18"/>
      <w:szCs w:val="18"/>
      <w:lang w:eastAsia="en-US"/>
    </w:rPr>
  </w:style>
  <w:style w:type="character" w:styleId="PlaceholderText">
    <w:name w:val="Placeholder Text"/>
    <w:basedOn w:val="DefaultParagraphFont"/>
    <w:uiPriority w:val="99"/>
    <w:semiHidden/>
    <w:qFormat/>
    <w:rPr>
      <w:color w:val="808080"/>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character" w:customStyle="1" w:styleId="TAHCar">
    <w:name w:val="TAH Car"/>
    <w:link w:val="TAH"/>
    <w:qFormat/>
    <w:locked/>
    <w:rPr>
      <w:rFonts w:ascii="Arial" w:eastAsia="Times New Roman" w:hAnsi="Arial" w:cs="Times New Roman"/>
      <w:b/>
      <w:kern w:val="0"/>
      <w:sz w:val="18"/>
      <w:szCs w:val="20"/>
      <w:lang w:val="en-GB" w:eastAsia="en-GB"/>
    </w:rPr>
  </w:style>
  <w:style w:type="character" w:customStyle="1" w:styleId="BodyTextChar">
    <w:name w:val="Body Text Char"/>
    <w:basedOn w:val="DefaultParagraphFont"/>
    <w:link w:val="BodyText"/>
    <w:qFormat/>
    <w:rPr>
      <w:rFonts w:ascii="Times New Roman" w:eastAsia="MS Mincho" w:hAnsi="Times New Roman" w:cs="Times New Roman"/>
      <w:kern w:val="0"/>
      <w:sz w:val="20"/>
      <w:szCs w:val="20"/>
      <w:lang w:val="en-GB" w:eastAsia="en-GB"/>
    </w:rPr>
  </w:style>
  <w:style w:type="paragraph" w:customStyle="1" w:styleId="TAC">
    <w:name w:val="TAC"/>
    <w:basedOn w:val="Normal"/>
    <w:link w:val="TACChar"/>
    <w:qFormat/>
    <w:pPr>
      <w:keepNext/>
      <w:keepLines/>
      <w:overflowPunct w:val="0"/>
      <w:snapToGrid/>
      <w:spacing w:after="0"/>
      <w:jc w:val="center"/>
      <w:textAlignment w:val="baseline"/>
    </w:pPr>
    <w:rPr>
      <w:rFonts w:ascii="Arial" w:eastAsia="Times New Roman" w:hAnsi="Arial"/>
      <w:sz w:val="18"/>
      <w:szCs w:val="20"/>
      <w:lang w:val="en-GB" w:eastAsia="en-GB"/>
    </w:rPr>
  </w:style>
  <w:style w:type="character" w:customStyle="1" w:styleId="TACChar">
    <w:name w:val="TAC Char"/>
    <w:link w:val="TAC"/>
    <w:qFormat/>
    <w:locked/>
    <w:rPr>
      <w:rFonts w:ascii="Arial" w:eastAsia="Times New Roman" w:hAnsi="Arial" w:cs="Times New Roman"/>
      <w:kern w:val="0"/>
      <w:sz w:val="18"/>
      <w:szCs w:val="20"/>
      <w:lang w:val="en-GB" w:eastAsia="en-GB"/>
    </w:rPr>
  </w:style>
  <w:style w:type="character" w:customStyle="1" w:styleId="CommentTextChar">
    <w:name w:val="Comment Text Char"/>
    <w:basedOn w:val="DefaultParagraphFont"/>
    <w:link w:val="CommentText"/>
    <w:uiPriority w:val="99"/>
    <w:qFormat/>
    <w:rPr>
      <w:rFonts w:ascii="Times New Roman" w:eastAsia="SimSun" w:hAnsi="Times New Roman" w:cs="Times New Roman"/>
      <w:kern w:val="0"/>
      <w:sz w:val="20"/>
      <w:szCs w:val="20"/>
      <w:lang w:eastAsia="en-US"/>
    </w:rPr>
  </w:style>
  <w:style w:type="character" w:customStyle="1" w:styleId="CommentSubjectChar">
    <w:name w:val="Comment Subject Char"/>
    <w:basedOn w:val="CommentTextChar"/>
    <w:link w:val="CommentSubject"/>
    <w:qFormat/>
    <w:rPr>
      <w:rFonts w:ascii="Times New Roman" w:eastAsia="SimSun" w:hAnsi="Times New Roman" w:cs="Times New Roman"/>
      <w:b/>
      <w:bCs/>
      <w:kern w:val="0"/>
      <w:sz w:val="20"/>
      <w:szCs w:val="20"/>
      <w:lang w:eastAsia="en-US"/>
    </w:rPr>
  </w:style>
  <w:style w:type="paragraph" w:customStyle="1" w:styleId="1">
    <w:name w:val="修订1"/>
    <w:hidden/>
    <w:uiPriority w:val="99"/>
    <w:semiHidden/>
    <w:qFormat/>
    <w:rPr>
      <w:sz w:val="22"/>
      <w:szCs w:val="22"/>
      <w:lang w:val="en-US" w:eastAsia="en-US"/>
    </w:rPr>
  </w:style>
  <w:style w:type="paragraph" w:customStyle="1" w:styleId="Agreement">
    <w:name w:val="Agreement"/>
    <w:basedOn w:val="Normal"/>
    <w:next w:val="Normal"/>
    <w:qFormat/>
    <w:pPr>
      <w:numPr>
        <w:numId w:val="4"/>
      </w:numPr>
      <w:autoSpaceDE/>
      <w:autoSpaceDN/>
      <w:adjustRightInd/>
      <w:snapToGrid/>
      <w:spacing w:before="60" w:after="0"/>
      <w:jc w:val="left"/>
    </w:pPr>
    <w:rPr>
      <w:rFonts w:ascii="Arial" w:eastAsia="MS Mincho" w:hAnsi="Arial"/>
      <w:b/>
      <w:sz w:val="20"/>
      <w:szCs w:val="24"/>
      <w:lang w:val="en-GB" w:eastAsia="en-GB"/>
    </w:rPr>
  </w:style>
  <w:style w:type="character" w:customStyle="1" w:styleId="10">
    <w:name w:val="明显强调1"/>
    <w:basedOn w:val="DefaultParagraphFont"/>
    <w:qFormat/>
    <w:rPr>
      <w:b/>
      <w:bCs/>
      <w:i/>
      <w:iCs/>
      <w:color w:val="4F81BD"/>
    </w:rPr>
  </w:style>
  <w:style w:type="paragraph" w:customStyle="1" w:styleId="EQ">
    <w:name w:val="EQ"/>
    <w:basedOn w:val="Normal"/>
    <w:next w:val="Normal"/>
    <w:link w:val="EQChar"/>
    <w:qFormat/>
    <w:pPr>
      <w:keepLines/>
      <w:tabs>
        <w:tab w:val="center" w:pos="4536"/>
        <w:tab w:val="right" w:pos="9072"/>
      </w:tabs>
      <w:autoSpaceDE/>
      <w:autoSpaceDN/>
      <w:adjustRightInd/>
      <w:snapToGrid/>
      <w:spacing w:after="180"/>
      <w:jc w:val="left"/>
    </w:pPr>
    <w:rPr>
      <w:rFonts w:eastAsiaTheme="minorEastAsia"/>
      <w:sz w:val="20"/>
      <w:szCs w:val="20"/>
      <w:lang w:val="en-GB"/>
    </w:rPr>
  </w:style>
  <w:style w:type="character" w:customStyle="1" w:styleId="EQChar">
    <w:name w:val="EQ Char"/>
    <w:link w:val="EQ"/>
    <w:qFormat/>
    <w:rPr>
      <w:rFonts w:ascii="Times New Roman" w:hAnsi="Times New Roman" w:cs="Times New Roman"/>
      <w:kern w:val="0"/>
      <w:sz w:val="20"/>
      <w:szCs w:val="20"/>
      <w:lang w:val="en-GB" w:eastAsia="en-US"/>
    </w:rPr>
  </w:style>
  <w:style w:type="paragraph" w:customStyle="1" w:styleId="B1">
    <w:name w:val="B1"/>
    <w:basedOn w:val="List"/>
    <w:link w:val="B10"/>
    <w:qFormat/>
    <w:pPr>
      <w:autoSpaceDE/>
      <w:autoSpaceDN/>
      <w:adjustRightInd/>
      <w:snapToGrid/>
      <w:spacing w:after="180"/>
      <w:ind w:left="568" w:firstLineChars="0" w:hanging="284"/>
      <w:contextualSpacing w:val="0"/>
      <w:jc w:val="left"/>
    </w:pPr>
    <w:rPr>
      <w:rFonts w:eastAsiaTheme="minorEastAsia"/>
      <w:sz w:val="20"/>
      <w:szCs w:val="20"/>
      <w:lang w:val="en-GB"/>
    </w:rPr>
  </w:style>
  <w:style w:type="character" w:customStyle="1" w:styleId="B10">
    <w:name w:val="B1 (文字)"/>
    <w:link w:val="B1"/>
    <w:uiPriority w:val="99"/>
    <w:qFormat/>
    <w:locked/>
    <w:rPr>
      <w:rFonts w:ascii="Times New Roman" w:hAnsi="Times New Roman" w:cs="Times New Roman"/>
      <w:kern w:val="0"/>
      <w:sz w:val="20"/>
      <w:szCs w:val="20"/>
      <w:lang w:val="en-GB" w:eastAsia="en-US"/>
    </w:rPr>
  </w:style>
  <w:style w:type="paragraph" w:customStyle="1" w:styleId="EmailDiscussion2">
    <w:name w:val="EmailDiscussion2"/>
    <w:basedOn w:val="Normal"/>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paragraph" w:customStyle="1" w:styleId="TH">
    <w:name w:val="TH"/>
    <w:basedOn w:val="Normal"/>
    <w:link w:val="THChar"/>
    <w:qFormat/>
    <w:pPr>
      <w:keepNext/>
      <w:keepLines/>
      <w:autoSpaceDE/>
      <w:autoSpaceDN/>
      <w:adjustRightInd/>
      <w:snapToGrid/>
      <w:spacing w:before="60" w:after="180"/>
      <w:jc w:val="center"/>
    </w:pPr>
    <w:rPr>
      <w:rFonts w:ascii="Arial" w:eastAsiaTheme="minorEastAsia" w:hAnsi="Arial"/>
      <w:b/>
      <w:sz w:val="20"/>
      <w:szCs w:val="20"/>
      <w:lang w:val="en-GB"/>
    </w:rPr>
  </w:style>
  <w:style w:type="character" w:customStyle="1" w:styleId="THChar">
    <w:name w:val="TH Char"/>
    <w:link w:val="TH"/>
    <w:qFormat/>
    <w:rPr>
      <w:rFonts w:ascii="Arial" w:hAnsi="Arial" w:cs="Times New Roman"/>
      <w:b/>
      <w:kern w:val="0"/>
      <w:sz w:val="20"/>
      <w:szCs w:val="20"/>
      <w:lang w:val="en-GB" w:eastAsia="en-US"/>
    </w:rPr>
  </w:style>
  <w:style w:type="paragraph" w:customStyle="1" w:styleId="TAN">
    <w:name w:val="TAN"/>
    <w:basedOn w:val="Normal"/>
    <w:link w:val="TANChar"/>
    <w:qFormat/>
    <w:pPr>
      <w:keepNext/>
      <w:keepLines/>
      <w:autoSpaceDE/>
      <w:autoSpaceDN/>
      <w:adjustRightInd/>
      <w:snapToGrid/>
      <w:spacing w:after="0"/>
      <w:ind w:left="851" w:hanging="851"/>
      <w:jc w:val="left"/>
    </w:pPr>
    <w:rPr>
      <w:rFonts w:ascii="Arial" w:eastAsiaTheme="minorEastAsia" w:hAnsi="Arial"/>
      <w:sz w:val="18"/>
      <w:szCs w:val="20"/>
      <w:lang w:val="en-GB"/>
    </w:rPr>
  </w:style>
  <w:style w:type="character" w:customStyle="1" w:styleId="TANChar">
    <w:name w:val="TAN Char"/>
    <w:link w:val="TAN"/>
    <w:qFormat/>
    <w:rPr>
      <w:rFonts w:ascii="Arial" w:hAnsi="Arial" w:cs="Times New Roman"/>
      <w:kern w:val="0"/>
      <w:sz w:val="18"/>
      <w:szCs w:val="20"/>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overflowPunct w:val="0"/>
      <w:snapToGrid/>
      <w:spacing w:after="0"/>
      <w:jc w:val="left"/>
      <w:textAlignment w:val="baseline"/>
    </w:pPr>
    <w:rPr>
      <w:rFonts w:ascii="Arial" w:eastAsia="Times New Roman" w:hAnsi="Arial"/>
      <w:sz w:val="18"/>
      <w:szCs w:val="20"/>
      <w:lang w:val="en-GB" w:eastAsia="ko-KR"/>
    </w:rPr>
  </w:style>
  <w:style w:type="character" w:customStyle="1" w:styleId="TALChar">
    <w:name w:val="TAL Char"/>
    <w:link w:val="TAL"/>
    <w:qFormat/>
    <w:rPr>
      <w:rFonts w:ascii="Arial" w:eastAsia="Times New Roman" w:hAnsi="Arial" w:cs="Times New Roman"/>
      <w:kern w:val="0"/>
      <w:sz w:val="18"/>
      <w:szCs w:val="20"/>
      <w:lang w:val="en-GB" w:eastAsia="ko-KR"/>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Heading1"/>
    <w:next w:val="Normal"/>
    <w:qFormat/>
    <w:pPr>
      <w:keepLines/>
      <w:numPr>
        <w:numId w:val="0"/>
      </w:numPr>
      <w:pBdr>
        <w:top w:val="single" w:sz="12" w:space="3" w:color="auto"/>
      </w:pBdr>
      <w:autoSpaceDE/>
      <w:autoSpaceDN/>
      <w:adjustRightInd/>
      <w:snapToGrid/>
      <w:spacing w:before="240" w:after="180"/>
      <w:ind w:left="1134" w:hanging="1134"/>
      <w:jc w:val="left"/>
      <w:outlineLvl w:val="9"/>
    </w:pPr>
    <w:rPr>
      <w:rFonts w:ascii="Arial" w:eastAsiaTheme="minorEastAsia" w:hAnsi="Arial"/>
      <w:b w:val="0"/>
      <w:bCs w:val="0"/>
      <w:sz w:val="36"/>
      <w:szCs w:val="20"/>
      <w:lang w:val="en-GB"/>
    </w:rPr>
  </w:style>
  <w:style w:type="character" w:customStyle="1" w:styleId="FootnoteTextChar">
    <w:name w:val="Footnote Text Char"/>
    <w:basedOn w:val="DefaultParagraphFont"/>
    <w:link w:val="FootnoteText"/>
    <w:qFormat/>
    <w:rPr>
      <w:rFonts w:ascii="Times New Roman" w:hAnsi="Times New Roman" w:cs="Times New Roman"/>
      <w:kern w:val="0"/>
      <w:sz w:val="16"/>
      <w:szCs w:val="20"/>
      <w:lang w:val="en-GB" w:eastAsia="en-US"/>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hAnsi="Arial" w:cs="Times New Roman"/>
      <w:b/>
      <w:kern w:val="0"/>
      <w:sz w:val="20"/>
      <w:szCs w:val="20"/>
      <w:lang w:val="en-GB" w:eastAsia="en-US"/>
    </w:rPr>
  </w:style>
  <w:style w:type="paragraph" w:customStyle="1" w:styleId="NO">
    <w:name w:val="NO"/>
    <w:basedOn w:val="Normal"/>
    <w:link w:val="NOChar"/>
    <w:uiPriority w:val="99"/>
    <w:qFormat/>
    <w:pPr>
      <w:keepLines/>
      <w:autoSpaceDE/>
      <w:autoSpaceDN/>
      <w:adjustRightInd/>
      <w:snapToGrid/>
      <w:spacing w:after="180"/>
      <w:ind w:left="1135" w:hanging="851"/>
      <w:jc w:val="left"/>
    </w:pPr>
    <w:rPr>
      <w:rFonts w:eastAsiaTheme="minorEastAsia"/>
      <w:sz w:val="20"/>
      <w:szCs w:val="20"/>
      <w:lang w:val="en-GB"/>
    </w:rPr>
  </w:style>
  <w:style w:type="character" w:customStyle="1" w:styleId="NOChar">
    <w:name w:val="NO Char"/>
    <w:link w:val="NO"/>
    <w:qFormat/>
    <w:rPr>
      <w:rFonts w:ascii="Times New Roman" w:hAnsi="Times New Roman" w:cs="Times New Roman"/>
      <w:kern w:val="0"/>
      <w:sz w:val="20"/>
      <w:szCs w:val="20"/>
      <w:lang w:val="en-GB" w:eastAsia="en-US"/>
    </w:rPr>
  </w:style>
  <w:style w:type="paragraph" w:customStyle="1" w:styleId="EX">
    <w:name w:val="EX"/>
    <w:basedOn w:val="Normal"/>
    <w:link w:val="EXChar"/>
    <w:qFormat/>
    <w:pPr>
      <w:keepLines/>
      <w:autoSpaceDE/>
      <w:autoSpaceDN/>
      <w:adjustRightInd/>
      <w:snapToGrid/>
      <w:spacing w:after="180"/>
      <w:ind w:left="1702" w:hanging="1418"/>
      <w:jc w:val="left"/>
    </w:pPr>
    <w:rPr>
      <w:rFonts w:eastAsiaTheme="minorEastAsia"/>
      <w:sz w:val="20"/>
      <w:szCs w:val="20"/>
      <w:lang w:val="en-GB"/>
    </w:rPr>
  </w:style>
  <w:style w:type="character" w:customStyle="1" w:styleId="EXChar">
    <w:name w:val="EX Char"/>
    <w:link w:val="EX"/>
    <w:qFormat/>
    <w:rPr>
      <w:rFonts w:ascii="Times New Roman" w:hAnsi="Times New Roman" w:cs="Times New Roman"/>
      <w:kern w:val="0"/>
      <w:sz w:val="20"/>
      <w:szCs w:val="20"/>
      <w:lang w:val="en-GB" w:eastAsia="en-US"/>
    </w:rPr>
  </w:style>
  <w:style w:type="paragraph" w:customStyle="1" w:styleId="FP">
    <w:name w:val="FP"/>
    <w:basedOn w:val="Normal"/>
    <w:qFormat/>
    <w:pPr>
      <w:autoSpaceDE/>
      <w:autoSpaceDN/>
      <w:adjustRightInd/>
      <w:snapToGrid/>
      <w:spacing w:after="0"/>
      <w:jc w:val="left"/>
    </w:pPr>
    <w:rPr>
      <w:rFonts w:eastAsiaTheme="minorEastAsia"/>
      <w:sz w:val="20"/>
      <w:szCs w:val="20"/>
      <w:lang w:val="en-GB"/>
    </w:r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qFormat/>
    <w:rPr>
      <w:color w:val="FF0000"/>
    </w:rPr>
  </w:style>
  <w:style w:type="character" w:customStyle="1" w:styleId="B1Char">
    <w:name w:val="B1 Char"/>
    <w:qFormat/>
    <w:rPr>
      <w:rFonts w:ascii="Times New Roman" w:hAnsi="Times New Roman"/>
      <w:lang w:val="en-GB"/>
    </w:rPr>
  </w:style>
  <w:style w:type="paragraph" w:customStyle="1" w:styleId="B2">
    <w:name w:val="B2"/>
    <w:basedOn w:val="List2"/>
    <w:link w:val="B2Char"/>
    <w:qFormat/>
  </w:style>
  <w:style w:type="character" w:customStyle="1" w:styleId="B2Char">
    <w:name w:val="B2 Char"/>
    <w:link w:val="B2"/>
    <w:qFormat/>
    <w:rPr>
      <w:rFonts w:ascii="Times New Roman" w:hAnsi="Times New Roman" w:cs="Times New Roman"/>
      <w:kern w:val="0"/>
      <w:sz w:val="20"/>
      <w:szCs w:val="20"/>
      <w:lang w:val="en-GB" w:eastAsia="en-US"/>
    </w:rPr>
  </w:style>
  <w:style w:type="paragraph" w:customStyle="1" w:styleId="B3">
    <w:name w:val="B3"/>
    <w:basedOn w:val="List3"/>
    <w:link w:val="B3Char2"/>
    <w:qFormat/>
  </w:style>
  <w:style w:type="character" w:customStyle="1" w:styleId="B3Char2">
    <w:name w:val="B3 Char2"/>
    <w:link w:val="B3"/>
    <w:qFormat/>
    <w:rPr>
      <w:rFonts w:ascii="Times New Roman" w:hAnsi="Times New Roman" w:cs="Times New Roman"/>
      <w:kern w:val="0"/>
      <w:sz w:val="20"/>
      <w:szCs w:val="20"/>
      <w:lang w:val="en-GB" w:eastAsia="en-US"/>
    </w:rPr>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pPr>
    <w:rPr>
      <w:rFonts w:ascii="Arial" w:eastAsiaTheme="minorEastAsia" w:hAnsi="Arial"/>
      <w:lang w:val="en-GB" w:eastAsia="en-US"/>
    </w:rPr>
  </w:style>
  <w:style w:type="character" w:customStyle="1" w:styleId="CRCoverPageChar">
    <w:name w:val="CR Cover Page Char"/>
    <w:link w:val="CRCoverPage"/>
    <w:qFormat/>
    <w:rPr>
      <w:rFonts w:ascii="Arial" w:hAnsi="Arial" w:cs="Times New Roman"/>
      <w:kern w:val="0"/>
      <w:sz w:val="20"/>
      <w:szCs w:val="20"/>
      <w:lang w:val="en-GB" w:eastAsia="en-US"/>
    </w:rPr>
  </w:style>
  <w:style w:type="paragraph" w:customStyle="1" w:styleId="tdoc-header">
    <w:name w:val="tdoc-header"/>
    <w:qFormat/>
    <w:rPr>
      <w:rFonts w:ascii="Arial" w:eastAsiaTheme="minorEastAsia" w:hAnsi="Arial"/>
      <w:sz w:val="24"/>
      <w:lang w:val="en-GB" w:eastAsia="en-US"/>
    </w:rPr>
  </w:style>
  <w:style w:type="character" w:customStyle="1" w:styleId="DocumentMapChar">
    <w:name w:val="Document Map Char"/>
    <w:basedOn w:val="DefaultParagraphFont"/>
    <w:link w:val="DocumentMap"/>
    <w:qFormat/>
    <w:rPr>
      <w:rFonts w:ascii="Tahoma" w:hAnsi="Tahoma" w:cs="Times New Roman"/>
      <w:kern w:val="0"/>
      <w:sz w:val="20"/>
      <w:szCs w:val="20"/>
      <w:shd w:val="clear" w:color="auto" w:fill="000080"/>
      <w:lang w:val="en-GB" w:eastAsia="en-US"/>
    </w:rPr>
  </w:style>
  <w:style w:type="paragraph" w:customStyle="1" w:styleId="TAJ">
    <w:name w:val="TAJ"/>
    <w:basedOn w:val="TH"/>
    <w:qFormat/>
  </w:style>
  <w:style w:type="paragraph" w:customStyle="1" w:styleId="Guidance">
    <w:name w:val="Guidance"/>
    <w:basedOn w:val="Normal"/>
    <w:link w:val="GuidanceChar"/>
    <w:qFormat/>
    <w:pPr>
      <w:autoSpaceDE/>
      <w:autoSpaceDN/>
      <w:adjustRightInd/>
      <w:snapToGrid/>
      <w:spacing w:after="180"/>
      <w:jc w:val="left"/>
    </w:pPr>
    <w:rPr>
      <w:rFonts w:eastAsiaTheme="minorEastAsia"/>
      <w:i/>
      <w:color w:val="0000FF"/>
      <w:sz w:val="20"/>
      <w:szCs w:val="20"/>
      <w:lang w:val="en-GB"/>
    </w:rPr>
  </w:style>
  <w:style w:type="character" w:customStyle="1" w:styleId="GuidanceChar">
    <w:name w:val="Guidance Char"/>
    <w:link w:val="Guidance"/>
    <w:qFormat/>
    <w:rPr>
      <w:rFonts w:ascii="Times New Roman" w:hAnsi="Times New Roman" w:cs="Times New Roman"/>
      <w:i/>
      <w:color w:val="0000FF"/>
      <w:kern w:val="0"/>
      <w:sz w:val="20"/>
      <w:szCs w:val="20"/>
      <w:lang w:val="en-GB" w:eastAsia="en-US"/>
    </w:rPr>
  </w:style>
  <w:style w:type="paragraph" w:customStyle="1" w:styleId="TableText">
    <w:name w:val="TableText"/>
    <w:basedOn w:val="Normal"/>
    <w:qFormat/>
    <w:pPr>
      <w:keepNext/>
      <w:keepLines/>
      <w:overflowPunct w:val="0"/>
      <w:snapToGrid/>
      <w:spacing w:after="180"/>
      <w:jc w:val="center"/>
      <w:textAlignment w:val="baseline"/>
    </w:pPr>
    <w:rPr>
      <w:rFonts w:eastAsiaTheme="minorEastAsia"/>
      <w:snapToGrid w:val="0"/>
      <w:kern w:val="2"/>
      <w:sz w:val="20"/>
      <w:szCs w:val="20"/>
      <w:lang w:val="en-GB"/>
    </w:rPr>
  </w:style>
  <w:style w:type="paragraph" w:customStyle="1" w:styleId="Default">
    <w:name w:val="Default"/>
    <w:qFormat/>
    <w:pPr>
      <w:autoSpaceDE w:val="0"/>
      <w:autoSpaceDN w:val="0"/>
      <w:adjustRightInd w:val="0"/>
    </w:pPr>
    <w:rPr>
      <w:rFonts w:ascii="Arial" w:eastAsiaTheme="minorEastAsia" w:hAnsi="Arial" w:cs="Arial"/>
      <w:color w:val="000000"/>
      <w:sz w:val="24"/>
      <w:szCs w:val="24"/>
      <w:lang w:val="fi-FI" w:eastAsia="fi-FI"/>
    </w:rPr>
  </w:style>
  <w:style w:type="character" w:customStyle="1" w:styleId="TALCar">
    <w:name w:val="TAL Car"/>
    <w:qFormat/>
    <w:rPr>
      <w:rFonts w:ascii="Arial" w:hAnsi="Arial"/>
      <w:sz w:val="18"/>
      <w:lang w:val="en-GB"/>
    </w:rPr>
  </w:style>
  <w:style w:type="paragraph" w:customStyle="1" w:styleId="LGTdoc1">
    <w:name w:val="LGTdoc_제목1"/>
    <w:basedOn w:val="Normal"/>
    <w:link w:val="LGTdoc1Char"/>
    <w:qFormat/>
    <w:pPr>
      <w:autoSpaceDE/>
      <w:autoSpaceDN/>
      <w:spacing w:beforeLines="50" w:after="100" w:afterAutospacing="1"/>
    </w:pPr>
    <w:rPr>
      <w:rFonts w:eastAsia="Batang"/>
      <w:b/>
      <w:snapToGrid w:val="0"/>
      <w:sz w:val="28"/>
      <w:szCs w:val="20"/>
      <w:lang w:val="en-GB" w:eastAsia="ko-KR"/>
    </w:rPr>
  </w:style>
  <w:style w:type="character" w:customStyle="1" w:styleId="PLChar">
    <w:name w:val="PL Char"/>
    <w:link w:val="PL"/>
    <w:qFormat/>
    <w:rPr>
      <w:rFonts w:ascii="Courier New" w:hAnsi="Courier New" w:cs="Times New Roman"/>
      <w:kern w:val="0"/>
      <w:sz w:val="16"/>
      <w:szCs w:val="20"/>
      <w:lang w:val="en-GB" w:eastAsia="en-US"/>
    </w:rPr>
  </w:style>
  <w:style w:type="character" w:customStyle="1" w:styleId="B1Char1">
    <w:name w:val="B1 Char1"/>
    <w:qFormat/>
    <w:rPr>
      <w:rFonts w:eastAsia="Times New Roman"/>
    </w:rPr>
  </w:style>
  <w:style w:type="table" w:customStyle="1" w:styleId="11">
    <w:name w:val="网格型1"/>
    <w:basedOn w:val="TableNormal"/>
    <w:uiPriority w:val="39"/>
    <w:qFormat/>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qFormat/>
    <w:pPr>
      <w:numPr>
        <w:numId w:val="5"/>
      </w:numPr>
      <w:tabs>
        <w:tab w:val="clear" w:pos="1304"/>
        <w:tab w:val="left" w:pos="1701"/>
      </w:tabs>
      <w:spacing w:after="120"/>
      <w:ind w:left="1701" w:hanging="1701"/>
      <w:jc w:val="both"/>
    </w:pPr>
    <w:rPr>
      <w:rFonts w:ascii="Arial" w:eastAsiaTheme="minorEastAsia" w:hAnsi="Arial"/>
      <w:b/>
      <w:bCs/>
      <w:lang w:eastAsia="zh-CN"/>
    </w:rPr>
  </w:style>
  <w:style w:type="character" w:customStyle="1" w:styleId="LGTdoc1Char">
    <w:name w:val="LGTdoc_제목1 Char"/>
    <w:link w:val="LGTdoc1"/>
    <w:qFormat/>
    <w:rPr>
      <w:rFonts w:ascii="Times New Roman" w:eastAsia="Batang" w:hAnsi="Times New Roman" w:cs="Times New Roman"/>
      <w:b/>
      <w:snapToGrid w:val="0"/>
      <w:kern w:val="0"/>
      <w:sz w:val="28"/>
      <w:szCs w:val="20"/>
      <w:lang w:val="en-GB" w:eastAsia="ko-KR"/>
    </w:rPr>
  </w:style>
  <w:style w:type="character" w:customStyle="1" w:styleId="B1Zchn">
    <w:name w:val="B1 Zchn"/>
    <w:qFormat/>
    <w:rPr>
      <w:rFonts w:eastAsia="Malgun Gothic"/>
      <w:lang w:val="en-GB" w:eastAsia="en-US"/>
    </w:rPr>
  </w:style>
  <w:style w:type="character" w:customStyle="1" w:styleId="B4Char">
    <w:name w:val="B4 Char"/>
    <w:link w:val="B4"/>
    <w:qFormat/>
    <w:rPr>
      <w:rFonts w:ascii="Times New Roman" w:hAnsi="Times New Roman" w:cs="Times New Roman"/>
      <w:kern w:val="0"/>
      <w:sz w:val="20"/>
      <w:szCs w:val="20"/>
      <w:lang w:val="en-GB" w:eastAsia="en-US"/>
    </w:rPr>
  </w:style>
  <w:style w:type="character" w:customStyle="1" w:styleId="B5Char">
    <w:name w:val="B5 Char"/>
    <w:link w:val="B5"/>
    <w:qFormat/>
    <w:rPr>
      <w:rFonts w:ascii="Times New Roman" w:hAnsi="Times New Roman" w:cs="Times New Roman"/>
      <w:kern w:val="0"/>
      <w:sz w:val="20"/>
      <w:szCs w:val="20"/>
      <w:lang w:val="en-GB" w:eastAsia="en-US"/>
    </w:rPr>
  </w:style>
  <w:style w:type="paragraph" w:customStyle="1" w:styleId="h1">
    <w:name w:val="h1"/>
    <w:basedOn w:val="Normal"/>
    <w:qFormat/>
    <w:pPr>
      <w:autoSpaceDE/>
      <w:autoSpaceDN/>
      <w:adjustRightInd/>
      <w:snapToGrid/>
      <w:spacing w:after="0"/>
      <w:jc w:val="left"/>
    </w:pPr>
    <w:rPr>
      <w:rFonts w:ascii="Times" w:eastAsia="Batang" w:hAnsi="Times"/>
      <w:sz w:val="20"/>
      <w:szCs w:val="24"/>
      <w:lang w:val="en-GB"/>
    </w:rPr>
  </w:style>
  <w:style w:type="table" w:customStyle="1" w:styleId="2">
    <w:name w:val="网格型2"/>
    <w:basedOn w:val="TableNormal"/>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TableNormal"/>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HChar">
    <w:name w:val="TAH Char"/>
    <w:qFormat/>
    <w:locked/>
    <w:rPr>
      <w:rFonts w:ascii="Arial" w:hAnsi="Arial"/>
      <w:b/>
      <w:sz w:val="18"/>
      <w:lang w:val="en-GB"/>
    </w:rPr>
  </w:style>
  <w:style w:type="character" w:customStyle="1" w:styleId="Char1">
    <w:name w:val="列出段落 Char1"/>
    <w:uiPriority w:val="34"/>
    <w:qFormat/>
    <w:locked/>
    <w:rPr>
      <w:rFonts w:ascii="Calibri" w:hAnsi="Calibri" w:cs="Calibri"/>
      <w:sz w:val="22"/>
      <w:szCs w:val="22"/>
    </w:rPr>
  </w:style>
  <w:style w:type="paragraph" w:customStyle="1" w:styleId="Proposalsub">
    <w:name w:val="Proposal_sub"/>
    <w:basedOn w:val="Normal"/>
    <w:qFormat/>
    <w:pPr>
      <w:numPr>
        <w:numId w:val="6"/>
      </w:numPr>
      <w:autoSpaceDE/>
      <w:autoSpaceDN/>
      <w:adjustRightInd/>
      <w:snapToGrid/>
      <w:spacing w:before="120"/>
    </w:pPr>
    <w:rPr>
      <w:rFonts w:eastAsia="Malgun Gothic"/>
      <w:kern w:val="2"/>
      <w:sz w:val="20"/>
      <w:lang w:eastAsia="ko-KR"/>
    </w:rPr>
  </w:style>
  <w:style w:type="paragraph" w:customStyle="1" w:styleId="Proposalsubsub">
    <w:name w:val="Proposal_sub_sub"/>
    <w:basedOn w:val="Normal"/>
    <w:qFormat/>
    <w:pPr>
      <w:numPr>
        <w:ilvl w:val="1"/>
        <w:numId w:val="6"/>
      </w:numPr>
      <w:autoSpaceDE/>
      <w:autoSpaceDN/>
      <w:adjustRightInd/>
      <w:snapToGrid/>
      <w:spacing w:before="120"/>
      <w:ind w:left="1593"/>
    </w:pPr>
    <w:rPr>
      <w:rFonts w:eastAsia="Malgun Gothic"/>
      <w:kern w:val="2"/>
      <w:sz w:val="20"/>
      <w:lang w:eastAsia="ko-KR"/>
    </w:rPr>
  </w:style>
  <w:style w:type="character" w:customStyle="1" w:styleId="B3Char">
    <w:name w:val="B3 Char"/>
    <w:qFormat/>
    <w:rPr>
      <w:rFonts w:eastAsia="Times New Roman"/>
      <w:lang w:val="en-GB" w:eastAsia="en-GB"/>
    </w:rPr>
  </w:style>
  <w:style w:type="paragraph" w:customStyle="1" w:styleId="StyleHeading1H1h1appheading1l1MemoHeading1h11h12h13h">
    <w:name w:val="Style Heading 1H1h1app heading 1l1Memo Heading 1h11h12h13h..."/>
    <w:basedOn w:val="Heading1"/>
    <w:uiPriority w:val="99"/>
    <w:qFormat/>
    <w:pPr>
      <w:numPr>
        <w:numId w:val="7"/>
      </w:numPr>
      <w:autoSpaceDE/>
      <w:autoSpaceDN/>
      <w:adjustRightInd/>
      <w:snapToGrid/>
      <w:spacing w:before="240" w:after="60"/>
      <w:jc w:val="left"/>
    </w:pPr>
    <w:rPr>
      <w:rFonts w:ascii="Helvetica" w:eastAsia="Times New Roman" w:hAnsi="Helvetica"/>
      <w:kern w:val="32"/>
      <w:szCs w:val="20"/>
    </w:rPr>
  </w:style>
  <w:style w:type="paragraph" w:customStyle="1" w:styleId="Observation">
    <w:name w:val="Observation"/>
    <w:basedOn w:val="Proposal"/>
    <w:qFormat/>
    <w:pPr>
      <w:numPr>
        <w:numId w:val="8"/>
      </w:numPr>
      <w:tabs>
        <w:tab w:val="clear" w:pos="1304"/>
      </w:tabs>
    </w:pPr>
    <w:rPr>
      <w:rFonts w:eastAsia="SimSun"/>
      <w:lang w:eastAsia="ja-JP"/>
    </w:rPr>
  </w:style>
  <w:style w:type="table" w:customStyle="1" w:styleId="5-51">
    <w:name w:val="网格表 5 深色 - 着色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Reference">
    <w:name w:val="Reference"/>
    <w:basedOn w:val="BodyText"/>
    <w:qFormat/>
    <w:pPr>
      <w:numPr>
        <w:numId w:val="9"/>
      </w:numPr>
      <w:spacing w:after="120"/>
      <w:jc w:val="both"/>
    </w:pPr>
    <w:rPr>
      <w:rFonts w:ascii="Arial" w:eastAsia="SimSun" w:hAnsi="Arial"/>
      <w:lang w:eastAsia="zh-CN"/>
    </w:rPr>
  </w:style>
  <w:style w:type="paragraph" w:customStyle="1" w:styleId="2222">
    <w:name w:val="스타일 스타일 스타일 스타일 양쪽 첫 줄:  2 글자 + 첫 줄:  2 글자 + 첫 줄:  2 글자 + 첫 줄:  2..."/>
    <w:basedOn w:val="Normal"/>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textintend1">
    <w:name w:val="text intend 1"/>
    <w:basedOn w:val="Normal"/>
    <w:qFormat/>
    <w:pPr>
      <w:numPr>
        <w:numId w:val="10"/>
      </w:numPr>
      <w:overflowPunct w:val="0"/>
      <w:snapToGrid/>
      <w:spacing w:line="240" w:lineRule="auto"/>
      <w:textAlignment w:val="baseline"/>
    </w:pPr>
    <w:rPr>
      <w:rFonts w:eastAsia="MS Mincho"/>
      <w:sz w:val="24"/>
      <w:szCs w:val="20"/>
      <w:lang w:eastAsia="en-GB"/>
    </w:rPr>
  </w:style>
  <w:style w:type="paragraph" w:customStyle="1" w:styleId="20">
    <w:name w:val="修订2"/>
    <w:hidden/>
    <w:uiPriority w:val="99"/>
    <w:semiHidden/>
    <w:qFormat/>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EDC8CC-5E8B-4E22-BAB1-DCE3C617C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26</Pages>
  <Words>8155</Words>
  <Characters>46487</Characters>
  <Application>Microsoft Office Word</Application>
  <DocSecurity>0</DocSecurity>
  <Lines>387</Lines>
  <Paragraphs>109</Paragraphs>
  <ScaleCrop>false</ScaleCrop>
  <Company>Huawei Technologies Co.,Ltd.</Company>
  <LinksUpToDate>false</LinksUpToDate>
  <CharactersWithSpaces>54533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yangyubo (A)</dc:creator>
  <cp:lastModifiedBy>Ratasuk, Rapeepat (Nokia - US/Naperville)</cp:lastModifiedBy>
  <cp:revision>24</cp:revision>
  <dcterms:created xsi:type="dcterms:W3CDTF">2021-10-14T11:24:00Z</dcterms:created>
  <dcterms:modified xsi:type="dcterms:W3CDTF">2021-10-14T13:15:00Z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(3)7D4r9dB/xe7BIAslSjyvL7c0hQAOL8PYcZ7djJXhiyUVtRKpR1+TXVt1EXUCPMgJtvqyDHTP
dDf2Y+4dltVkca7yg49PtOdN5hnStDNZtLh1y4lNrlT/l16T7D4h1D2RpQU2ZD6q25XiLQpX
SqFBbdT46w+iM63aTEcHEvUL1/PUKw60C84bwsSZbfLtNkS2Bu358BKxz91cF3uGPAXLBOpI
asG//pF3GOyB5dHzro</vt:lpwstr>
  </property>
  <property fmtid="{D5CDD505-2E9C-101B-9397-08002B2CF9AE}" pid="3" name="_2015_ms_pID_7253431">
    <vt:lpwstr>DbKYezalLDFFqBnm687LD/lOT5dQfaXlKOyQuHuNF1rtHwt44W+QYz
bKpv1FhQb+NOB4Ib9L/dCw9tSWxHUirRIcmZPpRzmLGc3IIz4FZcRVUa0OKDkhjJwuA6ESkw
kUNYZZT9ND3qj9sTi8Kxk7u2lRjzyZMLIJqkj5ycJW4jSJlAj1O+vVVvuwkbqO9hiPPgKSEC
dZ0xBV5W4nEVqJAynBAjt9iDCbobL11LLIWf</vt:lpwstr>
  </property>
  <property fmtid="{D5CDD505-2E9C-101B-9397-08002B2CF9AE}" pid="4" name="_2015_ms_pID_7253432">
    <vt:lpwstr>mg==</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1629087117</vt:lpwstr>
  </property>
</Properties>
</file>