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9681862"/>
      <w:bookmarkStart w:id="2" w:name="_Ref124589705"/>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pPr>
        <w:ind w:left="440" w:leftChars="200"/>
        <w:rPr>
          <w:lang w:eastAsia="zh-CN"/>
        </w:rPr>
      </w:pPr>
      <w:r>
        <w:rPr>
          <w:highlight w:val="cyan"/>
          <w:lang w:eastAsia="zh-CN"/>
        </w:rPr>
        <w:t xml:space="preserve">[106bis-e-LTE-Rel17-NB-IoT-eMTC-01] Email discussion on support of 16-QAM for unicast in UL and DL for NB-IoT </w:t>
      </w:r>
      <w:r>
        <w:rPr>
          <w:highlight w:val="cyan"/>
        </w:rPr>
        <w:t>– Yubo (Huawei)</w:t>
      </w:r>
    </w:p>
    <w:p>
      <w:pPr>
        <w:rPr>
          <w:lang w:eastAsia="zh-CN"/>
        </w:rPr>
      </w:pPr>
    </w:p>
    <w:p>
      <w:pPr>
        <w:pStyle w:val="2"/>
        <w:rPr>
          <w:lang w:eastAsia="zh-CN"/>
        </w:rPr>
      </w:pPr>
      <w:r>
        <w:rPr>
          <w:lang w:eastAsia="zh-CN"/>
        </w:rPr>
        <w:t xml:space="preserve">Round 2 </w:t>
      </w:r>
      <w:r>
        <w:rPr>
          <w:rFonts w:hint="eastAsia"/>
          <w:lang w:eastAsia="zh-CN"/>
        </w:rPr>
        <w:t>Discussion</w:t>
      </w:r>
    </w:p>
    <w:p>
      <w:pPr>
        <w:pStyle w:val="3"/>
        <w:rPr>
          <w:lang w:eastAsia="zh-CN"/>
        </w:rPr>
      </w:pPr>
      <w:r>
        <w:rPr>
          <w:lang w:eastAsia="zh-CN"/>
        </w:rPr>
        <w:t>Stable agreements</w:t>
      </w:r>
    </w:p>
    <w:p>
      <w:pPr>
        <w:rPr>
          <w:lang w:eastAsia="zh-CN"/>
        </w:rPr>
      </w:pPr>
      <w:r>
        <w:rPr>
          <w:rFonts w:hint="eastAsia"/>
          <w:lang w:eastAsia="zh-CN"/>
        </w:rPr>
        <w:t xml:space="preserve">From the comments, it seems the following proposal can be </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r>
        <w:rPr>
          <w:b/>
          <w:lang w:eastAsia="zh-CN"/>
        </w:rPr>
        <w:t>Proposal 2: The reserved state to indicate the use of 16QAM in DCI format N0 and DCI format N1 should be “1111”.</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Pr>
        <w:rPr>
          <w:lang w:eastAsia="zh-CN"/>
        </w:rPr>
      </w:pPr>
    </w:p>
    <w:p>
      <w:pPr>
        <w:pStyle w:val="3"/>
        <w:rPr>
          <w:lang w:eastAsia="zh-CN"/>
        </w:rPr>
      </w:pPr>
      <w:r>
        <w:rPr>
          <w:lang w:eastAsia="zh-CN"/>
        </w:rPr>
        <w:t>Further discussion</w:t>
      </w:r>
    </w:p>
    <w:p>
      <w:pPr>
        <w:pStyle w:val="4"/>
      </w:pPr>
      <w:r>
        <w:rPr>
          <w:lang w:eastAsia="zh-CN"/>
        </w:rPr>
        <w:t>Issue 4: uplink power control</w:t>
      </w:r>
    </w:p>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0 – 13</w:t>
                        </w:r>
                      </w:p>
                    </w:tc>
                    <w:tc>
                      <w:tcPr>
                        <w:tcW w:w="1697"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14</w:t>
                        </w:r>
                      </w:p>
                    </w:tc>
                    <w:tc>
                      <w:tcPr>
                        <w:tcW w:w="1697" w:type="dxa"/>
                      </w:tcPr>
                      <w:p>
                        <w:pPr>
                          <w:pStyle w:val="66"/>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15</w:t>
                        </w:r>
                      </w:p>
                    </w:tc>
                    <w:tc>
                      <w:tcPr>
                        <w:tcW w:w="1697" w:type="dxa"/>
                      </w:tcPr>
                      <w:p>
                        <w:pPr>
                          <w:pStyle w:val="66"/>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16</w:t>
                        </w:r>
                      </w:p>
                    </w:tc>
                    <w:tc>
                      <w:tcPr>
                        <w:tcW w:w="1697" w:type="dxa"/>
                      </w:tcPr>
                      <w:p>
                        <w:pPr>
                          <w:pStyle w:val="66"/>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17</w:t>
                        </w:r>
                      </w:p>
                    </w:tc>
                    <w:tc>
                      <w:tcPr>
                        <w:tcW w:w="1697" w:type="dxa"/>
                      </w:tcPr>
                      <w:p>
                        <w:pPr>
                          <w:pStyle w:val="66"/>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18</w:t>
                        </w:r>
                      </w:p>
                    </w:tc>
                    <w:tc>
                      <w:tcPr>
                        <w:tcW w:w="1697" w:type="dxa"/>
                      </w:tcPr>
                      <w:p>
                        <w:pPr>
                          <w:pStyle w:val="66"/>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19</w:t>
                        </w:r>
                      </w:p>
                    </w:tc>
                    <w:tc>
                      <w:tcPr>
                        <w:tcW w:w="1697" w:type="dxa"/>
                      </w:tcPr>
                      <w:p>
                        <w:pPr>
                          <w:pStyle w:val="66"/>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20</w:t>
                        </w:r>
                      </w:p>
                    </w:tc>
                    <w:tc>
                      <w:tcPr>
                        <w:tcW w:w="1697" w:type="dxa"/>
                      </w:tcPr>
                      <w:p>
                        <w:pPr>
                          <w:pStyle w:val="66"/>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21</w:t>
                        </w:r>
                      </w:p>
                    </w:tc>
                    <w:tc>
                      <w:tcPr>
                        <w:tcW w:w="1697" w:type="dxa"/>
                      </w:tcPr>
                      <w:p>
                        <w:pPr>
                          <w:pStyle w:val="66"/>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0 – 13</w:t>
                        </w:r>
                      </w:p>
                    </w:tc>
                    <w:tc>
                      <w:tcPr>
                        <w:tcW w:w="1842"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14</w:t>
                        </w:r>
                      </w:p>
                    </w:tc>
                    <w:tc>
                      <w:tcPr>
                        <w:tcW w:w="1842" w:type="dxa"/>
                      </w:tcPr>
                      <w:p>
                        <w:pPr>
                          <w:pStyle w:val="66"/>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15</w:t>
                        </w:r>
                      </w:p>
                    </w:tc>
                    <w:tc>
                      <w:tcPr>
                        <w:tcW w:w="1842" w:type="dxa"/>
                      </w:tcPr>
                      <w:p>
                        <w:pPr>
                          <w:pStyle w:val="66"/>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16</w:t>
                        </w:r>
                      </w:p>
                    </w:tc>
                    <w:tc>
                      <w:tcPr>
                        <w:tcW w:w="1842" w:type="dxa"/>
                      </w:tcPr>
                      <w:p>
                        <w:pPr>
                          <w:pStyle w:val="66"/>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17</w:t>
                        </w:r>
                      </w:p>
                    </w:tc>
                    <w:tc>
                      <w:tcPr>
                        <w:tcW w:w="1842" w:type="dxa"/>
                      </w:tcPr>
                      <w:p>
                        <w:pPr>
                          <w:pStyle w:val="66"/>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18</w:t>
                        </w:r>
                      </w:p>
                    </w:tc>
                    <w:tc>
                      <w:tcPr>
                        <w:tcW w:w="1842" w:type="dxa"/>
                      </w:tcPr>
                      <w:p>
                        <w:pPr>
                          <w:pStyle w:val="66"/>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19</w:t>
                        </w:r>
                      </w:p>
                    </w:tc>
                    <w:tc>
                      <w:tcPr>
                        <w:tcW w:w="1842" w:type="dxa"/>
                      </w:tcPr>
                      <w:p>
                        <w:pPr>
                          <w:pStyle w:val="66"/>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20</w:t>
                        </w:r>
                      </w:p>
                    </w:tc>
                    <w:tc>
                      <w:tcPr>
                        <w:tcW w:w="1842" w:type="dxa"/>
                      </w:tcPr>
                      <w:p>
                        <w:pPr>
                          <w:pStyle w:val="66"/>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21</w:t>
                        </w:r>
                      </w:p>
                    </w:tc>
                    <w:tc>
                      <w:tcPr>
                        <w:tcW w:w="1842" w:type="dxa"/>
                      </w:tcPr>
                      <w:p>
                        <w:pPr>
                          <w:pStyle w:val="66"/>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szCs w:val="20"/>
                <w:lang w:eastAsia="zh-CN"/>
              </w:rPr>
              <w:t xml:space="preserve"> to apply to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MotoM</w:t>
            </w:r>
          </w:p>
        </w:tc>
        <w:tc>
          <w:tcPr>
            <w:tcW w:w="7469" w:type="dxa"/>
          </w:tcPr>
          <w:p>
            <w:pPr>
              <w:rPr>
                <w:szCs w:val="20"/>
                <w:lang w:eastAsia="zh-CN"/>
              </w:rPr>
            </w:pPr>
            <w:r>
              <w:rPr>
                <w:szCs w:val="20"/>
                <w:lang w:eastAsia="zh-CN"/>
              </w:rPr>
              <w:t>We are fine with the proposal as Moderator.</w:t>
            </w:r>
          </w:p>
          <w:p>
            <w:pPr>
              <w:pStyle w:val="66"/>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 applies to QPSK and 16QAM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v016</w:t>
            </w:r>
          </w:p>
        </w:tc>
        <w:tc>
          <w:tcPr>
            <w:tcW w:w="7469" w:type="dxa"/>
          </w:tcPr>
          <w:p>
            <w:pPr>
              <w:rPr>
                <w:szCs w:val="20"/>
                <w:lang w:eastAsia="zh-CN"/>
              </w:rPr>
            </w:pPr>
            <w:r>
              <w:rPr>
                <w:szCs w:val="20"/>
                <w:lang w:eastAsia="zh-CN"/>
              </w:rPr>
              <w:t>It is not the WID in this case, I think ZTE’s point is that the agreement on the “new term” was meant to be for 16-QAM.</w:t>
            </w:r>
          </w:p>
          <w:p>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pPr>
              <w:rPr>
                <w:szCs w:val="20"/>
                <w:lang w:eastAsia="zh-CN"/>
              </w:rPr>
            </w:pPr>
            <w:r>
              <w:rPr>
                <w:szCs w:val="20"/>
                <w:lang w:eastAsia="zh-CN"/>
              </w:rPr>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’s </w:t>
            </w:r>
            <w:r>
              <w:rPr>
                <w:szCs w:val="20"/>
                <w:lang w:eastAsia="zh-CN"/>
              </w:rPr>
              <w:t>equation) but without touching QPSK. The most important thing is to avoid the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r>
              <w:rPr>
                <w:rFonts w:hint="eastAsia"/>
                <w:szCs w:val="20"/>
                <w:lang w:val="en-US" w:eastAsia="zh-CN"/>
              </w:rPr>
              <w:t>ZTE, Sanechips</w:t>
            </w:r>
          </w:p>
        </w:tc>
        <w:tc>
          <w:tcPr>
            <w:tcW w:w="7469" w:type="dxa"/>
          </w:tcPr>
          <w:p>
            <w:pPr>
              <w:rPr>
                <w:rFonts w:hint="default"/>
                <w:szCs w:val="20"/>
                <w:lang w:val="en-US" w:eastAsia="zh-CN"/>
              </w:rPr>
            </w:pPr>
            <w:r>
              <w:rPr>
                <w:rFonts w:hint="eastAsia"/>
                <w:szCs w:val="20"/>
                <w:lang w:val="en-US" w:eastAsia="zh-CN"/>
              </w:rPr>
              <w:t xml:space="preserve">If the power control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i w:val="0"/>
                <w:lang w:val="en-US" w:eastAsia="zh-CN"/>
              </w:rPr>
              <w:t xml:space="preserve"> </w:t>
            </w:r>
            <w:r>
              <w:rPr>
                <w:rFonts w:hint="eastAsia"/>
                <w:szCs w:val="20"/>
                <w:lang w:val="en-US" w:eastAsia="zh-CN"/>
              </w:rPr>
              <w:t>is applied for QPSK, it reverts the agreement. So from our und</w:t>
            </w:r>
            <w:bookmarkStart w:id="73" w:name="_GoBack"/>
            <w:bookmarkEnd w:id="73"/>
            <w:r>
              <w:rPr>
                <w:rFonts w:hint="eastAsia"/>
                <w:szCs w:val="20"/>
                <w:lang w:val="en-US" w:eastAsia="zh-CN"/>
              </w:rPr>
              <w:t xml:space="preserve">erstanding, </w:t>
            </w:r>
            <w:r>
              <w:rPr>
                <w:szCs w:val="20"/>
                <w:lang w:eastAsia="zh-CN"/>
              </w:rPr>
              <w:t>a</w:t>
            </w:r>
            <w:r>
              <w:rPr>
                <w:rFonts w:hint="eastAsia"/>
                <w:szCs w:val="20"/>
                <w:lang w:val="en-US" w:eastAsia="zh-CN"/>
              </w:rPr>
              <w:t>n</w:t>
            </w:r>
            <w:r>
              <w:rPr>
                <w:szCs w:val="20"/>
                <w:lang w:eastAsia="zh-CN"/>
              </w:rPr>
              <w:t xml:space="preserve"> </w:t>
            </w:r>
            <w:r>
              <w:rPr>
                <w:rFonts w:hint="eastAsia"/>
                <w:szCs w:val="20"/>
                <w:lang w:val="en-US" w:eastAsia="zh-CN"/>
              </w:rPr>
              <w:t xml:space="preserve">additional </w:t>
            </w:r>
            <w:r>
              <w:rPr>
                <w:szCs w:val="20"/>
                <w:lang w:eastAsia="zh-CN"/>
              </w:rPr>
              <w:t xml:space="preserve">new term </w:t>
            </w:r>
            <w:r>
              <w:rPr>
                <w:rFonts w:hint="eastAsia"/>
                <w:szCs w:val="20"/>
                <w:lang w:val="en-US" w:eastAsia="zh-CN"/>
              </w:rPr>
              <w:t xml:space="preserve">can be considered to </w:t>
            </w:r>
            <w:r>
              <w:rPr>
                <w:szCs w:val="20"/>
                <w:lang w:eastAsia="zh-CN"/>
              </w:rPr>
              <w:t xml:space="preserve">compensate the </w:t>
            </w:r>
            <w:r>
              <w:rPr>
                <w:rFonts w:hint="eastAsia"/>
                <w:szCs w:val="20"/>
                <w:lang w:val="en-US" w:eastAsia="zh-CN"/>
              </w:rPr>
              <w:t xml:space="preserve">performance </w:t>
            </w:r>
            <w:r>
              <w:rPr>
                <w:szCs w:val="20"/>
                <w:lang w:eastAsia="zh-CN"/>
              </w:rPr>
              <w:t>jump</w:t>
            </w:r>
            <w:r>
              <w:rPr>
                <w:rFonts w:hint="eastAsia"/>
                <w:szCs w:val="20"/>
                <w:lang w:val="en-US" w:eastAsia="zh-CN"/>
              </w:rPr>
              <w:t xml:space="preserve"> between QPSK and 16-QM.</w:t>
            </w:r>
          </w:p>
        </w:tc>
      </w:tr>
    </w:tbl>
    <w:p>
      <w:pPr>
        <w:rPr>
          <w:lang w:eastAsia="zh-CN"/>
        </w:rPr>
      </w:pPr>
    </w:p>
    <w:p>
      <w:pPr>
        <w:pStyle w:val="4"/>
      </w:pPr>
      <w:r>
        <w:rPr>
          <w:lang w:eastAsia="zh-CN"/>
        </w:rPr>
        <w:t>Issue 5: Channel quality reporting</w:t>
      </w:r>
    </w:p>
    <w:p>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pPr>
        <w:rPr>
          <w:b/>
          <w:i/>
          <w:u w:val="single"/>
          <w:lang w:eastAsia="zh-CN"/>
        </w:rPr>
      </w:pPr>
      <w:r>
        <w:rPr>
          <w:b/>
          <w:i/>
          <w:u w:val="single"/>
          <w:lang w:eastAsia="zh-CN"/>
        </w:rPr>
        <w:t>Option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4653" w:type="dxa"/>
          </w:tcPr>
          <w:p>
            <w:pPr>
              <w:pStyle w:val="66"/>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tabs>
                <w:tab w:val="left" w:pos="1140"/>
              </w:tabs>
              <w:rPr>
                <w:lang w:eastAsia="zh-CN"/>
              </w:rPr>
            </w:pPr>
          </w:p>
        </w:tc>
        <w:tc>
          <w:tcPr>
            <w:tcW w:w="4654" w:type="dxa"/>
          </w:tcPr>
          <w:p>
            <w:pPr>
              <w:rPr>
                <w:lang w:eastAsia="zh-CN"/>
              </w:rPr>
            </w:pPr>
          </w:p>
          <w:tbl>
            <w:tblPr>
              <w:tblStyle w:val="47"/>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647"/>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Reported value</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NPDCCH repetition level</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color w:val="FF0000"/>
                      <w:sz w:val="11"/>
                    </w:rPr>
                  </w:pPr>
                  <w:r>
                    <w:rPr>
                      <w:color w:val="FF0000"/>
                      <w:sz w:val="11"/>
                    </w:rPr>
                    <w:t>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noMeasurement</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 measurement reporting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rPr>
                  </w:pPr>
                  <w:r>
                    <w:rPr>
                      <w:color w:val="FF0000"/>
                      <w:sz w:val="11"/>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candidateRep-A</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candidateRep-B</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candidateRep-C</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candidateRep-D</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8</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candidateRep-E</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16</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candidateRep-F</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32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64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candidateRep-H</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candidateRep-I</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candidateRep-J</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candidateRep-K</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candidateRep-L</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candidateRep-M</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candidateRep-N</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candidateRep-O</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TBS=21</w:t>
                  </w:r>
                </w:p>
              </w:tc>
            </w:tr>
          </w:tbl>
          <w:p>
            <w:pPr>
              <w:rPr>
                <w:lang w:eastAsia="zh-CN"/>
              </w:rPr>
            </w:pPr>
            <w:r>
              <w:rPr>
                <w:lang w:eastAsia="zh-CN"/>
              </w:rPr>
              <w:t>O</w:t>
            </w:r>
            <w:r>
              <w:rPr>
                <w:rFonts w:hint="eastAsia"/>
                <w:lang w:eastAsia="zh-CN"/>
              </w:rPr>
              <w:t>r</w:t>
            </w:r>
          </w:p>
          <w:tbl>
            <w:tblPr>
              <w:tblStyle w:val="47"/>
              <w:tblW w:w="4468" w:type="dxa"/>
              <w:jc w:val="center"/>
              <w:tblLayout w:type="autofit"/>
              <w:tblCellMar>
                <w:top w:w="0" w:type="dxa"/>
                <w:left w:w="108" w:type="dxa"/>
                <w:bottom w:w="0" w:type="dxa"/>
                <w:right w:w="108" w:type="dxa"/>
              </w:tblCellMar>
            </w:tblPr>
            <w:tblGrid>
              <w:gridCol w:w="1041"/>
              <w:gridCol w:w="1506"/>
              <w:gridCol w:w="840"/>
              <w:gridCol w:w="1081"/>
            </w:tblGrid>
            <w:tr>
              <w:tblPrEx>
                <w:tblCellMar>
                  <w:top w:w="0" w:type="dxa"/>
                  <w:left w:w="108" w:type="dxa"/>
                  <w:bottom w:w="0" w:type="dxa"/>
                  <w:right w:w="108" w:type="dxa"/>
                </w:tblCellMar>
              </w:tblPrEx>
              <w:trPr>
                <w:gridAfter w:val="1"/>
                <w:wAfter w:w="1081" w:type="dxa"/>
                <w:trHeight w:val="297" w:hRule="atLeast"/>
                <w:jc w:val="center"/>
              </w:trPr>
              <w:tc>
                <w:tcPr>
                  <w:tcW w:w="104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　</w:t>
                  </w:r>
                </w:p>
              </w:tc>
              <w:tc>
                <w:tcPr>
                  <w:tcW w:w="150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NPDCCH repetition level</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NPDSCH</w:t>
                  </w:r>
                </w:p>
              </w:tc>
            </w:tr>
            <w:tr>
              <w:tblPrEx>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1506"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Code rate x 1024</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noMeasurement</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candidateRep-A</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candidateRep-B</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candidateRep-C</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candidateRep-D</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candidateRep-E</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candidateRep-F</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32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candidateRep-G</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64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candidateRep-H</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128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candidate-M</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candidate-N</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candidate-O</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candidate-P</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candidate-Q</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candidate-S</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w:t>
            </w:r>
            <w:r>
              <w:rPr>
                <w:rFonts w:hint="eastAsia"/>
                <w:lang w:eastAsia="zh-CN"/>
              </w:rPr>
              <w:t>toM</w:t>
            </w:r>
          </w:p>
        </w:tc>
        <w:tc>
          <w:tcPr>
            <w:tcW w:w="6249" w:type="dxa"/>
          </w:tcPr>
          <w:p>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pPr>
              <w:rPr>
                <w:lang w:eastAsia="zh-CN"/>
              </w:rPr>
            </w:pPr>
            <w:r>
              <w:rPr>
                <w:lang w:eastAsia="zh-CN"/>
              </w:rPr>
              <w:t>For option 2, we don’t think it is sufficient to report only 3 CQI while more than 7~8 MCS levels for 16QAM are supported in MCS table.</w:t>
            </w:r>
          </w:p>
          <w:p>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pPr>
              <w:rPr>
                <w:lang w:eastAsia="zh-CN"/>
              </w:rPr>
            </w:pPr>
          </w:p>
          <w:p>
            <w:pPr>
              <w:rPr>
                <w:lang w:eastAsia="zh-CN"/>
              </w:rPr>
            </w:pPr>
            <w:r>
              <w:rPr>
                <w:lang w:eastAsia="zh-CN"/>
              </w:rPr>
              <w:t>Based on that, option 1 is our first preference, and then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r>
              <w:t xml:space="preserve">We still think that Option-2 is sufficient, however as an ultimate compromise we can accept Option-1 but subject to make it more backward compatible by interpreting Table 9.1.22.15-1 as per legacy or as per the updates for 16-QAM depending on Rmax. </w:t>
            </w:r>
          </w:p>
          <w:p>
            <w:r>
              <w:t>•</w:t>
            </w:r>
            <w:r>
              <w:tab/>
            </w:r>
            <w:r>
              <w:t xml:space="preserve">A UE configured with 16-QAM should be configured with a small Rmax let’s say &lt;= 16. </w:t>
            </w:r>
          </w:p>
          <w:p>
            <w:r>
              <w:t>•</w:t>
            </w:r>
            <w:r>
              <w:tab/>
            </w:r>
            <w:r>
              <w:t>If the UE is configured with 16-QAM and Rmax &lt;= 16, then any “Reported value” up to e.g., candidateRep-G will be interpreted as per Table 9.1.22.15-1 prior Rel-17, whereas any “Reported value” from candidateRep-H onwards will be interpreted as per 16-QAM.</w:t>
            </w:r>
          </w:p>
          <w:p>
            <w:r>
              <w:t>The above will make Option-1 backward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rFonts w:hint="default"/>
                <w:lang w:val="en-US" w:eastAsia="zh-CN"/>
              </w:rPr>
            </w:pPr>
            <w:r>
              <w:rPr>
                <w:rFonts w:hint="eastAsia"/>
                <w:lang w:val="en-US" w:eastAsia="zh-CN"/>
              </w:rPr>
              <w:t>ZTE, Sanechips</w:t>
            </w:r>
          </w:p>
        </w:tc>
        <w:tc>
          <w:tcPr>
            <w:tcW w:w="6249" w:type="dxa"/>
          </w:tcPr>
          <w:p>
            <w:pPr>
              <w:rPr>
                <w:rFonts w:hint="default"/>
                <w:szCs w:val="20"/>
                <w:lang w:val="en-US" w:eastAsia="zh-CN"/>
              </w:rPr>
            </w:pPr>
            <w:r>
              <w:rPr>
                <w:rFonts w:hint="eastAsia"/>
                <w:szCs w:val="20"/>
                <w:lang w:val="en-US" w:eastAsia="zh-CN"/>
              </w:rPr>
              <w:t>W</w:t>
            </w:r>
            <w:r>
              <w:rPr>
                <w:rFonts w:hint="eastAsia"/>
                <w:szCs w:val="20"/>
                <w:lang w:eastAsia="zh-CN"/>
              </w:rPr>
              <w:t>e</w:t>
            </w:r>
            <w:r>
              <w:rPr>
                <w:szCs w:val="20"/>
                <w:lang w:eastAsia="zh-CN"/>
              </w:rPr>
              <w:t>’</w:t>
            </w:r>
            <w:r>
              <w:rPr>
                <w:rFonts w:hint="eastAsia"/>
                <w:szCs w:val="20"/>
                <w:lang w:eastAsia="zh-CN"/>
              </w:rPr>
              <w:t>d like to mention that we already have the agreement in 104bis-emeeting</w:t>
            </w:r>
            <w:r>
              <w:rPr>
                <w:rFonts w:hint="eastAsia"/>
                <w:szCs w:val="20"/>
                <w:lang w:val="en-US"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pPr>
              <w:rPr>
                <w:rFonts w:hint="default"/>
                <w:lang w:val="en-US"/>
              </w:rPr>
            </w:pPr>
            <w:r>
              <w:rPr>
                <w:rFonts w:hint="eastAsia"/>
                <w:szCs w:val="20"/>
                <w:lang w:eastAsia="zh-CN"/>
              </w:rPr>
              <w:t>It means when the 16-QAM feature is configured, the CQI report should be based on NPDSCH, instead of NPDCCH.</w:t>
            </w:r>
            <w:r>
              <w:rPr>
                <w:rFonts w:hint="eastAsia"/>
                <w:szCs w:val="20"/>
                <w:lang w:val="en-US" w:eastAsia="zh-CN"/>
              </w:rPr>
              <w:t xml:space="preserve"> Option1 and option2 are not aligned with the agreement.</w:t>
            </w:r>
          </w:p>
        </w:tc>
      </w:tr>
    </w:tbl>
    <w:p>
      <w:pPr>
        <w:rPr>
          <w:lang w:eastAsia="zh-CN"/>
        </w:rPr>
      </w:pPr>
    </w:p>
    <w:p>
      <w:pPr>
        <w:rPr>
          <w:b/>
          <w:i/>
          <w:u w:val="single"/>
          <w:lang w:eastAsia="zh-CN"/>
        </w:rPr>
      </w:pPr>
      <w:r>
        <w:rPr>
          <w:b/>
          <w:i/>
          <w:u w:val="single"/>
          <w:lang w:eastAsia="zh-CN"/>
        </w:rPr>
        <w:t>Option 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tabs>
                <w:tab w:val="left" w:pos="1140"/>
              </w:tabs>
              <w:rPr>
                <w:lang w:eastAsia="zh-CN"/>
              </w:rPr>
            </w:pPr>
          </w:p>
        </w:tc>
        <w:tc>
          <w:tcPr>
            <w:tcW w:w="4654" w:type="dxa"/>
          </w:tcPr>
          <w:p>
            <w:pPr>
              <w:rPr>
                <w:lang w:eastAsia="zh-CN"/>
              </w:rPr>
            </w:pPr>
          </w:p>
          <w:tbl>
            <w:tblPr>
              <w:tblStyle w:val="47"/>
              <w:tblpPr w:leftFromText="180" w:rightFromText="180" w:vertAnchor="text" w:horzAnchor="margin" w:tblpY="-29"/>
              <w:tblOverlap w:val="never"/>
              <w:tblW w:w="5724" w:type="dxa"/>
              <w:tblInd w:w="0" w:type="dxa"/>
              <w:tblLayout w:type="autofit"/>
              <w:tblCellMar>
                <w:top w:w="0" w:type="dxa"/>
                <w:left w:w="0" w:type="dxa"/>
                <w:bottom w:w="0" w:type="dxa"/>
                <w:right w:w="0" w:type="dxa"/>
              </w:tblCellMar>
            </w:tblPr>
            <w:tblGrid>
              <w:gridCol w:w="1304"/>
              <w:gridCol w:w="1531"/>
              <w:gridCol w:w="722"/>
              <w:gridCol w:w="722"/>
              <w:gridCol w:w="722"/>
              <w:gridCol w:w="723"/>
            </w:tblGrid>
            <w:tr>
              <w:tblPrEx>
                <w:tblCellMar>
                  <w:top w:w="0" w:type="dxa"/>
                  <w:left w:w="0" w:type="dxa"/>
                  <w:bottom w:w="0" w:type="dxa"/>
                  <w:right w:w="0" w:type="dxa"/>
                </w:tblCellMar>
              </w:tblPrEx>
              <w:trPr>
                <w:trHeight w:val="985" w:hRule="atLeast"/>
              </w:trPr>
              <w:tc>
                <w:tcPr>
                  <w:tcW w:w="13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Reported value</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NPDCCH repetition level</w:t>
                  </w:r>
                </w:p>
              </w:tc>
              <w:tc>
                <w:tcPr>
                  <w:tcW w:w="2889" w:type="dxa"/>
                  <w:gridSpan w:val="4"/>
                  <w:tcBorders>
                    <w:top w:val="single" w:color="auto" w:sz="8" w:space="0"/>
                    <w:left w:val="nil"/>
                    <w:bottom w:val="single" w:color="auto" w:sz="8" w:space="0"/>
                    <w:right w:val="single" w:color="auto" w:sz="8" w:space="0"/>
                  </w:tcBorders>
                </w:tcPr>
                <w:p>
                  <w:pPr>
                    <w:pStyle w:val="72"/>
                    <w:ind w:left="440" w:hanging="440"/>
                    <w:rPr>
                      <w:sz w:val="11"/>
                      <w:szCs w:val="11"/>
                    </w:rPr>
                  </w:pPr>
                  <w:r>
                    <w:rPr>
                      <w:sz w:val="11"/>
                      <w:szCs w:val="11"/>
                    </w:rPr>
                    <w:t>16-QAM CQI index with NPDSCH transport block error probability not exceeding 0.1</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noMeasurement</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 measurement reporting</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rPr>
                    <w:t>No measurement reporting</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candidateRep-A</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candidateRep-B</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candidateRep-C</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candidateRep-D</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candidateRep-E</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candidateRep-F</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32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candidateRep-G</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64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candidateRep-H</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128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candidateRep-I</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256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candidateRep-J</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512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candidateRep-K</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1024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candidateRep-L</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2048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candidateRep-M</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Guard-band and Stand-alone</w:t>
                  </w: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 </w:t>
                  </w:r>
                </w:p>
                <w:p>
                  <w:pPr>
                    <w:pStyle w:val="75"/>
                    <w:rPr>
                      <w:sz w:val="11"/>
                      <w:szCs w:val="11"/>
                    </w:rPr>
                  </w:pPr>
                  <w:r>
                    <w:rPr>
                      <w:sz w:val="11"/>
                      <w:szCs w:val="11"/>
                      <w:lang w:eastAsia="ja-JP"/>
                    </w:rPr>
                    <w:t>In-band</w:t>
                  </w: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candidateRep-N</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candidateRep-O</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t>The concerns to support option 2 include: large SNR gap between NPDCCH repetition 1 and 16QAM TBS, more UE complexity on hypothetical decoding of both NPDCCH and NPDSCH, and limited number of MCS entries for 16-QAM for efficient CQI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To the Moderator:</w:t>
            </w:r>
          </w:p>
          <w:p>
            <w:pPr>
              <w:rPr>
                <w:lang w:eastAsia="zh-CN"/>
              </w:rPr>
            </w:pPr>
            <w:r>
              <w:rPr>
                <w:lang w:eastAsia="zh-CN"/>
              </w:rPr>
              <w:t>If you intend to quantify the SNR gap, I think you should compare “NPDSCH TBS index 14 with 16QAM” versus “NPDSCH TBS index 13 with QPSK”.</w:t>
            </w:r>
          </w:p>
          <w:p>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pPr>
              <w:rPr>
                <w:lang w:eastAsia="zh-CN"/>
              </w:rPr>
            </w:pPr>
            <w:r>
              <w:rPr>
                <w:lang w:eastAsia="zh-CN"/>
              </w:rPr>
              <w:t>To All:</w:t>
            </w:r>
          </w:p>
          <w:p>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default"/>
                <w:lang w:val="en-US" w:eastAsia="zh-CN"/>
              </w:rPr>
            </w:pPr>
            <w:r>
              <w:rPr>
                <w:rFonts w:hint="eastAsia"/>
                <w:lang w:val="en-US" w:eastAsia="zh-CN"/>
              </w:rPr>
              <w:t>More precise CQI report provide more higher data rate by matching the channel change. That the number of CQI values is limited to 3 should be avoided by sacrificing the data rate.</w:t>
            </w:r>
          </w:p>
        </w:tc>
      </w:tr>
    </w:tbl>
    <w:p>
      <w:pPr>
        <w:rPr>
          <w:lang w:eastAsia="zh-CN"/>
        </w:rPr>
      </w:pPr>
    </w:p>
    <w:p>
      <w:pPr>
        <w:rPr>
          <w:b/>
          <w:i/>
          <w:u w:val="single"/>
          <w:lang w:eastAsia="zh-CN"/>
        </w:rPr>
      </w:pPr>
      <w:r>
        <w:rPr>
          <w:rFonts w:hint="eastAsia"/>
          <w:b/>
          <w:i/>
          <w:u w:val="single"/>
          <w:lang w:eastAsia="zh-CN"/>
        </w:rPr>
        <w:t>Option 3:</w:t>
      </w:r>
    </w:p>
    <w:p>
      <w:pPr>
        <w:rPr>
          <w:b/>
          <w:i/>
          <w:u w:val="single"/>
          <w:lang w:eastAsia="zh-CN"/>
        </w:rPr>
      </w:pPr>
      <w:r>
        <w:rPr>
          <w:b/>
          <w:i/>
          <w:u w:val="single"/>
          <w:lang w:eastAsia="zh-CN"/>
        </w:rPr>
        <w:t>Option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tabs>
                <w:tab w:val="left" w:pos="1140"/>
              </w:tabs>
              <w:rPr>
                <w:lang w:eastAsia="zh-CN"/>
              </w:rPr>
            </w:pPr>
          </w:p>
        </w:tc>
        <w:tc>
          <w:tcPr>
            <w:tcW w:w="4654" w:type="dxa"/>
          </w:tcPr>
          <w:p>
            <w:pPr>
              <w:rPr>
                <w:lang w:eastAsia="zh-CN"/>
              </w:rPr>
            </w:pPr>
          </w:p>
          <w:tbl>
            <w:tblPr>
              <w:tblStyle w:val="47"/>
              <w:tblW w:w="0" w:type="auto"/>
              <w:jc w:val="center"/>
              <w:tblLayout w:type="autofit"/>
              <w:tblCellMar>
                <w:top w:w="0" w:type="dxa"/>
                <w:left w:w="0" w:type="dxa"/>
                <w:bottom w:w="0" w:type="dxa"/>
                <w:right w:w="0" w:type="dxa"/>
              </w:tblCellMar>
            </w:tblPr>
            <w:tblGrid>
              <w:gridCol w:w="624"/>
              <w:gridCol w:w="809"/>
              <w:gridCol w:w="687"/>
            </w:tblGrid>
            <w:tr>
              <w:tblPrEx>
                <w:tblCellMar>
                  <w:top w:w="0" w:type="dxa"/>
                  <w:left w:w="0" w:type="dxa"/>
                  <w:bottom w:w="0" w:type="dxa"/>
                  <w:right w:w="0" w:type="dxa"/>
                </w:tblCellMar>
              </w:tblPrEx>
              <w:trPr>
                <w:jc w:val="center"/>
              </w:trPr>
              <w:tc>
                <w:tcPr>
                  <w:tcW w:w="624"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CQI index</w:t>
                  </w:r>
                </w:p>
              </w:tc>
              <w:tc>
                <w:tcPr>
                  <w:tcW w:w="809"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modulation</w:t>
                  </w:r>
                </w:p>
              </w:tc>
              <w:tc>
                <w:tcPr>
                  <w:tcW w:w="64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TBS index</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4</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5</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6</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9</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18</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15</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bl>
          <w:p>
            <w:pPr>
              <w:rPr>
                <w:lang w:eastAsia="zh-CN"/>
              </w:rPr>
            </w:pPr>
          </w:p>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
              <w:t>As discussed on GTW session, the clarification from Mr chair is clear that the framework includes the measurement, triggering and reporting. All options here are proposing new tables, there are no essential difference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eastAsia"/>
                <w:szCs w:val="20"/>
                <w:lang w:val="en-US" w:eastAsia="zh-CN"/>
              </w:rPr>
            </w:pPr>
            <w:r>
              <w:rPr>
                <w:rFonts w:hint="eastAsia"/>
                <w:szCs w:val="20"/>
                <w:lang w:val="en-US" w:eastAsia="zh-CN"/>
              </w:rPr>
              <w:t>From our understanding, f</w:t>
            </w:r>
            <w:r>
              <w:rPr>
                <w:rFonts w:hint="eastAsia"/>
                <w:szCs w:val="20"/>
                <w:lang w:eastAsia="zh-CN"/>
              </w:rPr>
              <w:t>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r>
              <w:rPr>
                <w:rFonts w:hint="eastAsia"/>
                <w:szCs w:val="20"/>
                <w:lang w:val="en-US" w:eastAsia="zh-CN"/>
              </w:rPr>
              <w:t xml:space="preserve"> </w:t>
            </w:r>
          </w:p>
          <w:p>
            <w:pPr>
              <w:rPr>
                <w:rFonts w:hint="default"/>
                <w:szCs w:val="20"/>
                <w:lang w:val="en-US" w:eastAsia="zh-CN"/>
              </w:rPr>
            </w:pPr>
            <w:r>
              <w:rPr>
                <w:rFonts w:hint="eastAsia"/>
                <w:szCs w:val="20"/>
                <w:lang w:val="en-US" w:eastAsia="zh-CN"/>
              </w:rPr>
              <w:t>@</w:t>
            </w:r>
            <w:r>
              <w:rPr>
                <w:lang w:eastAsia="zh-CN"/>
              </w:rPr>
              <w:t>Ericsson</w:t>
            </w:r>
            <w:r>
              <w:rPr>
                <w:rFonts w:hint="eastAsia"/>
                <w:lang w:val="en-US" w:eastAsia="zh-CN"/>
              </w:rPr>
              <w:t>, based on the above analysis, c</w:t>
            </w:r>
            <w:r>
              <w:rPr>
                <w:rFonts w:hint="eastAsia"/>
                <w:szCs w:val="20"/>
                <w:lang w:val="en-US" w:eastAsia="zh-CN"/>
              </w:rPr>
              <w:t>ould you please clarify what</w:t>
            </w:r>
            <w:r>
              <w:rPr>
                <w:rFonts w:hint="default"/>
                <w:szCs w:val="20"/>
                <w:lang w:val="en-US" w:eastAsia="zh-CN"/>
              </w:rPr>
              <w:t>’</w:t>
            </w:r>
            <w:r>
              <w:rPr>
                <w:rFonts w:hint="eastAsia"/>
                <w:szCs w:val="20"/>
                <w:lang w:val="en-US" w:eastAsia="zh-CN"/>
              </w:rPr>
              <w:t>s the back compatible issue here?</w:t>
            </w:r>
          </w:p>
        </w:tc>
      </w:tr>
    </w:tbl>
    <w:p>
      <w:pPr>
        <w:rPr>
          <w:lang w:eastAsia="zh-CN"/>
        </w:rPr>
      </w:pPr>
    </w:p>
    <w:p>
      <w:pPr>
        <w:rPr>
          <w:lang w:eastAsia="zh-CN"/>
        </w:rPr>
      </w:pPr>
    </w:p>
    <w:p>
      <w:pPr>
        <w:rPr>
          <w:lang w:eastAsia="zh-CN"/>
        </w:rPr>
      </w:pPr>
    </w:p>
    <w:p>
      <w:pPr>
        <w:pStyle w:val="2"/>
        <w:rPr>
          <w:lang w:eastAsia="zh-CN"/>
        </w:rPr>
      </w:pPr>
      <w:r>
        <w:rPr>
          <w:lang w:eastAsia="zh-CN"/>
        </w:rPr>
        <w:t xml:space="preserve">Previous </w:t>
      </w: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5: Support 16-QAM for NPDSCH in PUR procedure.</w:t>
            </w:r>
          </w:p>
          <w:p>
            <w:pPr>
              <w:numPr>
                <w:ilvl w:val="0"/>
                <w:numId w:val="14"/>
              </w:numPr>
              <w:autoSpaceDE/>
              <w:autoSpaceDN/>
              <w:adjustRightInd/>
              <w:snapToGrid/>
              <w:spacing w:after="0" w:line="240" w:lineRule="auto"/>
              <w:ind w:left="801" w:leftChars="364"/>
              <w:jc w:val="left"/>
              <w:rPr>
                <w:b/>
              </w:rPr>
            </w:pPr>
            <w:r>
              <w:rPr>
                <w:b/>
              </w:rPr>
              <w:t>CSI report is not supported/expected during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Proposal 8: Support 16-QAM for NPDSCH in PUR procedure. CSI report is not expected during PUR procedure.</w:t>
            </w:r>
          </w:p>
          <w:p>
            <w:pPr>
              <w:spacing w:after="0"/>
              <w:rPr>
                <w:b/>
                <w:bCs/>
                <w:lang w:eastAsia="en-GB"/>
              </w:rPr>
            </w:pPr>
            <w:r>
              <w:rPr>
                <w:b/>
                <w:bCs/>
                <w:lang w:eastAsia="en-GB"/>
              </w:rPr>
              <w:t xml:space="preserve">Proposal 9: For supporting 16-QAM in PUR procedure, </w:t>
            </w:r>
          </w:p>
          <w:p>
            <w:pPr>
              <w:pStyle w:val="66"/>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6"/>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6"/>
              <w:numPr>
                <w:ilvl w:val="0"/>
                <w:numId w:val="18"/>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6"/>
              <w:numPr>
                <w:ilvl w:val="1"/>
                <w:numId w:val="18"/>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pPr>
              <w:pStyle w:val="157"/>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pPr>
              <w:pStyle w:val="140"/>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pPr>
              <w:pStyle w:val="140"/>
              <w:numPr>
                <w:ilvl w:val="0"/>
                <w:numId w:val="19"/>
              </w:numPr>
              <w:spacing w:line="240" w:lineRule="auto"/>
              <w:rPr>
                <w:lang w:val="en-US"/>
              </w:rPr>
            </w:pPr>
            <w:bookmarkStart w:id="8" w:name="_Toc83293674"/>
            <w:r>
              <w:rPr>
                <w:lang w:val="en-US"/>
              </w:rPr>
              <w:t>CSI report is not supported/expected during PUR procedure</w:t>
            </w:r>
            <w:bookmarkEnd w:id="8"/>
          </w:p>
          <w:p>
            <w:pPr>
              <w:pStyle w:val="140"/>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pPr>
              <w:pStyle w:val="140"/>
              <w:numPr>
                <w:ilvl w:val="0"/>
                <w:numId w:val="19"/>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pPr>
              <w:pStyle w:val="140"/>
              <w:numPr>
                <w:ilvl w:val="1"/>
                <w:numId w:val="19"/>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pPr>
              <w:pStyle w:val="140"/>
              <w:numPr>
                <w:ilvl w:val="2"/>
                <w:numId w:val="19"/>
              </w:numPr>
              <w:spacing w:line="240" w:lineRule="auto"/>
              <w:rPr>
                <w:lang w:val="en-US"/>
              </w:rPr>
            </w:pPr>
            <w:bookmarkStart w:id="12" w:name="_Toc83293678"/>
            <w:r>
              <w:rPr>
                <w:lang w:val="en-US"/>
              </w:rPr>
              <w:t>Note1: It’s up to RAN2 whether a new parameter or the legacy parameter is used to indicate the RU indices.</w:t>
            </w:r>
            <w:bookmarkEnd w:id="12"/>
          </w:p>
          <w:p>
            <w:pPr>
              <w:pStyle w:val="140"/>
              <w:numPr>
                <w:ilvl w:val="2"/>
                <w:numId w:val="19"/>
              </w:numPr>
              <w:spacing w:line="240" w:lineRule="auto"/>
              <w:rPr>
                <w:lang w:val="en-US"/>
              </w:rPr>
            </w:pPr>
            <w:bookmarkStart w:id="13" w:name="_Toc83293679"/>
            <w:r>
              <w:rPr>
                <w:lang w:val="en-US"/>
              </w:rPr>
              <w:t>Note 2: There may be additional parameters if agreed.</w:t>
            </w:r>
            <w:bookmarkEnd w:id="13"/>
          </w:p>
          <w:p>
            <w:pPr>
              <w:pStyle w:val="140"/>
              <w:numPr>
                <w:ilvl w:val="1"/>
                <w:numId w:val="19"/>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pPr>
              <w:rPr>
                <w:szCs w:val="20"/>
                <w:lang w:val="en-GB"/>
              </w:rPr>
            </w:pPr>
          </w:p>
        </w:tc>
      </w:tr>
    </w:tbl>
    <w:p>
      <w:pPr>
        <w:spacing w:line="240" w:lineRule="auto"/>
      </w:pPr>
    </w:p>
    <w:p>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pPr>
        <w:spacing w:line="240" w:lineRule="auto"/>
      </w:pPr>
      <w:r>
        <w:rPr>
          <w:rFonts w:hint="eastAsia"/>
        </w:rPr>
        <w:t xml:space="preserve">The details of RRC parameters can be discussed in the dedicated email </w:t>
      </w:r>
      <w:r>
        <w:t>thread for RRC parameters.</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pPr>
              <w:rPr>
                <w:sz w:val="18"/>
                <w:szCs w:val="18"/>
              </w:rPr>
            </w:pPr>
            <w:r>
              <w:rPr>
                <w:rFonts w:hint="eastAsia"/>
                <w:sz w:val="18"/>
                <w:szCs w:val="18"/>
              </w:rPr>
              <w:t> </w:t>
            </w:r>
          </w:p>
          <w:p>
            <w:pPr>
              <w:rPr>
                <w:sz w:val="18"/>
                <w:szCs w:val="18"/>
              </w:rPr>
            </w:pPr>
            <w:r>
              <w:rPr>
                <w:b/>
                <w:bCs/>
                <w:sz w:val="18"/>
                <w:szCs w:val="18"/>
                <w:highlight w:val="yellow"/>
              </w:rPr>
              <w:t>Potential agreement</w:t>
            </w:r>
            <w:r>
              <w:rPr>
                <w:b/>
                <w:bCs/>
                <w:sz w:val="18"/>
                <w:szCs w:val="18"/>
              </w:rPr>
              <w:t>: To support 16-QAM for NPDSCH and NPUSCH in PUR procedure,</w:t>
            </w:r>
          </w:p>
          <w:p>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pPr>
              <w:ind w:left="1134"/>
              <w:rPr>
                <w:sz w:val="18"/>
                <w:szCs w:val="18"/>
              </w:rPr>
            </w:pPr>
            <w:r>
              <w:rPr>
                <w:sz w:val="18"/>
                <w:szCs w:val="18"/>
              </w:rPr>
              <w:t xml:space="preserve">·         </w:t>
            </w:r>
            <w:r>
              <w:rPr>
                <w:rFonts w:hint="eastAsia"/>
                <w:b/>
                <w:bCs/>
                <w:sz w:val="18"/>
                <w:szCs w:val="18"/>
              </w:rPr>
              <w:t>Note 2: There may be additional parameters if agreed.</w:t>
            </w:r>
          </w:p>
          <w:p>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pPr>
              <w:rPr>
                <w:b/>
                <w:bCs/>
                <w:sz w:val="18"/>
                <w:szCs w:val="18"/>
                <w:highlight w:val="yellow"/>
              </w:rPr>
            </w:pPr>
          </w:p>
          <w:p>
            <w:pPr>
              <w:rPr>
                <w:sz w:val="18"/>
                <w:szCs w:val="18"/>
              </w:rPr>
            </w:pPr>
            <w:r>
              <w:rPr>
                <w:b/>
                <w:bCs/>
                <w:sz w:val="18"/>
                <w:szCs w:val="18"/>
                <w:highlight w:val="yellow"/>
              </w:rPr>
              <w:t>Potential agreement</w:t>
            </w:r>
            <w:r>
              <w:rPr>
                <w:b/>
                <w:bCs/>
                <w:sz w:val="18"/>
                <w:szCs w:val="18"/>
              </w:rPr>
              <w:t>: Support 16-QAM for NPDSCH in PUR procedure</w:t>
            </w:r>
          </w:p>
          <w:p>
            <w:pPr>
              <w:rPr>
                <w:sz w:val="18"/>
                <w:szCs w:val="18"/>
              </w:rPr>
            </w:pPr>
            <w:r>
              <w:rPr>
                <w:sz w:val="18"/>
                <w:szCs w:val="18"/>
              </w:rPr>
              <w:t xml:space="preserve">·       </w:t>
            </w:r>
            <w:r>
              <w:rPr>
                <w:b/>
                <w:bCs/>
                <w:sz w:val="18"/>
                <w:szCs w:val="18"/>
              </w:rPr>
              <w:t>CSI report is not supported/expected during PUR procedure</w:t>
            </w:r>
          </w:p>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1. We are OK to also agree together with the configuration proposal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According to comments, the proposals are updated as below:</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pPr>
              <w:pStyle w:val="28"/>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pPr>
              <w:pStyle w:val="28"/>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pPr>
              <w:pStyle w:val="28"/>
              <w:numPr>
                <w:ilvl w:val="2"/>
                <w:numId w:val="12"/>
              </w:numPr>
              <w:jc w:val="left"/>
              <w:rPr>
                <w:sz w:val="22"/>
              </w:rPr>
            </w:pPr>
            <w:r>
              <w:rPr>
                <w:rFonts w:hint="eastAsia"/>
                <w:sz w:val="22"/>
              </w:rPr>
              <w:t>Note 2: There may be additional parameters if agreed.</w:t>
            </w:r>
          </w:p>
          <w:p>
            <w:pPr>
              <w:pStyle w:val="28"/>
              <w:numPr>
                <w:ilvl w:val="0"/>
                <w:numId w:val="12"/>
              </w:numPr>
              <w:jc w:val="left"/>
            </w:pPr>
            <w:r>
              <w:rPr>
                <w:sz w:val="22"/>
              </w:rPr>
              <w:t>When</w:t>
            </w:r>
            <w:r>
              <w:rPr>
                <w:bCs w:val="0"/>
              </w:rPr>
              <w:t xml:space="preserve"> 16-QAM is enabled for NPDSCH, the DL power allocation is indicated in </w:t>
            </w:r>
            <w:r>
              <w:rPr>
                <w:bCs w:val="0"/>
                <w:i/>
                <w:iCs/>
              </w:rPr>
              <w:t>PUR-Config-NB</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proposal 1.</w:t>
            </w:r>
          </w:p>
          <w:p>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pPr>
              <w:rPr>
                <w:szCs w:val="20"/>
                <w:lang w:eastAsia="zh-CN"/>
              </w:rPr>
            </w:pPr>
            <w:r>
              <w:rPr>
                <w:szCs w:val="20"/>
                <w:lang w:eastAsia="zh-CN"/>
              </w:rPr>
              <w:t>To avoid any sort of misunderstanding, we would be fine with simplifying proposal 1A as follows:</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xml:space="preserve"> MotoM</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lang w:eastAsia="zh-CN"/>
              </w:rPr>
            </w:pPr>
            <w:r>
              <w:rPr>
                <w:b/>
                <w:lang w:eastAsia="zh-CN"/>
              </w:rPr>
              <w:t>Proposal 1: The reserved state to indicate the use of 16QAM in DCI format N0 and DCI format N1 should be “1111”.</w:t>
            </w:r>
          </w:p>
          <w:p>
            <w:pPr>
              <w:rPr>
                <w:szCs w:val="20"/>
              </w:rPr>
            </w:pPr>
          </w:p>
        </w:tc>
      </w:tr>
    </w:tbl>
    <w:p/>
    <w:p>
      <w:r>
        <w:rPr>
          <w:rFonts w:hint="eastAsia"/>
        </w:rPr>
        <w:t>There</w:t>
      </w:r>
      <w:r>
        <w:t>’s only one proposal for the DCI design, regarding the reserved state for indication of 16-QAM. To complete the remaining issue, the following is proposed:</w:t>
      </w:r>
    </w:p>
    <w:p>
      <w:r>
        <w:rPr>
          <w:b/>
          <w:lang w:eastAsia="zh-CN"/>
        </w:rPr>
        <w:t>Proposal 2: The reserved state to indicate the use of 16QAM in DCI format N0 and DCI format N1 should be “1111”.</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bCs/>
                <w:szCs w:val="21"/>
                <w:lang w:eastAsia="zh-CN"/>
              </w:rPr>
            </w:pPr>
            <w:r>
              <w:rPr>
                <w:b/>
                <w:bCs/>
                <w:szCs w:val="21"/>
                <w:lang w:eastAsia="zh-CN"/>
              </w:rPr>
              <w:t>Proposal 3: Confirm the WA of the DL power allocation for in-band deployments.</w:t>
            </w:r>
          </w:p>
          <w:p>
            <w:pPr>
              <w:shd w:val="clear" w:color="auto" w:fill="FFFFFF"/>
              <w:ind w:left="220" w:leftChars="100"/>
              <w:rPr>
                <w:b/>
                <w:highlight w:val="darkYellow"/>
                <w:lang w:eastAsia="zh-CN"/>
              </w:rPr>
            </w:pPr>
            <w:r>
              <w:rPr>
                <w:b/>
                <w:highlight w:val="darkYellow"/>
                <w:lang w:eastAsia="zh-CN"/>
              </w:rPr>
              <w:t xml:space="preserve">Working Assumption </w:t>
            </w:r>
          </w:p>
          <w:p>
            <w:pPr>
              <w:shd w:val="clear" w:color="auto" w:fill="FFFFFF"/>
              <w:ind w:left="220" w:leftChars="100"/>
              <w:rPr>
                <w:rFonts w:cs="Times"/>
                <w:b/>
                <w:szCs w:val="20"/>
                <w:lang w:eastAsia="ja-JP"/>
              </w:rPr>
            </w:pPr>
            <w:r>
              <w:rPr>
                <w:rFonts w:cs="Times"/>
                <w:b/>
                <w:szCs w:val="20"/>
                <w:lang w:eastAsia="ja-JP"/>
              </w:rPr>
              <w:t>For downlink power allocation to support 16QAM:</w:t>
            </w:r>
          </w:p>
          <w:p>
            <w:pPr>
              <w:numPr>
                <w:ilvl w:val="0"/>
                <w:numId w:val="13"/>
              </w:numPr>
              <w:autoSpaceDE/>
              <w:autoSpaceDN/>
              <w:adjustRightInd/>
              <w:snapToGrid/>
              <w:spacing w:after="0" w:line="240" w:lineRule="auto"/>
              <w:ind w:left="581" w:leftChars="264"/>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power ratio between NPDSCH EPRE and NRS EPRE in symbols with CRS is signalled</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signalling is UE specific</w:t>
            </w:r>
          </w:p>
          <w:p>
            <w:pPr>
              <w:ind w:left="220" w:leftChars="10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shd w:val="clear" w:color="auto" w:fill="FFFFFF"/>
              <w:rPr>
                <w:b/>
                <w:bCs/>
                <w:lang w:eastAsia="zh-CN"/>
              </w:rPr>
            </w:pPr>
            <w:r>
              <w:rPr>
                <w:b/>
                <w:bCs/>
                <w:u w:val="single"/>
                <w:lang w:eastAsia="zh-CN"/>
              </w:rPr>
              <w:t>Proposal 1:</w:t>
            </w:r>
            <w:r>
              <w:rPr>
                <w:b/>
                <w:bCs/>
                <w:lang w:eastAsia="zh-CN"/>
              </w:rPr>
              <w:t xml:space="preserve"> Confirm the following working assumption:</w:t>
            </w:r>
          </w:p>
          <w:p>
            <w:pPr>
              <w:shd w:val="clear" w:color="auto" w:fill="FFFFFF"/>
              <w:ind w:left="360"/>
              <w:rPr>
                <w:rFonts w:cs="Times"/>
                <w:b/>
                <w:bCs/>
                <w:lang w:eastAsia="ja-JP"/>
              </w:rPr>
            </w:pPr>
            <w:r>
              <w:rPr>
                <w:rFonts w:cs="Times"/>
                <w:b/>
                <w:bCs/>
                <w:lang w:eastAsia="ja-JP"/>
              </w:rPr>
              <w:t>For downlink power allocation to support 16QAM:</w:t>
            </w:r>
          </w:p>
          <w:p>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rPr>
            </w:pPr>
            <w:r>
              <w:rPr>
                <w:b/>
                <w:bCs/>
              </w:rPr>
              <w:t xml:space="preserve">Proposal 4: Confirm the working assumption on downlink power allocation for in-band deployment.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spacing w:before="120" w:beforeLines="5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240" w:afterLines="10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pPr>
              <w:pStyle w:val="157"/>
              <w:numPr>
                <w:ilvl w:val="0"/>
                <w:numId w:val="20"/>
              </w:numPr>
              <w:spacing w:line="240" w:lineRule="auto"/>
            </w:pPr>
            <w:bookmarkStart w:id="17" w:name="_Toc83293653"/>
            <w:bookmarkStart w:id="18" w:name="_Toc82635146"/>
            <w:r>
              <w:t>The power ratio to be signalled does not have a dependency on the PCI case.</w:t>
            </w:r>
            <w:bookmarkEnd w:id="17"/>
            <w:bookmarkEnd w:id="18"/>
          </w:p>
          <w:p>
            <w:pPr>
              <w:pStyle w:val="157"/>
              <w:numPr>
                <w:ilvl w:val="0"/>
                <w:numId w:val="20"/>
              </w:numPr>
              <w:spacing w:line="240" w:lineRule="auto"/>
            </w:pPr>
            <w:bookmarkStart w:id="19" w:name="_Toc82635147"/>
            <w:bookmarkStart w:id="20" w:name="_Toc83293654"/>
            <w:r>
              <w:t>The deployment modes will all use the same DL power allocation framework based on signalling power ratios.</w:t>
            </w:r>
            <w:bookmarkEnd w:id="19"/>
            <w:bookmarkEnd w:id="20"/>
          </w:p>
          <w:p>
            <w:pPr>
              <w:pStyle w:val="157"/>
              <w:numPr>
                <w:ilvl w:val="0"/>
                <w:numId w:val="20"/>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pPr>
              <w:pStyle w:val="140"/>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pPr>
              <w:rPr>
                <w:szCs w:val="20"/>
                <w:lang w:val="en-GB"/>
              </w:rPr>
            </w:pPr>
          </w:p>
        </w:tc>
      </w:tr>
    </w:tbl>
    <w:p>
      <w:pPr>
        <w:spacing w:line="240" w:lineRule="auto"/>
      </w:pPr>
    </w:p>
    <w:p>
      <w:pPr>
        <w:autoSpaceDE/>
        <w:autoSpaceDN/>
        <w:adjustRightInd/>
        <w:snapToGrid/>
        <w:spacing w:line="240" w:lineRule="auto"/>
        <w:jc w:val="left"/>
        <w:rPr>
          <w:rFonts w:ascii="Times" w:hAnsi="Times" w:eastAsia="MS Mincho" w:cs="Times"/>
          <w:lang w:val="en-GB" w:eastAsia="ja-JP"/>
        </w:rPr>
      </w:pPr>
      <w:r>
        <w:rPr>
          <w:rFonts w:hint="eastAsia" w:ascii="Times" w:hAnsi="Times" w:eastAsia="MS Mincho" w:cs="Times"/>
          <w:lang w:val="en-GB" w:eastAsia="ja-JP"/>
        </w:rPr>
        <w:t xml:space="preserve">All companies with inputs proposed to confirm </w:t>
      </w:r>
      <w:r>
        <w:rPr>
          <w:rFonts w:ascii="Times" w:hAnsi="Times" w:eastAsia="MS Mincho" w:cs="Times"/>
          <w:lang w:val="en-GB" w:eastAsia="ja-JP"/>
        </w:rPr>
        <w:t>the working assumption, therefore, the following is proposed:</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after="0"/>
        <w:rPr>
          <w:b/>
          <w:szCs w:val="21"/>
          <w:lang w:eastAsia="zh-CN"/>
        </w:rPr>
      </w:pPr>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lang w:eastAsia="zh-CN"/>
              </w:rPr>
            </w:pPr>
            <w:r>
              <w:rPr>
                <w:rFonts w:asciiTheme="minorHAnsi" w:hAnsiTheme="minorHAnsi" w:cstheme="minorHAnsi"/>
                <w:lang w:eastAsia="zh-CN"/>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 with proposal 3.</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4</w:t>
            </w:r>
            <w:r>
              <w:rPr>
                <w:rFonts w:hint="eastAsia"/>
                <w:b/>
              </w:rPr>
              <w:t>：</w:t>
            </w:r>
            <w:r>
              <w:rPr>
                <w:b/>
              </w:rPr>
              <w:t>Option 1 should be supported for uplink power control for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pPr>
              <w:rPr>
                <w:b/>
                <w:bCs/>
              </w:rPr>
            </w:pPr>
            <w:r>
              <w:rPr>
                <w:b/>
                <w:bCs/>
                <w:u w:val="single"/>
              </w:rPr>
              <w:t>Proposal 3:</w:t>
            </w:r>
            <w:r>
              <w:rPr>
                <w:b/>
                <w:bCs/>
              </w:rPr>
              <w:t xml:space="preserve"> For uplink power control, introduce the following specification changes:</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 following the same definition as in LTE (Option 1).</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6"/>
              <w:numPr>
                <w:ilvl w:val="0"/>
                <w:numId w:val="21"/>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w:t>
            </w:r>
          </w:p>
          <w:p>
            <w:pPr>
              <w:rPr>
                <w:b/>
                <w:bCs/>
                <w:lang w:eastAsia="en-GB"/>
              </w:rPr>
            </w:pPr>
            <w:r>
              <w:rPr>
                <w:b/>
                <w:bCs/>
                <w:lang w:eastAsia="en-GB"/>
              </w:rPr>
              <w:t>Proposal 6: For the new uplink power control term, select one of the options below –</w:t>
            </w:r>
          </w:p>
          <w:p>
            <w:pPr>
              <w:pStyle w:val="66"/>
              <w:numPr>
                <w:ilvl w:val="0"/>
                <w:numId w:val="22"/>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6"/>
              <w:numPr>
                <w:ilvl w:val="0"/>
                <w:numId w:val="22"/>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rFonts w:hint="eastAsia"/>
                <w:b/>
                <w:bCs/>
              </w:rPr>
              <w:t xml:space="preserve"> </w:t>
            </w:r>
            <w:r>
              <w:rPr>
                <w:b/>
                <w:bCs/>
              </w:rPr>
              <w:t>is given in table based on MCS index if enabled, 0 otherwise.</w:t>
            </w:r>
          </w:p>
          <w:p>
            <w:pPr>
              <w:rPr>
                <w:b/>
                <w:bCs/>
                <w:lang w:eastAsia="en-GB"/>
              </w:rPr>
            </w:pPr>
            <w:r>
              <w:rPr>
                <w:b/>
                <w:bCs/>
                <w:lang w:eastAsia="en-GB"/>
              </w:rPr>
              <w:t>Proposal 7: Close-loop power control for 16-QAM is not supported in Rel-17.</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rPr>
                <w:bCs/>
                <w:sz w:val="20"/>
                <w:szCs w:val="20"/>
                <w:lang w:eastAsia="zh-CN"/>
              </w:rPr>
            </w:pPr>
            <w:r>
              <w:rPr>
                <w:bCs/>
                <w:sz w:val="20"/>
                <w:szCs w:val="20"/>
              </w:rPr>
              <w:t xml:space="preserve">Similar as defined in LTE,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oMath>
            <w:r>
              <w:rPr>
                <w:rFonts w:hint="eastAsia"/>
                <w:sz w:val="20"/>
                <w:szCs w:val="20"/>
                <w:lang w:eastAsia="zh-CN"/>
              </w:rPr>
              <w:t xml:space="preserve"> </w:t>
            </w:r>
            <w:r>
              <w:rPr>
                <w:sz w:val="20"/>
                <w:szCs w:val="20"/>
                <w:lang w:eastAsia="zh-CN"/>
              </w:rPr>
              <w:t>is determined as:</w:t>
            </w:r>
          </w:p>
          <w:p>
            <w:pPr>
              <w:rPr>
                <w:sz w:val="20"/>
                <w:szCs w:val="20"/>
              </w:rPr>
            </w:pPr>
            <w:r>
              <w:rPr>
                <w:sz w:val="20"/>
                <w:szCs w:val="20"/>
              </w:rPr>
              <w:t xml:space="preserv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(i)=10</m:t>
              </m:r>
              <m:sSub>
                <m:sSubPr>
                  <m:ctrlPr>
                    <w:rPr>
                      <w:rFonts w:ascii="Cambria Math" w:hAnsi="Cambria Math" w:eastAsia="Cambria Math"/>
                      <w:sz w:val="20"/>
                      <w:szCs w:val="20"/>
                    </w:rPr>
                  </m:ctrlPr>
                </m:sSubPr>
                <m:e>
                  <m:r>
                    <m:rPr>
                      <m:sty m:val="p"/>
                    </m:rPr>
                    <w:rPr>
                      <w:rFonts w:ascii="Cambria Math" w:hAnsi="Cambria Math" w:eastAsia="Cambria Math"/>
                      <w:sz w:val="20"/>
                      <w:szCs w:val="20"/>
                    </w:rPr>
                    <m:t>log</m:t>
                  </m:r>
                  <m:ctrlPr>
                    <w:rPr>
                      <w:rFonts w:ascii="Cambria Math" w:hAnsi="Cambria Math" w:eastAsia="Cambria Math"/>
                      <w:sz w:val="20"/>
                      <w:szCs w:val="20"/>
                    </w:rPr>
                  </m:ctrlPr>
                </m:e>
                <m:sub>
                  <m:r>
                    <w:rPr>
                      <w:rFonts w:ascii="Cambria Math" w:hAnsi="Cambria Math" w:eastAsia="Cambria Math"/>
                      <w:sz w:val="20"/>
                      <w:szCs w:val="20"/>
                    </w:rPr>
                    <m:t>10</m:t>
                  </m:r>
                  <m:ctrlPr>
                    <w:rPr>
                      <w:rFonts w:ascii="Cambria Math" w:hAnsi="Cambria Math" w:eastAsia="Cambria Math"/>
                      <w:sz w:val="20"/>
                      <w:szCs w:val="20"/>
                    </w:rPr>
                  </m:ctrlPr>
                </m:sub>
              </m:sSub>
              <m:d>
                <m:dPr>
                  <m:ctrlPr>
                    <w:rPr>
                      <w:rFonts w:ascii="Cambria Math" w:hAnsi="Cambria Math" w:eastAsia="Cambria Math"/>
                      <w:i/>
                      <w:sz w:val="20"/>
                      <w:szCs w:val="20"/>
                    </w:rPr>
                  </m:ctrlPr>
                </m:dPr>
                <m:e>
                  <m:sSup>
                    <m:sSupPr>
                      <m:ctrlPr>
                        <w:rPr>
                          <w:rFonts w:ascii="Cambria Math" w:hAnsi="Cambria Math" w:eastAsia="Cambria Math"/>
                          <w:i/>
                          <w:sz w:val="20"/>
                          <w:szCs w:val="20"/>
                        </w:rPr>
                      </m:ctrlPr>
                    </m:sSupPr>
                    <m:e>
                      <m:r>
                        <w:rPr>
                          <w:rFonts w:ascii="Cambria Math" w:hAnsi="Cambria Math" w:eastAsia="Cambria Math"/>
                          <w:sz w:val="20"/>
                          <w:szCs w:val="20"/>
                        </w:rPr>
                        <m:t>2</m:t>
                      </m:r>
                      <m:ctrlPr>
                        <w:rPr>
                          <w:rFonts w:ascii="Cambria Math" w:hAnsi="Cambria Math" w:eastAsia="Cambria Math"/>
                          <w:i/>
                          <w:sz w:val="20"/>
                          <w:szCs w:val="20"/>
                        </w:rPr>
                      </m:ctrlPr>
                    </m:e>
                    <m:sup>
                      <m:r>
                        <w:rPr>
                          <w:rFonts w:ascii="Cambria Math" w:hAnsi="Cambria Math" w:eastAsia="Cambria Math"/>
                          <w:sz w:val="20"/>
                          <w:szCs w:val="20"/>
                        </w:rPr>
                        <m:t>BPER∙</m:t>
                      </m:r>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ctrlPr>
                        <w:rPr>
                          <w:rFonts w:ascii="Cambria Math" w:hAnsi="Cambria Math" w:eastAsia="Cambria Math"/>
                          <w:i/>
                          <w:sz w:val="20"/>
                          <w:szCs w:val="20"/>
                        </w:rPr>
                      </m:ctrlPr>
                    </m:sup>
                  </m:sSup>
                  <m:r>
                    <w:rPr>
                      <w:rFonts w:ascii="Cambria Math" w:hAnsi="Cambria Math" w:eastAsia="Cambria Math"/>
                      <w:sz w:val="20"/>
                      <w:szCs w:val="20"/>
                    </w:rPr>
                    <m:t>-1</m:t>
                  </m:r>
                  <m:ctrlPr>
                    <w:rPr>
                      <w:rFonts w:ascii="Cambria Math" w:hAnsi="Cambria Math" w:eastAsia="Cambria Math"/>
                      <w:i/>
                      <w:sz w:val="20"/>
                      <w:szCs w:val="20"/>
                    </w:rPr>
                  </m:ctrlPr>
                </m:e>
              </m:d>
            </m:oMath>
            <w:r>
              <w:rPr>
                <w:sz w:val="20"/>
                <w:szCs w:val="20"/>
                <w:lang w:eastAsia="zh-CN"/>
              </w:rPr>
              <w:t xml:space="preserve"> </w:t>
            </w:r>
            <w:r>
              <w:rPr>
                <w:sz w:val="20"/>
                <w:szCs w:val="20"/>
              </w:rPr>
              <w:t xml:space="preserve">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=1.25</m:t>
              </m:r>
            </m:oMath>
            <w:r>
              <w:rPr>
                <w:sz w:val="20"/>
                <w:szCs w:val="20"/>
                <w:lang w:eastAsia="zh-CN"/>
              </w:rPr>
              <w:t xml:space="preserve"> </w:t>
            </w:r>
            <w:r>
              <w:rPr>
                <w:sz w:val="20"/>
                <w:szCs w:val="20"/>
              </w:rPr>
              <w:t xml:space="preserve">and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(i)=0</m:t>
              </m:r>
            </m:oMath>
            <w:r>
              <w:rPr>
                <w:sz w:val="20"/>
                <w:szCs w:val="20"/>
              </w:rPr>
              <w:t xml:space="preserve"> 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oMath>
            <w:r>
              <w:rPr>
                <w:sz w:val="20"/>
                <w:szCs w:val="20"/>
              </w:rPr>
              <w:t xml:space="preserve"> is given by higher layers parameter.</w:t>
            </w:r>
          </w:p>
          <w:p>
            <w:pPr>
              <w:pStyle w:val="66"/>
              <w:numPr>
                <w:ilvl w:val="0"/>
                <w:numId w:val="23"/>
              </w:numPr>
              <w:snapToGrid w:val="0"/>
              <w:spacing w:line="240" w:lineRule="auto"/>
              <w:jc w:val="left"/>
              <w:rPr>
                <w:rFonts w:ascii="Times New Roman" w:hAnsi="Times New Roman"/>
                <w:sz w:val="20"/>
                <w:szCs w:val="20"/>
              </w:rPr>
            </w:pPr>
            <m:oMath>
              <m:r>
                <w:rPr>
                  <w:rFonts w:ascii="Cambria Math" w:hAnsi="Cambria Math" w:eastAsia="Cambria Math"/>
                  <w:sz w:val="20"/>
                  <w:szCs w:val="20"/>
                </w:rPr>
                <m:t>BPER=</m:t>
              </m:r>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r>
                <w:rPr>
                  <w:rFonts w:ascii="Cambria Math" w:hAnsi="Cambria Math" w:eastAsia="Cambria Math"/>
                  <w:sz w:val="20"/>
                  <w:szCs w:val="20"/>
                </w:rPr>
                <m:t>/</m:t>
              </m:r>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where </w:t>
            </w:r>
            <m:oMath>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oMath>
            <w:r>
              <w:rPr>
                <w:rFonts w:ascii="Times New Roman" w:hAnsi="Times New Roman"/>
                <w:sz w:val="20"/>
                <w:szCs w:val="20"/>
              </w:rPr>
              <w:t xml:space="preserve"> is the code block size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is the number of resource elements determined as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RE</m:t>
                  </m:r>
                  <m:ctrlPr>
                    <w:rPr>
                      <w:rFonts w:ascii="Cambria Math" w:hAnsi="Cambria Math" w:eastAsia="Cambria Math"/>
                      <w:i/>
                      <w:sz w:val="20"/>
                      <w:szCs w:val="20"/>
                    </w:rPr>
                  </m:ctrlPr>
                </m:sub>
              </m:sSub>
              <m:r>
                <m:rPr>
                  <m:sty m:val="p"/>
                </m:rPr>
                <w:rPr>
                  <w:rFonts w:ascii="Cambria Math" w:hAnsi="Cambria Math" w:eastAsia="Cambria Math"/>
                  <w:sz w:val="20"/>
                  <w:szCs w:val="20"/>
                </w:rPr>
                <m:t>=(</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r>
                <m:rPr>
                  <m:sty m:val="p"/>
                </m:rPr>
                <w:rPr>
                  <w:rFonts w:ascii="Cambria Math" w:hAnsi="Cambria Math" w:eastAsia="Cambria Math"/>
                  <w:sz w:val="20"/>
                  <w:szCs w:val="20"/>
                </w:rPr>
                <m:t>-1)</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where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oMath>
            <w:r>
              <w:rPr>
                <w:rFonts w:ascii="Times New Roman" w:hAnsi="Times New Roman"/>
                <w:sz w:val="20"/>
                <w:szCs w:val="20"/>
              </w:rPr>
              <w:t xml:space="preserve"> are defined in TS36.211,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is defined in section 16.5.1.1 </w:t>
            </w:r>
            <w:r>
              <w:rPr>
                <w:rFonts w:hint="eastAsia" w:ascii="Times New Roman" w:hAnsi="Times New Roman"/>
                <w:sz w:val="20"/>
                <w:szCs w:val="20"/>
              </w:rPr>
              <w:t>in</w:t>
            </w:r>
            <w:r>
              <w:rPr>
                <w:rFonts w:ascii="Times New Roman" w:hAnsi="Times New Roman"/>
                <w:sz w:val="20"/>
                <w:szCs w:val="20"/>
              </w:rPr>
              <w:t xml:space="preserve"> </w:t>
            </w:r>
            <w:r>
              <w:rPr>
                <w:rFonts w:hint="eastAsia" w:ascii="Times New Roman" w:hAnsi="Times New Roman"/>
                <w:sz w:val="20"/>
                <w:szCs w:val="20"/>
              </w:rPr>
              <w:t>TS</w:t>
            </w:r>
            <w:r>
              <w:rPr>
                <w:rFonts w:ascii="Times New Roman" w:hAnsi="Times New Roman"/>
                <w:sz w:val="20"/>
                <w:szCs w:val="20"/>
              </w:rPr>
              <w:t>36.213.</w:t>
            </w:r>
          </w:p>
          <w:p>
            <w:pPr>
              <w:pStyle w:val="66"/>
              <w:ind w:left="470"/>
              <w:rPr>
                <w:rFonts w:ascii="Times New Roman" w:hAnsi="Times New Roman"/>
                <w:sz w:val="20"/>
                <w:szCs w:val="20"/>
              </w:rPr>
            </w:pPr>
          </w:p>
          <w:p>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Lines="50"/>
              <w:rPr>
                <w:b/>
                <w:i/>
                <w:lang w:eastAsia="zh-CN"/>
              </w:rPr>
            </w:pPr>
            <w:r>
              <w:rPr>
                <w:b/>
                <w:i/>
                <w:lang w:eastAsia="zh-CN"/>
              </w:rPr>
              <w:t>Observation 1: Option 5 for UL power allocation only provides a fixed power offset for 16-QAM.</w:t>
            </w:r>
          </w:p>
          <w:p>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ctrlPr>
                    <w:rPr>
                      <w:rFonts w:ascii="Cambria Math" w:hAnsi="Cambria Math"/>
                      <w:b/>
                      <w:i/>
                    </w:rPr>
                  </m:ctrlPr>
                </m:e>
                <m:sub>
                  <m:r>
                    <m:rPr>
                      <m:sty m:val="bi"/>
                    </m:rPr>
                    <w:rPr>
                      <w:rFonts w:ascii="Cambria Math" w:hAnsi="Cambria Math"/>
                    </w:rPr>
                    <m:t>TF,c</m:t>
                  </m:r>
                  <m:ctrlPr>
                    <w:rPr>
                      <w:rFonts w:ascii="Cambria Math" w:hAnsi="Cambria Math"/>
                      <w:b/>
                      <w:i/>
                    </w:rPr>
                  </m:ctrlPr>
                </m:sub>
              </m:sSub>
            </m:oMath>
            <w:r>
              <w:rPr>
                <w:b/>
                <w:i/>
                <w:lang w:eastAsia="zh-CN"/>
              </w:rPr>
              <w:t xml:space="preserve"> for different TBS under the same MCS.</w:t>
            </w:r>
          </w:p>
          <w:p>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pPr>
              <w:spacing w:before="120" w:afterLines="50"/>
              <w:rPr>
                <w:b/>
                <w:i/>
                <w:lang w:eastAsia="zh-CN"/>
              </w:rPr>
            </w:pPr>
            <w:r>
              <w:rPr>
                <w:b/>
                <w:i/>
                <w:lang w:eastAsia="zh-CN"/>
              </w:rPr>
              <w:t>Proposal 3: Closed-loop power control should be adopted for 16-QAM</w:t>
            </w:r>
          </w:p>
          <w:p>
            <w:pPr>
              <w:numPr>
                <w:ilvl w:val="0"/>
                <w:numId w:val="24"/>
              </w:numPr>
              <w:spacing w:before="120" w:beforeLines="5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pPr>
              <w:numPr>
                <w:ilvl w:val="0"/>
                <w:numId w:val="24"/>
              </w:numPr>
              <w:spacing w:before="120" w:beforeLines="50" w:after="240" w:afterLines="10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[7]</w:t>
            </w:r>
          </w:p>
        </w:tc>
        <w:tc>
          <w:tcPr>
            <w:tcW w:w="7752" w:type="dxa"/>
          </w:tcPr>
          <w:p>
            <w:pPr>
              <w:tabs>
                <w:tab w:val="left" w:pos="7231"/>
              </w:tabs>
              <w:rPr>
                <w:b/>
                <w:sz w:val="20"/>
                <w:szCs w:val="20"/>
              </w:rPr>
            </w:pPr>
            <w:r>
              <w:rPr>
                <w:b/>
                <w:sz w:val="20"/>
                <w:szCs w:val="20"/>
              </w:rPr>
              <w:t>Proposal 2: Take option 1/option 2 as stating point and make final decision at this meeting.</w:t>
            </w:r>
            <w:r>
              <w:rPr>
                <w:b/>
                <w:sz w:val="20"/>
                <w:szCs w:val="20"/>
              </w:rPr>
              <w:tab/>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pPr>
              <w:pStyle w:val="157"/>
              <w:numPr>
                <w:ilvl w:val="0"/>
                <w:numId w:val="25"/>
              </w:numPr>
              <w:spacing w:line="240" w:lineRule="auto"/>
              <w:rPr>
                <w:lang w:val="en-US"/>
              </w:rPr>
            </w:pPr>
            <w:bookmarkStart w:id="26" w:name="_Toc83293657"/>
            <w:bookmarkStart w:id="27" w:name="_Toc82635150"/>
            <w:r>
              <w:rPr>
                <w:lang w:val="en-US"/>
              </w:rPr>
              <w:t>Category 1:</w:t>
            </w:r>
            <w:bookmarkEnd w:id="26"/>
            <w:bookmarkEnd w:id="27"/>
          </w:p>
          <w:p>
            <w:pPr>
              <w:pStyle w:val="157"/>
              <w:numPr>
                <w:ilvl w:val="1"/>
                <w:numId w:val="25"/>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pPr>
              <w:pStyle w:val="157"/>
              <w:numPr>
                <w:ilvl w:val="1"/>
                <w:numId w:val="25"/>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pPr>
              <w:pStyle w:val="157"/>
              <w:numPr>
                <w:ilvl w:val="1"/>
                <w:numId w:val="25"/>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pPr>
              <w:pStyle w:val="157"/>
              <w:numPr>
                <w:ilvl w:val="1"/>
                <w:numId w:val="25"/>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pPr>
              <w:pStyle w:val="157"/>
              <w:numPr>
                <w:ilvl w:val="0"/>
                <w:numId w:val="25"/>
              </w:numPr>
              <w:spacing w:line="240" w:lineRule="auto"/>
              <w:rPr>
                <w:lang w:val="en-US"/>
              </w:rPr>
            </w:pPr>
            <w:bookmarkStart w:id="36" w:name="_Toc82635155"/>
            <w:bookmarkStart w:id="37" w:name="_Toc83293662"/>
            <w:r>
              <w:rPr>
                <w:lang w:val="en-US"/>
              </w:rPr>
              <w:t>Category 2:</w:t>
            </w:r>
            <w:bookmarkEnd w:id="36"/>
            <w:bookmarkEnd w:id="37"/>
          </w:p>
          <w:p>
            <w:pPr>
              <w:pStyle w:val="157"/>
              <w:numPr>
                <w:ilvl w:val="1"/>
                <w:numId w:val="25"/>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pPr>
              <w:pStyle w:val="157"/>
              <w:numPr>
                <w:ilvl w:val="0"/>
                <w:numId w:val="0"/>
              </w:numPr>
              <w:rPr>
                <w:lang w:val="en-US"/>
              </w:rPr>
            </w:pPr>
          </w:p>
          <w:p>
            <w:pPr>
              <w:pStyle w:val="140"/>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pPr>
              <w:pStyle w:val="140"/>
              <w:numPr>
                <w:ilvl w:val="0"/>
                <w:numId w:val="19"/>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pPr>
              <w:rPr>
                <w:szCs w:val="20"/>
              </w:rPr>
            </w:pPr>
          </w:p>
        </w:tc>
      </w:tr>
    </w:tbl>
    <w:p/>
    <w:p/>
    <w:p>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4"/>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6"/>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6"/>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6"/>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pPr>
        <w:pStyle w:val="66"/>
        <w:numPr>
          <w:ilvl w:val="0"/>
          <w:numId w:val="15"/>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6"/>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
        <w:t>Based on majority view, the following is proposed:</w:t>
      </w:r>
    </w:p>
    <w:p>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b/>
        </w:rPr>
        <w:t>introduced for power control of NPUSCH,</w:t>
      </w:r>
    </w:p>
    <w:p>
      <w:pPr>
        <w:pStyle w:val="66"/>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rPr>
          <w:b/>
        </w:rPr>
      </w:pPr>
    </w:p>
    <w:p>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pPr>
        <w:rPr>
          <w:b/>
        </w:rPr>
      </w:pPr>
      <w:r>
        <w:rPr>
          <w:b/>
        </w:rPr>
        <w:t>Proposal 5: Further study on support of Cat 2: Option 3, for close-loop power control.</w:t>
      </w:r>
    </w:p>
    <w:p/>
    <w:p>
      <w:r>
        <w:rPr>
          <w:rFonts w:hint="eastAsia"/>
        </w:rPr>
        <w:t>P</w:t>
      </w:r>
      <w:r>
        <w:t>lease input your comments regarding the above proposal, and give your view on closed loop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Ericsson </w:t>
            </w:r>
          </w:p>
        </w:tc>
        <w:tc>
          <w:tcPr>
            <w:tcW w:w="7469" w:type="dxa"/>
          </w:tcPr>
          <w:p>
            <w:r>
              <w:t>On Proposal 4: It is not possible to agree with it until knowing what the resulting numeric value(s) from such a proposal are? That is the only it can be compared to other proposals</w:t>
            </w:r>
          </w:p>
          <w:p>
            <w:r>
              <w:t>On Proposal 5: We do not see the need in keeping for further study the closed-loop power control since it serves a different purpose than was is intended to be achieved through Δ</w:t>
            </w:r>
            <w:r>
              <w:rPr>
                <w:vertAlign w:val="subscript"/>
              </w:rPr>
              <w:t>TF</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w:t>
            </w:r>
            <w:r>
              <w:rPr>
                <w:rFonts w:hint="eastAsia" w:asciiTheme="minorHAnsi" w:hAnsiTheme="minorHAnsi" w:cstheme="minorHAnsi"/>
                <w:szCs w:val="20"/>
                <w:lang w:eastAsia="zh-CN"/>
              </w:rPr>
              <w:t>M</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we think it is verified in LTE. So, we 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support porposal4.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are fine with proposal 4, and this is exactly the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4. Following online GTW discussion, we are fine to apply this for QPSK as well.</w:t>
            </w:r>
          </w:p>
          <w:p>
            <w:pPr>
              <w:rPr>
                <w:szCs w:val="20"/>
                <w:lang w:eastAsia="zh-CN"/>
              </w:rPr>
            </w:pPr>
            <w:r>
              <w:rPr>
                <w:szCs w:val="20"/>
                <w:lang w:eastAsia="zh-CN"/>
              </w:rPr>
              <w:t>For proposal 5, we do not see the need to study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has some other benefits.</w:t>
            </w:r>
          </w:p>
          <w:p>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provide more flexible power control for better transmission performance.</w:t>
            </w:r>
          </w:p>
          <w:p>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design is based on legacy LTE rule, the close-loop power control also should be supported.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0 – 13</w:t>
                        </w:r>
                      </w:p>
                    </w:tc>
                    <w:tc>
                      <w:tcPr>
                        <w:tcW w:w="1697"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14</w:t>
                        </w:r>
                      </w:p>
                    </w:tc>
                    <w:tc>
                      <w:tcPr>
                        <w:tcW w:w="1697" w:type="dxa"/>
                      </w:tcPr>
                      <w:p>
                        <w:pPr>
                          <w:pStyle w:val="66"/>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15</w:t>
                        </w:r>
                      </w:p>
                    </w:tc>
                    <w:tc>
                      <w:tcPr>
                        <w:tcW w:w="1697" w:type="dxa"/>
                      </w:tcPr>
                      <w:p>
                        <w:pPr>
                          <w:pStyle w:val="66"/>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16</w:t>
                        </w:r>
                      </w:p>
                    </w:tc>
                    <w:tc>
                      <w:tcPr>
                        <w:tcW w:w="1697" w:type="dxa"/>
                      </w:tcPr>
                      <w:p>
                        <w:pPr>
                          <w:pStyle w:val="66"/>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17</w:t>
                        </w:r>
                      </w:p>
                    </w:tc>
                    <w:tc>
                      <w:tcPr>
                        <w:tcW w:w="1697" w:type="dxa"/>
                      </w:tcPr>
                      <w:p>
                        <w:pPr>
                          <w:pStyle w:val="66"/>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18</w:t>
                        </w:r>
                      </w:p>
                    </w:tc>
                    <w:tc>
                      <w:tcPr>
                        <w:tcW w:w="1697" w:type="dxa"/>
                      </w:tcPr>
                      <w:p>
                        <w:pPr>
                          <w:pStyle w:val="66"/>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19</w:t>
                        </w:r>
                      </w:p>
                    </w:tc>
                    <w:tc>
                      <w:tcPr>
                        <w:tcW w:w="1697" w:type="dxa"/>
                      </w:tcPr>
                      <w:p>
                        <w:pPr>
                          <w:pStyle w:val="66"/>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20</w:t>
                        </w:r>
                      </w:p>
                    </w:tc>
                    <w:tc>
                      <w:tcPr>
                        <w:tcW w:w="1697" w:type="dxa"/>
                      </w:tcPr>
                      <w:p>
                        <w:pPr>
                          <w:pStyle w:val="66"/>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6"/>
                          <w:ind w:left="0"/>
                          <w:jc w:val="center"/>
                          <w:rPr>
                            <w:rFonts w:cs="Arial"/>
                            <w:sz w:val="18"/>
                            <w:szCs w:val="18"/>
                          </w:rPr>
                        </w:pPr>
                        <w:r>
                          <w:rPr>
                            <w:rFonts w:cs="Arial"/>
                            <w:sz w:val="18"/>
                            <w:szCs w:val="18"/>
                          </w:rPr>
                          <w:t>21</w:t>
                        </w:r>
                      </w:p>
                    </w:tc>
                    <w:tc>
                      <w:tcPr>
                        <w:tcW w:w="1697" w:type="dxa"/>
                      </w:tcPr>
                      <w:p>
                        <w:pPr>
                          <w:pStyle w:val="66"/>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6"/>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6"/>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0 – 13</w:t>
                        </w:r>
                      </w:p>
                    </w:tc>
                    <w:tc>
                      <w:tcPr>
                        <w:tcW w:w="1842" w:type="dxa"/>
                      </w:tcPr>
                      <w:p>
                        <w:pPr>
                          <w:pStyle w:val="66"/>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14</w:t>
                        </w:r>
                      </w:p>
                    </w:tc>
                    <w:tc>
                      <w:tcPr>
                        <w:tcW w:w="1842" w:type="dxa"/>
                      </w:tcPr>
                      <w:p>
                        <w:pPr>
                          <w:pStyle w:val="66"/>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15</w:t>
                        </w:r>
                      </w:p>
                    </w:tc>
                    <w:tc>
                      <w:tcPr>
                        <w:tcW w:w="1842" w:type="dxa"/>
                      </w:tcPr>
                      <w:p>
                        <w:pPr>
                          <w:pStyle w:val="66"/>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16</w:t>
                        </w:r>
                      </w:p>
                    </w:tc>
                    <w:tc>
                      <w:tcPr>
                        <w:tcW w:w="1842" w:type="dxa"/>
                      </w:tcPr>
                      <w:p>
                        <w:pPr>
                          <w:pStyle w:val="66"/>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17</w:t>
                        </w:r>
                      </w:p>
                    </w:tc>
                    <w:tc>
                      <w:tcPr>
                        <w:tcW w:w="1842" w:type="dxa"/>
                      </w:tcPr>
                      <w:p>
                        <w:pPr>
                          <w:pStyle w:val="66"/>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18</w:t>
                        </w:r>
                      </w:p>
                    </w:tc>
                    <w:tc>
                      <w:tcPr>
                        <w:tcW w:w="1842" w:type="dxa"/>
                      </w:tcPr>
                      <w:p>
                        <w:pPr>
                          <w:pStyle w:val="66"/>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19</w:t>
                        </w:r>
                      </w:p>
                    </w:tc>
                    <w:tc>
                      <w:tcPr>
                        <w:tcW w:w="1842" w:type="dxa"/>
                      </w:tcPr>
                      <w:p>
                        <w:pPr>
                          <w:pStyle w:val="66"/>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20</w:t>
                        </w:r>
                      </w:p>
                    </w:tc>
                    <w:tc>
                      <w:tcPr>
                        <w:tcW w:w="1842" w:type="dxa"/>
                      </w:tcPr>
                      <w:p>
                        <w:pPr>
                          <w:pStyle w:val="66"/>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6"/>
                          <w:ind w:left="0"/>
                          <w:jc w:val="center"/>
                          <w:rPr>
                            <w:rFonts w:cs="Arial"/>
                            <w:sz w:val="18"/>
                            <w:szCs w:val="18"/>
                          </w:rPr>
                        </w:pPr>
                        <w:r>
                          <w:rPr>
                            <w:rFonts w:cs="Arial"/>
                            <w:sz w:val="18"/>
                            <w:szCs w:val="18"/>
                          </w:rPr>
                          <w:t>21</w:t>
                        </w:r>
                      </w:p>
                    </w:tc>
                    <w:tc>
                      <w:tcPr>
                        <w:tcW w:w="1842" w:type="dxa"/>
                      </w:tcPr>
                      <w:p>
                        <w:pPr>
                          <w:pStyle w:val="66"/>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S</w:t>
            </w:r>
            <w:r>
              <w:rPr>
                <w:szCs w:val="20"/>
              </w:rPr>
              <w:t>ourcing</w:t>
            </w:r>
          </w:p>
        </w:tc>
        <w:tc>
          <w:tcPr>
            <w:tcW w:w="8385"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[2]</w:t>
            </w:r>
          </w:p>
        </w:tc>
        <w:tc>
          <w:tcPr>
            <w:tcW w:w="8385"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[4]</w:t>
            </w:r>
          </w:p>
        </w:tc>
        <w:tc>
          <w:tcPr>
            <w:tcW w:w="8385" w:type="dxa"/>
          </w:tcPr>
          <w:p>
            <w:pPr>
              <w:spacing w:after="0"/>
              <w:rPr>
                <w:b/>
                <w:bCs/>
                <w:lang w:eastAsia="en-GB"/>
              </w:rPr>
            </w:pPr>
            <w:r>
              <w:rPr>
                <w:b/>
                <w:bCs/>
                <w:lang w:eastAsia="en-GB"/>
              </w:rPr>
              <w:t>Proposal 1: For 16-QAM CQI table, our preferences are</w:t>
            </w:r>
          </w:p>
          <w:p>
            <w:pPr>
              <w:pStyle w:val="66"/>
              <w:numPr>
                <w:ilvl w:val="0"/>
                <w:numId w:val="26"/>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6"/>
              <w:numPr>
                <w:ilvl w:val="0"/>
                <w:numId w:val="26"/>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[5]</w:t>
            </w:r>
          </w:p>
        </w:tc>
        <w:tc>
          <w:tcPr>
            <w:tcW w:w="8385" w:type="dxa"/>
          </w:tcPr>
          <w:p>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[6]</w:t>
            </w:r>
          </w:p>
        </w:tc>
        <w:tc>
          <w:tcPr>
            <w:tcW w:w="8385" w:type="dxa"/>
          </w:tcPr>
          <w:p>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pPr>
              <w:numPr>
                <w:ilvl w:val="0"/>
                <w:numId w:val="27"/>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pPr>
              <w:numPr>
                <w:ilvl w:val="0"/>
                <w:numId w:val="27"/>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[7]</w:t>
            </w:r>
          </w:p>
        </w:tc>
        <w:tc>
          <w:tcPr>
            <w:tcW w:w="8385" w:type="dxa"/>
          </w:tcPr>
          <w:p>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pPr>
              <w:jc w:val="center"/>
              <w:rPr>
                <w:b/>
                <w:sz w:val="20"/>
                <w:szCs w:val="20"/>
              </w:rPr>
            </w:pPr>
            <w:r>
              <w:rPr>
                <w:b/>
                <w:sz w:val="20"/>
                <w:szCs w:val="20"/>
              </w:rPr>
              <w:t>Table 1: 4-bit CQI Table for 16QAM</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2.0472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[8]</w:t>
            </w:r>
          </w:p>
        </w:tc>
        <w:tc>
          <w:tcPr>
            <w:tcW w:w="8385" w:type="dxa"/>
          </w:tcPr>
          <w:p>
            <w:pPr>
              <w:pStyle w:val="157"/>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pPr>
              <w:pStyle w:val="157"/>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pPr>
              <w:pStyle w:val="157"/>
              <w:numPr>
                <w:ilvl w:val="0"/>
                <w:numId w:val="0"/>
              </w:numPr>
              <w:spacing w:line="240" w:lineRule="auto"/>
              <w:ind w:left="360" w:hanging="360"/>
              <w:rPr>
                <w:lang w:val="en-US"/>
              </w:rPr>
            </w:pPr>
            <w:bookmarkStart w:id="46" w:name="_Toc83293648"/>
            <w:bookmarkStart w:id="47"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pPr>
              <w:pStyle w:val="157"/>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pPr>
              <w:pStyle w:val="157"/>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pPr>
              <w:pStyle w:val="157"/>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pPr>
              <w:pStyle w:val="140"/>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Style w:val="47"/>
              <w:tblW w:w="9062" w:type="dxa"/>
              <w:jc w:val="center"/>
              <w:tblLayout w:type="autofit"/>
              <w:tblCellMar>
                <w:top w:w="0" w:type="dxa"/>
                <w:left w:w="0" w:type="dxa"/>
                <w:bottom w:w="0" w:type="dxa"/>
                <w:right w:w="0" w:type="dxa"/>
              </w:tblCellMar>
            </w:tblPr>
            <w:tblGrid>
              <w:gridCol w:w="1550"/>
              <w:gridCol w:w="2675"/>
              <w:gridCol w:w="4837"/>
            </w:tblGrid>
            <w:tr>
              <w:tblPrEx>
                <w:tblCellMar>
                  <w:top w:w="0" w:type="dxa"/>
                  <w:left w:w="0" w:type="dxa"/>
                  <w:bottom w:w="0" w:type="dxa"/>
                  <w:right w:w="0" w:type="dxa"/>
                </w:tblCellMar>
              </w:tblPrEx>
              <w:trPr>
                <w:trHeight w:val="76" w:hRule="atLeast"/>
                <w:jc w:val="center"/>
              </w:trPr>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rFonts w:cs="Arial"/>
                      <w:lang w:eastAsia="en-US"/>
                    </w:rPr>
                  </w:pPr>
                  <w:r>
                    <w:t>Reported value</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22"/>
                      <w:szCs w:val="22"/>
                      <w:lang w:val="sv-SE"/>
                    </w:rPr>
                  </w:pPr>
                  <w:r>
                    <w:t>NPDCCH repetition level</w:t>
                  </w:r>
                </w:p>
              </w:tc>
              <w:tc>
                <w:tcPr>
                  <w:tcW w:w="4837" w:type="dxa"/>
                  <w:tcBorders>
                    <w:top w:val="single" w:color="auto" w:sz="8" w:space="0"/>
                    <w:left w:val="nil"/>
                    <w:bottom w:val="single" w:color="auto" w:sz="8" w:space="0"/>
                    <w:right w:val="single" w:color="auto" w:sz="8" w:space="0"/>
                  </w:tcBorders>
                </w:tcPr>
                <w:p>
                  <w:pPr>
                    <w:pStyle w:val="72"/>
                    <w:rPr>
                      <w:sz w:val="20"/>
                      <w:lang w:eastAsia="sv-SE"/>
                    </w:rPr>
                  </w:pPr>
                  <w:r>
                    <w:t xml:space="preserve">16-QAM CQI index with </w:t>
                  </w:r>
                  <w:r>
                    <w:rPr>
                      <w:lang w:val="en-US"/>
                    </w:rPr>
                    <w:t xml:space="preserve">NPDSCH </w:t>
                  </w:r>
                  <w:r>
                    <w:t>transport block error probability not exceeding 0.1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Cs w:val="18"/>
                    </w:rPr>
                  </w:pPr>
                  <w:r>
                    <w:t>candidateRep-M</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20"/>
                    </w:rPr>
                  </w:pPr>
                  <w:r>
                    <w:t>1</w:t>
                  </w:r>
                </w:p>
              </w:tc>
              <w:tc>
                <w:tcPr>
                  <w:tcW w:w="4837" w:type="dxa"/>
                  <w:tcBorders>
                    <w:top w:val="nil"/>
                    <w:left w:val="nil"/>
                    <w:bottom w:val="single" w:color="auto" w:sz="8" w:space="0"/>
                    <w:right w:val="single" w:color="auto" w:sz="8" w:space="0"/>
                  </w:tcBorders>
                </w:tcPr>
                <w:p>
                  <w:pPr>
                    <w:pStyle w:val="75"/>
                  </w:pPr>
                  <w:r>
                    <w:t>0</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candidateRep-N</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candidateRep-O</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2</w:t>
                  </w:r>
                </w:p>
              </w:tc>
            </w:tr>
          </w:tbl>
          <w:p>
            <w:pPr>
              <w:pStyle w:val="140"/>
              <w:numPr>
                <w:ilvl w:val="0"/>
                <w:numId w:val="0"/>
              </w:numPr>
              <w:ind w:left="1701"/>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cs="Arial"/>
                      <w:szCs w:val="18"/>
                    </w:rPr>
                  </w:pPr>
                  <w:r>
                    <w:rPr>
                      <w:lang w:val="de-DE"/>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20"/>
                      <w:lang w:val="de-DE"/>
                    </w:rPr>
                  </w:pPr>
                  <w:r>
                    <w:rPr>
                      <w:lang w:val="de-DE"/>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r>
          </w:tbl>
          <w:p>
            <w:pPr>
              <w:rPr>
                <w:szCs w:val="20"/>
                <w:lang w:val="en-GB"/>
              </w:rPr>
            </w:pPr>
          </w:p>
        </w:tc>
      </w:tr>
    </w:tbl>
    <w:p>
      <w:pPr>
        <w:spacing w:line="240" w:lineRule="auto"/>
      </w:pPr>
    </w:p>
    <w:p>
      <w:pPr>
        <w:spacing w:line="240" w:lineRule="auto"/>
      </w:pPr>
    </w:p>
    <w:p>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Based on the number of supporting companies, the following is proposed to move forward:</w:t>
      </w:r>
    </w:p>
    <w:p>
      <w:pPr>
        <w:rPr>
          <w:b/>
        </w:rPr>
      </w:pPr>
      <w:r>
        <w:rPr>
          <w:b/>
        </w:rPr>
        <w:t>Proposal 6: For CQI table for downlink 16-QAM, down-select between following options:</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pPr>
        <w:pStyle w:val="66"/>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pPr>
        <w:pStyle w:val="66"/>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pPr>
        <w:spacing w:line="240" w:lineRule="auto"/>
      </w:pPr>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We have a concern in removing Option 2 since it is the only proposal that doesn’t have an impact on the legacy Table 9.1.22.15-1 due that it simply makes use of the available reserved states.</w:t>
            </w:r>
          </w:p>
          <w:p>
            <w:r>
              <w:t>If to move forward a down-selection is to intended to be made, then the down-selection should be made between Option 1 and Option 2 since they both use the NB-IoT framework (Still the issue with Option 1 is having to remove legacy QPSK entries, and the step-size).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We are OK to the proposal.</w:t>
            </w:r>
          </w:p>
          <w:p>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the proposal6, and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observe a large SNR gap between the legacy entry and the 16-QAM, thus more entries are preferred, so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proposal. And option3 is preferred. From our understanding, hope the following analysis can facilitate the discussion.</w:t>
            </w:r>
          </w:p>
          <w:p>
            <w:pPr>
              <w:rPr>
                <w:szCs w:val="20"/>
                <w:lang w:eastAsia="zh-CN"/>
              </w:rPr>
            </w:pPr>
            <w:r>
              <w:rPr>
                <w:rFonts w:hint="eastAsia"/>
                <w:szCs w:val="20"/>
                <w:lang w:eastAsia="zh-CN"/>
              </w:rPr>
              <w:t>About the legacy framework, we think ‘the framework of Rel-14—16’ means the mechanism of CQI reporting triggered by high layer and report by MAC CE should be reused, instead of reusing the same table. If the new CQI table is out of the framework, can we say new signalling to trigger the report is also out of the framework?</w:t>
            </w:r>
          </w:p>
          <w:p>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pPr>
              <w:rPr>
                <w:szCs w:val="20"/>
                <w:lang w:eastAsia="zh-CN"/>
              </w:rPr>
            </w:pPr>
            <w:r>
              <w:rPr>
                <w:rFonts w:hint="eastAsia"/>
                <w:szCs w:val="20"/>
                <w:lang w:eastAsia="zh-CN"/>
              </w:rPr>
              <w:t>It means when the 16-QAM feature is configured, the CQI report should be based on NPDSCH, instead of NPDCCH.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Our preference is to keep Option 1 with a small number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Consider only 1 meeting left, we hope we should elaborate the detail solution to select instead of the general design guideline.</w:t>
            </w:r>
          </w:p>
        </w:tc>
      </w:tr>
    </w:tbl>
    <w:p/>
    <w:p>
      <w:pPr>
        <w:pStyle w:val="4"/>
      </w:pPr>
      <w:r>
        <w:rPr>
          <w:lang w:eastAsia="zh-CN"/>
        </w:rPr>
        <w:t>Issue 6: Measurement reference resource</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r>
              <w:rPr>
                <w:rFonts w:hint="eastAsia"/>
                <w:szCs w:val="20"/>
              </w:rPr>
              <w:t>]</w:t>
            </w:r>
          </w:p>
        </w:tc>
        <w:tc>
          <w:tcPr>
            <w:tcW w:w="7752" w:type="dxa"/>
          </w:tcPr>
          <w:p>
            <w:pPr>
              <w:rPr>
                <w:lang w:eastAsia="en-GB"/>
              </w:rPr>
            </w:pPr>
            <w:r>
              <w:rPr>
                <w:b/>
                <w:bCs/>
                <w:lang w:eastAsia="en-GB"/>
              </w:rPr>
              <w:t>Proposal 2: Define CSI reference resource to be used for 16-QAM CQI measurement.</w:t>
            </w:r>
          </w:p>
          <w:p>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pPr>
              <w:pStyle w:val="157"/>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pPr>
              <w:pStyle w:val="140"/>
              <w:numPr>
                <w:ilvl w:val="0"/>
                <w:numId w:val="0"/>
              </w:numPr>
              <w:spacing w:line="240" w:lineRule="auto"/>
              <w:ind w:left="1701" w:hanging="1701"/>
            </w:pPr>
            <w:bookmarkStart w:id="59" w:name="_Toc83293668"/>
            <w:r>
              <w:t>Proposal 2 In Rel-17 for 16-QAM in DL, NRS symbols are used as reference resource for CQI measurement.</w:t>
            </w:r>
            <w:bookmarkEnd w:id="59"/>
          </w:p>
          <w:p>
            <w:pPr>
              <w:rPr>
                <w:szCs w:val="20"/>
                <w:lang w:val="en-GB"/>
              </w:rPr>
            </w:pPr>
          </w:p>
        </w:tc>
      </w:tr>
    </w:tbl>
    <w:p/>
    <w:p>
      <w:r>
        <w:t>B</w:t>
      </w:r>
      <w:r>
        <w:rPr>
          <w:rFonts w:hint="eastAsia"/>
        </w:rPr>
        <w:t xml:space="preserve">ased </w:t>
      </w:r>
      <w:r>
        <w:t>on the inputs, companies still have different views on the introduction of measurement reference resources, therefore, the following is proposed to collect more views and discussions:</w:t>
      </w:r>
    </w:p>
    <w:p>
      <w:r>
        <w:rPr>
          <w:b/>
        </w:rPr>
        <w:t>Proposal 7: Further study on the specification of measurement reference resource.</w:t>
      </w:r>
    </w:p>
    <w:p/>
    <w:p>
      <w:r>
        <w:rPr>
          <w:rFonts w:hint="eastAsia"/>
        </w:rPr>
        <w:t>P</w:t>
      </w:r>
      <w:r>
        <w:t>lease input your comments regarding whether to specify the measurement reference resource.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The reference resource is as fundamental as the CQI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MotoM</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the proposal. Our preference is to define the measurement reference resource as that is typically part of the definition of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This was discussed also in the past when CQI was first introduced, and the conclusion was no reference resource was to be defined. It is unclear what changed.</w:t>
            </w:r>
          </w:p>
          <w:p>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pPr>
              <w:pStyle w:val="140"/>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[9]</w:t>
            </w:r>
          </w:p>
        </w:tc>
        <w:tc>
          <w:tcPr>
            <w:tcW w:w="7752" w:type="dxa"/>
          </w:tcPr>
          <w:p>
            <w:pPr>
              <w:pStyle w:val="157"/>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pPr>
              <w:pStyle w:val="157"/>
              <w:numPr>
                <w:ilvl w:val="0"/>
                <w:numId w:val="0"/>
              </w:numPr>
              <w:spacing w:line="240" w:lineRule="auto"/>
              <w:ind w:left="360" w:hanging="360"/>
            </w:pPr>
            <w:bookmarkStart w:id="64" w:name="_Toc83912150"/>
            <w:bookmarkStart w:id="65" w:name="_Toc82008893"/>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pPr>
              <w:pStyle w:val="157"/>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pPr>
              <w:pStyle w:val="157"/>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pPr>
              <w:pStyle w:val="140"/>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pPr>
              <w:pStyle w:val="140"/>
              <w:numPr>
                <w:ilvl w:val="0"/>
                <w:numId w:val="0"/>
              </w:numPr>
              <w:spacing w:line="240" w:lineRule="auto"/>
              <w:ind w:left="1701" w:hanging="1701"/>
            </w:pPr>
            <w:bookmarkStart w:id="71" w:name="_Toc83912154"/>
            <w:r>
              <w:t>Proposal 2 Decide whether 16-QAM for unicast in UL and DL is applicable for both FDD and TDD.</w:t>
            </w:r>
            <w:bookmarkEnd w:id="71"/>
          </w:p>
          <w:p>
            <w:pPr>
              <w:rPr>
                <w:szCs w:val="20"/>
                <w:lang w:val="en-GB"/>
              </w:rPr>
            </w:pPr>
          </w:p>
        </w:tc>
      </w:tr>
    </w:tbl>
    <w:p/>
    <w:p>
      <w:r>
        <w:t xml:space="preserve">As discussed in last meeting, regarding the proposal that the </w:t>
      </w:r>
      <w:r>
        <w:rPr>
          <w:i/>
        </w:rPr>
        <w:t>inbandCarrierInfo</w:t>
      </w:r>
      <w:r>
        <w:t xml:space="preserve"> can also be signaled by UE specific signaling, the following is proposed:</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
      <w:r>
        <w:t>Please input your comments to the above proposal, and also your views on the support of 16-QAM for FDD and TDD: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w:t>
            </w:r>
          </w:p>
        </w:tc>
        <w:tc>
          <w:tcPr>
            <w:tcW w:w="7469" w:type="dxa"/>
          </w:tcPr>
          <w:p>
            <w:pPr>
              <w:rPr>
                <w:sz w:val="20"/>
                <w:szCs w:val="18"/>
              </w:rPr>
            </w:pPr>
            <w:r>
              <w:rPr>
                <w:sz w:val="20"/>
                <w:szCs w:val="18"/>
              </w:rPr>
              <w:t>On Proposal 8: We are OK with proposal 8, otherwise the agreement is incomplete.</w:t>
            </w:r>
          </w:p>
          <w:p>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28"/>
              <w:jc w:val="left"/>
              <w:rPr>
                <w:rFonts w:eastAsia="宋体" w:asciiTheme="minorHAnsi" w:hAnsiTheme="minorHAnsi" w:cstheme="minorHAnsi"/>
                <w:b w:val="0"/>
                <w:bCs w:val="0"/>
                <w:sz w:val="22"/>
              </w:rPr>
            </w:pPr>
            <w:r>
              <w:rPr>
                <w:rFonts w:eastAsia="宋体" w:asciiTheme="minorHAnsi" w:hAnsiTheme="minorHAnsi" w:cstheme="minorHAnsi"/>
                <w:b w:val="0"/>
                <w:bCs w:val="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 xml:space="preserve">MTK </w:t>
            </w:r>
          </w:p>
        </w:tc>
        <w:tc>
          <w:tcPr>
            <w:tcW w:w="7469" w:type="dxa"/>
          </w:tcPr>
          <w:p>
            <w:pPr>
              <w:rPr>
                <w:szCs w:val="20"/>
                <w:lang w:eastAsia="zh-CN"/>
              </w:rPr>
            </w:pPr>
            <w:r>
              <w:rPr>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8. And we think 16QAM can also be applicable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8. The 16-QAM feature is applicable for TDD and we don’t see any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Proposal 8 is stable.</w:t>
            </w:r>
          </w:p>
          <w:p>
            <w:pPr>
              <w:rPr>
                <w:szCs w:val="20"/>
                <w:lang w:eastAsia="zh-CN"/>
              </w:rPr>
            </w:pPr>
            <w:r>
              <w:rPr>
                <w:szCs w:val="20"/>
                <w:lang w:eastAsia="zh-CN"/>
              </w:rPr>
              <w:t>For support of TDD, it can be discussed at UE feature email thread.</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6"/>
        <w:numPr>
          <w:ilvl w:val="0"/>
          <w:numId w:val="28"/>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6"/>
        <w:numPr>
          <w:ilvl w:val="0"/>
          <w:numId w:val="28"/>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8887"/>
    <w:multiLevelType w:val="multilevel"/>
    <w:tmpl w:val="C63C8887"/>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Yu Gothic"/>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Yu Gothic"/>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Yu Gothic"/>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CD003D"/>
    <w:multiLevelType w:val="multilevel"/>
    <w:tmpl w:val="0ACD003D"/>
    <w:lvl w:ilvl="0" w:tentative="0">
      <w:start w:val="1"/>
      <w:numFmt w:val="bullet"/>
      <w:lvlText w:val=""/>
      <w:lvlJc w:val="left"/>
      <w:pPr>
        <w:ind w:left="712" w:hanging="360"/>
      </w:pPr>
      <w:rPr>
        <w:rFonts w:hint="default" w:ascii="Symbol" w:hAnsi="Symbol"/>
      </w:rPr>
    </w:lvl>
    <w:lvl w:ilvl="1" w:tentative="0">
      <w:start w:val="1"/>
      <w:numFmt w:val="bullet"/>
      <w:lvlText w:val="o"/>
      <w:lvlJc w:val="left"/>
      <w:pPr>
        <w:ind w:left="1432" w:hanging="360"/>
      </w:pPr>
      <w:rPr>
        <w:rFonts w:hint="default" w:ascii="Courier New" w:hAnsi="Courier New" w:cs="Courier New"/>
      </w:rPr>
    </w:lvl>
    <w:lvl w:ilvl="2" w:tentative="0">
      <w:start w:val="1"/>
      <w:numFmt w:val="bullet"/>
      <w:lvlText w:val=""/>
      <w:lvlJc w:val="left"/>
      <w:pPr>
        <w:ind w:left="2152" w:hanging="360"/>
      </w:pPr>
      <w:rPr>
        <w:rFonts w:hint="default" w:ascii="Wingdings" w:hAnsi="Wingdings"/>
      </w:rPr>
    </w:lvl>
    <w:lvl w:ilvl="3" w:tentative="0">
      <w:start w:val="1"/>
      <w:numFmt w:val="bullet"/>
      <w:lvlText w:val=""/>
      <w:lvlJc w:val="left"/>
      <w:pPr>
        <w:ind w:left="2872" w:hanging="360"/>
      </w:pPr>
      <w:rPr>
        <w:rFonts w:hint="default" w:ascii="Symbol" w:hAnsi="Symbol"/>
      </w:rPr>
    </w:lvl>
    <w:lvl w:ilvl="4" w:tentative="0">
      <w:start w:val="1"/>
      <w:numFmt w:val="bullet"/>
      <w:lvlText w:val="o"/>
      <w:lvlJc w:val="left"/>
      <w:pPr>
        <w:ind w:left="3592" w:hanging="360"/>
      </w:pPr>
      <w:rPr>
        <w:rFonts w:hint="default" w:ascii="Courier New" w:hAnsi="Courier New" w:cs="Courier New"/>
      </w:rPr>
    </w:lvl>
    <w:lvl w:ilvl="5" w:tentative="0">
      <w:start w:val="1"/>
      <w:numFmt w:val="bullet"/>
      <w:lvlText w:val=""/>
      <w:lvlJc w:val="left"/>
      <w:pPr>
        <w:ind w:left="4312" w:hanging="360"/>
      </w:pPr>
      <w:rPr>
        <w:rFonts w:hint="default" w:ascii="Wingdings" w:hAnsi="Wingdings"/>
      </w:rPr>
    </w:lvl>
    <w:lvl w:ilvl="6" w:tentative="0">
      <w:start w:val="1"/>
      <w:numFmt w:val="bullet"/>
      <w:lvlText w:val=""/>
      <w:lvlJc w:val="left"/>
      <w:pPr>
        <w:ind w:left="5032" w:hanging="360"/>
      </w:pPr>
      <w:rPr>
        <w:rFonts w:hint="default" w:ascii="Symbol" w:hAnsi="Symbol"/>
      </w:rPr>
    </w:lvl>
    <w:lvl w:ilvl="7" w:tentative="0">
      <w:start w:val="1"/>
      <w:numFmt w:val="bullet"/>
      <w:lvlText w:val="o"/>
      <w:lvlJc w:val="left"/>
      <w:pPr>
        <w:ind w:left="5752" w:hanging="360"/>
      </w:pPr>
      <w:rPr>
        <w:rFonts w:hint="default" w:ascii="Courier New" w:hAnsi="Courier New" w:cs="Courier New"/>
      </w:rPr>
    </w:lvl>
    <w:lvl w:ilvl="8" w:tentative="0">
      <w:start w:val="1"/>
      <w:numFmt w:val="bullet"/>
      <w:lvlText w:val=""/>
      <w:lvlJc w:val="left"/>
      <w:pPr>
        <w:ind w:left="6472"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8C72ED"/>
    <w:multiLevelType w:val="multilevel"/>
    <w:tmpl w:val="148C72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8">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9">
    <w:nsid w:val="2F312599"/>
    <w:multiLevelType w:val="multilevel"/>
    <w:tmpl w:val="2F312599"/>
    <w:lvl w:ilvl="0" w:tentative="0">
      <w:start w:val="8"/>
      <w:numFmt w:val="bullet"/>
      <w:lvlText w:val="-"/>
      <w:lvlJc w:val="left"/>
      <w:pPr>
        <w:ind w:left="470" w:hanging="420"/>
      </w:pPr>
      <w:rPr>
        <w:rFonts w:hint="default" w:ascii="Times New Roman" w:hAnsi="Times New Roman" w:eastAsia="宋体" w:cs="Times New Roman"/>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0">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31796D"/>
    <w:multiLevelType w:val="multilevel"/>
    <w:tmpl w:val="3831796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13">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916037B"/>
    <w:multiLevelType w:val="multilevel"/>
    <w:tmpl w:val="4916037B"/>
    <w:lvl w:ilvl="0" w:tentative="0">
      <w:start w:val="1"/>
      <w:numFmt w:val="bullet"/>
      <w:lvlText w:val=""/>
      <w:lvlJc w:val="left"/>
      <w:pPr>
        <w:ind w:left="-42" w:hanging="360"/>
      </w:pPr>
      <w:rPr>
        <w:rFonts w:hint="default" w:ascii="Symbol" w:hAnsi="Symbol"/>
      </w:rPr>
    </w:lvl>
    <w:lvl w:ilvl="1" w:tentative="0">
      <w:start w:val="1"/>
      <w:numFmt w:val="bullet"/>
      <w:lvlText w:val="o"/>
      <w:lvlJc w:val="left"/>
      <w:pPr>
        <w:ind w:left="678" w:hanging="360"/>
      </w:pPr>
      <w:rPr>
        <w:rFonts w:hint="default" w:ascii="Courier New" w:hAnsi="Courier New" w:cs="Courier New"/>
      </w:rPr>
    </w:lvl>
    <w:lvl w:ilvl="2" w:tentative="0">
      <w:start w:val="1"/>
      <w:numFmt w:val="bullet"/>
      <w:lvlText w:val=""/>
      <w:lvlJc w:val="left"/>
      <w:pPr>
        <w:ind w:left="1398" w:hanging="360"/>
      </w:pPr>
      <w:rPr>
        <w:rFonts w:hint="default" w:ascii="Wingdings" w:hAnsi="Wingdings"/>
      </w:rPr>
    </w:lvl>
    <w:lvl w:ilvl="3" w:tentative="0">
      <w:start w:val="1"/>
      <w:numFmt w:val="bullet"/>
      <w:lvlText w:val=""/>
      <w:lvlJc w:val="left"/>
      <w:pPr>
        <w:ind w:left="2118" w:hanging="360"/>
      </w:pPr>
      <w:rPr>
        <w:rFonts w:hint="default" w:ascii="Symbol" w:hAnsi="Symbol"/>
      </w:rPr>
    </w:lvl>
    <w:lvl w:ilvl="4" w:tentative="0">
      <w:start w:val="1"/>
      <w:numFmt w:val="bullet"/>
      <w:lvlText w:val="o"/>
      <w:lvlJc w:val="left"/>
      <w:pPr>
        <w:ind w:left="2838" w:hanging="360"/>
      </w:pPr>
      <w:rPr>
        <w:rFonts w:hint="default" w:ascii="Courier New" w:hAnsi="Courier New" w:cs="Courier New"/>
      </w:rPr>
    </w:lvl>
    <w:lvl w:ilvl="5" w:tentative="0">
      <w:start w:val="1"/>
      <w:numFmt w:val="bullet"/>
      <w:lvlText w:val=""/>
      <w:lvlJc w:val="left"/>
      <w:pPr>
        <w:ind w:left="3558" w:hanging="360"/>
      </w:pPr>
      <w:rPr>
        <w:rFonts w:hint="default" w:ascii="Wingdings" w:hAnsi="Wingdings"/>
      </w:rPr>
    </w:lvl>
    <w:lvl w:ilvl="6" w:tentative="0">
      <w:start w:val="1"/>
      <w:numFmt w:val="bullet"/>
      <w:lvlText w:val=""/>
      <w:lvlJc w:val="left"/>
      <w:pPr>
        <w:ind w:left="4278" w:hanging="360"/>
      </w:pPr>
      <w:rPr>
        <w:rFonts w:hint="default" w:ascii="Symbol" w:hAnsi="Symbol"/>
      </w:rPr>
    </w:lvl>
    <w:lvl w:ilvl="7" w:tentative="0">
      <w:start w:val="1"/>
      <w:numFmt w:val="bullet"/>
      <w:lvlText w:val="o"/>
      <w:lvlJc w:val="left"/>
      <w:pPr>
        <w:ind w:left="4998" w:hanging="360"/>
      </w:pPr>
      <w:rPr>
        <w:rFonts w:hint="default" w:ascii="Courier New" w:hAnsi="Courier New" w:cs="Courier New"/>
      </w:rPr>
    </w:lvl>
    <w:lvl w:ilvl="8" w:tentative="0">
      <w:start w:val="1"/>
      <w:numFmt w:val="bullet"/>
      <w:lvlText w:val=""/>
      <w:lvlJc w:val="left"/>
      <w:pPr>
        <w:ind w:left="5718" w:hanging="360"/>
      </w:pPr>
      <w:rPr>
        <w:rFonts w:hint="default" w:ascii="Wingdings" w:hAnsi="Wingdings"/>
      </w:rPr>
    </w:lvl>
  </w:abstractNum>
  <w:abstractNum w:abstractNumId="16">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7">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CC450B0"/>
    <w:multiLevelType w:val="multilevel"/>
    <w:tmpl w:val="4CC450B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0">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4">
    <w:nsid w:val="684E4F14"/>
    <w:multiLevelType w:val="multilevel"/>
    <w:tmpl w:val="684E4F14"/>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25">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6">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
  </w:num>
  <w:num w:numId="13">
    <w:abstractNumId w:val="4"/>
  </w:num>
  <w:num w:numId="14">
    <w:abstractNumId w:val="27"/>
  </w:num>
  <w:num w:numId="15">
    <w:abstractNumId w:val="14"/>
  </w:num>
  <w:num w:numId="16">
    <w:abstractNumId w:val="5"/>
  </w:num>
  <w:num w:numId="17">
    <w:abstractNumId w:val="15"/>
  </w:num>
  <w:num w:numId="18">
    <w:abstractNumId w:val="17"/>
  </w:num>
  <w:num w:numId="19">
    <w:abstractNumId w:val="7"/>
  </w:num>
  <w:num w:numId="20">
    <w:abstractNumId w:val="19"/>
  </w:num>
  <w:num w:numId="21">
    <w:abstractNumId w:val="22"/>
  </w:num>
  <w:num w:numId="22">
    <w:abstractNumId w:val="3"/>
  </w:num>
  <w:num w:numId="23">
    <w:abstractNumId w:val="9"/>
  </w:num>
  <w:num w:numId="24">
    <w:abstractNumId w:val="11"/>
  </w:num>
  <w:num w:numId="25">
    <w:abstractNumId w:val="24"/>
  </w:num>
  <w:num w:numId="26">
    <w:abstractNumId w:val="20"/>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43B"/>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B886CC9"/>
    <w:rsid w:val="1C7648EE"/>
    <w:rsid w:val="1EA74C2D"/>
    <w:rsid w:val="1F7E1FDA"/>
    <w:rsid w:val="209B1AF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34"/>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38BFF-6C64-4306-AC2F-883439071D1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25</Pages>
  <Words>7951</Words>
  <Characters>42142</Characters>
  <Lines>351</Lines>
  <Paragraphs>99</Paragraphs>
  <TotalTime>3</TotalTime>
  <ScaleCrop>false</ScaleCrop>
  <LinksUpToDate>false</LinksUpToDate>
  <CharactersWithSpaces>49994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2021-10-14T08:07:00Z</dcterms:created>
  <dc:creator>yangyubo (A)</dc:creator>
  <cp:lastModifiedBy>ZTE-Youjun Hu</cp:lastModifiedBy>
  <dcterms:modified xsi:type="dcterms:W3CDTF">2021-10-14T10:05:55Z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