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782700BF" w14:textId="77777777" w:rsidR="00237FC6" w:rsidRDefault="000C46CD">
      <w:pPr>
        <w:pStyle w:val="1"/>
        <w:rPr>
          <w:lang w:eastAsia="zh-CN"/>
        </w:rPr>
      </w:pPr>
      <w:r>
        <w:rPr>
          <w:rFonts w:hint="eastAsia"/>
          <w:lang w:eastAsia="zh-CN"/>
        </w:rPr>
        <w:t>Discussion</w:t>
      </w:r>
    </w:p>
    <w:p w14:paraId="0B5495ED" w14:textId="77777777" w:rsidR="00237FC6" w:rsidRDefault="000C46CD">
      <w:pPr>
        <w:pStyle w:val="2"/>
        <w:rPr>
          <w:lang w:eastAsia="zh-CN"/>
        </w:rPr>
      </w:pPr>
      <w:r>
        <w:rPr>
          <w:lang w:eastAsia="zh-CN"/>
        </w:rPr>
        <w:t>Applicability</w:t>
      </w:r>
    </w:p>
    <w:p w14:paraId="4708665C" w14:textId="77777777" w:rsidR="00237FC6" w:rsidRDefault="000C46CD">
      <w:pPr>
        <w:pStyle w:val="30"/>
      </w:pPr>
      <w:r>
        <w:rPr>
          <w:lang w:eastAsia="zh-CN"/>
        </w:rPr>
        <w:t>Issue 1: Applicability</w:t>
      </w:r>
    </w:p>
    <w:p w14:paraId="284BB948"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aff0"/>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aff0"/>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aff0"/>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aff0"/>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lastRenderedPageBreak/>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a6"/>
        <w:jc w:val="left"/>
        <w:rPr>
          <w:sz w:val="22"/>
        </w:rPr>
      </w:pPr>
      <w:r>
        <w:t xml:space="preserve">Proposal 1: </w:t>
      </w:r>
      <w:r>
        <w:rPr>
          <w:sz w:val="22"/>
        </w:rPr>
        <w:t>Support 16-QAM for NPDSCH in PUR procedure</w:t>
      </w:r>
    </w:p>
    <w:p w14:paraId="7A0F566E" w14:textId="77777777" w:rsidR="00237FC6" w:rsidRDefault="000C46CD">
      <w:pPr>
        <w:pStyle w:val="a6"/>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afa"/>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a6"/>
              <w:jc w:val="left"/>
              <w:rPr>
                <w:sz w:val="22"/>
              </w:rPr>
            </w:pPr>
            <w:r>
              <w:t xml:space="preserve">Proposal 1: </w:t>
            </w:r>
            <w:r>
              <w:rPr>
                <w:sz w:val="22"/>
              </w:rPr>
              <w:t>Support 16-QAM for NPDSCH in PUR procedure</w:t>
            </w:r>
          </w:p>
          <w:p w14:paraId="6B82ED87" w14:textId="77777777" w:rsidR="00237FC6" w:rsidRDefault="000C46CD">
            <w:pPr>
              <w:pStyle w:val="a6"/>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a6"/>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a6"/>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a6"/>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a6"/>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a6"/>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lastRenderedPageBreak/>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a6"/>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a6"/>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r w:rsidR="004A405D" w14:paraId="5D891246" w14:textId="77777777">
        <w:tc>
          <w:tcPr>
            <w:tcW w:w="1838" w:type="dxa"/>
          </w:tcPr>
          <w:p w14:paraId="3F6E87DA" w14:textId="1E2787AE" w:rsidR="004A405D" w:rsidRDefault="004A405D">
            <w:pPr>
              <w:rPr>
                <w:rFonts w:hint="eastAsia"/>
                <w:szCs w:val="20"/>
                <w:lang w:eastAsia="zh-CN"/>
              </w:rPr>
            </w:pPr>
            <w:r>
              <w:rPr>
                <w:rFonts w:hint="eastAsia"/>
                <w:szCs w:val="20"/>
                <w:lang w:eastAsia="zh-CN"/>
              </w:rPr>
              <w:t>Lenovo,</w:t>
            </w:r>
            <w:r>
              <w:rPr>
                <w:szCs w:val="20"/>
                <w:lang w:eastAsia="zh-CN"/>
              </w:rPr>
              <w:t xml:space="preserve"> MotoM</w:t>
            </w:r>
          </w:p>
        </w:tc>
        <w:tc>
          <w:tcPr>
            <w:tcW w:w="7469" w:type="dxa"/>
          </w:tcPr>
          <w:p w14:paraId="0E5E950F" w14:textId="6110A428" w:rsidR="004A405D" w:rsidRDefault="004A405D">
            <w:pPr>
              <w:rPr>
                <w:szCs w:val="20"/>
                <w:lang w:eastAsia="zh-CN"/>
              </w:rPr>
            </w:pPr>
            <w:r>
              <w:rPr>
                <w:szCs w:val="20"/>
                <w:lang w:eastAsia="zh-CN"/>
              </w:rPr>
              <w:t>We are fine with the proposal by E/// v011</w:t>
            </w:r>
          </w:p>
        </w:tc>
      </w:tr>
    </w:tbl>
    <w:p w14:paraId="5E4135C2" w14:textId="77777777" w:rsidR="00237FC6" w:rsidRDefault="00237FC6">
      <w:pPr>
        <w:rPr>
          <w:b/>
        </w:rPr>
      </w:pPr>
    </w:p>
    <w:p w14:paraId="06B842AD" w14:textId="77777777" w:rsidR="00237FC6" w:rsidRDefault="000C46CD">
      <w:pPr>
        <w:pStyle w:val="2"/>
        <w:rPr>
          <w:lang w:eastAsia="zh-CN"/>
        </w:rPr>
      </w:pPr>
      <w:r>
        <w:rPr>
          <w:lang w:eastAsia="zh-CN"/>
        </w:rPr>
        <w:t>DCI</w:t>
      </w:r>
    </w:p>
    <w:p w14:paraId="65E2893D" w14:textId="77777777" w:rsidR="00237FC6" w:rsidRDefault="000C46CD">
      <w:pPr>
        <w:pStyle w:val="30"/>
      </w:pPr>
      <w:r>
        <w:rPr>
          <w:lang w:eastAsia="zh-CN"/>
        </w:rPr>
        <w:t>Issue 2: DCI design</w:t>
      </w:r>
    </w:p>
    <w:p w14:paraId="3EB7D150"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2"/>
        <w:rPr>
          <w:lang w:eastAsia="zh-CN"/>
        </w:rPr>
      </w:pPr>
      <w:r>
        <w:rPr>
          <w:lang w:eastAsia="zh-CN"/>
        </w:rPr>
        <w:t>Power allocation and power control</w:t>
      </w:r>
    </w:p>
    <w:p w14:paraId="4B4CD27D" w14:textId="77777777" w:rsidR="00237FC6" w:rsidRDefault="000C46CD">
      <w:pPr>
        <w:pStyle w:val="30"/>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lastRenderedPageBreak/>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30"/>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lastRenderedPageBreak/>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C40E65">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aff0"/>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aff0"/>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aff0"/>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aff0"/>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lastRenderedPageBreak/>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lastRenderedPageBreak/>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w:t>
            </w:r>
            <w:r>
              <w:rPr>
                <w:lang w:val="en-US"/>
              </w:rPr>
              <w:lastRenderedPageBreak/>
              <w:t>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aff0"/>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aff0"/>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aff0"/>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afa"/>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lastRenderedPageBreak/>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5638FC5"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w:t>
            </w:r>
            <w:r w:rsidR="00F81279">
              <w:rPr>
                <w:szCs w:val="20"/>
                <w:lang w:eastAsia="zh-CN"/>
              </w:rPr>
              <w:t>e</w:t>
            </w:r>
            <w:r>
              <w:rPr>
                <w:szCs w:val="20"/>
                <w:lang w:eastAsia="zh-CN"/>
              </w:rPr>
              <w:t xml:space="preserv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lastRenderedPageBreak/>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afa"/>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Offset to compensate for the 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afa"/>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aff0"/>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C40E65" w:rsidP="00812F39">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aff0"/>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aff0"/>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aff0"/>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aff0"/>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aff0"/>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aff0"/>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aff0"/>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aff0"/>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aff0"/>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aff0"/>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aff0"/>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aff0"/>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aff0"/>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aff0"/>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aff0"/>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aff0"/>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aff0"/>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aff0"/>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afa"/>
                    <w:tblW w:w="0" w:type="auto"/>
                    <w:jc w:val="center"/>
                    <w:tblLook w:val="04A0" w:firstRow="1" w:lastRow="0" w:firstColumn="1" w:lastColumn="0" w:noHBand="0" w:noVBand="1"/>
                  </w:tblPr>
                  <w:tblGrid>
                    <w:gridCol w:w="1693"/>
                    <w:gridCol w:w="1703"/>
                  </w:tblGrid>
                  <w:tr w:rsidR="00812F39" w14:paraId="61422639" w14:textId="77777777" w:rsidTr="00C40E65">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aff0"/>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C40E65" w:rsidP="00812F39">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C40E65">
                    <w:trPr>
                      <w:jc w:val="center"/>
                    </w:trPr>
                    <w:tc>
                      <w:tcPr>
                        <w:tcW w:w="1842" w:type="dxa"/>
                        <w:vAlign w:val="center"/>
                      </w:tcPr>
                      <w:p w14:paraId="41C1438E" w14:textId="77777777" w:rsidR="00812F39" w:rsidRPr="00812F39" w:rsidRDefault="00812F39" w:rsidP="00812F39">
                        <w:pPr>
                          <w:pStyle w:val="aff0"/>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aff0"/>
                          <w:ind w:left="0"/>
                          <w:jc w:val="center"/>
                          <w:rPr>
                            <w:rFonts w:cs="Arial"/>
                            <w:sz w:val="18"/>
                            <w:szCs w:val="18"/>
                          </w:rPr>
                        </w:pPr>
                        <w:r w:rsidRPr="00812F39">
                          <w:rPr>
                            <w:rFonts w:cs="Arial"/>
                            <w:sz w:val="18"/>
                            <w:szCs w:val="18"/>
                          </w:rPr>
                          <w:t>0</w:t>
                        </w:r>
                      </w:p>
                    </w:tc>
                  </w:tr>
                  <w:tr w:rsidR="00812F39" w14:paraId="382BE460" w14:textId="77777777" w:rsidTr="00C40E65">
                    <w:trPr>
                      <w:jc w:val="center"/>
                    </w:trPr>
                    <w:tc>
                      <w:tcPr>
                        <w:tcW w:w="1842" w:type="dxa"/>
                        <w:vAlign w:val="center"/>
                      </w:tcPr>
                      <w:p w14:paraId="347FB65D" w14:textId="77777777" w:rsidR="00812F39" w:rsidRPr="00812F39" w:rsidRDefault="00812F39" w:rsidP="00812F39">
                        <w:pPr>
                          <w:pStyle w:val="aff0"/>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aff0"/>
                          <w:ind w:left="0"/>
                          <w:jc w:val="center"/>
                          <w:rPr>
                            <w:rFonts w:cs="Arial"/>
                            <w:sz w:val="18"/>
                            <w:szCs w:val="18"/>
                          </w:rPr>
                        </w:pPr>
                        <w:r w:rsidRPr="00812F39">
                          <w:rPr>
                            <w:sz w:val="18"/>
                            <w:szCs w:val="18"/>
                          </w:rPr>
                          <w:t>6.4 – offset =</w:t>
                        </w:r>
                        <w:r w:rsidR="008373E9">
                          <w:rPr>
                            <w:sz w:val="18"/>
                            <w:szCs w:val="18"/>
                          </w:rPr>
                          <w:t xml:space="preserve"> 0.5</w:t>
                        </w:r>
                      </w:p>
                    </w:tc>
                  </w:tr>
                  <w:tr w:rsidR="00812F39" w14:paraId="6C3D7293" w14:textId="77777777" w:rsidTr="00C40E65">
                    <w:trPr>
                      <w:jc w:val="center"/>
                    </w:trPr>
                    <w:tc>
                      <w:tcPr>
                        <w:tcW w:w="1842" w:type="dxa"/>
                        <w:vAlign w:val="center"/>
                      </w:tcPr>
                      <w:p w14:paraId="06E51AFC" w14:textId="77777777" w:rsidR="00812F39" w:rsidRPr="00812F39" w:rsidRDefault="00812F39" w:rsidP="00812F39">
                        <w:pPr>
                          <w:pStyle w:val="aff0"/>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aff0"/>
                          <w:ind w:left="0"/>
                          <w:jc w:val="center"/>
                          <w:rPr>
                            <w:rFonts w:cs="Arial"/>
                            <w:sz w:val="18"/>
                            <w:szCs w:val="18"/>
                          </w:rPr>
                        </w:pPr>
                        <w:r w:rsidRPr="00812F39">
                          <w:rPr>
                            <w:sz w:val="18"/>
                            <w:szCs w:val="18"/>
                          </w:rPr>
                          <w:t>7.1 – offset =</w:t>
                        </w:r>
                        <w:r w:rsidR="008373E9">
                          <w:rPr>
                            <w:sz w:val="18"/>
                            <w:szCs w:val="18"/>
                          </w:rPr>
                          <w:t xml:space="preserve"> 1.2</w:t>
                        </w:r>
                      </w:p>
                    </w:tc>
                  </w:tr>
                  <w:tr w:rsidR="00812F39" w14:paraId="09D1807B" w14:textId="77777777" w:rsidTr="00C40E65">
                    <w:trPr>
                      <w:jc w:val="center"/>
                    </w:trPr>
                    <w:tc>
                      <w:tcPr>
                        <w:tcW w:w="1842" w:type="dxa"/>
                        <w:vAlign w:val="center"/>
                      </w:tcPr>
                      <w:p w14:paraId="0C6172F5" w14:textId="77777777" w:rsidR="00812F39" w:rsidRPr="00812F39" w:rsidRDefault="00812F39" w:rsidP="00812F39">
                        <w:pPr>
                          <w:pStyle w:val="aff0"/>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aff0"/>
                          <w:ind w:left="0"/>
                          <w:jc w:val="center"/>
                          <w:rPr>
                            <w:rFonts w:cs="Arial"/>
                            <w:sz w:val="18"/>
                            <w:szCs w:val="18"/>
                          </w:rPr>
                        </w:pPr>
                        <w:r w:rsidRPr="00812F39">
                          <w:rPr>
                            <w:sz w:val="18"/>
                            <w:szCs w:val="18"/>
                          </w:rPr>
                          <w:t>7.7 – offset =</w:t>
                        </w:r>
                        <w:r w:rsidR="008373E9">
                          <w:rPr>
                            <w:sz w:val="18"/>
                            <w:szCs w:val="18"/>
                          </w:rPr>
                          <w:t xml:space="preserve"> 1.8</w:t>
                        </w:r>
                      </w:p>
                    </w:tc>
                  </w:tr>
                  <w:tr w:rsidR="00812F39" w14:paraId="132B8130" w14:textId="77777777" w:rsidTr="00C40E65">
                    <w:trPr>
                      <w:jc w:val="center"/>
                    </w:trPr>
                    <w:tc>
                      <w:tcPr>
                        <w:tcW w:w="1842" w:type="dxa"/>
                        <w:vAlign w:val="center"/>
                      </w:tcPr>
                      <w:p w14:paraId="453A992B" w14:textId="77777777" w:rsidR="00812F39" w:rsidRPr="00812F39" w:rsidRDefault="00812F39" w:rsidP="00812F39">
                        <w:pPr>
                          <w:pStyle w:val="aff0"/>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aff0"/>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C40E65">
                    <w:trPr>
                      <w:jc w:val="center"/>
                    </w:trPr>
                    <w:tc>
                      <w:tcPr>
                        <w:tcW w:w="1842" w:type="dxa"/>
                        <w:vAlign w:val="center"/>
                      </w:tcPr>
                      <w:p w14:paraId="0707D626" w14:textId="77777777" w:rsidR="00812F39" w:rsidRPr="00812F39" w:rsidRDefault="00812F39" w:rsidP="00812F39">
                        <w:pPr>
                          <w:pStyle w:val="aff0"/>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aff0"/>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C40E65">
                    <w:trPr>
                      <w:jc w:val="center"/>
                    </w:trPr>
                    <w:tc>
                      <w:tcPr>
                        <w:tcW w:w="1842" w:type="dxa"/>
                        <w:vAlign w:val="center"/>
                      </w:tcPr>
                      <w:p w14:paraId="4F2D6BEB" w14:textId="77777777" w:rsidR="00812F39" w:rsidRPr="00812F39" w:rsidRDefault="00812F39" w:rsidP="00812F39">
                        <w:pPr>
                          <w:pStyle w:val="aff0"/>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aff0"/>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C40E65">
                    <w:trPr>
                      <w:jc w:val="center"/>
                    </w:trPr>
                    <w:tc>
                      <w:tcPr>
                        <w:tcW w:w="1842" w:type="dxa"/>
                        <w:vAlign w:val="center"/>
                      </w:tcPr>
                      <w:p w14:paraId="2F97C1CD" w14:textId="77777777" w:rsidR="00812F39" w:rsidRPr="00812F39" w:rsidRDefault="00812F39" w:rsidP="00812F39">
                        <w:pPr>
                          <w:pStyle w:val="aff0"/>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aff0"/>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C40E65">
                    <w:trPr>
                      <w:jc w:val="center"/>
                    </w:trPr>
                    <w:tc>
                      <w:tcPr>
                        <w:tcW w:w="1842" w:type="dxa"/>
                        <w:vAlign w:val="center"/>
                      </w:tcPr>
                      <w:p w14:paraId="686A9C5E" w14:textId="77777777" w:rsidR="00812F39" w:rsidRPr="00812F39" w:rsidRDefault="00812F39" w:rsidP="00812F39">
                        <w:pPr>
                          <w:pStyle w:val="aff0"/>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aff0"/>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5.9 dB, which alleviates the “jump between QPSK and 16-QAM”.</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r w:rsidR="00F81279" w14:paraId="5FB7470F" w14:textId="77777777">
        <w:tc>
          <w:tcPr>
            <w:tcW w:w="1838" w:type="dxa"/>
          </w:tcPr>
          <w:p w14:paraId="0B1BBE42" w14:textId="77777777" w:rsidR="00F81279" w:rsidRDefault="00F81279">
            <w:pPr>
              <w:rPr>
                <w:szCs w:val="20"/>
                <w:lang w:eastAsia="zh-CN"/>
              </w:rPr>
            </w:pPr>
            <w:r>
              <w:rPr>
                <w:rFonts w:hint="eastAsia"/>
                <w:szCs w:val="20"/>
                <w:lang w:eastAsia="zh-CN"/>
              </w:rPr>
              <w:t>L</w:t>
            </w:r>
            <w:r>
              <w:rPr>
                <w:szCs w:val="20"/>
                <w:lang w:eastAsia="zh-CN"/>
              </w:rPr>
              <w:t>enovo, MotoM</w:t>
            </w:r>
          </w:p>
          <w:p w14:paraId="44D8A4A4" w14:textId="549FA221" w:rsidR="00F81279" w:rsidRDefault="00F81279">
            <w:pPr>
              <w:rPr>
                <w:szCs w:val="20"/>
                <w:lang w:eastAsia="zh-CN"/>
              </w:rPr>
            </w:pPr>
          </w:p>
        </w:tc>
        <w:tc>
          <w:tcPr>
            <w:tcW w:w="7469" w:type="dxa"/>
          </w:tcPr>
          <w:p w14:paraId="4630F86D" w14:textId="535BE668" w:rsidR="00D65313" w:rsidRDefault="00D65313">
            <w:pPr>
              <w:rPr>
                <w:rFonts w:hint="eastAsia"/>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w:t>
            </w:r>
            <w:r w:rsidR="00BC288F">
              <w:rPr>
                <w:szCs w:val="20"/>
                <w:lang w:eastAsia="zh-CN"/>
              </w:rPr>
              <w:t xml:space="preserve"> at all</w:t>
            </w:r>
            <w:r w:rsidR="00495959">
              <w:rPr>
                <w:szCs w:val="20"/>
                <w:lang w:eastAsia="zh-CN"/>
              </w:rPr>
              <w:t xml:space="preserve"> (the </w:t>
            </w:r>
            <w:r w:rsidR="008A69FF">
              <w:rPr>
                <w:szCs w:val="20"/>
                <w:lang w:eastAsia="zh-CN"/>
              </w:rPr>
              <w:t>UL power control enhancement</w:t>
            </w:r>
            <w:r w:rsidR="00495959">
              <w:rPr>
                <w:szCs w:val="20"/>
                <w:lang w:eastAsia="zh-CN"/>
              </w:rPr>
              <w:t xml:space="preserve"> is an optimization and </w:t>
            </w:r>
            <w:r w:rsidR="00C40E65">
              <w:rPr>
                <w:szCs w:val="20"/>
                <w:lang w:eastAsia="zh-CN"/>
              </w:rPr>
              <w:t xml:space="preserve">is </w:t>
            </w:r>
            <w:r w:rsidR="00495959">
              <w:rPr>
                <w:szCs w:val="20"/>
                <w:lang w:eastAsia="zh-CN"/>
              </w:rPr>
              <w:t>not noted in WID)</w:t>
            </w:r>
            <w:r>
              <w:rPr>
                <w:szCs w:val="20"/>
                <w:lang w:eastAsia="zh-CN"/>
              </w:rPr>
              <w:t>.</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30"/>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lastRenderedPageBreak/>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aff0"/>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aff0"/>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lastRenderedPageBreak/>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lastRenderedPageBreak/>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lastRenderedPageBreak/>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af7"/>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af7"/>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aff0"/>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aff0"/>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lastRenderedPageBreak/>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a"/>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r w:rsidR="00BF319D" w14:paraId="673F5515" w14:textId="77777777">
        <w:tc>
          <w:tcPr>
            <w:tcW w:w="1838" w:type="dxa"/>
          </w:tcPr>
          <w:p w14:paraId="7C5CAF55" w14:textId="3A59B520" w:rsidR="00BF319D" w:rsidRDefault="00BF319D">
            <w:pPr>
              <w:rPr>
                <w:szCs w:val="20"/>
                <w:lang w:eastAsia="zh-CN"/>
              </w:rPr>
            </w:pPr>
            <w:r>
              <w:rPr>
                <w:rFonts w:hint="eastAsia"/>
                <w:szCs w:val="20"/>
                <w:lang w:eastAsia="zh-CN"/>
              </w:rPr>
              <w:t>L</w:t>
            </w:r>
            <w:r>
              <w:rPr>
                <w:szCs w:val="20"/>
                <w:lang w:eastAsia="zh-CN"/>
              </w:rPr>
              <w:t>enovo, MotoM</w:t>
            </w:r>
          </w:p>
        </w:tc>
        <w:tc>
          <w:tcPr>
            <w:tcW w:w="7469" w:type="dxa"/>
          </w:tcPr>
          <w:p w14:paraId="0ABF4824" w14:textId="094F8497" w:rsidR="00BF319D" w:rsidRDefault="00BF319D">
            <w:pPr>
              <w:rPr>
                <w:szCs w:val="20"/>
                <w:lang w:eastAsia="zh-CN"/>
              </w:rPr>
            </w:pPr>
            <w:r>
              <w:rPr>
                <w:szCs w:val="20"/>
                <w:lang w:eastAsia="zh-CN"/>
              </w:rPr>
              <w:t>Consider only 1 meeting left, we hope we should elaborate the detail solution to select instead of the general design guideline.</w:t>
            </w:r>
          </w:p>
        </w:tc>
      </w:tr>
    </w:tbl>
    <w:p w14:paraId="2CB12430" w14:textId="77777777" w:rsidR="00237FC6" w:rsidRDefault="00237FC6"/>
    <w:p w14:paraId="22C61550" w14:textId="77777777" w:rsidR="00237FC6" w:rsidRDefault="000C46CD">
      <w:pPr>
        <w:pStyle w:val="30"/>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lastRenderedPageBreak/>
              <w:t>Proposal 2 In Rel-17 for 16-QAM in DL, NRS symbols are used as reference resource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afa"/>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bl>
    <w:p w14:paraId="73376E6F" w14:textId="77777777" w:rsidR="00237FC6" w:rsidRDefault="00237FC6"/>
    <w:p w14:paraId="30949F45" w14:textId="77777777" w:rsidR="00237FC6" w:rsidRDefault="000C46CD">
      <w:pPr>
        <w:pStyle w:val="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lastRenderedPageBreak/>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afa"/>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lastRenderedPageBreak/>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bl>
    <w:p w14:paraId="7A607C4C" w14:textId="77777777" w:rsidR="00237FC6" w:rsidRDefault="00237FC6"/>
    <w:p w14:paraId="628D6565" w14:textId="77777777" w:rsidR="00237FC6" w:rsidRDefault="000C46CD">
      <w:pPr>
        <w:pStyle w:val="1"/>
      </w:pPr>
      <w:r>
        <w:rPr>
          <w:rFonts w:hint="eastAsia"/>
          <w:lang w:eastAsia="zh-CN"/>
        </w:rPr>
        <w:t>Summary</w:t>
      </w:r>
    </w:p>
    <w:p w14:paraId="6577C235" w14:textId="77777777" w:rsidR="00237FC6" w:rsidRDefault="00237FC6"/>
    <w:p w14:paraId="3E626862" w14:textId="77777777" w:rsidR="00237FC6" w:rsidRDefault="000C46CD">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aff0"/>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6745738"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ABD38" w14:textId="77777777" w:rsidR="00AB5623" w:rsidRDefault="00AB5623"/>
  </w:endnote>
  <w:endnote w:type="continuationSeparator" w:id="0">
    <w:p w14:paraId="5C1A495A" w14:textId="77777777" w:rsidR="00AB5623" w:rsidRDefault="00AB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6F50F" w14:textId="77777777" w:rsidR="00AB5623" w:rsidRDefault="00AB5623"/>
  </w:footnote>
  <w:footnote w:type="continuationSeparator" w:id="0">
    <w:p w14:paraId="10477BB9" w14:textId="77777777" w:rsidR="00AB5623" w:rsidRDefault="00AB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aliases w:val="- Bullets,목록 단락,リスト段落,?? ??,?????,????,Lista1,列出段落1,中等深浅网格 1 - 着色 21,列出段落,¥¡¡¡¡ì¬º¥¹¥È¶ÎÂä,ÁÐ³ö¶ÎÂä,列表段落1,—ño’i—Ž,¥ê¥¹¥È¶ÎÂä,1st level - Bullet List Paragraph,Lettre d'introduction,Paragrafo elenco,Normal bullet 2,Bullet list,목록단락,列"/>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aliases w:val="- Bullets 字符,목록 단락 字符,リスト段落 字符,?? ?? 字符,????? 字符,???? 字符,Lista1 字符,列出段落1 字符,中等深浅网格 1 - 着色 21 字符,列出段落 字符,¥¡¡¡¡ì¬º¥¹¥È¶ÎÂä 字符,ÁÐ³ö¶ÎÂä 字符,列表段落1 字符,—ño’i—Ž 字符,¥ê¥¹¥È¶ÎÂä 字符,1st level - Bullet List Paragraph 字符,Lettre d'introduction 字符,목록단락 字符,列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12FD69-D06D-428E-A31E-2BCD459C55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13</cp:revision>
  <dcterms:created xsi:type="dcterms:W3CDTF">2021-10-12T19:26:00Z</dcterms:created>
  <dcterms:modified xsi:type="dcterms:W3CDTF">2021-10-13T02:25:00Z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