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55A5" w14:textId="77777777" w:rsidR="00A30966" w:rsidRDefault="00FE41D0">
      <w:pPr>
        <w:pStyle w:val="ae"/>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w:t>
      </w:r>
      <w:bookmarkStart w:id="0" w:name="_GoBack"/>
      <w:bookmarkEnd w:id="0"/>
      <w:r>
        <w:rPr>
          <w:rFonts w:cs="Arial"/>
          <w:bCs/>
          <w:sz w:val="22"/>
          <w:szCs w:val="22"/>
          <w:lang w:eastAsia="zh-CN"/>
        </w:rPr>
        <w:t>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a"/>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a"/>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aa"/>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aa"/>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맑은 고딕"/>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맑은 고딕"/>
                <w:lang w:eastAsia="ko-KR"/>
              </w:rPr>
            </w:pPr>
            <w:r>
              <w:rPr>
                <w:rFonts w:eastAsia="맑은 고딕"/>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SpCell</w:t>
            </w:r>
            <w:proofErr w:type="spellEnd"/>
            <w:r w:rsidRPr="00960343">
              <w:rPr>
                <w:rFonts w:eastAsia="MS Mincho"/>
                <w:lang w:val="en-US" w:eastAsia="ja-JP"/>
              </w:rPr>
              <w:t>:</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ServingCellConfigCommonSIB</w:t>
            </w:r>
            <w:proofErr w:type="spellEnd"/>
            <w:r w:rsidRPr="00960343">
              <w:rPr>
                <w:rFonts w:eastAsia="MS Mincho"/>
                <w:lang w:val="en-US" w:eastAsia="ja-JP"/>
              </w:rPr>
              <w:t>--&gt;</w:t>
            </w:r>
            <w:proofErr w:type="spellStart"/>
            <w:r w:rsidRPr="00960343">
              <w:rPr>
                <w:rFonts w:eastAsia="MS Mincho"/>
                <w:lang w:val="en-US" w:eastAsia="ja-JP"/>
              </w:rPr>
              <w:t>UplinkConfigCommonSIB</w:t>
            </w:r>
            <w:proofErr w:type="spellEnd"/>
            <w:r w:rsidRPr="00960343">
              <w:rPr>
                <w:rFonts w:eastAsia="MS Mincho"/>
                <w:lang w:val="en-US" w:eastAsia="ja-JP"/>
              </w:rPr>
              <w:t xml:space="preserve"> </w:t>
            </w:r>
            <w:r w:rsidRPr="00960343">
              <w:rPr>
                <w:rFonts w:eastAsia="MS Mincho"/>
                <w:color w:val="FF0000"/>
                <w:lang w:val="en-US" w:eastAsia="ja-JP"/>
              </w:rPr>
              <w:t>(</w:t>
            </w:r>
            <w:proofErr w:type="spellStart"/>
            <w:r w:rsidRPr="00960343">
              <w:rPr>
                <w:rFonts w:eastAsia="MS Mincho"/>
                <w:color w:val="FF0000"/>
                <w:lang w:val="en-US" w:eastAsia="ja-JP"/>
              </w:rPr>
              <w:t>supplementaryUplink</w:t>
            </w:r>
            <w:proofErr w:type="spellEnd"/>
            <w:r w:rsidRPr="00960343">
              <w:rPr>
                <w:rFonts w:eastAsia="MS Mincho"/>
                <w:lang w:val="en-US" w:eastAsia="ja-JP"/>
              </w:rPr>
              <w:t xml:space="preserve">) --&gt; </w:t>
            </w:r>
            <w:proofErr w:type="spellStart"/>
            <w:r w:rsidRPr="00960343">
              <w:rPr>
                <w:rFonts w:eastAsia="MS Mincho"/>
                <w:lang w:val="en-US" w:eastAsia="ja-JP"/>
              </w:rPr>
              <w:t>initialUplinkBWP</w:t>
            </w:r>
            <w:proofErr w:type="spellEnd"/>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SCell</w:t>
            </w:r>
            <w:proofErr w:type="spellEnd"/>
            <w:r w:rsidRPr="00960343">
              <w:rPr>
                <w:rFonts w:eastAsia="MS Mincho"/>
                <w:lang w:val="en-US" w:eastAsia="ja-JP"/>
              </w:rPr>
              <w:t>:</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w:t>
            </w:r>
            <w:proofErr w:type="spellEnd"/>
            <w:r w:rsidRPr="00960343">
              <w:rPr>
                <w:rFonts w:eastAsia="MS Mincho"/>
                <w:lang w:val="en-US" w:eastAsia="ja-JP"/>
              </w:rPr>
              <w:t>-&gt;</w:t>
            </w:r>
            <w:proofErr w:type="spellStart"/>
            <w:r w:rsidRPr="00960343">
              <w:rPr>
                <w:rFonts w:eastAsia="MS Mincho"/>
                <w:lang w:val="en-US" w:eastAsia="ja-JP"/>
              </w:rPr>
              <w:t>UplinkConfigCommon</w:t>
            </w:r>
            <w:proofErr w:type="spellEnd"/>
            <w:r w:rsidRPr="00960343">
              <w:rPr>
                <w:rFonts w:eastAsia="MS Mincho"/>
                <w:lang w:val="en-US" w:eastAsia="ja-JP"/>
              </w:rPr>
              <w:t xml:space="preserve"> (</w:t>
            </w:r>
            <w:proofErr w:type="spellStart"/>
            <w:r w:rsidRPr="00960343">
              <w:rPr>
                <w:color w:val="FF0000"/>
              </w:rPr>
              <w:t>supplementaryUplinkConfig</w:t>
            </w:r>
            <w:proofErr w:type="spellEnd"/>
            <w:r w:rsidRPr="00960343">
              <w:rPr>
                <w:rFonts w:eastAsia="MS Mincho"/>
                <w:color w:val="FF0000"/>
                <w:lang w:val="en-US" w:eastAsia="ja-JP"/>
              </w:rPr>
              <w:t xml:space="preserve"> </w:t>
            </w:r>
            <w:r>
              <w:rPr>
                <w:rFonts w:eastAsia="MS Mincho"/>
                <w:color w:val="FF0000"/>
                <w:lang w:val="en-US" w:eastAsia="ja-JP"/>
              </w:rPr>
              <w:t xml:space="preserve">for </w:t>
            </w:r>
            <w:r w:rsidRPr="00960343">
              <w:rPr>
                <w:rFonts w:eastAsia="MS Mincho"/>
                <w:color w:val="FF0000"/>
                <w:lang w:val="en-US" w:eastAsia="ja-JP"/>
              </w:rPr>
              <w:t>SUL</w:t>
            </w:r>
            <w:r w:rsidRPr="00960343">
              <w:rPr>
                <w:rFonts w:eastAsia="MS Mincho"/>
                <w:lang w:val="en-US" w:eastAsia="ja-JP"/>
              </w:rPr>
              <w:t xml:space="preserve">)--&gt; </w:t>
            </w:r>
            <w:proofErr w:type="spellStart"/>
            <w:r w:rsidRPr="00960343">
              <w:rPr>
                <w:rFonts w:eastAsia="MS Mincho"/>
                <w:lang w:val="en-US" w:eastAsia="ja-JP"/>
              </w:rPr>
              <w:t>initialUplinkBWP</w:t>
            </w:r>
            <w:proofErr w:type="spellEnd"/>
          </w:p>
          <w:tbl>
            <w:tblPr>
              <w:tblStyle w:val="af4"/>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r w:rsidRPr="006F115B">
                    <w:t>ServingCellConfigCommon</w:t>
                  </w:r>
                  <w:proofErr w:type="spellEnd"/>
                  <w:r w:rsidRPr="006F115B">
                    <w:t xml:space="preserve"> ::=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r w:rsidRPr="006F115B">
                    <w:rPr>
                      <w:color w:val="993366"/>
                    </w:rPr>
                    <w:t>OPTIONAL</w:t>
                  </w:r>
                  <w:r w:rsidRPr="006F115B">
                    <w:t xml:space="preserve">,   </w:t>
                  </w:r>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OPTIONAL,   --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r>
              <w:rPr>
                <w:rFonts w:eastAsia="MS Mincho"/>
                <w:lang w:val="en-US" w:eastAsia="ja-JP"/>
              </w:rPr>
              <w:t>So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맑은 고딕"/>
                <w:lang w:eastAsia="ko-KR"/>
              </w:rPr>
            </w:pPr>
            <w:r>
              <w:rPr>
                <w:rFonts w:eastAsia="맑은 고딕"/>
                <w:lang w:eastAsia="ko-KR"/>
              </w:rPr>
              <w:t>Sharp</w:t>
            </w:r>
          </w:p>
        </w:tc>
        <w:tc>
          <w:tcPr>
            <w:tcW w:w="8505" w:type="dxa"/>
            <w:shd w:val="clear" w:color="auto" w:fill="auto"/>
            <w:vAlign w:val="center"/>
          </w:tcPr>
          <w:p w14:paraId="0960C5BB" w14:textId="41DCDB70" w:rsidR="00050161" w:rsidRDefault="00050161" w:rsidP="00960343">
            <w:pPr>
              <w:rPr>
                <w:rFonts w:eastAsia="MS Mincho"/>
                <w:lang w:val="en-US" w:eastAsia="ja-JP"/>
              </w:rPr>
            </w:pPr>
            <w:r>
              <w:rPr>
                <w:rFonts w:eastAsia="MS Mincho"/>
                <w:lang w:val="en-US" w:eastAsia="ja-JP"/>
              </w:rPr>
              <w:t xml:space="preserve">We </w:t>
            </w:r>
            <w:r w:rsidR="009F5430">
              <w:rPr>
                <w:rFonts w:eastAsia="MS Mincho"/>
                <w:lang w:val="en-US" w:eastAsia="ja-JP"/>
              </w:rPr>
              <w:t>found</w:t>
            </w:r>
            <w:r>
              <w:rPr>
                <w:rFonts w:eastAsia="MS Mincho"/>
                <w:lang w:val="en-US" w:eastAsia="ja-JP"/>
              </w:rPr>
              <w:t xml:space="preserve"> no concern on configuring separate parameters for NUL/SUL. As indicated by Ericsson, a new RRC parameter may </w:t>
            </w:r>
            <w:r w:rsidR="009F5430">
              <w:rPr>
                <w:rFonts w:eastAsia="MS Mincho"/>
                <w:lang w:val="en-US" w:eastAsia="ja-JP"/>
              </w:rPr>
              <w:t xml:space="preserve">not </w:t>
            </w:r>
            <w:r>
              <w:rPr>
                <w:rFonts w:eastAsia="MS Mincho"/>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맑은 고딕"/>
                <w:lang w:eastAsia="ko-KR"/>
              </w:rPr>
            </w:pPr>
            <w:r>
              <w:rPr>
                <w:rFonts w:eastAsia="맑은 고딕"/>
                <w:lang w:eastAsia="ko-KR"/>
              </w:rPr>
              <w:t>Panasonic</w:t>
            </w:r>
          </w:p>
        </w:tc>
        <w:tc>
          <w:tcPr>
            <w:tcW w:w="8505" w:type="dxa"/>
            <w:shd w:val="clear" w:color="auto" w:fill="auto"/>
            <w:vAlign w:val="center"/>
          </w:tcPr>
          <w:p w14:paraId="5B2FEB13" w14:textId="62CBEE0C" w:rsidR="000821B5" w:rsidRDefault="000821B5" w:rsidP="00960343">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057A92" w14:paraId="43CD18CB" w14:textId="77777777">
        <w:trPr>
          <w:trHeight w:val="90"/>
        </w:trPr>
        <w:tc>
          <w:tcPr>
            <w:tcW w:w="1560" w:type="dxa"/>
            <w:shd w:val="clear" w:color="auto" w:fill="auto"/>
            <w:vAlign w:val="center"/>
          </w:tcPr>
          <w:p w14:paraId="257E781B" w14:textId="2563427C" w:rsidR="00057A92" w:rsidRPr="00057A92" w:rsidRDefault="00057A92" w:rsidP="00902EF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3CB90856" w14:textId="77777777" w:rsidR="00057A92" w:rsidRDefault="00057A92" w:rsidP="00960343">
            <w:pPr>
              <w:rPr>
                <w:rFonts w:eastAsiaTheme="minorEastAsia"/>
                <w:lang w:val="en-US" w:eastAsia="zh-CN"/>
              </w:rPr>
            </w:pPr>
            <w:r>
              <w:rPr>
                <w:rFonts w:eastAsiaTheme="minorEastAsia" w:hint="eastAsia"/>
                <w:lang w:val="en-US" w:eastAsia="zh-CN"/>
              </w:rPr>
              <w:t xml:space="preserve">We think Msg3 repetition can be used in both NUL and SUL. </w:t>
            </w:r>
          </w:p>
          <w:p w14:paraId="7FD259D4" w14:textId="4D2DEB91" w:rsidR="00057A92" w:rsidRPr="00057A92" w:rsidRDefault="00057A92" w:rsidP="00057A92">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sidRPr="00057A92">
              <w:rPr>
                <w:i/>
              </w:rPr>
              <w:t>UplinkConfigCommon</w:t>
            </w:r>
            <w:proofErr w:type="spellEnd"/>
            <w:r>
              <w:rPr>
                <w:rFonts w:eastAsiaTheme="minorEastAsia" w:hint="eastAsia"/>
                <w:lang w:eastAsia="zh-CN"/>
              </w:rPr>
              <w:t>.</w:t>
            </w:r>
          </w:p>
        </w:tc>
      </w:tr>
      <w:tr w:rsidR="00196387" w14:paraId="596B586A" w14:textId="77777777">
        <w:trPr>
          <w:trHeight w:val="90"/>
        </w:trPr>
        <w:tc>
          <w:tcPr>
            <w:tcW w:w="1560" w:type="dxa"/>
            <w:shd w:val="clear" w:color="auto" w:fill="auto"/>
            <w:vAlign w:val="center"/>
          </w:tcPr>
          <w:p w14:paraId="1FA4D8ED" w14:textId="7E25FC0E" w:rsidR="00196387" w:rsidRPr="00196387" w:rsidRDefault="00196387" w:rsidP="00196387">
            <w:pPr>
              <w:jc w:val="center"/>
              <w:rPr>
                <w:rFonts w:eastAsiaTheme="minorEastAsia"/>
                <w:lang w:eastAsia="zh-CN"/>
              </w:rPr>
            </w:pPr>
            <w:r w:rsidRPr="00E7144C">
              <w:rPr>
                <w:rFonts w:eastAsiaTheme="minorEastAsia"/>
                <w:lang w:eastAsia="zh-CN"/>
              </w:rPr>
              <w:t>vivo</w:t>
            </w:r>
          </w:p>
        </w:tc>
        <w:tc>
          <w:tcPr>
            <w:tcW w:w="8505" w:type="dxa"/>
            <w:shd w:val="clear" w:color="auto" w:fill="auto"/>
            <w:vAlign w:val="center"/>
          </w:tcPr>
          <w:p w14:paraId="1222BAF7" w14:textId="1243B40D" w:rsidR="00196387" w:rsidRDefault="00196387" w:rsidP="00196387">
            <w:pPr>
              <w:rPr>
                <w:rFonts w:eastAsiaTheme="minorEastAsia"/>
                <w:lang w:val="en-US" w:eastAsia="zh-CN"/>
              </w:rPr>
            </w:pPr>
            <w:r>
              <w:rPr>
                <w:rFonts w:eastAsiaTheme="minorEastAsia"/>
                <w:lang w:val="en-US" w:eastAsia="zh-CN"/>
              </w:rPr>
              <w:t>Support the recommended reply, and agree with Ericsson’s analysis.</w:t>
            </w:r>
          </w:p>
        </w:tc>
      </w:tr>
      <w:tr w:rsidR="00A071C1" w14:paraId="6388C028" w14:textId="77777777">
        <w:trPr>
          <w:trHeight w:val="90"/>
        </w:trPr>
        <w:tc>
          <w:tcPr>
            <w:tcW w:w="1560" w:type="dxa"/>
            <w:shd w:val="clear" w:color="auto" w:fill="auto"/>
            <w:vAlign w:val="center"/>
          </w:tcPr>
          <w:p w14:paraId="6F979A5D" w14:textId="477CC367" w:rsidR="00A071C1" w:rsidRPr="00E7144C" w:rsidRDefault="00A071C1" w:rsidP="0019638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2609DDA5" w14:textId="75850D95" w:rsidR="00A071C1" w:rsidRDefault="00A071C1" w:rsidP="0019638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7B0E29" w14:paraId="47945134" w14:textId="77777777">
        <w:trPr>
          <w:trHeight w:val="90"/>
        </w:trPr>
        <w:tc>
          <w:tcPr>
            <w:tcW w:w="1560" w:type="dxa"/>
            <w:shd w:val="clear" w:color="auto" w:fill="auto"/>
            <w:vAlign w:val="center"/>
          </w:tcPr>
          <w:p w14:paraId="5E52D25B" w14:textId="1CA005DE" w:rsidR="007B0E29" w:rsidRDefault="007B0E29" w:rsidP="0019638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2A5CDCEE" w14:textId="5DC3B3E6" w:rsidR="007B0E29" w:rsidRDefault="007B0E29" w:rsidP="00196387">
            <w:pPr>
              <w:rPr>
                <w:rFonts w:eastAsiaTheme="minorEastAsia"/>
                <w:lang w:val="en-US" w:eastAsia="zh-CN"/>
              </w:rPr>
            </w:pPr>
            <w:r>
              <w:rPr>
                <w:rFonts w:eastAsiaTheme="minorEastAsia"/>
                <w:lang w:val="en-US" w:eastAsia="zh-CN"/>
              </w:rPr>
              <w:t>Agree with Ericsson.</w:t>
            </w:r>
          </w:p>
        </w:tc>
      </w:tr>
      <w:tr w:rsidR="00A45EBE" w14:paraId="487A2322" w14:textId="77777777">
        <w:trPr>
          <w:trHeight w:val="90"/>
        </w:trPr>
        <w:tc>
          <w:tcPr>
            <w:tcW w:w="1560" w:type="dxa"/>
            <w:shd w:val="clear" w:color="auto" w:fill="auto"/>
            <w:vAlign w:val="center"/>
          </w:tcPr>
          <w:p w14:paraId="12E0263A" w14:textId="4A8996C0" w:rsidR="00A45EBE" w:rsidRPr="00A45EBE" w:rsidRDefault="00A45EBE" w:rsidP="00196387">
            <w:pPr>
              <w:jc w:val="center"/>
              <w:rPr>
                <w:rFonts w:eastAsia="맑은 고딕" w:hint="eastAsia"/>
                <w:lang w:eastAsia="ko-KR"/>
              </w:rPr>
            </w:pPr>
            <w:r>
              <w:rPr>
                <w:rFonts w:eastAsia="맑은 고딕" w:hint="eastAsia"/>
                <w:lang w:eastAsia="ko-KR"/>
              </w:rPr>
              <w:t>L</w:t>
            </w:r>
            <w:r>
              <w:rPr>
                <w:rFonts w:eastAsia="맑은 고딕"/>
                <w:lang w:eastAsia="ko-KR"/>
              </w:rPr>
              <w:t>G</w:t>
            </w:r>
          </w:p>
        </w:tc>
        <w:tc>
          <w:tcPr>
            <w:tcW w:w="8505" w:type="dxa"/>
            <w:shd w:val="clear" w:color="auto" w:fill="auto"/>
            <w:vAlign w:val="center"/>
          </w:tcPr>
          <w:p w14:paraId="3C273DC9" w14:textId="2727C693" w:rsidR="00A45EBE" w:rsidRPr="00A45EBE" w:rsidRDefault="004328FC" w:rsidP="004328FC">
            <w:pPr>
              <w:rPr>
                <w:rFonts w:eastAsia="맑은 고딕" w:hint="eastAsia"/>
                <w:lang w:val="en-US" w:eastAsia="ko-KR"/>
              </w:rPr>
            </w:pPr>
            <w:r w:rsidRPr="004328FC">
              <w:rPr>
                <w:rFonts w:eastAsia="맑은 고딕"/>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맑은 고딕"/>
                <w:lang w:eastAsia="ko-KR"/>
              </w:rPr>
            </w:pPr>
            <w:r>
              <w:rPr>
                <w:rFonts w:eastAsia="맑은 고딕"/>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맑은 고딕"/>
                <w:lang w:eastAsia="ko-KR"/>
              </w:rPr>
            </w:pPr>
            <w:r>
              <w:rPr>
                <w:rFonts w:eastAsia="맑은 고딕"/>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w:t>
            </w:r>
            <w:proofErr w:type="spellStart"/>
            <w:r w:rsidR="0087782A">
              <w:rPr>
                <w:rFonts w:eastAsia="MS Mincho"/>
                <w:lang w:val="en-US" w:eastAsia="ja-JP"/>
              </w:rPr>
              <w:t>groupB</w:t>
            </w:r>
            <w:proofErr w:type="spellEnd"/>
            <w:r w:rsidR="0087782A">
              <w:rPr>
                <w:rFonts w:eastAsia="MS Mincho"/>
                <w:lang w:val="en-US" w:eastAsia="ja-JP"/>
              </w:rPr>
              <w:t xml:space="preserve">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05B9429B" w14:textId="252F01AE" w:rsidR="00050161" w:rsidRDefault="00050161" w:rsidP="008C474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w:t>
            </w:r>
            <w:r w:rsidR="009F5430">
              <w:rPr>
                <w:rFonts w:eastAsia="MS Mincho"/>
                <w:lang w:val="en-US" w:eastAsia="ja-JP"/>
              </w:rPr>
              <w:t xml:space="preserve"> in RA procedure</w:t>
            </w:r>
            <w:r>
              <w:rPr>
                <w:rFonts w:eastAsia="MS Mincho"/>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E181550" w14:textId="6B79564F" w:rsidR="000821B5" w:rsidRDefault="000821B5" w:rsidP="008C474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057A92" w14:paraId="4477AF27" w14:textId="77777777">
        <w:tc>
          <w:tcPr>
            <w:tcW w:w="1560" w:type="dxa"/>
            <w:shd w:val="clear" w:color="auto" w:fill="auto"/>
            <w:vAlign w:val="center"/>
          </w:tcPr>
          <w:p w14:paraId="0B31F263" w14:textId="6CFD78D7" w:rsidR="00057A92" w:rsidRPr="00057A92" w:rsidRDefault="00057A92" w:rsidP="008C474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62C81AE" w14:textId="6FF68042" w:rsidR="00057A92" w:rsidRPr="00057A92" w:rsidRDefault="00057A92" w:rsidP="00057A92">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E6E8B" w14:paraId="2FF92114" w14:textId="77777777">
        <w:tc>
          <w:tcPr>
            <w:tcW w:w="1560" w:type="dxa"/>
            <w:shd w:val="clear" w:color="auto" w:fill="auto"/>
            <w:vAlign w:val="center"/>
          </w:tcPr>
          <w:p w14:paraId="67AAB7EF" w14:textId="21EED6A0" w:rsidR="00CE6E8B" w:rsidRDefault="00CE6E8B" w:rsidP="00CE6E8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2AC7650" w14:textId="77777777" w:rsidR="00CE6E8B" w:rsidRDefault="00CE6E8B" w:rsidP="00CE6E8B">
            <w:pPr>
              <w:rPr>
                <w:rFonts w:eastAsiaTheme="minorEastAsia"/>
                <w:lang w:val="en-US" w:eastAsia="zh-CN"/>
              </w:rPr>
            </w:pPr>
            <w:r>
              <w:rPr>
                <w:rFonts w:eastAsiaTheme="minorEastAsia"/>
                <w:lang w:val="en-US" w:eastAsia="zh-CN"/>
              </w:rPr>
              <w:t>Agree with the recommended reply.</w:t>
            </w:r>
          </w:p>
          <w:p w14:paraId="0D43D221" w14:textId="77777777" w:rsidR="00CE6E8B" w:rsidRDefault="00CE6E8B" w:rsidP="00CE6E8B">
            <w:pPr>
              <w:rPr>
                <w:rFonts w:eastAsiaTheme="minorEastAsia"/>
                <w:lang w:val="en-US" w:eastAsia="zh-CN"/>
              </w:rPr>
            </w:pPr>
            <w:r>
              <w:rPr>
                <w:rFonts w:eastAsiaTheme="minorEastAsia"/>
                <w:lang w:val="en-US" w:eastAsia="zh-CN"/>
              </w:rPr>
              <w:t>I</w:t>
            </w:r>
            <w:r w:rsidRPr="00361F89">
              <w:rPr>
                <w:rFonts w:eastAsiaTheme="minorEastAsia"/>
                <w:lang w:val="en-US" w:eastAsia="zh-CN"/>
              </w:rPr>
              <w:t>t should be noted that PHY is agnostic to the concept of Preamble Group A/B</w:t>
            </w:r>
            <w:r>
              <w:rPr>
                <w:rFonts w:eastAsiaTheme="minorEastAsia"/>
                <w:lang w:val="en-US" w:eastAsia="zh-CN"/>
              </w:rPr>
              <w:t>, the preamble is selected by MAC layer. Hence, it is feasible from RAN1 perspective.</w:t>
            </w:r>
          </w:p>
          <w:p w14:paraId="1B5F3ECE" w14:textId="7DE0E126" w:rsidR="00CE6E8B" w:rsidRDefault="00CE6E8B" w:rsidP="00CE6E8B">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A071C1" w14:paraId="26B004B0" w14:textId="77777777">
        <w:tc>
          <w:tcPr>
            <w:tcW w:w="1560" w:type="dxa"/>
            <w:shd w:val="clear" w:color="auto" w:fill="auto"/>
            <w:vAlign w:val="center"/>
          </w:tcPr>
          <w:p w14:paraId="0D892F10" w14:textId="6330A008" w:rsidR="00A071C1" w:rsidRDefault="00A071C1" w:rsidP="00CE6E8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2DF2C36" w14:textId="01090496" w:rsidR="00A071C1" w:rsidRDefault="00A071C1" w:rsidP="00CE6E8B">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7B0E29" w14:paraId="032B75B2" w14:textId="77777777">
        <w:tc>
          <w:tcPr>
            <w:tcW w:w="1560" w:type="dxa"/>
            <w:shd w:val="clear" w:color="auto" w:fill="auto"/>
            <w:vAlign w:val="center"/>
          </w:tcPr>
          <w:p w14:paraId="498A5C06" w14:textId="17618BE7" w:rsidR="007B0E29" w:rsidRDefault="007B0E29" w:rsidP="00CE6E8B">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30AFAEDC" w14:textId="0DE95EF4" w:rsidR="007B0E29" w:rsidRDefault="007B0E29" w:rsidP="00CE6E8B">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w:t>
            </w:r>
            <w:r>
              <w:rPr>
                <w:rFonts w:eastAsiaTheme="minorEastAsia"/>
                <w:lang w:val="en-US" w:eastAsia="zh-CN"/>
              </w:rPr>
              <w:lastRenderedPageBreak/>
              <w:t xml:space="preserve">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380652DE" w14:textId="658B6BB3" w:rsidR="007B0E29" w:rsidRDefault="007B0E29" w:rsidP="00CE6E8B">
            <w:pPr>
              <w:rPr>
                <w:rFonts w:eastAsiaTheme="minorEastAsia"/>
                <w:lang w:val="en-US" w:eastAsia="zh-CN"/>
              </w:rPr>
            </w:pPr>
            <w:r>
              <w:rPr>
                <w:rFonts w:eastAsiaTheme="minorEastAsia"/>
                <w:lang w:val="en-US" w:eastAsia="zh-CN"/>
              </w:rPr>
              <w:t>Suggest the following modification:</w:t>
            </w:r>
          </w:p>
          <w:p w14:paraId="28423BAE" w14:textId="77777777" w:rsidR="007B0E29" w:rsidRDefault="007B0E29" w:rsidP="00CE6E8B">
            <w:pPr>
              <w:rPr>
                <w:rFonts w:eastAsiaTheme="minorEastAsia"/>
                <w:lang w:val="en-US" w:eastAsia="zh-CN"/>
              </w:rPr>
            </w:pPr>
          </w:p>
          <w:p w14:paraId="5BF939CE" w14:textId="304B41FB" w:rsidR="007B0E29" w:rsidRDefault="007B0E29" w:rsidP="00CE6E8B">
            <w:pPr>
              <w:rPr>
                <w:rFonts w:eastAsiaTheme="minorEastAsia"/>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sidRPr="007B0E29">
              <w:rPr>
                <w:rFonts w:eastAsia="SimSun"/>
                <w:color w:val="FF0000"/>
                <w:lang w:val="en-US" w:eastAsia="zh-CN"/>
              </w:rPr>
              <w:t xml:space="preserve">Consensus on the relevance of this use case cannot be achieved in RAN1, since selection of </w:t>
            </w:r>
            <w:proofErr w:type="spellStart"/>
            <w:r w:rsidRPr="007B0E29">
              <w:rPr>
                <w:rFonts w:eastAsia="SimSun"/>
                <w:color w:val="FF0000"/>
                <w:lang w:val="en-US" w:eastAsia="zh-CN"/>
              </w:rPr>
              <w:t>groupB</w:t>
            </w:r>
            <w:proofErr w:type="spellEnd"/>
            <w:r w:rsidRPr="007B0E29">
              <w:rPr>
                <w:rFonts w:eastAsia="SimSun"/>
                <w:color w:val="FF0000"/>
                <w:lang w:val="en-US" w:eastAsia="zh-CN"/>
              </w:rPr>
              <w:t xml:space="preserve"> preambles is subject to conditions on </w:t>
            </w:r>
            <w:proofErr w:type="spellStart"/>
            <w:r w:rsidRPr="007B0E29">
              <w:rPr>
                <w:rFonts w:eastAsia="SimSun" w:hint="eastAsia"/>
                <w:i/>
                <w:iCs/>
                <w:color w:val="FF0000"/>
                <w:lang w:val="en-US" w:eastAsia="zh-CN"/>
              </w:rPr>
              <w:t>messagePowerOffsetGroupB</w:t>
            </w:r>
            <w:proofErr w:type="spellEnd"/>
            <w:r w:rsidRPr="007B0E29">
              <w:rPr>
                <w:rFonts w:eastAsia="SimSun"/>
                <w:i/>
                <w:iCs/>
                <w:color w:val="FF0000"/>
                <w:lang w:val="en-US" w:eastAsia="zh-CN"/>
              </w:rPr>
              <w:t xml:space="preserve"> </w:t>
            </w:r>
            <w:r w:rsidRPr="007B0E29">
              <w:rPr>
                <w:rFonts w:eastAsia="SimSun"/>
                <w:color w:val="FF0000"/>
                <w:lang w:val="en-US" w:eastAsia="zh-CN"/>
              </w:rPr>
              <w:t>which seem hardly satisfied when coverage shortage occurs.</w:t>
            </w:r>
          </w:p>
        </w:tc>
      </w:tr>
      <w:tr w:rsidR="00A45EBE" w14:paraId="3E2F9436" w14:textId="77777777">
        <w:tc>
          <w:tcPr>
            <w:tcW w:w="1560" w:type="dxa"/>
            <w:shd w:val="clear" w:color="auto" w:fill="auto"/>
            <w:vAlign w:val="center"/>
          </w:tcPr>
          <w:p w14:paraId="2C774C36" w14:textId="4255AFC3" w:rsidR="00A45EBE" w:rsidRPr="00A45EBE" w:rsidRDefault="00A45EBE" w:rsidP="00CE6E8B">
            <w:pPr>
              <w:jc w:val="center"/>
              <w:rPr>
                <w:rFonts w:eastAsia="맑은 고딕" w:hint="eastAsia"/>
                <w:lang w:eastAsia="ko-KR"/>
              </w:rPr>
            </w:pPr>
            <w:r>
              <w:rPr>
                <w:rFonts w:eastAsia="맑은 고딕" w:hint="eastAsia"/>
                <w:lang w:eastAsia="ko-KR"/>
              </w:rPr>
              <w:lastRenderedPageBreak/>
              <w:t>LG</w:t>
            </w:r>
          </w:p>
        </w:tc>
        <w:tc>
          <w:tcPr>
            <w:tcW w:w="8505" w:type="dxa"/>
            <w:shd w:val="clear" w:color="auto" w:fill="auto"/>
            <w:vAlign w:val="center"/>
          </w:tcPr>
          <w:p w14:paraId="77B38CDB" w14:textId="66EE2DF2" w:rsidR="00A45EBE" w:rsidRDefault="00A45EBE" w:rsidP="00A45EBE">
            <w:pPr>
              <w:rPr>
                <w:rFonts w:eastAsiaTheme="minorEastAsia"/>
                <w:lang w:val="en-US" w:eastAsia="zh-CN"/>
              </w:rPr>
            </w:pPr>
            <w:r w:rsidRPr="00A45EBE">
              <w:rPr>
                <w:rFonts w:eastAsiaTheme="minorEastAsia"/>
                <w:lang w:val="en-US" w:eastAsia="zh-CN"/>
              </w:rPr>
              <w:t>We are fine with the proposal. We have same view with Ericsson and CATT.</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proofErr w:type="gramStart"/>
      <w:r>
        <w:rPr>
          <w:i/>
        </w:rPr>
        <w:t>preambleTransMax</w:t>
      </w:r>
      <w:proofErr w:type="spellEnd"/>
      <w:proofErr w:type="gramEnd"/>
      <w:r>
        <w:t xml:space="preserve">)? </w:t>
      </w:r>
    </w:p>
    <w:p w14:paraId="4DC614A3" w14:textId="77777777" w:rsidR="00A30966" w:rsidRDefault="00FE41D0">
      <w:pPr>
        <w:pStyle w:val="aa"/>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aa"/>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aa"/>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aa"/>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aa"/>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맑은 고딕"/>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맑은 고딕"/>
                <w:lang w:eastAsia="ko-KR"/>
              </w:rPr>
            </w:pPr>
            <w:r>
              <w:rPr>
                <w:rFonts w:eastAsia="맑은 고딕"/>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맑은 고딕"/>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138492C7" w14:textId="77777777" w:rsidR="006F031D" w:rsidRDefault="006F031D" w:rsidP="006F031D">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5FFF8AD2" w14:textId="77777777" w:rsidR="006F031D" w:rsidRDefault="006F031D" w:rsidP="006F031D">
            <w:pPr>
              <w:rPr>
                <w:rFonts w:eastAsia="MS Mincho"/>
                <w:lang w:val="en-US" w:eastAsia="ja-JP"/>
              </w:rPr>
            </w:pPr>
            <w:r>
              <w:rPr>
                <w:rFonts w:eastAsia="MS Mincho"/>
                <w:lang w:val="en-US" w:eastAsia="ja-JP"/>
              </w:rPr>
              <w:t>It is</w:t>
            </w:r>
            <w:r w:rsidRPr="0076299F">
              <w:rPr>
                <w:rFonts w:eastAsia="MS Mincho"/>
                <w:lang w:val="en-US" w:eastAsia="ja-JP"/>
              </w:rPr>
              <w:t xml:space="preserve"> difficult to estimate the uplink channel quality based on only RSRP of the downlink pathloss reference.</w:t>
            </w:r>
            <w:r>
              <w:rPr>
                <w:rFonts w:eastAsia="MS Mincho"/>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7DE7D9CD" w14:textId="117492C5" w:rsidR="006F031D" w:rsidRDefault="006F031D" w:rsidP="006F031D">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4E8E6DE6" w14:textId="77777777" w:rsidR="00050161" w:rsidRDefault="008E0D49" w:rsidP="006F031D">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2BBFCEE9" w14:textId="26B2CBCA" w:rsidR="008E0D49" w:rsidRDefault="008E0D49" w:rsidP="006F031D">
            <w:pPr>
              <w:rPr>
                <w:rFonts w:eastAsia="MS Mincho"/>
                <w:lang w:val="en-US" w:eastAsia="ja-JP"/>
              </w:rPr>
            </w:pPr>
            <w:r>
              <w:rPr>
                <w:rFonts w:eastAsia="MS Mincho"/>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23E3063B" w14:textId="77777777"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w:t>
            </w:r>
            <w:proofErr w:type="spellStart"/>
            <w:r>
              <w:rPr>
                <w:rFonts w:eastAsia="MS Mincho"/>
                <w:lang w:val="en-US" w:eastAsia="ja-JP"/>
              </w:rPr>
              <w:t>orthogonality</w:t>
            </w:r>
            <w:proofErr w:type="spellEnd"/>
            <w:r>
              <w:rPr>
                <w:rFonts w:eastAsia="MS Mincho"/>
                <w:lang w:val="en-US" w:eastAsia="ja-JP"/>
              </w:rPr>
              <w:t xml:space="preserve"> of the preamble, we don’t support the proposal.</w:t>
            </w:r>
          </w:p>
          <w:p w14:paraId="72B58E13" w14:textId="17728806"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057A92" w:rsidRPr="008E0D49" w14:paraId="329B0BAD" w14:textId="77777777">
        <w:tc>
          <w:tcPr>
            <w:tcW w:w="1560" w:type="dxa"/>
            <w:shd w:val="clear" w:color="auto" w:fill="auto"/>
            <w:vAlign w:val="center"/>
          </w:tcPr>
          <w:p w14:paraId="365E86F1" w14:textId="0C4BF142" w:rsidR="00057A92" w:rsidRPr="00057A92" w:rsidRDefault="00057A92" w:rsidP="006F031D">
            <w:pPr>
              <w:jc w:val="center"/>
              <w:rPr>
                <w:rFonts w:eastAsiaTheme="minorEastAsia"/>
                <w:lang w:eastAsia="zh-CN"/>
              </w:rPr>
            </w:pPr>
            <w:r>
              <w:rPr>
                <w:rFonts w:eastAsiaTheme="minorEastAsia" w:hint="eastAsia"/>
                <w:lang w:eastAsia="zh-CN"/>
              </w:rPr>
              <w:lastRenderedPageBreak/>
              <w:t>CATT</w:t>
            </w:r>
          </w:p>
        </w:tc>
        <w:tc>
          <w:tcPr>
            <w:tcW w:w="8505" w:type="dxa"/>
            <w:shd w:val="clear" w:color="auto" w:fill="auto"/>
            <w:vAlign w:val="center"/>
          </w:tcPr>
          <w:p w14:paraId="636B9E0C" w14:textId="0D52EA92" w:rsidR="00057A92" w:rsidRPr="006E1C39" w:rsidRDefault="00057A92" w:rsidP="006F031D">
            <w:pPr>
              <w:rPr>
                <w:rFonts w:eastAsiaTheme="minorEastAsia"/>
                <w:lang w:val="en-US" w:eastAsia="zh-CN"/>
              </w:rPr>
            </w:pPr>
            <w:r>
              <w:rPr>
                <w:rFonts w:eastAsiaTheme="minorEastAsia" w:hint="eastAsia"/>
                <w:lang w:val="en-US" w:eastAsia="zh-CN"/>
              </w:rPr>
              <w:t xml:space="preserve">We do not think it essential to support separate </w:t>
            </w:r>
            <w:r w:rsidR="006E1C39">
              <w:t>set of RACH parameters</w:t>
            </w:r>
            <w:r w:rsidR="006E1C39">
              <w:rPr>
                <w:rFonts w:eastAsiaTheme="minorEastAsia" w:hint="eastAsia"/>
                <w:lang w:eastAsia="zh-CN"/>
              </w:rPr>
              <w:t>. We are fine to have such conclusion.</w:t>
            </w:r>
          </w:p>
        </w:tc>
      </w:tr>
      <w:tr w:rsidR="003A6BC9" w:rsidRPr="008E0D49" w14:paraId="0022C41F" w14:textId="77777777">
        <w:tc>
          <w:tcPr>
            <w:tcW w:w="1560" w:type="dxa"/>
            <w:shd w:val="clear" w:color="auto" w:fill="auto"/>
            <w:vAlign w:val="center"/>
          </w:tcPr>
          <w:p w14:paraId="1B4CD504" w14:textId="24782168" w:rsidR="003A6BC9" w:rsidRDefault="003A6BC9" w:rsidP="003A6BC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FA64FA0" w14:textId="77777777" w:rsidR="003A6BC9" w:rsidRDefault="003A6BC9" w:rsidP="003A6BC9">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rsidRPr="0068487D">
              <w:t>configurations.</w:t>
            </w:r>
          </w:p>
          <w:p w14:paraId="1A49737C" w14:textId="77777777" w:rsidR="003A6BC9" w:rsidRPr="0068487D" w:rsidRDefault="003A6BC9" w:rsidP="003A6BC9">
            <w:pPr>
              <w:rPr>
                <w:rFonts w:eastAsiaTheme="minorEastAsia"/>
                <w:lang w:val="en-US" w:eastAsia="zh-CN"/>
              </w:rPr>
            </w:pPr>
            <w:r w:rsidRPr="0068487D">
              <w:rPr>
                <w:rFonts w:eastAsiaTheme="minorEastAsia"/>
                <w:lang w:val="en-US" w:eastAsia="zh-CN"/>
              </w:rPr>
              <w:t>F</w:t>
            </w:r>
            <w:r w:rsidRPr="0068487D">
              <w:rPr>
                <w:rFonts w:eastAsiaTheme="minorEastAsia" w:hint="eastAsia"/>
                <w:lang w:val="en-US" w:eastAsia="zh-CN"/>
              </w:rPr>
              <w:t>or</w:t>
            </w:r>
            <w:r w:rsidRPr="0068487D">
              <w:rPr>
                <w:rFonts w:eastAsiaTheme="minorEastAsia"/>
                <w:lang w:val="en-US" w:eastAsia="zh-CN"/>
              </w:rPr>
              <w:t xml:space="preserve"> </w:t>
            </w:r>
            <w:proofErr w:type="spellStart"/>
            <w:r w:rsidRPr="0068487D">
              <w:rPr>
                <w:rFonts w:eastAsiaTheme="minorEastAsia"/>
                <w:lang w:val="en-US" w:eastAsia="zh-CN"/>
              </w:rPr>
              <w:t>preambleReceivedTargetPower</w:t>
            </w:r>
            <w:proofErr w:type="spellEnd"/>
            <w:r w:rsidRPr="0068487D">
              <w:rPr>
                <w:rFonts w:eastAsiaTheme="minorEastAsia" w:hint="eastAsia"/>
                <w:lang w:val="en-US" w:eastAsia="zh-CN"/>
              </w:rPr>
              <w:t>,</w:t>
            </w:r>
            <w:r w:rsidRPr="0068487D">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sidRPr="0068487D">
              <w:rPr>
                <w:rFonts w:eastAsiaTheme="minorEastAsia"/>
                <w:lang w:val="en-US" w:eastAsia="zh-CN"/>
              </w:rPr>
              <w:t>preambleReceivedTargetPower</w:t>
            </w:r>
            <w:proofErr w:type="spellEnd"/>
            <w:r w:rsidRPr="0068487D">
              <w:rPr>
                <w:rFonts w:eastAsiaTheme="minorEastAsia"/>
                <w:lang w:val="en-US" w:eastAsia="zh-CN"/>
              </w:rPr>
              <w:t xml:space="preserve">. </w:t>
            </w:r>
          </w:p>
          <w:p w14:paraId="0EE02508" w14:textId="77777777" w:rsidR="003A6BC9" w:rsidRPr="0068487D" w:rsidRDefault="003A6BC9" w:rsidP="003A6BC9">
            <w:pPr>
              <w:rPr>
                <w:rFonts w:eastAsiaTheme="minorEastAsia"/>
                <w:lang w:val="en-US" w:eastAsia="zh-CN"/>
              </w:rPr>
            </w:pPr>
            <w:r w:rsidRPr="0068487D">
              <w:rPr>
                <w:rFonts w:eastAsiaTheme="minorEastAsia"/>
                <w:lang w:val="en-US" w:eastAsia="zh-CN"/>
              </w:rPr>
              <w:t xml:space="preserve">The difference between </w:t>
            </w:r>
            <w:r w:rsidRPr="0068487D">
              <w:rPr>
                <w:rFonts w:eastAsiaTheme="minorEastAsia" w:hint="eastAsia"/>
                <w:lang w:val="en-US" w:eastAsia="zh-CN"/>
              </w:rPr>
              <w:t>R</w:t>
            </w:r>
            <w:r w:rsidRPr="0068487D">
              <w:rPr>
                <w:rFonts w:eastAsiaTheme="minorEastAsia"/>
                <w:lang w:val="en-US" w:eastAsia="zh-CN"/>
              </w:rPr>
              <w:t xml:space="preserve">el-17 UEs which request Msg3 repetitions and those do not request Msg3 repetitions is pathloss, which have been taken into account in RAN1 power control mechanism. Furthermore, a different power ramping step also seems meaningless if UE has already reached the Max Tx power. We </w:t>
            </w:r>
            <w:proofErr w:type="spellStart"/>
            <w:r w:rsidRPr="0068487D">
              <w:rPr>
                <w:rFonts w:eastAsiaTheme="minorEastAsia"/>
                <w:lang w:val="en-US" w:eastAsia="zh-CN"/>
              </w:rPr>
              <w:t>can not</w:t>
            </w:r>
            <w:proofErr w:type="spellEnd"/>
            <w:r w:rsidRPr="0068487D">
              <w:rPr>
                <w:rFonts w:eastAsiaTheme="minorEastAsia"/>
                <w:lang w:val="en-US" w:eastAsia="zh-CN"/>
              </w:rPr>
              <w:t xml:space="preserve"> see the benefit to configure a separate power ramping step either.</w:t>
            </w:r>
          </w:p>
          <w:p w14:paraId="6D94CA53" w14:textId="47F9543C" w:rsidR="003A6BC9" w:rsidRDefault="003A6BC9" w:rsidP="003A6BC9">
            <w:pPr>
              <w:rPr>
                <w:rFonts w:eastAsiaTheme="minorEastAsia"/>
                <w:lang w:val="en-US" w:eastAsia="zh-CN"/>
              </w:rPr>
            </w:pPr>
            <w:r w:rsidRPr="0068487D">
              <w:rPr>
                <w:rFonts w:eastAsiaTheme="minorEastAsia"/>
                <w:lang w:val="en-US" w:eastAsia="zh-CN"/>
              </w:rPr>
              <w:t xml:space="preserve">Besides, a </w:t>
            </w:r>
            <w:r w:rsidRPr="0068487D">
              <w:rPr>
                <w:rFonts w:eastAsiaTheme="minorEastAsia" w:hint="eastAsia"/>
                <w:lang w:val="en-US" w:eastAsia="zh-CN"/>
              </w:rPr>
              <w:t>Rel</w:t>
            </w:r>
            <w:r w:rsidRPr="0068487D">
              <w:rPr>
                <w:rFonts w:eastAsiaTheme="minorEastAsia"/>
                <w:lang w:val="en-US" w:eastAsia="zh-CN"/>
              </w:rPr>
              <w:t xml:space="preserve">-17 PRACH procedure with Msg3 repetition with same number of attempts according to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can provide higher accessibility compared with that in Rel-16. The benefit of configuring a different configuration for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is also not clear.</w:t>
            </w:r>
          </w:p>
        </w:tc>
      </w:tr>
      <w:tr w:rsidR="00A071C1" w:rsidRPr="008E0D49" w14:paraId="2882FB98" w14:textId="77777777">
        <w:tc>
          <w:tcPr>
            <w:tcW w:w="1560" w:type="dxa"/>
            <w:shd w:val="clear" w:color="auto" w:fill="auto"/>
            <w:vAlign w:val="center"/>
          </w:tcPr>
          <w:p w14:paraId="2D9826AB" w14:textId="30E72735" w:rsidR="00A071C1" w:rsidRDefault="00A071C1" w:rsidP="003A6BC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2351DB8E" w14:textId="7995677B" w:rsidR="00A071C1" w:rsidRDefault="002302A0" w:rsidP="003A6BC9">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41104710" w14:textId="1EF0F451" w:rsidR="002302A0" w:rsidRDefault="002302A0" w:rsidP="003A6BC9">
            <w:pPr>
              <w:rPr>
                <w:rFonts w:eastAsiaTheme="minorEastAsia"/>
                <w:lang w:val="en-US" w:eastAsia="zh-CN"/>
              </w:rPr>
            </w:pPr>
            <w:r>
              <w:rPr>
                <w:rFonts w:eastAsiaTheme="minorEastAsia"/>
                <w:lang w:val="en-US" w:eastAsia="zh-CN"/>
              </w:rPr>
              <w:t xml:space="preserve">So, we suggest separate </w:t>
            </w:r>
            <w:proofErr w:type="spellStart"/>
            <w:r w:rsidRPr="002302A0">
              <w:rPr>
                <w:rFonts w:eastAsiaTheme="minorEastAsia"/>
                <w:i/>
                <w:lang w:val="en-US" w:eastAsia="zh-CN"/>
              </w:rPr>
              <w:t>premableTransMax</w:t>
            </w:r>
            <w:proofErr w:type="spellEnd"/>
            <w:r>
              <w:rPr>
                <w:rFonts w:eastAsiaTheme="minorEastAsia"/>
                <w:lang w:val="en-US" w:eastAsia="zh-CN"/>
              </w:rPr>
              <w:t xml:space="preserve"> can be configured.</w:t>
            </w:r>
          </w:p>
        </w:tc>
      </w:tr>
      <w:tr w:rsidR="00BA1BB4" w:rsidRPr="008E0D49" w14:paraId="36BEA29A" w14:textId="77777777">
        <w:tc>
          <w:tcPr>
            <w:tcW w:w="1560" w:type="dxa"/>
            <w:shd w:val="clear" w:color="auto" w:fill="auto"/>
            <w:vAlign w:val="center"/>
          </w:tcPr>
          <w:p w14:paraId="0B0F63F4" w14:textId="1AA671E9" w:rsidR="00BA1BB4" w:rsidRDefault="00BA1BB4" w:rsidP="003A6BC9">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C8351D6" w14:textId="253EA8EF" w:rsidR="00BA1BB4" w:rsidRDefault="00BA1BB4" w:rsidP="003A6BC9">
            <w:pPr>
              <w:rPr>
                <w:i/>
              </w:rPr>
            </w:pPr>
            <w:r>
              <w:rPr>
                <w:rFonts w:eastAsiaTheme="minorEastAsia"/>
                <w:lang w:val="en-US" w:eastAsia="zh-CN"/>
              </w:rPr>
              <w:t>Agree with vivo. The</w:t>
            </w:r>
            <w:r w:rsidR="00514E0A">
              <w:rPr>
                <w:rFonts w:eastAsiaTheme="minorEastAsia"/>
                <w:lang w:val="en-US" w:eastAsia="zh-CN"/>
              </w:rPr>
              <w:t xml:space="preserve"> supposed beneficial</w:t>
            </w:r>
            <w:r>
              <w:rPr>
                <w:rFonts w:eastAsiaTheme="minorEastAsia"/>
                <w:lang w:val="en-US" w:eastAsia="zh-CN"/>
              </w:rPr>
              <w:t xml:space="preserve"> impact of a change of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sidRPr="00BA1BB4">
              <w:rPr>
                <w:iCs/>
              </w:rPr>
              <w:t>, we fully agree with Huawei.</w:t>
            </w:r>
            <w:r>
              <w:rPr>
                <w:i/>
              </w:rPr>
              <w:t xml:space="preserve"> </w:t>
            </w:r>
          </w:p>
          <w:p w14:paraId="4FC79633" w14:textId="3C09EC78" w:rsidR="00BA1BB4" w:rsidRDefault="00BA1BB4" w:rsidP="003A6BC9">
            <w:pPr>
              <w:rPr>
                <w:rFonts w:eastAsiaTheme="minorEastAsia"/>
                <w:lang w:val="en-US" w:eastAsia="zh-CN"/>
              </w:rPr>
            </w:pPr>
            <w:r>
              <w:rPr>
                <w:rFonts w:eastAsiaTheme="minorEastAsia"/>
                <w:lang w:val="en-US" w:eastAsia="zh-CN"/>
              </w:rPr>
              <w:t xml:space="preserve">Proposed reply </w:t>
            </w:r>
            <w:r w:rsidR="00514E0A">
              <w:rPr>
                <w:rFonts w:eastAsiaTheme="minorEastAsia"/>
                <w:lang w:val="en-US" w:eastAsia="zh-CN"/>
              </w:rPr>
              <w:t>is not suitable in our view</w:t>
            </w:r>
            <w:r>
              <w:rPr>
                <w:rFonts w:eastAsiaTheme="minorEastAsia"/>
                <w:lang w:val="en-US" w:eastAsia="zh-CN"/>
              </w:rPr>
              <w:t xml:space="preserve">. </w:t>
            </w:r>
            <w:r w:rsidR="00514E0A">
              <w:rPr>
                <w:rFonts w:eastAsiaTheme="minorEastAsia"/>
                <w:lang w:val="en-US" w:eastAsia="zh-CN"/>
              </w:rPr>
              <w:t>We know at the last the following three effects would be observed, for sure:</w:t>
            </w:r>
          </w:p>
          <w:p w14:paraId="438ED43C" w14:textId="77777777" w:rsidR="00514E0A" w:rsidRDefault="00514E0A" w:rsidP="00514E0A">
            <w:pPr>
              <w:pStyle w:val="a"/>
              <w:numPr>
                <w:ilvl w:val="0"/>
                <w:numId w:val="14"/>
              </w:numPr>
              <w:rPr>
                <w:rFonts w:eastAsia="SimSun"/>
                <w:color w:val="FF0000"/>
                <w:lang w:val="en-US" w:eastAsia="zh-CN"/>
              </w:rPr>
            </w:pPr>
            <w:r>
              <w:rPr>
                <w:rFonts w:eastAsia="SimSun"/>
                <w:color w:val="FF0000"/>
                <w:lang w:val="en-US" w:eastAsia="zh-CN"/>
              </w:rPr>
              <w:t>N</w:t>
            </w:r>
            <w:r w:rsidRPr="00BA1BB4">
              <w:rPr>
                <w:rFonts w:eastAsia="SimSun" w:hint="eastAsia"/>
                <w:color w:val="FF0000"/>
                <w:lang w:val="en-US" w:eastAsia="zh-CN"/>
              </w:rPr>
              <w:t>ear-far problem</w:t>
            </w:r>
            <w:r>
              <w:rPr>
                <w:rFonts w:eastAsia="SimSun"/>
                <w:color w:val="FF0000"/>
                <w:lang w:val="en-US" w:eastAsia="zh-CN"/>
              </w:rPr>
              <w:t>;</w:t>
            </w:r>
          </w:p>
          <w:p w14:paraId="3484DCE2" w14:textId="74F62C4B" w:rsidR="00514E0A" w:rsidRDefault="00514E0A" w:rsidP="00514E0A">
            <w:pPr>
              <w:pStyle w:val="a"/>
              <w:numPr>
                <w:ilvl w:val="0"/>
                <w:numId w:val="14"/>
              </w:numPr>
              <w:rPr>
                <w:rFonts w:eastAsia="SimSun"/>
                <w:color w:val="FF0000"/>
                <w:lang w:val="en-US" w:eastAsia="zh-CN"/>
              </w:rPr>
            </w:pPr>
            <w:r>
              <w:rPr>
                <w:rFonts w:eastAsia="SimSun"/>
                <w:color w:val="FF0000"/>
                <w:lang w:val="en-US" w:eastAsia="zh-CN"/>
              </w:rPr>
              <w:t>C</w:t>
            </w:r>
            <w:r w:rsidRPr="00BA1BB4">
              <w:rPr>
                <w:rFonts w:eastAsia="SimSun"/>
                <w:color w:val="FF0000"/>
                <w:lang w:val="en-US" w:eastAsia="zh-CN"/>
              </w:rPr>
              <w:t xml:space="preserve">hannel accessibility issues </w:t>
            </w:r>
            <w:r>
              <w:rPr>
                <w:rFonts w:eastAsia="SimSun"/>
                <w:color w:val="FF0000"/>
                <w:lang w:val="en-US" w:eastAsia="zh-CN"/>
              </w:rPr>
              <w:t>compared to Rel-16;</w:t>
            </w:r>
          </w:p>
          <w:p w14:paraId="14179F72" w14:textId="60388FEC" w:rsidR="00514E0A" w:rsidRPr="00BA1BB4" w:rsidRDefault="00514E0A" w:rsidP="00514E0A">
            <w:pPr>
              <w:pStyle w:val="a"/>
              <w:numPr>
                <w:ilvl w:val="0"/>
                <w:numId w:val="14"/>
              </w:numPr>
              <w:rPr>
                <w:rFonts w:eastAsia="SimSun"/>
                <w:color w:val="FF0000"/>
                <w:lang w:val="en-US" w:eastAsia="zh-CN"/>
              </w:rPr>
            </w:pPr>
            <w:r>
              <w:rPr>
                <w:rFonts w:eastAsiaTheme="minorEastAsia"/>
                <w:color w:val="FF0000"/>
                <w:lang w:val="en-US" w:eastAsia="zh-CN"/>
              </w:rPr>
              <w:t>L</w:t>
            </w:r>
            <w:r w:rsidRPr="00BA1BB4">
              <w:rPr>
                <w:rFonts w:eastAsiaTheme="minorEastAsia"/>
                <w:color w:val="FF0000"/>
                <w:lang w:val="en-US" w:eastAsia="zh-CN"/>
              </w:rPr>
              <w:t>onger channel occupation by the UE with worse channel quality, resulting in more collision with those UEs of better channel quality.</w:t>
            </w:r>
          </w:p>
          <w:p w14:paraId="63C19254" w14:textId="05BB9793" w:rsidR="00514E0A" w:rsidRDefault="00514E0A" w:rsidP="003A6BC9">
            <w:pPr>
              <w:rPr>
                <w:rFonts w:eastAsiaTheme="minorEastAsia"/>
                <w:lang w:val="en-US" w:eastAsia="zh-CN"/>
              </w:rPr>
            </w:pPr>
            <w:r w:rsidRPr="00514E0A">
              <w:rPr>
                <w:rFonts w:eastAsiaTheme="minorEastAsia"/>
                <w:u w:val="single"/>
                <w:lang w:val="en-US" w:eastAsia="zh-CN"/>
              </w:rPr>
              <w:t>We cannot agree on the extent of these issues</w:t>
            </w:r>
            <w:r>
              <w:rPr>
                <w:rFonts w:eastAsiaTheme="minorEastAsia"/>
                <w:u w:val="single"/>
                <w:lang w:val="en-US" w:eastAsia="zh-CN"/>
              </w:rPr>
              <w:t xml:space="preserve"> as a group</w:t>
            </w:r>
            <w:r>
              <w:rPr>
                <w:rFonts w:eastAsiaTheme="minorEastAsia"/>
                <w:lang w:val="en-US" w:eastAsia="zh-CN"/>
              </w:rPr>
              <w:t xml:space="preserve">, </w:t>
            </w:r>
            <w:r w:rsidRPr="00514E0A">
              <w:rPr>
                <w:rFonts w:eastAsiaTheme="minorEastAsia"/>
                <w:u w:val="single"/>
                <w:lang w:val="en-US" w:eastAsia="zh-CN"/>
              </w:rPr>
              <w:t>and their impact</w:t>
            </w:r>
            <w:r>
              <w:rPr>
                <w:rFonts w:eastAsiaTheme="minorEastAsia"/>
                <w:lang w:val="en-US" w:eastAsia="zh-CN"/>
              </w:rPr>
              <w:t xml:space="preserve">, we acknowledge this. However, the fact that they </w:t>
            </w:r>
            <w:r w:rsidRPr="00514E0A">
              <w:rPr>
                <w:rFonts w:eastAsiaTheme="minorEastAsia"/>
                <w:b/>
                <w:bCs/>
                <w:lang w:val="en-US" w:eastAsia="zh-CN"/>
              </w:rPr>
              <w:t>will be</w:t>
            </w:r>
            <w:r>
              <w:rPr>
                <w:rFonts w:eastAsiaTheme="minorEastAsia"/>
                <w:lang w:val="en-US" w:eastAsia="zh-CN"/>
              </w:rPr>
              <w:t xml:space="preserve"> present is rather obvious.</w:t>
            </w:r>
          </w:p>
          <w:p w14:paraId="687A4BE6" w14:textId="638C5D96" w:rsidR="00514E0A" w:rsidRPr="00BA1BB4" w:rsidRDefault="00514E0A" w:rsidP="00514E0A">
            <w:pPr>
              <w:rPr>
                <w:rFonts w:eastAsia="SimSun"/>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sidR="00BA1BB4">
              <w:rPr>
                <w:rFonts w:eastAsia="SimSun" w:hint="eastAsia"/>
                <w:lang w:val="en-US" w:eastAsia="zh-CN"/>
              </w:rPr>
              <w:t>configur</w:t>
            </w:r>
            <w:r>
              <w:rPr>
                <w:rFonts w:eastAsia="SimSun"/>
                <w:lang w:val="en-US" w:eastAsia="zh-CN"/>
              </w:rPr>
              <w:t>ing</w:t>
            </w:r>
            <w:r w:rsidR="00BA1BB4">
              <w:rPr>
                <w:rFonts w:eastAsia="SimSun" w:hint="eastAsia"/>
                <w:lang w:val="en-US" w:eastAsia="zh-CN"/>
              </w:rPr>
              <w:t xml:space="preserve"> </w:t>
            </w:r>
            <w:r w:rsidR="00BA1BB4">
              <w:t xml:space="preserve">a separate set of RACH parameters </w:t>
            </w:r>
            <w:r w:rsidR="00BA1BB4">
              <w:rPr>
                <w:rFonts w:eastAsia="SimSun" w:hint="eastAsia"/>
                <w:lang w:val="en-US" w:eastAsia="zh-CN"/>
              </w:rPr>
              <w:t xml:space="preserve">for </w:t>
            </w:r>
            <w:proofErr w:type="spellStart"/>
            <w:r w:rsidR="00BA1BB4">
              <w:rPr>
                <w:i/>
              </w:rPr>
              <w:t>preambleReceivedTargetPower</w:t>
            </w:r>
            <w:proofErr w:type="spellEnd"/>
            <w:r w:rsidR="00BA1BB4">
              <w:rPr>
                <w:i/>
              </w:rPr>
              <w:t xml:space="preserve">, </w:t>
            </w:r>
            <w:proofErr w:type="spellStart"/>
            <w:r w:rsidR="00BA1BB4">
              <w:rPr>
                <w:i/>
              </w:rPr>
              <w:t>powerRampingStep</w:t>
            </w:r>
            <w:proofErr w:type="spellEnd"/>
            <w:r w:rsidR="00BA1BB4">
              <w:rPr>
                <w:i/>
              </w:rPr>
              <w:t xml:space="preserve">, </w:t>
            </w:r>
            <w:proofErr w:type="spellStart"/>
            <w:r w:rsidR="00BA1BB4">
              <w:rPr>
                <w:i/>
              </w:rPr>
              <w:t>preambleTransMax</w:t>
            </w:r>
            <w:proofErr w:type="spellEnd"/>
            <w:r w:rsidR="00BA1BB4">
              <w:rPr>
                <w:rFonts w:eastAsia="SimSun" w:hint="eastAsia"/>
                <w:i/>
                <w:lang w:val="en-US" w:eastAsia="zh-CN"/>
              </w:rPr>
              <w:t xml:space="preserve"> </w:t>
            </w:r>
            <w:r w:rsidR="00BA1BB4">
              <w:rPr>
                <w:rFonts w:eastAsia="SimSun" w:hint="eastAsia"/>
                <w:shd w:val="clear" w:color="auto" w:fill="FFFFFF"/>
                <w:lang w:val="en-US" w:eastAsia="zh-CN"/>
              </w:rPr>
              <w:t>for requesting Msg3 repetition with shared RO</w:t>
            </w:r>
            <w:r w:rsidR="00BA1BB4" w:rsidRPr="00BA1BB4">
              <w:rPr>
                <w:rFonts w:eastAsia="SimSun" w:hint="eastAsia"/>
                <w:lang w:val="en-US" w:eastAsia="zh-CN"/>
              </w:rPr>
              <w:t xml:space="preserve"> </w:t>
            </w:r>
            <w:r w:rsidR="00BA1BB4" w:rsidRPr="00514E0A">
              <w:rPr>
                <w:rFonts w:eastAsia="SimSun" w:hint="eastAsia"/>
                <w:b/>
                <w:bCs/>
                <w:lang w:val="en-US" w:eastAsia="zh-CN"/>
              </w:rPr>
              <w:t xml:space="preserve">might be </w:t>
            </w:r>
            <w:r w:rsidR="00BA1BB4" w:rsidRPr="00BA1BB4">
              <w:rPr>
                <w:rFonts w:eastAsia="SimSun" w:hint="eastAsia"/>
                <w:lang w:val="en-US" w:eastAsia="zh-CN"/>
              </w:rPr>
              <w:t>beneficial</w:t>
            </w:r>
            <w:r>
              <w:rPr>
                <w:rFonts w:eastAsia="SimSun"/>
                <w:lang w:val="en-US" w:eastAsia="zh-CN"/>
              </w:rPr>
              <w:t>.</w:t>
            </w:r>
          </w:p>
        </w:tc>
      </w:tr>
      <w:tr w:rsidR="00A45EBE" w:rsidRPr="008E0D49" w14:paraId="53BC00C3" w14:textId="77777777">
        <w:tc>
          <w:tcPr>
            <w:tcW w:w="1560" w:type="dxa"/>
            <w:shd w:val="clear" w:color="auto" w:fill="auto"/>
            <w:vAlign w:val="center"/>
          </w:tcPr>
          <w:p w14:paraId="5DD265A2" w14:textId="6E760830" w:rsidR="00A45EBE" w:rsidRPr="00A45EBE" w:rsidRDefault="00A45EBE" w:rsidP="003A6BC9">
            <w:pPr>
              <w:jc w:val="center"/>
              <w:rPr>
                <w:rFonts w:eastAsia="맑은 고딕" w:hint="eastAsia"/>
                <w:lang w:eastAsia="ko-KR"/>
              </w:rPr>
            </w:pPr>
            <w:r>
              <w:rPr>
                <w:rFonts w:eastAsia="맑은 고딕" w:hint="eastAsia"/>
                <w:lang w:eastAsia="ko-KR"/>
              </w:rPr>
              <w:t>LG</w:t>
            </w:r>
          </w:p>
        </w:tc>
        <w:tc>
          <w:tcPr>
            <w:tcW w:w="8505" w:type="dxa"/>
            <w:shd w:val="clear" w:color="auto" w:fill="auto"/>
            <w:vAlign w:val="center"/>
          </w:tcPr>
          <w:p w14:paraId="6B91CEEB" w14:textId="0F9A155E" w:rsidR="00A45EBE" w:rsidRDefault="00A45EBE" w:rsidP="00A45EBE">
            <w:pPr>
              <w:rPr>
                <w:rFonts w:eastAsiaTheme="minorEastAsia"/>
                <w:lang w:val="en-US" w:eastAsia="zh-CN"/>
              </w:rPr>
            </w:pPr>
            <w:r w:rsidRPr="00A45EBE">
              <w:rPr>
                <w:rFonts w:eastAsiaTheme="minorEastAsia"/>
                <w:lang w:val="en-US" w:eastAsia="zh-CN"/>
              </w:rPr>
              <w:t xml:space="preserve">We don’t see any benefit of configuring a separate set of RACH parameter for msg3 repetition in terms of coverage enhancement. </w:t>
            </w:r>
            <w:r>
              <w:rPr>
                <w:rFonts w:eastAsiaTheme="minorEastAsia"/>
                <w:lang w:val="en-US" w:eastAsia="zh-CN"/>
              </w:rPr>
              <w:t>So w</w:t>
            </w:r>
            <w:r w:rsidRPr="00A45EBE">
              <w:rPr>
                <w:rFonts w:eastAsiaTheme="minorEastAsia"/>
                <w:lang w:val="en-US" w:eastAsia="zh-CN"/>
              </w:rPr>
              <w:t xml:space="preserve">e are </w:t>
            </w:r>
            <w:r>
              <w:rPr>
                <w:rFonts w:eastAsiaTheme="minorEastAsia"/>
                <w:lang w:val="en-US" w:eastAsia="zh-CN"/>
              </w:rPr>
              <w:t xml:space="preserve">agree on </w:t>
            </w:r>
            <w:r w:rsidRPr="00A45EBE">
              <w:rPr>
                <w:rFonts w:eastAsiaTheme="minorEastAsia"/>
                <w:lang w:val="en-US" w:eastAsia="zh-CN"/>
              </w:rPr>
              <w:t>RAN1 has no consensus</w:t>
            </w:r>
            <w:r>
              <w:rPr>
                <w:rFonts w:eastAsiaTheme="minorEastAsia"/>
                <w:lang w:val="en-US" w:eastAsia="zh-CN"/>
              </w:rPr>
              <w:t xml:space="preserve"> to this subject.</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lastRenderedPageBreak/>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7432" w14:textId="77777777" w:rsidR="003C106E" w:rsidRDefault="003C106E">
      <w:pPr>
        <w:spacing w:after="0" w:line="240" w:lineRule="auto"/>
      </w:pPr>
      <w:r>
        <w:separator/>
      </w:r>
    </w:p>
  </w:endnote>
  <w:endnote w:type="continuationSeparator" w:id="0">
    <w:p w14:paraId="0C9CF14D" w14:textId="77777777" w:rsidR="003C106E" w:rsidRDefault="003C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D990" w14:textId="77777777" w:rsidR="00FE41D0" w:rsidRDefault="00FE41D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0625DC" w14:textId="77777777" w:rsidR="00FE41D0" w:rsidRDefault="00FE41D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0563F" w14:textId="343D4B7A" w:rsidR="00FE41D0" w:rsidRDefault="00FE41D0">
    <w:pPr>
      <w:pStyle w:val="ad"/>
      <w:ind w:right="360"/>
    </w:pPr>
    <w:r>
      <w:rPr>
        <w:rStyle w:val="af6"/>
      </w:rPr>
      <w:fldChar w:fldCharType="begin"/>
    </w:r>
    <w:r>
      <w:rPr>
        <w:rStyle w:val="af6"/>
      </w:rPr>
      <w:instrText xml:space="preserve"> PAGE </w:instrText>
    </w:r>
    <w:r>
      <w:rPr>
        <w:rStyle w:val="af6"/>
      </w:rPr>
      <w:fldChar w:fldCharType="separate"/>
    </w:r>
    <w:r w:rsidR="004328FC">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328FC">
      <w:rPr>
        <w:rStyle w:val="af6"/>
        <w:noProof/>
      </w:rPr>
      <w:t>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BDE7" w14:textId="77777777" w:rsidR="003C106E" w:rsidRDefault="003C106E">
      <w:pPr>
        <w:spacing w:after="0" w:line="240" w:lineRule="auto"/>
      </w:pPr>
      <w:r>
        <w:separator/>
      </w:r>
    </w:p>
  </w:footnote>
  <w:footnote w:type="continuationSeparator" w:id="0">
    <w:p w14:paraId="0153861C" w14:textId="77777777" w:rsidR="003C106E" w:rsidRDefault="003C1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F2C98F"/>
    <w:multiLevelType w:val="singleLevel"/>
    <w:tmpl w:val="BDF2C98F"/>
    <w:lvl w:ilvl="0">
      <w:start w:val="1"/>
      <w:numFmt w:val="decimal"/>
      <w:pStyle w:val="References"/>
      <w:suff w:val="space"/>
      <w:lvlText w:val="[%1]"/>
      <w:lvlJc w:val="left"/>
      <w:pPr>
        <w:ind w:left="643" w:hanging="443"/>
      </w:pPr>
    </w:lvl>
  </w:abstractNum>
  <w:abstractNum w:abstractNumId="1">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nsid w:val="169B6B63"/>
    <w:multiLevelType w:val="hybridMultilevel"/>
    <w:tmpl w:val="104A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7ECCABA3-20F9-4898-ACAB-3241B38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28"/>
    </w:rPr>
  </w:style>
  <w:style w:type="paragraph" w:styleId="3">
    <w:name w:val="heading 3"/>
    <w:basedOn w:val="2"/>
    <w:next w:val="a0"/>
    <w:link w:val="3Char"/>
    <w:qFormat/>
    <w:pPr>
      <w:spacing w:before="120" w:after="120" w:line="240" w:lineRule="auto"/>
      <w:outlineLvl w:val="2"/>
    </w:pPr>
    <w:rPr>
      <w:rFonts w:ascii="Times New Roman" w:hAnsi="Times New Roman"/>
      <w:b/>
      <w:sz w:val="21"/>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제목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en-IN"/>
    </w:rPr>
  </w:style>
  <w:style w:type="character" w:customStyle="1" w:styleId="2Char">
    <w:name w:val="제목 2 Char"/>
    <w:link w:val="2"/>
    <w:qFormat/>
    <w:rPr>
      <w:rFonts w:ascii="Arial" w:eastAsia="Times New Roman" w:hAnsi="Arial"/>
      <w:sz w:val="28"/>
      <w:lang w:val="en-GB" w:eastAsia="en-IN"/>
    </w:rPr>
  </w:style>
  <w:style w:type="character" w:customStyle="1" w:styleId="3Char">
    <w:name w:val="제목 3 Char"/>
    <w:link w:val="3"/>
    <w:qFormat/>
    <w:rPr>
      <w:rFonts w:ascii="Times New Roman" w:eastAsia="Times New Roman" w:hAnsi="Times New Roman"/>
      <w:b/>
      <w:sz w:val="21"/>
      <w:lang w:val="en-GB" w:eastAsia="en-IN"/>
    </w:rPr>
  </w:style>
  <w:style w:type="character" w:customStyle="1" w:styleId="4Char">
    <w:name w:val="제목 4 Char"/>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목록 단락 Char"/>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Char2">
    <w:name w:val="바닥글 Char"/>
    <w:basedOn w:val="a1"/>
    <w:link w:val="ad"/>
    <w:qFormat/>
    <w:rPr>
      <w:rFonts w:ascii="Arial" w:eastAsia="Times New Roman" w:hAnsi="Arial"/>
      <w:b/>
      <w:i/>
      <w:sz w:val="18"/>
      <w:lang w:val="en-IN" w:eastAsia="en-IN"/>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맑은 고딕" w:hAnsi="Calibri" w:cs="바탕"/>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E515DE-F377-45B8-BE9B-0AB16A90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8</Pages>
  <Words>3347</Words>
  <Characters>19081</Characters>
  <Application>Microsoft Office Word</Application>
  <DocSecurity>0</DocSecurity>
  <Lines>159</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오윤석/선임연구원/미래기술센터 C&amp;M표준(연)5G무선통신표준Task(yoonsuk.oh@lge.com)</cp:lastModifiedBy>
  <cp:revision>5</cp:revision>
  <cp:lastPrinted>2018-04-07T03:05:00Z</cp:lastPrinted>
  <dcterms:created xsi:type="dcterms:W3CDTF">2021-10-13T07:16:00Z</dcterms:created>
  <dcterms:modified xsi:type="dcterms:W3CDTF">2021-10-13T10:22:00Z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