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a"/>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 xml:space="preserve">true values of C-DAI and T-DAI as the count of feedback-enabled HARQ processes can be useful for UE to </w:t>
            </w:r>
            <w:r w:rsidRPr="008F6774">
              <w:lastRenderedPageBreak/>
              <w:t>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lastRenderedPageBreak/>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 xml:space="preserve">Nokia, Nokia Shanghai </w:t>
            </w:r>
            <w:r>
              <w:rPr>
                <w:rFonts w:eastAsia="Malgun Gothic"/>
                <w:lang w:eastAsia="ko-KR"/>
              </w:rPr>
              <w:lastRenderedPageBreak/>
              <w:t>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lastRenderedPageBreak/>
              <w:t xml:space="preserve">Ok to have as conclusion. The natural consequence of this would of course be </w:t>
            </w:r>
            <w:r>
              <w:lastRenderedPageBreak/>
              <w:t>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w:t>
            </w:r>
            <w:r w:rsidRPr="00A343AD">
              <w:rPr>
                <w:rFonts w:eastAsia="MS Mincho"/>
                <w:lang w:eastAsia="ja-JP"/>
              </w:rPr>
              <w:lastRenderedPageBreak/>
              <w:t xml:space="preserve">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a"/>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a"/>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a"/>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1974C2">
      <w:pPr>
        <w:pStyle w:val="ac"/>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w:t>
            </w:r>
            <w:r>
              <w:rPr>
                <w:lang w:eastAsia="zh-CN"/>
              </w:rPr>
              <w:lastRenderedPageBreak/>
              <w:t>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34597"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c"/>
        <w:jc w:val="center"/>
      </w:pPr>
      <w:r>
        <w:rPr>
          <w:noProof/>
        </w:rPr>
        <w:object w:dxaOrig="12504" w:dyaOrig="2916" w14:anchorId="488C2115">
          <v:shape id="_x0000_i1026" type="#_x0000_t75" alt="" style="width:283.2pt;height:66pt;mso-width-percent:0;mso-height-percent:0;mso-width-percent:0;mso-height-percent:0" o:ole="">
            <v:imagedata r:id="rId14" o:title=""/>
          </v:shape>
          <o:OLEObject Type="Embed" ProgID="Visio.Drawing.15" ShapeID="_x0000_i1026" DrawAspect="Content" ObjectID="_1695734598" r:id="rId15"/>
        </w:object>
      </w:r>
      <w:r w:rsidR="008146CB" w:rsidRPr="000F0FD8">
        <w:t xml:space="preserve"> </w:t>
      </w:r>
    </w:p>
    <w:p w14:paraId="7E298AFE" w14:textId="77777777" w:rsidR="008146CB" w:rsidRPr="008E0C0B" w:rsidRDefault="00BD040F" w:rsidP="008146CB">
      <w:pPr>
        <w:pStyle w:val="ac"/>
        <w:jc w:val="center"/>
        <w:rPr>
          <w:lang w:eastAsia="zh-CN"/>
        </w:rPr>
      </w:pPr>
      <w:r>
        <w:rPr>
          <w:noProof/>
        </w:rPr>
        <w:object w:dxaOrig="12180" w:dyaOrig="3624" w14:anchorId="42DE0995">
          <v:shape id="_x0000_i1027" type="#_x0000_t75" alt="" style="width:283.8pt;height:84.6pt;mso-width-percent:0;mso-height-percent:0;mso-width-percent:0;mso-height-percent:0" o:ole="">
            <v:imagedata r:id="rId16" o:title=""/>
          </v:shape>
          <o:OLEObject Type="Embed" ProgID="Visio.Drawing.15" ShapeID="_x0000_i1027" DrawAspect="Content" ObjectID="_1695734599"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 xml:space="preserve">The legacy restriction was designed with TN in mind and will seriously limit UE’s throughput in some scenarios. Hence, we believe the legacy restriction </w:t>
            </w:r>
            <w:r>
              <w:lastRenderedPageBreak/>
              <w:t>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a"/>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a"/>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lastRenderedPageBreak/>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issue. In option 2, UE decode the PDSCH and store the ACK/NACK in a </w:t>
            </w:r>
            <w:r>
              <w:rPr>
                <w:rFonts w:eastAsia="MS Mincho"/>
                <w:lang w:eastAsia="zh-CN"/>
              </w:rPr>
              <w:lastRenderedPageBreak/>
              <w:t xml:space="preserve">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2C28D7" w14:paraId="4C4114CE"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2AF086" w14:textId="57F50810" w:rsidR="002C28D7" w:rsidRPr="00FC653D" w:rsidRDefault="002C28D7" w:rsidP="002C28D7">
            <w:pPr>
              <w:jc w:val="cente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45A0365" w14:textId="6E43306A" w:rsidR="002C28D7" w:rsidRDefault="002C28D7" w:rsidP="002C28D7">
            <w:pPr>
              <w:autoSpaceDE/>
              <w:adjustRightInd/>
              <w:ind w:left="357"/>
              <w:rPr>
                <w:rFonts w:eastAsiaTheme="minorEastAsia"/>
                <w:lang w:eastAsia="zh-CN"/>
              </w:rPr>
            </w:pPr>
            <w:r>
              <w:rPr>
                <w:lang w:eastAsia="zh-CN"/>
              </w:rPr>
              <w:t xml:space="preserve">We still prefer Option 2, the legacy behaviour. Considering the </w:t>
            </w:r>
            <w:r w:rsidRPr="008F6774">
              <w:t>decoder performance of Reed-Mueller code and polar code</w:t>
            </w:r>
            <w:r>
              <w:t xml:space="preserve">, the location of the pre-known NACKs is not fixed in the information bits, e.g. the </w:t>
            </w:r>
            <w:r w:rsidRPr="002D5874">
              <w:t>front or the back</w:t>
            </w:r>
            <w:r>
              <w:t xml:space="preserve"> bits location, which makes it hard to utilize the pre-known bits to help decoding. </w:t>
            </w:r>
            <w:r>
              <w:rPr>
                <w:rFonts w:hint="eastAsia"/>
                <w:lang w:eastAsia="zh-CN"/>
              </w:rPr>
              <w:t>And</w:t>
            </w:r>
            <w:r>
              <w:t xml:space="preserve"> the spec impact would be significant and need to further study.</w:t>
            </w:r>
          </w:p>
        </w:tc>
      </w:tr>
      <w:tr w:rsidR="005865DA" w14:paraId="1F92427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931E40" w14:textId="091BDCF0" w:rsidR="005865DA" w:rsidRPr="005865DA" w:rsidRDefault="005865DA" w:rsidP="002C28D7">
            <w:pPr>
              <w:jc w:val="center"/>
              <w:rPr>
                <w:rFonts w:cs="Arial" w:hint="eastAsia"/>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9DE67AC"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don’t support. </w:t>
            </w:r>
          </w:p>
          <w:p w14:paraId="23FC4290" w14:textId="6F8B2AE5" w:rsidR="005865DA" w:rsidRDefault="005865DA" w:rsidP="002C28D7">
            <w:pPr>
              <w:autoSpaceDE/>
              <w:adjustRightInd/>
              <w:ind w:left="357"/>
              <w:rPr>
                <w:rFonts w:hint="eastAsia"/>
                <w:lang w:eastAsia="zh-CN"/>
              </w:rPr>
            </w:pPr>
            <w:r>
              <w:rPr>
                <w:lang w:eastAsia="zh-CN"/>
              </w:rPr>
              <w:t xml:space="preserve">Reporting real NACK/ACK will provide benefits and it has less spec impact. Moreover, it is a default behaviour, which means that if no agreement, the UE will report real NACK/ACK. </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behavior regardless of received DCI contents and PUCCH/PUSCH/UCI contents. </w:t>
            </w:r>
          </w:p>
        </w:tc>
      </w:tr>
      <w:tr w:rsidR="002C28D7"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3A08B101" w:rsidR="002C28D7" w:rsidRPr="001D3984" w:rsidRDefault="002C28D7" w:rsidP="002C28D7">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A7B53A5" w:rsidR="002C28D7" w:rsidRDefault="002C28D7" w:rsidP="002C28D7">
            <w:pPr>
              <w:autoSpaceDE/>
              <w:adjustRightInd/>
              <w:ind w:left="357"/>
              <w:rPr>
                <w:rFonts w:eastAsiaTheme="minorEastAsia"/>
                <w:lang w:eastAsia="zh-CN"/>
              </w:rPr>
            </w:pPr>
            <w:r>
              <w:rPr>
                <w:rFonts w:hint="eastAsia"/>
                <w:lang w:eastAsia="zh-CN"/>
              </w:rPr>
              <w:t>S</w:t>
            </w:r>
            <w:r>
              <w:rPr>
                <w:lang w:eastAsia="zh-CN"/>
              </w:rPr>
              <w:t xml:space="preserve">upport the proposal and prefer Option-1a. </w:t>
            </w:r>
            <w:r>
              <w:t>If not HARQ-ACK feedback only</w:t>
            </w:r>
            <w:r>
              <w:rPr>
                <w:rFonts w:hint="eastAsia"/>
                <w:lang w:eastAsia="zh-CN"/>
              </w:rPr>
              <w:t>,</w:t>
            </w:r>
            <w:r>
              <w:rPr>
                <w:lang w:eastAsia="zh-CN"/>
              </w:rPr>
              <w:t xml:space="preserve"> the feedback should not be skipped. </w:t>
            </w:r>
            <w:r>
              <w:rPr>
                <w:rFonts w:hint="eastAsia"/>
                <w:lang w:eastAsia="zh-CN"/>
              </w:rPr>
              <w:t>A</w:t>
            </w:r>
            <w:r>
              <w:rPr>
                <w:lang w:eastAsia="zh-CN"/>
              </w:rPr>
              <w:t xml:space="preserve">nd fine with the modification from Ericsson. </w:t>
            </w:r>
          </w:p>
        </w:tc>
      </w:tr>
      <w:tr w:rsidR="005865DA" w14:paraId="5702316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AAAA1B" w14:textId="0A2E617D" w:rsidR="005865DA" w:rsidRDefault="005865DA" w:rsidP="002C28D7">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FFE076"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can accept this proposal for the sake of progress, with the following modification. </w:t>
            </w:r>
          </w:p>
          <w:p w14:paraId="2E52FD17" w14:textId="4E7249A4" w:rsidR="005865DA" w:rsidRPr="00260FA2" w:rsidRDefault="005865DA" w:rsidP="005865DA">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w:t>
            </w:r>
            <w:r>
              <w:rPr>
                <w:color w:val="FF0000"/>
                <w:highlight w:val="yellow"/>
                <w:lang w:eastAsia="x-none"/>
              </w:rPr>
              <w:t xml:space="preserve">UE determines that </w:t>
            </w:r>
            <w:r w:rsidRPr="00260FA2">
              <w:rPr>
                <w:highlight w:val="yellow"/>
                <w:lang w:eastAsia="x-none"/>
              </w:rPr>
              <w:t xml:space="preserve">only </w:t>
            </w:r>
            <w:r w:rsidRPr="005865DA">
              <w:rPr>
                <w:strike/>
                <w:color w:val="FF0000"/>
                <w:highlight w:val="yellow"/>
                <w:lang w:eastAsia="x-none"/>
              </w:rPr>
              <w:t>DCI carrying</w:t>
            </w:r>
            <w:r w:rsidRPr="00260FA2">
              <w:rPr>
                <w:highlight w:val="yellow"/>
                <w:lang w:eastAsia="x-none"/>
              </w:rPr>
              <w:t xml:space="preserve"> feedback-disabled HARQ process is </w:t>
            </w:r>
            <w:r>
              <w:rPr>
                <w:highlight w:val="yellow"/>
                <w:lang w:eastAsia="x-none"/>
              </w:rPr>
              <w:t xml:space="preserve">scheduled </w:t>
            </w:r>
            <w:r w:rsidRPr="005865DA">
              <w:rPr>
                <w:strike/>
                <w:color w:val="FF0000"/>
                <w:highlight w:val="yellow"/>
                <w:lang w:eastAsia="x-none"/>
              </w:rPr>
              <w:t>detected by UE</w:t>
            </w:r>
            <w:r w:rsidRPr="00260FA2">
              <w:rPr>
                <w:highlight w:val="yellow"/>
                <w:lang w:eastAsia="x-none"/>
              </w:rPr>
              <w:t xml:space="preserve"> (down-select between Option-1 and 1a) </w:t>
            </w:r>
          </w:p>
          <w:p w14:paraId="40C41653" w14:textId="77777777" w:rsidR="005865DA" w:rsidRPr="00260FA2" w:rsidRDefault="005865DA" w:rsidP="005865DA">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3D99461E" w14:textId="77777777" w:rsidR="005865DA" w:rsidRPr="00260FA2" w:rsidRDefault="005865DA" w:rsidP="005865DA">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C23D02E" w14:textId="77777777" w:rsidR="005865DA" w:rsidRDefault="005865DA" w:rsidP="005865DA">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44F64209" w14:textId="77777777" w:rsidR="005865DA" w:rsidRPr="005865DA" w:rsidRDefault="005865DA" w:rsidP="005865DA">
            <w:pPr>
              <w:snapToGrid w:val="0"/>
              <w:ind w:left="560"/>
              <w:rPr>
                <w:color w:val="FF0000"/>
                <w:highlight w:val="yellow"/>
                <w:lang w:eastAsia="x-none"/>
              </w:rPr>
            </w:pPr>
          </w:p>
          <w:p w14:paraId="354C9BCF" w14:textId="7D108DB0" w:rsidR="005865DA" w:rsidRPr="005865DA" w:rsidRDefault="005865DA" w:rsidP="002C28D7">
            <w:pPr>
              <w:autoSpaceDE/>
              <w:adjustRightInd/>
              <w:ind w:left="357"/>
              <w:rPr>
                <w:rFonts w:hint="eastAsia"/>
                <w:lang w:val="en-US" w:eastAsia="zh-CN"/>
              </w:rPr>
            </w:pP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049E37A4" w:rsidR="00385B55" w:rsidRPr="00533D90" w:rsidRDefault="00CC4868"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r w:rsidR="005865DA">
        <w:rPr>
          <w:rFonts w:ascii="Times New Roman" w:hAnsi="Times New Roman"/>
          <w:sz w:val="20"/>
          <w:szCs w:val="20"/>
          <w:lang w:eastAsia="zh-CN"/>
        </w:rPr>
        <w:t>Gnb</w:t>
      </w:r>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85100BF"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lastRenderedPageBreak/>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r w:rsidR="005865DA" w:rsidRPr="00106FE0">
        <w:rPr>
          <w:bCs/>
          <w:highlight w:val="yellow"/>
        </w:rPr>
        <w:t>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lastRenderedPageBreak/>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2C28D7"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0A3C97F5"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519E37B1" w:rsidR="002C28D7" w:rsidRDefault="002C28D7" w:rsidP="002C28D7">
            <w:pPr>
              <w:snapToGrid w:val="0"/>
              <w:ind w:left="360"/>
              <w:rPr>
                <w:lang w:eastAsia="zh-CN"/>
              </w:rPr>
            </w:pPr>
            <w:r>
              <w:t>Support</w:t>
            </w:r>
          </w:p>
        </w:tc>
      </w:tr>
      <w:tr w:rsidR="005865DA" w14:paraId="266FD8E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F254D" w14:textId="5696927A" w:rsidR="005865DA" w:rsidRDefault="005865DA" w:rsidP="002C28D7">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C16EC30" w14:textId="49EF2067" w:rsidR="005865DA" w:rsidRDefault="005865DA" w:rsidP="002C28D7">
            <w:pPr>
              <w:snapToGrid w:val="0"/>
              <w:ind w:left="360"/>
            </w:pPr>
            <w:r>
              <w:t>N</w:t>
            </w:r>
            <w:r>
              <w:rPr>
                <w:rFonts w:hint="eastAsia"/>
              </w:rPr>
              <w:t xml:space="preserve">ot </w:t>
            </w:r>
            <w:r>
              <w:t>support</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w:t>
            </w:r>
            <w:r>
              <w:rPr>
                <w:rFonts w:eastAsia="MS Mincho"/>
                <w:lang w:eastAsia="zh-CN"/>
              </w:rPr>
              <w:lastRenderedPageBreak/>
              <w:t xml:space="preserve">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Malgun Gothic"/>
                <w:lang w:eastAsia="ko-KR"/>
              </w:rPr>
              <w:t xml:space="preserve">We think it is up to UE implementation, </w:t>
            </w:r>
            <w:r w:rsidRPr="00343099">
              <w:rPr>
                <w:rFonts w:eastAsia="Malgun Gothic"/>
                <w:lang w:eastAsia="ko-KR"/>
              </w:rPr>
              <w:t>if the retransmissions do not correspond to the slot aggregation</w:t>
            </w:r>
            <w:r>
              <w:rPr>
                <w:rFonts w:eastAsia="Malgun Gothic"/>
                <w:lang w:eastAsia="ko-KR"/>
              </w:rPr>
              <w:t>.</w:t>
            </w:r>
          </w:p>
        </w:tc>
      </w:tr>
      <w:tr w:rsidR="002C28D7" w14:paraId="3735524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88BA5" w14:textId="322D6040"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3213FA" w14:textId="11D23EA9" w:rsidR="002C28D7" w:rsidRDefault="002C28D7" w:rsidP="002C28D7">
            <w:pPr>
              <w:snapToGrid w:val="0"/>
              <w:ind w:left="360"/>
              <w:rPr>
                <w:rFonts w:eastAsia="Malgun Gothic"/>
                <w:lang w:eastAsia="ko-KR"/>
              </w:rPr>
            </w:pPr>
            <w:r>
              <w:rPr>
                <w:rFonts w:hint="eastAsia"/>
                <w:lang w:eastAsia="zh-CN"/>
              </w:rPr>
              <w:t>A</w:t>
            </w:r>
            <w:r>
              <w:rPr>
                <w:lang w:eastAsia="zh-CN"/>
              </w:rPr>
              <w:t xml:space="preserve">gree. It is up to UE implementation. </w:t>
            </w:r>
          </w:p>
        </w:tc>
      </w:tr>
      <w:tr w:rsidR="005865DA" w14:paraId="6974F5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A867" w14:textId="470DDD1A" w:rsidR="005865DA" w:rsidRDefault="005865DA" w:rsidP="002C28D7">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6703383" w14:textId="0277DF22" w:rsidR="005865DA" w:rsidRDefault="005865DA" w:rsidP="002C28D7">
            <w:pPr>
              <w:snapToGrid w:val="0"/>
              <w:ind w:left="360"/>
              <w:rPr>
                <w:rFonts w:hint="eastAsia"/>
                <w:lang w:eastAsia="zh-CN"/>
              </w:rPr>
            </w:pPr>
            <w:r>
              <w:rPr>
                <w:lang w:eastAsia="zh-CN"/>
              </w:rPr>
              <w:t>S</w:t>
            </w:r>
            <w:r>
              <w:rPr>
                <w:rFonts w:hint="eastAsia"/>
                <w:lang w:eastAsia="zh-CN"/>
              </w:rPr>
              <w:t xml:space="preserve">pec </w:t>
            </w:r>
            <w:r>
              <w:rPr>
                <w:lang w:eastAsia="zh-CN"/>
              </w:rPr>
              <w:t>does not mandate the UE receiver design</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a"/>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as per legacy behaviour</w:t>
            </w:r>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r w:rsidRPr="006103A2">
              <w:t>SCell dormancy</w:t>
            </w:r>
            <w:r>
              <w:t xml:space="preserve"> have been identified for which similar exceptions would be required. </w:t>
            </w:r>
            <w:r>
              <w:lastRenderedPageBreak/>
              <w:t>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lastRenderedPageBreak/>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afa"/>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r w:rsidR="002C28D7" w14:paraId="5F80CD0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1D7B3" w14:textId="60240C80" w:rsidR="002C28D7" w:rsidRDefault="002C28D7" w:rsidP="002C28D7">
            <w:pPr>
              <w:jc w:val="center"/>
              <w:rPr>
                <w:rFonts w:eastAsia="MS Mincho"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2006503" w14:textId="77777777" w:rsidR="002C28D7" w:rsidRDefault="002C28D7" w:rsidP="002C28D7">
            <w:pPr>
              <w:snapToGrid w:val="0"/>
              <w:rPr>
                <w:lang w:eastAsia="zh-CN"/>
              </w:rPr>
            </w:pPr>
            <w:r>
              <w:rPr>
                <w:rFonts w:hint="eastAsia"/>
                <w:lang w:eastAsia="zh-CN"/>
              </w:rPr>
              <w:t>F</w:t>
            </w:r>
            <w:r>
              <w:rPr>
                <w:lang w:eastAsia="zh-CN"/>
              </w:rPr>
              <w:t xml:space="preserve">ine with the proposal. But we have a concern. “DAI is increased” seems to a kind of gNB behaviour. We try to modify the description as followed. </w:t>
            </w:r>
          </w:p>
          <w:p w14:paraId="44300E1D" w14:textId="77777777" w:rsidR="002C28D7" w:rsidRPr="00AD5523" w:rsidRDefault="002C28D7" w:rsidP="002C28D7">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w:t>
            </w:r>
            <w:r>
              <w:rPr>
                <w:rFonts w:ascii="Times New Roman" w:hAnsi="Times New Roman"/>
                <w:sz w:val="20"/>
                <w:szCs w:val="20"/>
                <w:highlight w:val="yellow"/>
              </w:rPr>
              <w:t xml:space="preserve">included </w:t>
            </w:r>
            <w:r w:rsidRPr="008B7B9F">
              <w:rPr>
                <w:rFonts w:ascii="Times New Roman" w:hAnsi="Times New Roman"/>
                <w:strike/>
                <w:color w:val="FF0000"/>
                <w:sz w:val="20"/>
                <w:szCs w:val="20"/>
                <w:highlight w:val="yellow"/>
              </w:rPr>
              <w:t>increased</w:t>
            </w:r>
            <w:r w:rsidRPr="00AD5523">
              <w:rPr>
                <w:rFonts w:ascii="Times New Roman" w:hAnsi="Times New Roman"/>
                <w:sz w:val="20"/>
                <w:szCs w:val="20"/>
                <w:highlight w:val="yellow"/>
              </w:rPr>
              <w:t xml:space="preserve">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16BCAE8B" w14:textId="77777777" w:rsidR="002C28D7" w:rsidRDefault="002C28D7" w:rsidP="002C28D7">
            <w:pPr>
              <w:snapToGrid w:val="0"/>
              <w:rPr>
                <w:rFonts w:eastAsia="MS Mincho"/>
                <w:lang w:eastAsia="zh-CN"/>
              </w:rPr>
            </w:pPr>
          </w:p>
        </w:tc>
      </w:tr>
      <w:tr w:rsidR="005865DA" w14:paraId="3DCB92D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31DA48" w14:textId="45CDF90F" w:rsidR="005865DA" w:rsidRDefault="005865DA" w:rsidP="002C28D7">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08FF58A" w14:textId="7174B8C6" w:rsidR="005865DA" w:rsidRDefault="00D852BD" w:rsidP="002C28D7">
            <w:pPr>
              <w:snapToGrid w:val="0"/>
              <w:rPr>
                <w:rFonts w:hint="eastAsia"/>
                <w:lang w:eastAsia="zh-CN"/>
              </w:rPr>
            </w:pPr>
            <w:r>
              <w:rPr>
                <w:lang w:eastAsia="zh-CN"/>
              </w:rPr>
              <w:t>A</w:t>
            </w:r>
            <w:r>
              <w:rPr>
                <w:rFonts w:hint="eastAsia"/>
                <w:lang w:eastAsia="zh-CN"/>
              </w:rPr>
              <w:t xml:space="preserve">gree </w:t>
            </w:r>
            <w:r>
              <w:rPr>
                <w:lang w:eastAsia="zh-CN"/>
              </w:rPr>
              <w:t>with Ericsson’s modification.</w:t>
            </w:r>
            <w:bookmarkStart w:id="4" w:name="_GoBack"/>
            <w:bookmarkEnd w:id="4"/>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a"/>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afa"/>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lastRenderedPageBreak/>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5865DA">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2C28D7"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2E89A7C3"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1F5A480" w:rsidR="002C28D7" w:rsidRDefault="002C28D7" w:rsidP="002C28D7">
            <w:pPr>
              <w:snapToGrid w:val="0"/>
              <w:ind w:left="360"/>
            </w:pPr>
            <w:r>
              <w:rPr>
                <w:rFonts w:hint="eastAsia"/>
                <w:lang w:eastAsia="zh-CN"/>
              </w:rPr>
              <w:t>S</w:t>
            </w:r>
            <w:r>
              <w:rPr>
                <w:lang w:eastAsia="zh-CN"/>
              </w:rPr>
              <w:t>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a"/>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5865DA">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 xml:space="preserve">Nokia, Nokia Shanghai </w:t>
            </w:r>
            <w:r>
              <w:rPr>
                <w:rFonts w:cs="Arial"/>
              </w:rPr>
              <w:lastRenderedPageBreak/>
              <w:t>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lastRenderedPageBreak/>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Malgun Gothic" w:cs="Arial"/>
                <w:lang w:eastAsia="ko-KR"/>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Malgun Gothic"/>
                <w:lang w:eastAsia="ko-KR"/>
              </w:rPr>
            </w:pPr>
            <w:r>
              <w:rPr>
                <w:rFonts w:eastAsia="Malgun Gothic"/>
                <w:lang w:eastAsia="ko-KR"/>
              </w:rPr>
              <w:t>Support</w:t>
            </w:r>
          </w:p>
        </w:tc>
      </w:tr>
      <w:tr w:rsidR="002C28D7" w:rsidRPr="00E0777D" w14:paraId="6243A7D0"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62DD5E" w14:textId="09927703"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2EC6529" w14:textId="77777777" w:rsidR="002C28D7" w:rsidRDefault="002C28D7" w:rsidP="002C28D7">
            <w:pPr>
              <w:snapToGrid w:val="0"/>
              <w:ind w:left="360"/>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w:t>
            </w:r>
            <w:r>
              <w:rPr>
                <w:rFonts w:eastAsiaTheme="minorEastAsia"/>
                <w:lang w:eastAsia="zh-CN"/>
              </w:rPr>
              <w:t>th the maximum number of supported aggregation factor, but we suggest the modification as followed.</w:t>
            </w:r>
          </w:p>
          <w:p w14:paraId="2BD33FCF" w14:textId="51F1C324" w:rsidR="002C28D7" w:rsidRDefault="002C28D7" w:rsidP="002C28D7">
            <w:pPr>
              <w:snapToGrid w:val="0"/>
              <w:ind w:left="360" w:right="400"/>
              <w:rPr>
                <w:rFonts w:eastAsia="Malgun Gothic"/>
                <w:lang w:eastAsia="ko-KR"/>
              </w:rPr>
            </w:pPr>
            <w:r w:rsidRPr="0067417E">
              <w:rPr>
                <w:rFonts w:eastAsiaTheme="minorEastAsia"/>
                <w:highlight w:val="yellow"/>
                <w:lang w:eastAsia="zh-CN"/>
              </w:rPr>
              <w:t xml:space="preserve">The maximum number of supported aggregation factor </w:t>
            </w:r>
            <w:r w:rsidRPr="0067417E">
              <w:rPr>
                <w:rFonts w:eastAsiaTheme="minorEastAsia"/>
                <w:strike/>
                <w:color w:val="FF0000"/>
                <w:highlight w:val="yellow"/>
                <w:lang w:eastAsia="zh-CN"/>
              </w:rPr>
              <w:t>(i.e., pdsch-AggregationFactor)</w:t>
            </w:r>
            <w:r w:rsidRPr="0067417E">
              <w:rPr>
                <w:rFonts w:eastAsiaTheme="minorEastAsia"/>
                <w:highlight w:val="yellow"/>
                <w:lang w:eastAsia="zh-CN"/>
              </w:rPr>
              <w:t xml:space="preserve"> for DL PDSCH is 16 or 32.</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a"/>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a"/>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a"/>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lastRenderedPageBreak/>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 xml:space="preserve">The value of T-DAI in a DCI format denotes the total number of {serving cell, PDCCH </w:t>
            </w:r>
            <w:r w:rsidRPr="006103A2">
              <w:rPr>
                <w:rFonts w:ascii="Times New Roman" w:hAnsi="Times New Roman"/>
                <w:sz w:val="20"/>
                <w:szCs w:val="20"/>
                <w:lang w:val="en-GB"/>
              </w:rPr>
              <w:lastRenderedPageBreak/>
              <w:t>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a"/>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c"/>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 xml:space="preserve">Proposal 7: For NTN operation, the maximum level of slot aggregation to be considered should be 16 </w:t>
            </w:r>
            <w:r w:rsidRPr="006103A2">
              <w:rPr>
                <w:bCs/>
              </w:rPr>
              <w:lastRenderedPageBreak/>
              <w:t>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a"/>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a"/>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a"/>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lastRenderedPageBreak/>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lastRenderedPageBreak/>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a"/>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w:t>
            </w:r>
            <w:r w:rsidRPr="006103A2">
              <w:rPr>
                <w:rFonts w:eastAsia="Malgun Gothic"/>
                <w:iCs/>
                <w:u w:val="single"/>
              </w:rPr>
              <w:lastRenderedPageBreak/>
              <w:t xml:space="preserve">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 xml:space="preserve">The MAC-CEs are transmitted with enabled/disabled HARQ processes depending on the </w:t>
            </w:r>
            <w:r w:rsidRPr="006103A2">
              <w:rPr>
                <w:rFonts w:ascii="Times New Roman" w:eastAsiaTheme="minorEastAsia" w:hAnsi="Times New Roman"/>
                <w:bCs/>
                <w:color w:val="000000" w:themeColor="text1"/>
                <w:sz w:val="20"/>
                <w:szCs w:val="20"/>
                <w:lang w:eastAsia="zh-CN"/>
              </w:rPr>
              <w:lastRenderedPageBreak/>
              <w:t>specific implementation of network operators.</w:t>
            </w:r>
          </w:p>
          <w:p w14:paraId="1BA764EA"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a"/>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a"/>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PUSCH : 8 aggregated transmission might be insufficient for NTN. </w:t>
            </w:r>
          </w:p>
          <w:p w14:paraId="6049931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lastRenderedPageBreak/>
              <w:t xml:space="preserve">agreement @ RAN1#106-e: </w:t>
            </w:r>
          </w:p>
          <w:p w14:paraId="4F085EDA"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a"/>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5865DA"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5865DA"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5865DA"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5865DA"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5865DA"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5865DA"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5865DA"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5865DA"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5865DA"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5865DA"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lastRenderedPageBreak/>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lastRenderedPageBreak/>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w:t>
              </w:r>
              <w:r w:rsidR="00801F1F" w:rsidRPr="006103A2">
                <w:rPr>
                  <w:rStyle w:val="af6"/>
                  <w:rFonts w:ascii="Times New Roman" w:hAnsi="Times New Roman" w:cs="Times New Roman"/>
                  <w:b w:val="0"/>
                  <w:noProof/>
                  <w:sz w:val="20"/>
                  <w:szCs w:val="20"/>
                </w:rPr>
                <w:lastRenderedPageBreak/>
                <w:t>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5865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5865DA"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a"/>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w:t>
            </w:r>
            <w:r w:rsidRPr="006103A2">
              <w:rPr>
                <w:rFonts w:eastAsiaTheme="minorEastAsia"/>
              </w:rPr>
              <w:lastRenderedPageBreak/>
              <w:t xml:space="preserve">enhancements: </w:t>
            </w:r>
          </w:p>
          <w:p w14:paraId="7852A758" w14:textId="77777777" w:rsidR="00032D38" w:rsidRPr="006103A2" w:rsidRDefault="00032D38" w:rsidP="001974C2">
            <w:pPr>
              <w:pStyle w:val="afa"/>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a"/>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a"/>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lastRenderedPageBreak/>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A88E" w14:textId="77777777" w:rsidR="00F41910" w:rsidRDefault="00F41910">
      <w:pPr>
        <w:spacing w:after="0"/>
      </w:pPr>
      <w:r>
        <w:separator/>
      </w:r>
    </w:p>
  </w:endnote>
  <w:endnote w:type="continuationSeparator" w:id="0">
    <w:p w14:paraId="3A282E78" w14:textId="77777777" w:rsidR="00F41910" w:rsidRDefault="00F41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5865DA" w:rsidRDefault="005865D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5865DA" w:rsidRDefault="005865DA">
    <w:pPr>
      <w:pStyle w:val="ae"/>
      <w:ind w:right="360"/>
    </w:pPr>
  </w:p>
  <w:p w14:paraId="5E0AA512" w14:textId="77777777" w:rsidR="005865DA" w:rsidRDefault="005865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677EB45" w:rsidR="005865DA" w:rsidRDefault="005865DA">
    <w:pPr>
      <w:pStyle w:val="ae"/>
      <w:ind w:right="360"/>
    </w:pPr>
    <w:r>
      <w:rPr>
        <w:rStyle w:val="af3"/>
      </w:rPr>
      <w:fldChar w:fldCharType="begin"/>
    </w:r>
    <w:r>
      <w:rPr>
        <w:rStyle w:val="af3"/>
      </w:rPr>
      <w:instrText xml:space="preserve"> PAGE </w:instrText>
    </w:r>
    <w:r>
      <w:rPr>
        <w:rStyle w:val="af3"/>
      </w:rPr>
      <w:fldChar w:fldCharType="separate"/>
    </w:r>
    <w:r w:rsidR="0065308E">
      <w:rPr>
        <w:rStyle w:val="af3"/>
        <w:noProof/>
      </w:rPr>
      <w:t>39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5308E">
      <w:rPr>
        <w:rStyle w:val="af3"/>
        <w:noProof/>
      </w:rPr>
      <w:t>54</w:t>
    </w:r>
    <w:r>
      <w:rPr>
        <w:rStyle w:val="af3"/>
      </w:rPr>
      <w:fldChar w:fldCharType="end"/>
    </w:r>
  </w:p>
  <w:p w14:paraId="7BDCDC6E" w14:textId="77777777" w:rsidR="005865DA" w:rsidRDefault="00586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948F" w14:textId="77777777" w:rsidR="00F41910" w:rsidRDefault="00F41910">
      <w:pPr>
        <w:spacing w:after="0"/>
      </w:pPr>
      <w:r>
        <w:separator/>
      </w:r>
    </w:p>
  </w:footnote>
  <w:footnote w:type="continuationSeparator" w:id="0">
    <w:p w14:paraId="04D7BEFB" w14:textId="77777777" w:rsidR="00F41910" w:rsidRDefault="00F419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5865DA" w:rsidRDefault="005865DA">
    <w:r>
      <w:t xml:space="preserve">Page </w:t>
    </w:r>
    <w:r>
      <w:fldChar w:fldCharType="begin"/>
    </w:r>
    <w:r>
      <w:instrText>PAGE</w:instrText>
    </w:r>
    <w:r>
      <w:fldChar w:fldCharType="separate"/>
    </w:r>
    <w:r>
      <w:t>1</w:t>
    </w:r>
    <w:r>
      <w:fldChar w:fldCharType="end"/>
    </w:r>
  </w:p>
  <w:p w14:paraId="46AD2BF3" w14:textId="77777777" w:rsidR="005865DA" w:rsidRDefault="005865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8D7"/>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5DA"/>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8E"/>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C26"/>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B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910"/>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61EEA5-A5F4-415B-924C-06B15758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54</Pages>
  <Words>21791</Words>
  <Characters>124210</Characters>
  <Application>Microsoft Office Word</Application>
  <DocSecurity>0</DocSecurity>
  <Lines>1035</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Hao2</cp:lastModifiedBy>
  <cp:revision>2</cp:revision>
  <cp:lastPrinted>2011-11-09T07:49:00Z</cp:lastPrinted>
  <dcterms:created xsi:type="dcterms:W3CDTF">2021-10-14T14:34:00Z</dcterms:created>
  <dcterms:modified xsi:type="dcterms:W3CDTF">2021-10-14T14:34:00Z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