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aff0"/>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UE’s perspective, it’s preferred to keep the static HARQ processes configuration and 32 HARQ process number should also be supported by fallback DCIs.</w:t>
      </w:r>
    </w:p>
    <w:p w14:paraId="742ACEC4" w14:textId="2C97A9AA"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aff0"/>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3839"/>
        <w:gridCol w:w="3768"/>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Fallback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Huawei, HiSilicon</w:t>
            </w:r>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We prefer to keep the support for 32 HARQ processes available also for the fallback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It’s beneficial to have scheduling flexibility of fallback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The support of 32 HARQ processes for fallback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fallback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32 HARQ process number should also be supported by fallback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r>
              <w:t>Fallback DCI is mainly used during RRC reconfiguration, where the gNB would be knowing that fallback DCI would be used for a short period of time. Hence, the gNB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Since fall</w:t>
            </w:r>
            <w:r w:rsidRPr="00BD6979">
              <w:rPr>
                <w:rFonts w:eastAsia="Malgun Gothic"/>
                <w:lang w:eastAsia="ko-KR"/>
              </w:rPr>
              <w:t>back DCI is designed for robustness and suppor</w:t>
            </w:r>
            <w:r>
              <w:rPr>
                <w:rFonts w:eastAsia="Malgun Gothic"/>
                <w:lang w:eastAsia="ko-KR"/>
              </w:rPr>
              <w:t>ting basic NR operations, it seems sufficient for 16 HARQ process for fallback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r>
              <w:rPr>
                <w:lang w:eastAsia="zh-CN"/>
              </w:rPr>
              <w:t>Fallback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r>
              <w:rPr>
                <w:rFonts w:eastAsiaTheme="minorEastAsia" w:hint="eastAsia"/>
                <w:lang w:eastAsia="zh-CN"/>
              </w:rPr>
              <w:t>Spreadtrum</w:t>
            </w:r>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r>
              <w:rPr>
                <w:rFonts w:eastAsiaTheme="minorEastAsia"/>
                <w:lang w:eastAsia="zh-CN"/>
              </w:rPr>
              <w:t>MediaTek</w:t>
            </w:r>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r>
              <w:rPr>
                <w:rFonts w:eastAsia="Malgun Gothic"/>
                <w:lang w:eastAsia="ko-KR"/>
              </w:rPr>
              <w:t>MediaTek</w:t>
            </w:r>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Option-1: The UE’s behavior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Baicell</w:t>
      </w:r>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Baicell</w:t>
      </w:r>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f0"/>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w:t>
            </w:r>
            <w:r>
              <w:lastRenderedPageBreak/>
              <w:t>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gNB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of Reed-Muller code and polar code at gNB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timeAlignmentTimer,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ore information could be provided with option 2 than option 1 to assist link adaptation. Furthermore, there could be no impacts on the processing timeline since how to use the reported HARQ-ACK corresponding to feedback-disabled HARQ process depends on gNB.</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e are support to take it since benefits to reduce the power consumption at UE is forseen.</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behavior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We do not think unnecessary feedback should be transmitted. On CATT’s comment, the issue occurs even when gNB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Support. The case that only feedback-disabled HARQ processes are scheduled is not a corner case as there is no need to send HARQ feedback for TAC. The TAC control loop is closed-loop since the gNB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DCM, Baicell</w:t>
      </w:r>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f0"/>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p>
    <w:p w14:paraId="518B85CC" w14:textId="77777777" w:rsidR="002E530F" w:rsidRPr="0097307D" w:rsidRDefault="002E530F"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1974C2">
      <w:pPr>
        <w:pStyle w:val="aff0"/>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aff0"/>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aff0"/>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459"/>
        <w:gridCol w:w="5147"/>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The option improves the reliability with no additional impact on gNB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Huawei, HiSilicon</w:t>
            </w:r>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 xml:space="preserve">true values of C-DAI and T-DAI as the count of feedback-enabled HARQ processes can be useful for UE to </w:t>
            </w:r>
            <w:r w:rsidRPr="008F6774">
              <w:lastRenderedPageBreak/>
              <w:t>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r>
              <w:rPr>
                <w:rFonts w:hint="eastAsia"/>
                <w:lang w:eastAsia="zh-CN"/>
              </w:rPr>
              <w:t>Spreadtrum</w:t>
            </w:r>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Simplified UE’s behaviour for HARQ codebook generation with same robustness as TN regarding to the DCI mis-detection.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PDSCH-to-HARQ_feedback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lastRenderedPageBreak/>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f0"/>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Baicell</w:t>
      </w:r>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and  not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conclude whether a UE should support DCI-based retransmissions for TBs with disabled HARQ-ACK reports. If such retransmissions are to be supported, the UE behavior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 xml:space="preserve">Nokia, Nokia Shanghai </w:t>
            </w:r>
            <w:r>
              <w:rPr>
                <w:rFonts w:eastAsia="Malgun Gothic"/>
                <w:lang w:eastAsia="ko-KR"/>
              </w:rPr>
              <w:lastRenderedPageBreak/>
              <w:t>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lastRenderedPageBreak/>
              <w:t xml:space="preserve">Ok to have as conclusion. The natural consequence of this would of course be </w:t>
            </w:r>
            <w:r>
              <w:lastRenderedPageBreak/>
              <w:t>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retransmissions are sent blindly for a feedback-disabled HARQ process, or </w:t>
            </w:r>
            <w:r w:rsidRPr="00A343AD">
              <w:rPr>
                <w:rFonts w:eastAsia="MS Mincho"/>
                <w:lang w:eastAsia="ja-JP"/>
              </w:rPr>
              <w:lastRenderedPageBreak/>
              <w:t xml:space="preserve">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aff0"/>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aff0"/>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1974C2">
      <w:pPr>
        <w:pStyle w:val="aff0"/>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aff0"/>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aff0"/>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aff0"/>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aff0"/>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aff0"/>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aff0"/>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aff0"/>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f0"/>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behavior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gNB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lastRenderedPageBreak/>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feedback</w:t>
            </w:r>
            <w:r w:rsidR="00E3073B">
              <w:rPr>
                <w:rFonts w:eastAsia="Malgun Gothic"/>
                <w:lang w:eastAsia="ko-KR"/>
              </w:rPr>
              <w:t>ed</w:t>
            </w:r>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gNB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have consistent assumptions about whether the SPS is activated at gNB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We think the HARQ disabling for SPS is per HARQ process. It is up to the gNB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Does the HARQ process ID for SPS still holds? If it still holds, what’s the difference with per HARQ process configuration? If it does hold, in case that HARQ feedback is not disabled for one SPS configuration, the gNB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aff0"/>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aff0"/>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f0"/>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aff0"/>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f0"/>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“PDSCH-to-HARQ_feedback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r>
              <w:rPr>
                <w:rFonts w:eastAsiaTheme="minorEastAsia" w:hint="eastAsia"/>
                <w:lang w:eastAsia="zh-CN"/>
              </w:rPr>
              <w:lastRenderedPageBreak/>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The maximum number of supported aggregation factor (i.e., pdsch-AggregationFactor)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Baicell</w:t>
      </w:r>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Baicell</w:t>
      </w:r>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e"/>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e"/>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ae"/>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1974C2">
      <w:pPr>
        <w:pStyle w:val="ae"/>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ae"/>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e"/>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pdsch-AggregationFactor</w:t>
      </w:r>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pdsch-AggregationFactor)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r>
              <w:rPr>
                <w:rFonts w:eastAsia="Malgun Gothic" w:cs="Arial"/>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gNB’s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ae"/>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Baicell</w:t>
      </w:r>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ae"/>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gNB’s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r w:rsidR="00237F8C" w:rsidRPr="00F41FC9">
        <w:rPr>
          <w:lang w:eastAsia="zh-CN"/>
        </w:rPr>
        <w:t>behavior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t xml:space="preserve">The benefit is unclear. Thus, there is no need to spec this behaviour and the </w:t>
            </w:r>
            <w:r>
              <w:rPr>
                <w:lang w:eastAsia="zh-CN"/>
              </w:rPr>
              <w:lastRenderedPageBreak/>
              <w:t>flexibility of scheduling can be still left to gNB’s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sent on feedback-enabled HARQ processes. The TAC control loop is closed-loop since the gNB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We do not support. It is up to gNB implementation.</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186pt;mso-width-percent:0;mso-height-percent:0;mso-width-percent:0;mso-height-percent:0" o:ole="">
            <v:imagedata r:id="rId12" o:title=""/>
          </v:shape>
          <o:OLEObject Type="Embed" ProgID="Visio.Drawing.15" ShapeID="_x0000_i1025" DrawAspect="Content" ObjectID="_1695752758"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ae"/>
        <w:jc w:val="center"/>
      </w:pPr>
      <w:r>
        <w:rPr>
          <w:noProof/>
        </w:rPr>
        <w:object w:dxaOrig="12504" w:dyaOrig="2916" w14:anchorId="488C2115">
          <v:shape id="_x0000_i1026" type="#_x0000_t75" alt="" style="width:283.5pt;height:66pt;mso-width-percent:0;mso-height-percent:0;mso-width-percent:0;mso-height-percent:0" o:ole="">
            <v:imagedata r:id="rId14" o:title=""/>
          </v:shape>
          <o:OLEObject Type="Embed" ProgID="Visio.Drawing.15" ShapeID="_x0000_i1026" DrawAspect="Content" ObjectID="_1695752759" r:id="rId15"/>
        </w:object>
      </w:r>
      <w:r w:rsidR="008146CB" w:rsidRPr="000F0FD8">
        <w:t xml:space="preserve"> </w:t>
      </w:r>
    </w:p>
    <w:p w14:paraId="7E298AFE" w14:textId="77777777" w:rsidR="008146CB" w:rsidRPr="008E0C0B" w:rsidRDefault="00BD040F" w:rsidP="008146CB">
      <w:pPr>
        <w:pStyle w:val="ae"/>
        <w:jc w:val="center"/>
        <w:rPr>
          <w:lang w:eastAsia="zh-CN"/>
        </w:rPr>
      </w:pPr>
      <w:r>
        <w:rPr>
          <w:noProof/>
        </w:rPr>
        <w:object w:dxaOrig="12180" w:dyaOrig="3624" w14:anchorId="42DE0995">
          <v:shape id="_x0000_i1027" type="#_x0000_t75" alt="" style="width:283.5pt;height:84.75pt;mso-width-percent:0;mso-height-percent:0;mso-width-percent:0;mso-height-percent:0" o:ole="">
            <v:imagedata r:id="rId16" o:title=""/>
          </v:shape>
          <o:OLEObject Type="Embed" ProgID="Visio.Drawing.15" ShapeID="_x0000_i1027" DrawAspect="Content" ObjectID="_1695752760"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aff0"/>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f0"/>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1974C2">
      <w:pPr>
        <w:pStyle w:val="aff0"/>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f"/>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 xml:space="preserve">The legacy restriction was designed with TN in mind and will seriously limit UE’s throughput in some scenarios. Hence, we believe the legacy restriction </w:t>
            </w:r>
            <w:r>
              <w:lastRenderedPageBreak/>
              <w:t>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8FDE435" w14:textId="77777777" w:rsidR="004765E3" w:rsidRDefault="004765E3" w:rsidP="004765E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aff0"/>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aff0"/>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Malgun Gothic" w:hAnsi="Times New Roman"/>
          <w:sz w:val="20"/>
          <w:szCs w:val="20"/>
          <w:lang w:eastAsia="ko-KR"/>
        </w:rPr>
        <w:t>NTT DOCOMO, vivo, FGI, Spreadtrum, MediaTek</w:t>
      </w:r>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Malgun Gothic"/>
          <w:lang w:eastAsia="ko-KR"/>
        </w:rPr>
        <w:t>Ericsson, MediaTek</w:t>
      </w:r>
      <w:r>
        <w:t>] have strong concern on Option-2 with following views:</w:t>
      </w:r>
    </w:p>
    <w:p w14:paraId="29D61727" w14:textId="77777777" w:rsidR="0085158B" w:rsidRPr="00391F06" w:rsidRDefault="0085158B" w:rsidP="0085158B">
      <w:pPr>
        <w:pStyle w:val="aff0"/>
        <w:numPr>
          <w:ilvl w:val="0"/>
          <w:numId w:val="11"/>
        </w:numPr>
        <w:snapToGrid w:val="0"/>
        <w:spacing w:beforeLines="50" w:before="120" w:afterLines="50" w:after="120"/>
        <w:rPr>
          <w:rFonts w:ascii="Times New Roman" w:eastAsia="宋体"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aff0"/>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lastRenderedPageBreak/>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MS Mincho"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Spreadtrum, CAICT] don’t support the proposal and prefer Option-2 by highlighting that the ACK/NACK information is useful/needed. However, as [Huawei, </w:t>
      </w:r>
      <w:r>
        <w:rPr>
          <w:rFonts w:eastAsia="MS Mincho"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We did not receive reply on how to handle in option 2 the following existing scheduling restriction (TS 38.214)...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r w:rsidR="00821647" w14:paraId="54D52F2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F9F8B0" w14:textId="06A9689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9C63B13" w14:textId="3ACCB7DE" w:rsidR="00821647" w:rsidRDefault="00821647" w:rsidP="00CE7D9A">
            <w:pPr>
              <w:snapToGrid w:val="0"/>
              <w:ind w:left="360"/>
            </w:pPr>
            <w:r>
              <w:t>Support</w:t>
            </w:r>
          </w:p>
        </w:tc>
      </w:tr>
      <w:tr w:rsidR="00E0777D" w14:paraId="65D5A6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C5AE6" w14:textId="68E702CF"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4C7F382" w14:textId="0163ABA0" w:rsidR="00E0777D" w:rsidRPr="00E0777D" w:rsidRDefault="00E0777D" w:rsidP="00E0777D">
            <w:pPr>
              <w:snapToGrid w:val="0"/>
              <w:ind w:left="360"/>
            </w:pPr>
            <w:r w:rsidRPr="00E0777D">
              <w:t>We support the proposal 2-1.</w:t>
            </w:r>
          </w:p>
        </w:tc>
      </w:tr>
      <w:tr w:rsidR="0058327A" w14:paraId="1EAD204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E5EECC" w14:textId="5491E2F9"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B06CB2C" w14:textId="4AFB842A" w:rsidR="0058327A" w:rsidRPr="00E0777D" w:rsidRDefault="0058327A" w:rsidP="00E0777D">
            <w:pPr>
              <w:snapToGrid w:val="0"/>
              <w:ind w:left="360"/>
            </w:pPr>
            <w:r>
              <w:t>Support</w:t>
            </w:r>
          </w:p>
        </w:tc>
      </w:tr>
      <w:tr w:rsidR="00977709" w14:paraId="312CBDD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6473B" w14:textId="515A6688"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E279FDD" w14:textId="6A90761B" w:rsidR="00977709" w:rsidRDefault="00977709" w:rsidP="00E0777D">
            <w:pPr>
              <w:snapToGrid w:val="0"/>
              <w:ind w:left="360"/>
            </w:pPr>
            <w:r>
              <w:t>Support</w:t>
            </w:r>
          </w:p>
        </w:tc>
      </w:tr>
      <w:tr w:rsidR="00CC04A3" w14:paraId="762F85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3F0EF9" w14:textId="182C1E8E"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52E2433" w14:textId="6F4DC1AC" w:rsidR="00CC04A3" w:rsidRDefault="00CC04A3" w:rsidP="00E0777D">
            <w:pPr>
              <w:snapToGrid w:val="0"/>
              <w:ind w:left="360"/>
            </w:pPr>
            <w:r>
              <w:t>Support</w:t>
            </w:r>
          </w:p>
        </w:tc>
      </w:tr>
      <w:tr w:rsidR="008506C9" w14:paraId="43FE4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30DF6" w14:textId="2D9D115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8B530F" w14:textId="7DAEF9AA" w:rsidR="008506C9" w:rsidRDefault="008506C9" w:rsidP="008506C9">
            <w:pPr>
              <w:snapToGrid w:val="0"/>
              <w:ind w:left="360"/>
            </w:pPr>
            <w:r>
              <w:t>Support</w:t>
            </w:r>
          </w:p>
        </w:tc>
      </w:tr>
      <w:tr w:rsidR="00BD4777" w14:paraId="128E96A7" w14:textId="77777777" w:rsidTr="002F0F7F">
        <w:trPr>
          <w:jc w:val="center"/>
        </w:trPr>
        <w:tc>
          <w:tcPr>
            <w:tcW w:w="2335" w:type="dxa"/>
            <w:tcBorders>
              <w:top w:val="single" w:sz="4" w:space="0" w:color="auto"/>
              <w:left w:val="single" w:sz="4" w:space="0" w:color="auto"/>
              <w:bottom w:val="single" w:sz="4" w:space="0" w:color="auto"/>
              <w:right w:val="single" w:sz="4" w:space="0" w:color="auto"/>
            </w:tcBorders>
          </w:tcPr>
          <w:p w14:paraId="5028B74C" w14:textId="3973E7B5" w:rsidR="00BD4777" w:rsidRDefault="00BD4777" w:rsidP="008506C9">
            <w:pPr>
              <w:jc w:val="center"/>
              <w:rPr>
                <w:rFonts w:cs="Arial"/>
              </w:rPr>
            </w:pPr>
            <w:r w:rsidRPr="00FC653D">
              <w:t>CATT</w:t>
            </w:r>
          </w:p>
        </w:tc>
        <w:tc>
          <w:tcPr>
            <w:tcW w:w="6840" w:type="dxa"/>
            <w:tcBorders>
              <w:top w:val="single" w:sz="4" w:space="0" w:color="auto"/>
              <w:left w:val="single" w:sz="4" w:space="0" w:color="auto"/>
              <w:bottom w:val="single" w:sz="4" w:space="0" w:color="auto"/>
              <w:right w:val="single" w:sz="4" w:space="0" w:color="auto"/>
            </w:tcBorders>
          </w:tcPr>
          <w:p w14:paraId="7FCB0AE9" w14:textId="77777777" w:rsidR="009474CB" w:rsidRDefault="009474CB" w:rsidP="009474C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450CAE7C" w14:textId="033C3FA7" w:rsidR="00BD4777" w:rsidRDefault="009474CB" w:rsidP="009474CB">
            <w:pPr>
              <w:snapToGrid w:val="0"/>
              <w:ind w:left="360"/>
            </w:pPr>
            <w:r>
              <w:rPr>
                <w:lang w:eastAsia="zh-CN"/>
              </w:rPr>
              <w:t>R</w:t>
            </w:r>
            <w:r>
              <w:rPr>
                <w:rFonts w:hint="eastAsia"/>
                <w:lang w:eastAsia="zh-CN"/>
              </w:rPr>
              <w:t xml:space="preserve">eal </w:t>
            </w:r>
            <w:r>
              <w:t>ACK/NACK information is useful.</w:t>
            </w:r>
          </w:p>
        </w:tc>
      </w:tr>
      <w:tr w:rsidR="000E709D" w14:paraId="20C0371B" w14:textId="77777777" w:rsidTr="006A1E2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34492D" w14:textId="618DAAB2" w:rsidR="000E709D" w:rsidRPr="00FC653D" w:rsidRDefault="000E709D" w:rsidP="000E709D">
            <w:pPr>
              <w:jc w:val="cente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6E816D1" w14:textId="11CB109F" w:rsidR="000E709D" w:rsidRDefault="000E709D" w:rsidP="000E709D">
            <w:pPr>
              <w:autoSpaceDE/>
              <w:adjustRightInd/>
              <w:ind w:left="357"/>
              <w:rPr>
                <w:rFonts w:eastAsiaTheme="minorEastAsia"/>
                <w:lang w:eastAsia="zh-CN"/>
              </w:rPr>
            </w:pPr>
            <w:r>
              <w:rPr>
                <w:rFonts w:eastAsia="MS Mincho"/>
                <w:lang w:eastAsia="zh-CN"/>
              </w:rPr>
              <w:t xml:space="preserve">We still think option 2 (report ACK/NACK) is more beneficial. It is not clear if the HARQ buffer management and processing timing constraint is critical issue. In option 2, UE decode the PDSCH and store the ACK/NACK in a </w:t>
            </w:r>
            <w:r>
              <w:rPr>
                <w:rFonts w:eastAsia="MS Mincho"/>
                <w:lang w:eastAsia="zh-CN"/>
              </w:rPr>
              <w:lastRenderedPageBreak/>
              <w:t xml:space="preserve">container of type 1 HARQ codebook regardless of feedback-enabled/disabled HARQ processes as in Rel.15/16. HARQ buffer management and processing timing constraint would be rather separate aspect. This would not impact on the processing timing constraint </w:t>
            </w:r>
            <w:r>
              <w:rPr>
                <w:rFonts w:eastAsia="MS Mincho" w:hint="eastAsia"/>
                <w:lang w:eastAsia="ja-JP"/>
              </w:rPr>
              <w:t>a</w:t>
            </w:r>
            <w:r>
              <w:rPr>
                <w:rFonts w:eastAsia="MS Mincho"/>
                <w:lang w:eastAsia="ja-JP"/>
              </w:rPr>
              <w:t xml:space="preserve">lready </w:t>
            </w:r>
            <w:r>
              <w:rPr>
                <w:rFonts w:eastAsia="MS Mincho"/>
                <w:lang w:eastAsia="zh-CN"/>
              </w:rPr>
              <w:t>agreed in NTN in our view.</w:t>
            </w:r>
          </w:p>
        </w:tc>
      </w:tr>
      <w:tr w:rsidR="002C28D7" w14:paraId="4C4114CE" w14:textId="77777777" w:rsidTr="0090603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2AF086" w14:textId="57F50810" w:rsidR="002C28D7" w:rsidRPr="00FC653D" w:rsidRDefault="002C28D7" w:rsidP="002C28D7">
            <w:pPr>
              <w:jc w:val="cente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45A0365" w14:textId="6E43306A" w:rsidR="002C28D7" w:rsidRDefault="002C28D7" w:rsidP="002C28D7">
            <w:pPr>
              <w:autoSpaceDE/>
              <w:adjustRightInd/>
              <w:ind w:left="357"/>
              <w:rPr>
                <w:rFonts w:eastAsiaTheme="minorEastAsia"/>
                <w:lang w:eastAsia="zh-CN"/>
              </w:rPr>
            </w:pPr>
            <w:r>
              <w:rPr>
                <w:lang w:eastAsia="zh-CN"/>
              </w:rPr>
              <w:t xml:space="preserve">We still prefer Option 2, the legacy behaviour. Considering the </w:t>
            </w:r>
            <w:r w:rsidRPr="008F6774">
              <w:t>decoder performance of Reed-Mueller code and polar code</w:t>
            </w:r>
            <w:r>
              <w:t xml:space="preserve">, the location of the pre-known NACKs is not fixed in the information bits, e.g. the </w:t>
            </w:r>
            <w:r w:rsidRPr="002D5874">
              <w:t>front or the back</w:t>
            </w:r>
            <w:r>
              <w:t xml:space="preserve"> bits location, which makes it hard to utilize the pre-known bits to help decoding. </w:t>
            </w:r>
            <w:r>
              <w:rPr>
                <w:rFonts w:hint="eastAsia"/>
                <w:lang w:eastAsia="zh-CN"/>
              </w:rPr>
              <w:t>And</w:t>
            </w:r>
            <w:r>
              <w:t xml:space="preserve"> the spec impact would be significant and need to further study.</w:t>
            </w: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5 companies [CATT, Panasonic, Huawei, FGI, Apple] do not support it. Wherein [CATT] highlights the case when only o</w:t>
      </w:r>
      <w:r>
        <w:rPr>
          <w:lang w:eastAsia="zh-CN"/>
        </w:rPr>
        <w:t xml:space="preserve">ne DCI carrying feedback-enabled HARQ process is missed. And basically [Nokia, CMCC] provide the response that gNB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aff0"/>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aff0"/>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1-a is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r w:rsidR="00821647" w14:paraId="50168E8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77A834" w14:textId="26E26D3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67C780E" w14:textId="4B772213" w:rsidR="00821647" w:rsidRDefault="00821647" w:rsidP="00CE7D9A">
            <w:pPr>
              <w:snapToGrid w:val="0"/>
              <w:ind w:left="360"/>
            </w:pPr>
            <w:r>
              <w:t>Support</w:t>
            </w:r>
          </w:p>
        </w:tc>
      </w:tr>
      <w:tr w:rsidR="00E0777D" w14:paraId="7FA60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61554" w14:textId="7A15E7A2"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9CD2F8C" w14:textId="3564295D" w:rsidR="00E0777D" w:rsidRPr="00E0777D" w:rsidRDefault="00E0777D" w:rsidP="00E0777D">
            <w:pPr>
              <w:snapToGrid w:val="0"/>
              <w:ind w:left="360"/>
            </w:pPr>
            <w:r w:rsidRPr="00E0777D">
              <w:t>We continue not to be convinced by the benefit and do not support the proposal.</w:t>
            </w:r>
          </w:p>
        </w:tc>
      </w:tr>
      <w:tr w:rsidR="00977709" w14:paraId="603D26D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E2CFE1" w14:textId="2E32E764"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D5F1E8E" w14:textId="77777777" w:rsidR="00977709" w:rsidRDefault="00977709" w:rsidP="00977709">
            <w:pPr>
              <w:snapToGrid w:val="0"/>
            </w:pPr>
            <w:r>
              <w:t>We support Option-1a but propose to clarify it as follows:</w:t>
            </w:r>
          </w:p>
          <w:p w14:paraId="694D943F" w14:textId="35240BD9" w:rsidR="00977709" w:rsidRPr="00E0777D" w:rsidRDefault="00977709" w:rsidP="00977709">
            <w:pPr>
              <w:snapToGrid w:val="0"/>
              <w:ind w:left="360"/>
            </w:pPr>
            <w:r w:rsidRPr="00260FA2">
              <w:rPr>
                <w:highlight w:val="yellow"/>
                <w:lang w:eastAsia="x-none"/>
              </w:rPr>
              <w:t>O</w:t>
            </w:r>
            <w:r w:rsidRPr="00260FA2">
              <w:rPr>
                <w:highlight w:val="yellow"/>
                <w:lang w:eastAsia="zh-CN"/>
              </w:rPr>
              <w:t xml:space="preserve">ption-1a: </w:t>
            </w:r>
            <w:r w:rsidRPr="00260FA2">
              <w:rPr>
                <w:highlight w:val="yellow"/>
                <w:lang w:eastAsia="x-none"/>
              </w:rPr>
              <w:t>the UE should skip the</w:t>
            </w:r>
            <w:r>
              <w:rPr>
                <w:highlight w:val="yellow"/>
                <w:lang w:eastAsia="x-none"/>
              </w:rPr>
              <w:t xml:space="preserve"> HARQ </w:t>
            </w:r>
            <w:r w:rsidRPr="00185B6B">
              <w:rPr>
                <w:highlight w:val="yellow"/>
                <w:lang w:eastAsia="x-none"/>
              </w:rPr>
              <w:t>codebook feedback when it is not multiplexed with other feedback in the same UCI</w:t>
            </w:r>
            <w:r w:rsidRPr="00185B6B">
              <w:rPr>
                <w:highlight w:val="yellow"/>
              </w:rPr>
              <w:t>.</w:t>
            </w:r>
          </w:p>
        </w:tc>
      </w:tr>
      <w:tr w:rsidR="00CC04A3" w14:paraId="2F59C34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E28CFE" w14:textId="21A484EF"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547D241" w14:textId="3F8C8304" w:rsidR="00CC04A3" w:rsidRDefault="00CC04A3" w:rsidP="00977709">
            <w:pPr>
              <w:snapToGrid w:val="0"/>
            </w:pPr>
            <w:r>
              <w:rPr>
                <w:rFonts w:hint="eastAsia"/>
              </w:rPr>
              <w:t>Support, regarding the Option-1a, updates from Ericsson is also fine</w:t>
            </w:r>
          </w:p>
        </w:tc>
      </w:tr>
      <w:tr w:rsidR="008506C9" w14:paraId="64043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C415E" w14:textId="76F86C43"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5E3695" w14:textId="77777777" w:rsidR="008506C9" w:rsidRDefault="008506C9" w:rsidP="008506C9">
            <w:pPr>
              <w:snapToGrid w:val="0"/>
              <w:ind w:left="360"/>
            </w:pPr>
            <w:r>
              <w:t>While we acknowledge the efforts on reaching a compromise solution here, we would like to have option-1a extended such that it is clear that it would only apply to UCI on PUCCH.</w:t>
            </w:r>
          </w:p>
          <w:p w14:paraId="5D24B36D" w14:textId="4060CFDD" w:rsidR="008506C9" w:rsidRDefault="008506C9" w:rsidP="008506C9">
            <w:pPr>
              <w:snapToGrid w:val="0"/>
            </w:pPr>
            <w:r>
              <w:t>And in principle there is still the option-2, which would be “no enhancements”.</w:t>
            </w:r>
          </w:p>
        </w:tc>
      </w:tr>
      <w:tr w:rsidR="001D3984" w14:paraId="465BDE9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B515" w14:textId="246A5D44" w:rsidR="001D3984" w:rsidRPr="001D3984" w:rsidRDefault="001D3984" w:rsidP="001D3984">
            <w:pPr>
              <w:jc w:val="center"/>
              <w:rPr>
                <w:rFonts w:cs="Arial"/>
              </w:rPr>
            </w:pPr>
            <w:r w:rsidRPr="001D3984">
              <w:rPr>
                <w:rFonts w:cs="Arial"/>
              </w:rPr>
              <w:lastRenderedPageBreak/>
              <w:t>CATT</w:t>
            </w:r>
            <w:r w:rsidRPr="001D3984">
              <w:rPr>
                <w:rFonts w:cs="Arial"/>
              </w:rPr>
              <w:tab/>
            </w:r>
          </w:p>
          <w:p w14:paraId="56F82FC2" w14:textId="3DEADC76" w:rsidR="001D3984" w:rsidRDefault="001D3984" w:rsidP="001D3984">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0012D18" w14:textId="77777777" w:rsidR="00D047DD" w:rsidRDefault="00D047DD" w:rsidP="00D047DD">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0A4CFB93" w14:textId="76187959" w:rsidR="001D3984" w:rsidRDefault="001D3984" w:rsidP="001D3984">
            <w:pPr>
              <w:snapToGrid w:val="0"/>
              <w:ind w:left="360"/>
              <w:rPr>
                <w:lang w:eastAsia="zh-CN"/>
              </w:rPr>
            </w:pPr>
            <w:r w:rsidRPr="001D3984">
              <w:rPr>
                <w:rFonts w:cs="Arial"/>
              </w:rPr>
              <w:t>The case that feedback is carried by PUSCH should be a problem. No enhancement for this case is better for minimum spec impact</w:t>
            </w:r>
            <w:r>
              <w:rPr>
                <w:rFonts w:cs="Arial" w:hint="eastAsia"/>
                <w:lang w:eastAsia="zh-CN"/>
              </w:rPr>
              <w:t>.</w:t>
            </w:r>
          </w:p>
        </w:tc>
      </w:tr>
      <w:tr w:rsidR="000E709D" w14:paraId="1DEC7B9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6C6C6" w14:textId="09CD1051" w:rsidR="000E709D" w:rsidRDefault="000E709D" w:rsidP="000E709D">
            <w:pPr>
              <w:jc w:val="center"/>
              <w:rPr>
                <w:rFonts w:eastAsia="MS Mincho"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85487DA" w14:textId="1AF7B2AB" w:rsidR="000E709D" w:rsidRDefault="000E709D" w:rsidP="000E709D">
            <w:pPr>
              <w:autoSpaceDE/>
              <w:adjustRightInd/>
              <w:ind w:left="357"/>
              <w:rPr>
                <w:rFonts w:eastAsia="MS Mincho"/>
                <w:lang w:eastAsia="zh-CN"/>
              </w:rPr>
            </w:pPr>
            <w:r>
              <w:rPr>
                <w:lang w:eastAsia="zh-CN"/>
              </w:rPr>
              <w:t>Support, for Option-1a, we prefer modification from Ericsson.</w:t>
            </w:r>
          </w:p>
        </w:tc>
      </w:tr>
      <w:tr w:rsidR="000E709D" w14:paraId="11EF837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A878C1" w14:textId="68556DF8" w:rsidR="000E709D" w:rsidRPr="001D3984" w:rsidRDefault="000E709D" w:rsidP="000E709D">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32D7508" w14:textId="3068B583" w:rsidR="000E709D" w:rsidRDefault="000E709D" w:rsidP="000E709D">
            <w:pPr>
              <w:autoSpaceDE/>
              <w:adjustRightInd/>
              <w:ind w:left="357"/>
              <w:rPr>
                <w:rFonts w:eastAsiaTheme="minorEastAsia"/>
                <w:lang w:eastAsia="zh-CN"/>
              </w:rPr>
            </w:pPr>
            <w:r>
              <w:rPr>
                <w:rFonts w:eastAsia="MS Mincho"/>
                <w:lang w:eastAsia="zh-CN"/>
              </w:rPr>
              <w:t xml:space="preserve">Not supportive for the proposal. We prefer the same behavior regardless of received DCI contents and PUCCH/PUSCH/UCI contents. </w:t>
            </w:r>
          </w:p>
        </w:tc>
      </w:tr>
      <w:tr w:rsidR="002C28D7" w14:paraId="7C52A4A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2E4C8D" w14:textId="3A08B101" w:rsidR="002C28D7" w:rsidRPr="001D3984" w:rsidRDefault="002C28D7" w:rsidP="002C28D7">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A3B9F15" w14:textId="7A7B53A5" w:rsidR="002C28D7" w:rsidRDefault="002C28D7" w:rsidP="002C28D7">
            <w:pPr>
              <w:autoSpaceDE/>
              <w:adjustRightInd/>
              <w:ind w:left="357"/>
              <w:rPr>
                <w:rFonts w:eastAsiaTheme="minorEastAsia"/>
                <w:lang w:eastAsia="zh-CN"/>
              </w:rPr>
            </w:pPr>
            <w:r>
              <w:rPr>
                <w:rFonts w:hint="eastAsia"/>
                <w:lang w:eastAsia="zh-CN"/>
              </w:rPr>
              <w:t>S</w:t>
            </w:r>
            <w:r>
              <w:rPr>
                <w:lang w:eastAsia="zh-CN"/>
              </w:rPr>
              <w:t xml:space="preserve">upport the proposal and prefer Option-1a. </w:t>
            </w:r>
            <w:r>
              <w:t>If not HARQ-ACK feedback only</w:t>
            </w:r>
            <w:r>
              <w:rPr>
                <w:rFonts w:hint="eastAsia"/>
                <w:lang w:eastAsia="zh-CN"/>
              </w:rPr>
              <w:t>,</w:t>
            </w:r>
            <w:r>
              <w:rPr>
                <w:lang w:eastAsia="zh-CN"/>
              </w:rPr>
              <w:t xml:space="preserve"> the feedback should not be skipped. </w:t>
            </w:r>
            <w:r>
              <w:rPr>
                <w:rFonts w:hint="eastAsia"/>
                <w:lang w:eastAsia="zh-CN"/>
              </w:rPr>
              <w:t>A</w:t>
            </w:r>
            <w:r>
              <w:rPr>
                <w:lang w:eastAsia="zh-CN"/>
              </w:rPr>
              <w:t xml:space="preserve">nd fine with the modification from Ericsson. </w:t>
            </w: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Spreadtrum, Ericsson, Apple] prefer Option-1 </w:t>
      </w:r>
      <w:r w:rsidRPr="00385B55">
        <w:rPr>
          <w:rFonts w:hint="eastAsia"/>
          <w:lang w:eastAsia="zh-CN"/>
        </w:rPr>
        <w:t>b</w:t>
      </w:r>
      <w:r w:rsidRPr="00385B55">
        <w:rPr>
          <w:lang w:eastAsia="zh-CN"/>
        </w:rPr>
        <w:t>ut 5 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631F185C" w:rsidR="00385B55" w:rsidRPr="00533D90" w:rsidRDefault="00CC4868" w:rsidP="001974C2">
      <w:pPr>
        <w:pStyle w:val="aff0"/>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gNB behavior.</w:t>
      </w:r>
    </w:p>
    <w:p w14:paraId="76F8292F" w14:textId="77777777" w:rsidR="00385B55" w:rsidRPr="00B50C9F" w:rsidRDefault="00385B55" w:rsidP="001974C2">
      <w:pPr>
        <w:pStyle w:val="aff0"/>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process  to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gNB</w:t>
      </w:r>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E0777D"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1FE7BB1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18015652" w:rsidR="00E0777D" w:rsidRPr="00E0777D" w:rsidRDefault="00E0777D" w:rsidP="00E0777D">
            <w:pPr>
              <w:snapToGrid w:val="0"/>
              <w:ind w:left="360"/>
            </w:pPr>
            <w:r w:rsidRPr="00E0777D">
              <w:t>This is being discussed over the reflector so it does not make sense to declare preference here.</w:t>
            </w:r>
          </w:p>
        </w:tc>
      </w:tr>
      <w:tr w:rsidR="00977709" w14:paraId="6ECBDA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7212B8" w14:textId="6BFEF0E6"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4511E2" w14:textId="0F4EF994" w:rsidR="00977709" w:rsidRPr="00E0777D" w:rsidRDefault="00977709" w:rsidP="00E0777D">
            <w:pPr>
              <w:snapToGrid w:val="0"/>
              <w:ind w:left="360"/>
            </w:pPr>
            <w:r>
              <w:t>Agree with Huawei</w:t>
            </w: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lastRenderedPageBreak/>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Samsung, ZTE, Huawei, LG, vivo, FGI, Spreadtrum, Ericsson</w:t>
      </w:r>
      <w:r w:rsidRPr="00CE544A">
        <w:rPr>
          <w:rFonts w:hint="eastAsia"/>
          <w:lang w:eastAsia="zh-CN"/>
        </w:rPr>
        <w:t>,</w:t>
      </w:r>
      <w:r w:rsidRPr="00CE544A">
        <w:rPr>
          <w:lang w:eastAsia="zh-CN"/>
        </w:rPr>
        <w:t xml:space="preserve"> Apple] support the proposal to complete the feature.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Nokia]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t>Note: No other enhancement on Type 3 HARQ-ACK CB is introduced for Rel-17 NTN. If further enhancement corresponding to this feature is needed, this feature is not supported in Rel-17 NTN.</w:t>
            </w:r>
          </w:p>
        </w:tc>
      </w:tr>
      <w:tr w:rsidR="00821647" w14:paraId="19A7D78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A0E448" w14:textId="6BD2D759"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627ED0" w14:textId="001D8C43" w:rsidR="00821647" w:rsidRDefault="00821647" w:rsidP="002004E3">
            <w:pPr>
              <w:snapToGrid w:val="0"/>
              <w:ind w:left="360"/>
            </w:pPr>
            <w:r>
              <w:t>Support</w:t>
            </w:r>
          </w:p>
        </w:tc>
      </w:tr>
      <w:tr w:rsidR="00E0777D" w14:paraId="4C8F166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1DCFB" w14:textId="608F7953"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6D74C18" w14:textId="7B2E4249" w:rsidR="00E0777D" w:rsidRPr="00E0777D" w:rsidRDefault="00E0777D" w:rsidP="00E0777D">
            <w:pPr>
              <w:snapToGrid w:val="0"/>
              <w:ind w:left="360"/>
            </w:pPr>
            <w:r w:rsidRPr="00E0777D">
              <w:t>We support the proposal 2-4.</w:t>
            </w:r>
          </w:p>
        </w:tc>
      </w:tr>
      <w:tr w:rsidR="00977709" w14:paraId="0FEE439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DD0AB9" w14:textId="0B14431C"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F144EF" w14:textId="157C4D27" w:rsidR="00977709" w:rsidRPr="00E0777D" w:rsidRDefault="00977709" w:rsidP="00E0777D">
            <w:pPr>
              <w:snapToGrid w:val="0"/>
              <w:ind w:left="360"/>
            </w:pPr>
            <w:r>
              <w:t>Support</w:t>
            </w:r>
          </w:p>
        </w:tc>
      </w:tr>
      <w:tr w:rsidR="00CC04A3" w14:paraId="1D35401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FF8A19" w14:textId="696328D1" w:rsidR="00CC04A3" w:rsidRDefault="00CC04A3" w:rsidP="00CC04A3">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261CE54" w14:textId="0C9360DB" w:rsidR="00CC04A3" w:rsidRDefault="00CC04A3" w:rsidP="00CC04A3">
            <w:pPr>
              <w:snapToGrid w:val="0"/>
              <w:ind w:left="360"/>
            </w:pPr>
            <w:r>
              <w:t>Support</w:t>
            </w:r>
          </w:p>
        </w:tc>
      </w:tr>
      <w:tr w:rsidR="008506C9" w14:paraId="6340D3B9"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5BF782" w14:textId="6412091B"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331F34" w14:textId="22F43045" w:rsidR="008506C9" w:rsidRDefault="008506C9" w:rsidP="008506C9">
            <w:pPr>
              <w:snapToGrid w:val="0"/>
              <w:ind w:left="360"/>
            </w:pPr>
            <w:r>
              <w:t>Not support. Since the Type-3 codebook would for any case be inferior in performance to any of the other codebooks, we do not see a need for optimizations here.</w:t>
            </w:r>
          </w:p>
        </w:tc>
      </w:tr>
      <w:tr w:rsidR="00996911" w14:paraId="255FCFA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24AD00" w14:textId="1675287D"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A0D9025" w14:textId="279EEFFF" w:rsidR="00996911" w:rsidRDefault="00996911" w:rsidP="008506C9">
            <w:pPr>
              <w:snapToGrid w:val="0"/>
              <w:ind w:left="360"/>
            </w:pPr>
            <w:r>
              <w:rPr>
                <w:lang w:eastAsia="zh-CN"/>
              </w:rPr>
              <w:t xml:space="preserve">We share with </w:t>
            </w:r>
            <w:r>
              <w:rPr>
                <w:rFonts w:cs="Arial"/>
              </w:rPr>
              <w:t>DOCOMO</w:t>
            </w:r>
            <w:r>
              <w:rPr>
                <w:rFonts w:cs="Arial"/>
                <w:lang w:eastAsia="zh-CN"/>
              </w:rPr>
              <w:t>.</w:t>
            </w:r>
          </w:p>
        </w:tc>
      </w:tr>
      <w:tr w:rsidR="000E709D" w14:paraId="31EC3C2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9A25F2" w14:textId="588AEE9C"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1AE9739" w14:textId="64F0B647" w:rsidR="000E709D" w:rsidRDefault="000E709D" w:rsidP="000E709D">
            <w:pPr>
              <w:snapToGrid w:val="0"/>
              <w:ind w:left="360"/>
              <w:rPr>
                <w:lang w:eastAsia="zh-CN"/>
              </w:rPr>
            </w:pPr>
            <w:r>
              <w:rPr>
                <w:lang w:eastAsia="zh-CN"/>
              </w:rPr>
              <w:t>Support</w:t>
            </w:r>
          </w:p>
        </w:tc>
      </w:tr>
      <w:tr w:rsidR="002C28D7" w14:paraId="703B040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9476A4" w14:textId="0A3C97F5" w:rsidR="002C28D7" w:rsidRDefault="002C28D7" w:rsidP="002C28D7">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6986A84" w14:textId="519E37B1" w:rsidR="002C28D7" w:rsidRDefault="002C28D7" w:rsidP="002C28D7">
            <w:pPr>
              <w:snapToGrid w:val="0"/>
              <w:ind w:left="360"/>
              <w:rPr>
                <w:lang w:eastAsia="zh-CN"/>
              </w:rPr>
            </w:pPr>
            <w:r>
              <w:t>Support</w:t>
            </w:r>
          </w:p>
        </w:tc>
      </w:tr>
    </w:tbl>
    <w:p w14:paraId="75614714" w14:textId="77777777" w:rsidR="00896920" w:rsidRPr="00FD7695" w:rsidRDefault="00896920" w:rsidP="00896920">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i.e, 9 companies [CATT, ZTE, Nokia, Huawei, Xiaomi, LG, Spreadtrum, Sharp, MediaTek]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t xml:space="preserve">Meanwhile, </w:t>
      </w:r>
      <w:r w:rsidR="001E6654" w:rsidRPr="00AD5523">
        <w:rPr>
          <w:lang w:eastAsia="zh-CN"/>
        </w:rPr>
        <w:t xml:space="preserve">Both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r w:rsidR="001E6654" w:rsidRPr="001E6654">
        <w:rPr>
          <w:lang w:eastAsia="zh-CN"/>
        </w:rPr>
        <w:t>gNB</w:t>
      </w:r>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lastRenderedPageBreak/>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r w:rsidR="00E76596" w14:paraId="5CB8548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4D075A" w14:textId="704DA498" w:rsidR="00E76596" w:rsidRDefault="00E76596"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01FBD93" w14:textId="3F014174" w:rsidR="00E76596" w:rsidRDefault="008B612B" w:rsidP="00CE7D9A">
            <w:pPr>
              <w:snapToGrid w:val="0"/>
              <w:ind w:left="360"/>
            </w:pPr>
            <w:r>
              <w:t>We agree that it is up to UE implementation.</w:t>
            </w:r>
          </w:p>
        </w:tc>
      </w:tr>
      <w:tr w:rsidR="00E0777D" w14:paraId="243EEE7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C86F39" w14:textId="1628EA75"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B5FC614" w14:textId="1F090C3F" w:rsidR="00E0777D" w:rsidRPr="00E0777D" w:rsidRDefault="00E0777D" w:rsidP="00E0777D">
            <w:pPr>
              <w:snapToGrid w:val="0"/>
              <w:ind w:left="360"/>
            </w:pPr>
            <w:r w:rsidRPr="00E0777D">
              <w:t xml:space="preserve">We </w:t>
            </w:r>
            <w:r>
              <w:t>also do not think</w:t>
            </w:r>
            <w:r w:rsidRPr="00E0777D">
              <w:t xml:space="preserve"> that this would be UE capability but rather UE implementation.</w:t>
            </w:r>
          </w:p>
        </w:tc>
      </w:tr>
      <w:tr w:rsidR="0058327A" w14:paraId="78BC179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8FB27" w14:textId="7B551D83"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897F5C2" w14:textId="029BB231" w:rsidR="0058327A" w:rsidRPr="00E0777D" w:rsidRDefault="0058327A" w:rsidP="003D1000">
            <w:pPr>
              <w:snapToGrid w:val="0"/>
              <w:ind w:left="360"/>
            </w:pPr>
            <w:r>
              <w:t xml:space="preserve">We </w:t>
            </w:r>
            <w:r w:rsidR="003D1000">
              <w:t>think</w:t>
            </w:r>
            <w:r>
              <w:t xml:space="preserve"> it is up to UE implementation.</w:t>
            </w:r>
          </w:p>
        </w:tc>
      </w:tr>
      <w:tr w:rsidR="00977709" w14:paraId="68418E5B"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E00C3F" w14:textId="6D2622FA"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C42C30D" w14:textId="3A8619D6" w:rsidR="00977709" w:rsidRDefault="00977709" w:rsidP="003D1000">
            <w:pPr>
              <w:snapToGrid w:val="0"/>
              <w:ind w:left="360"/>
            </w:pPr>
            <w:r>
              <w:t>Not supportive. The UE capability to combine HARQ retransmissions should not depend on whether HARQ-ACK is enabled or disabled or whether retransmissions are performed blindly or based on HARQ feedback. It may be up to UE implementation whether LLR combination is implemented but this should apply equally for feedback-enabled and feedback-disabled HARQ processes and therefore we see no need for this proposal.</w:t>
            </w:r>
          </w:p>
        </w:tc>
      </w:tr>
      <w:tr w:rsidR="00CC04A3" w14:paraId="67424CF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A4771B" w14:textId="75907EB1"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D7A48A9" w14:textId="0D04844F" w:rsidR="00CC04A3" w:rsidRDefault="00CC04A3" w:rsidP="003D1000">
            <w:pPr>
              <w:snapToGrid w:val="0"/>
              <w:ind w:left="360"/>
            </w:pPr>
            <w:r>
              <w:rPr>
                <w:rFonts w:hint="eastAsia"/>
              </w:rPr>
              <w:t xml:space="preserve">Prefer to take the as UE capability and it can be coupled </w:t>
            </w:r>
            <w:r>
              <w:t>with</w:t>
            </w:r>
            <w:r>
              <w:rPr>
                <w:rFonts w:hint="eastAsia"/>
              </w:rPr>
              <w:t xml:space="preserve"> </w:t>
            </w:r>
            <w:r>
              <w:t>HARQ process number to save the UE’s buffer</w:t>
            </w:r>
          </w:p>
        </w:tc>
      </w:tr>
      <w:tr w:rsidR="008506C9" w14:paraId="3109F89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34D06F" w14:textId="2FB31C4D"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F2D1EF8" w14:textId="055188C6" w:rsidR="008506C9" w:rsidRDefault="008506C9" w:rsidP="008506C9">
            <w:pPr>
              <w:snapToGrid w:val="0"/>
              <w:ind w:left="360"/>
            </w:pPr>
            <w:r>
              <w:t>This would be UE implementation, but would come at the cost of increased UE power consumption (longer session time)</w:t>
            </w:r>
          </w:p>
        </w:tc>
      </w:tr>
      <w:tr w:rsidR="00996911" w14:paraId="355F2DC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9361" w14:textId="5F7B5121"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83CD14" w14:textId="18E44891" w:rsidR="00996911" w:rsidRDefault="00996911" w:rsidP="008506C9">
            <w:pPr>
              <w:snapToGrid w:val="0"/>
              <w:ind w:left="360"/>
            </w:pPr>
            <w:r>
              <w:rPr>
                <w:lang w:eastAsia="zh-CN"/>
              </w:rPr>
              <w:t xml:space="preserve">Agree with Huawei, it is up to </w:t>
            </w:r>
            <w:r>
              <w:rPr>
                <w:iCs/>
                <w:lang w:eastAsia="zh-CN"/>
              </w:rPr>
              <w:t>UE’s</w:t>
            </w:r>
            <w:r>
              <w:rPr>
                <w:rFonts w:eastAsiaTheme="minorEastAsia"/>
                <w:lang w:eastAsia="zh-CN"/>
              </w:rPr>
              <w:t xml:space="preserve"> implementation rather than </w:t>
            </w:r>
            <w:r>
              <w:t>UE capability</w:t>
            </w:r>
            <w:r>
              <w:rPr>
                <w:rFonts w:eastAsiaTheme="minorEastAsia"/>
                <w:lang w:eastAsia="zh-CN"/>
              </w:rPr>
              <w:t>.</w:t>
            </w:r>
          </w:p>
        </w:tc>
      </w:tr>
      <w:tr w:rsidR="000E709D" w14:paraId="1654EE4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425C5" w14:textId="450D832A"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819F18F" w14:textId="326DB79A" w:rsidR="000E709D" w:rsidRDefault="000E709D" w:rsidP="000E709D">
            <w:pPr>
              <w:snapToGrid w:val="0"/>
              <w:ind w:left="360"/>
              <w:rPr>
                <w:lang w:eastAsia="zh-CN"/>
              </w:rPr>
            </w:pPr>
            <w:r>
              <w:rPr>
                <w:lang w:eastAsia="zh-CN"/>
              </w:rPr>
              <w:t>We also agree that it is up to UE implementation.</w:t>
            </w:r>
          </w:p>
        </w:tc>
      </w:tr>
      <w:tr w:rsidR="000E709D" w14:paraId="6FE6FF9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322261" w14:textId="787552AE"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C5DA746" w14:textId="47F1DA6A" w:rsidR="000E709D" w:rsidRDefault="000E709D" w:rsidP="000E709D">
            <w:pPr>
              <w:snapToGrid w:val="0"/>
              <w:ind w:left="360"/>
              <w:rPr>
                <w:lang w:eastAsia="zh-CN"/>
              </w:rPr>
            </w:pPr>
            <w:r>
              <w:rPr>
                <w:rFonts w:eastAsia="MS Mincho"/>
                <w:lang w:eastAsia="zh-CN"/>
              </w:rPr>
              <w:t xml:space="preserve">We support to take it as UE capability. No LLR combining for feedback-disabled process would imply the HARQ buffer (which is limited resource) can be prioritized for LLR combining of feedback-enabled processes. Reporting it as UE capability would allow the network to determine the retransmission policy (e.g. number of retransmission).   </w:t>
            </w:r>
          </w:p>
        </w:tc>
      </w:tr>
      <w:tr w:rsidR="00D30E61" w14:paraId="5A18210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F72048" w14:textId="6F298574" w:rsidR="00D30E61" w:rsidRPr="00D30E61" w:rsidRDefault="00D30E61" w:rsidP="00D30E61">
            <w:pPr>
              <w:jc w:val="center"/>
              <w:rPr>
                <w:rFonts w:eastAsia="MS Mincho"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D9E39B2" w14:textId="26F1B152" w:rsidR="00D30E61" w:rsidRDefault="00D30E61" w:rsidP="00D30E61">
            <w:pPr>
              <w:snapToGrid w:val="0"/>
              <w:ind w:left="360"/>
              <w:rPr>
                <w:rFonts w:eastAsia="MS Mincho"/>
                <w:lang w:eastAsia="zh-CN"/>
              </w:rPr>
            </w:pPr>
            <w:r>
              <w:rPr>
                <w:rFonts w:eastAsia="Malgun Gothic"/>
                <w:lang w:eastAsia="ko-KR"/>
              </w:rPr>
              <w:t xml:space="preserve">We think it is up to UE implementation, </w:t>
            </w:r>
            <w:r w:rsidRPr="00343099">
              <w:rPr>
                <w:rFonts w:eastAsia="Malgun Gothic"/>
                <w:lang w:eastAsia="ko-KR"/>
              </w:rPr>
              <w:t>if the retransmissions do not correspond to the slot aggregation</w:t>
            </w:r>
            <w:r>
              <w:rPr>
                <w:rFonts w:eastAsia="Malgun Gothic"/>
                <w:lang w:eastAsia="ko-KR"/>
              </w:rPr>
              <w:t>.</w:t>
            </w:r>
          </w:p>
        </w:tc>
      </w:tr>
      <w:tr w:rsidR="002C28D7" w14:paraId="3735524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88BA5" w14:textId="322D6040" w:rsidR="002C28D7" w:rsidRDefault="002C28D7" w:rsidP="002C28D7">
            <w:pPr>
              <w:jc w:val="center"/>
              <w:rPr>
                <w:rFonts w:eastAsia="Malgun Gothic" w:cs="Arial" w:hint="eastAsia"/>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73213FA" w14:textId="11D23EA9" w:rsidR="002C28D7" w:rsidRDefault="002C28D7" w:rsidP="002C28D7">
            <w:pPr>
              <w:snapToGrid w:val="0"/>
              <w:ind w:left="360"/>
              <w:rPr>
                <w:rFonts w:eastAsia="Malgun Gothic"/>
                <w:lang w:eastAsia="ko-KR"/>
              </w:rPr>
            </w:pPr>
            <w:r>
              <w:rPr>
                <w:rFonts w:hint="eastAsia"/>
                <w:lang w:eastAsia="zh-CN"/>
              </w:rPr>
              <w:t>A</w:t>
            </w:r>
            <w:r>
              <w:rPr>
                <w:lang w:eastAsia="zh-CN"/>
              </w:rPr>
              <w:t xml:space="preserve">gree. It is up to UE implementation. </w:t>
            </w:r>
          </w:p>
        </w:tc>
      </w:tr>
    </w:tbl>
    <w:p w14:paraId="7F39ECB9" w14:textId="148EF1CD" w:rsidR="001033A9" w:rsidRDefault="001033A9"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aff0"/>
        <w:snapToGrid w:val="0"/>
        <w:spacing w:beforeLines="50" w:before="120" w:afterLines="50" w:after="120"/>
        <w:ind w:left="360"/>
        <w:rPr>
          <w:rFonts w:ascii="Times New Roman" w:eastAsia="宋体" w:hAnsi="Times New Roman"/>
          <w:sz w:val="20"/>
          <w:szCs w:val="20"/>
          <w:lang w:val="en-GB" w:eastAsia="zh-CN"/>
        </w:rPr>
      </w:pPr>
      <w:r w:rsidRPr="00AD5523">
        <w:rPr>
          <w:rFonts w:ascii="Times New Roman" w:eastAsia="宋体" w:hAnsi="Times New Roman"/>
          <w:sz w:val="20"/>
          <w:szCs w:val="20"/>
          <w:lang w:val="en-GB" w:eastAsia="zh-CN"/>
        </w:rPr>
        <w:t xml:space="preserve">For </w:t>
      </w:r>
      <w:r w:rsidRPr="00AD5523">
        <w:rPr>
          <w:rFonts w:ascii="Times New Roman" w:eastAsia="宋体" w:hAnsi="Times New Roman"/>
          <w:b/>
          <w:sz w:val="20"/>
          <w:szCs w:val="20"/>
          <w:lang w:val="en-GB" w:eastAsia="zh-CN"/>
        </w:rPr>
        <w:t>[Initial Proposal 3-1]</w:t>
      </w:r>
      <w:r>
        <w:rPr>
          <w:rFonts w:ascii="Times New Roman" w:eastAsia="宋体" w:hAnsi="Times New Roman"/>
          <w:sz w:val="20"/>
          <w:szCs w:val="20"/>
          <w:lang w:val="en-GB" w:eastAsia="zh-CN"/>
        </w:rPr>
        <w:t xml:space="preserve">, </w:t>
      </w:r>
      <w:r w:rsidRPr="00AD5523">
        <w:rPr>
          <w:rFonts w:ascii="Times New Roman" w:eastAsia="宋体" w:hAnsi="Times New Roman"/>
          <w:sz w:val="20"/>
          <w:szCs w:val="20"/>
          <w:lang w:val="en-GB" w:eastAsia="zh-CN"/>
        </w:rPr>
        <w:t>20 companies provid</w:t>
      </w:r>
      <w:r>
        <w:rPr>
          <w:rFonts w:ascii="Times New Roman" w:eastAsia="宋体" w:hAnsi="Times New Roman"/>
          <w:sz w:val="20"/>
          <w:szCs w:val="20"/>
          <w:lang w:val="en-GB" w:eastAsia="zh-CN"/>
        </w:rPr>
        <w:t xml:space="preserve">ed their views on this proposal, i.e., </w:t>
      </w:r>
      <w:r w:rsidRPr="00AD5523">
        <w:rPr>
          <w:rFonts w:ascii="Times New Roman" w:eastAsia="宋体" w:hAnsi="Times New Roman"/>
          <w:sz w:val="20"/>
          <w:szCs w:val="20"/>
          <w:lang w:val="en-GB" w:eastAsia="zh-CN"/>
        </w:rPr>
        <w:t xml:space="preserve">9 companies [OPPO, Samsung, CATT, ZTE, Qualcomm, Nokia, CMCC, Huawei, NEC, Xiaomi, Sony, vivo, FGI, Spreadtrum, Sharp] support this proposal. Meanwhile, [Panasonic, NTT DOCOMO] clarifies that there is no HARQ-ACK feedback for DCI carrying SPS activation in legacy spec. And also [Ericsson, CAICT] further clarify for SPS PDSCH activation, </w:t>
      </w:r>
      <w:r>
        <w:rPr>
          <w:rFonts w:ascii="Times New Roman" w:eastAsia="宋体" w:hAnsi="Times New Roman"/>
          <w:sz w:val="20"/>
          <w:szCs w:val="20"/>
          <w:lang w:val="en-GB" w:eastAsia="zh-CN"/>
        </w:rPr>
        <w:t xml:space="preserve">the </w:t>
      </w:r>
      <w:r w:rsidRPr="00AD5523">
        <w:rPr>
          <w:rFonts w:ascii="Times New Roman" w:eastAsia="宋体"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宋体"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aff0"/>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Then, from moderator’s perspective, regarding the DCI carrying the SPS PDSCH release, the legacy behaviour including counting the DAI and providing the HARQ-ACK feedback is consensus</w:t>
      </w:r>
      <w:r>
        <w:rPr>
          <w:rFonts w:ascii="Times New Roman" w:eastAsia="宋体" w:hAnsi="Times New Roman" w:hint="eastAsia"/>
          <w:sz w:val="20"/>
          <w:szCs w:val="20"/>
          <w:lang w:val="en-GB" w:eastAsia="zh-CN"/>
        </w:rPr>
        <w:t>.</w:t>
      </w:r>
      <w:r>
        <w:rPr>
          <w:rFonts w:ascii="Times New Roman" w:eastAsia="宋体"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lastRenderedPageBreak/>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aff0"/>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aff0"/>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r w:rsidR="00ED0667" w14:paraId="6B0B5B8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2E99F" w14:textId="7A549E90" w:rsidR="00ED0667" w:rsidRDefault="00ED066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5B9269E" w14:textId="13636AE1" w:rsidR="00ED0667" w:rsidRDefault="00ED0667" w:rsidP="00CE7D9A">
            <w:pPr>
              <w:snapToGrid w:val="0"/>
              <w:ind w:left="360"/>
            </w:pPr>
            <w:r>
              <w:t>Support</w:t>
            </w:r>
          </w:p>
        </w:tc>
      </w:tr>
      <w:tr w:rsidR="00E0777D" w14:paraId="095C835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86449A" w14:textId="53AD717D"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60282B0" w14:textId="3FE7B7D4" w:rsidR="00E0777D" w:rsidRPr="00E0777D" w:rsidRDefault="00E0777D" w:rsidP="00E0777D">
            <w:pPr>
              <w:snapToGrid w:val="0"/>
              <w:ind w:left="360"/>
            </w:pPr>
            <w:r w:rsidRPr="00E0777D">
              <w:t>Support proposal 3-1.</w:t>
            </w:r>
          </w:p>
        </w:tc>
      </w:tr>
      <w:tr w:rsidR="0058327A" w14:paraId="14ADA94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4DED02" w14:textId="7EE48C06"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38A1DFF" w14:textId="0FB25183" w:rsidR="0058327A" w:rsidRPr="00E0777D" w:rsidRDefault="0058327A" w:rsidP="00E0777D">
            <w:pPr>
              <w:snapToGrid w:val="0"/>
              <w:ind w:left="360"/>
            </w:pPr>
            <w:r>
              <w:t>Support</w:t>
            </w:r>
          </w:p>
        </w:tc>
      </w:tr>
      <w:tr w:rsidR="00977709" w14:paraId="71F458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12E30" w14:textId="2746950D" w:rsidR="00977709" w:rsidRPr="00977709" w:rsidRDefault="00977709" w:rsidP="00977709">
            <w:pPr>
              <w:jc w:val="center"/>
              <w:rPr>
                <w:rFonts w:cs="Arial"/>
              </w:rPr>
            </w:pPr>
            <w:r w:rsidRPr="00977709">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D0E5FE" w14:textId="77777777" w:rsidR="00977709" w:rsidRDefault="00977709" w:rsidP="00977709">
            <w:pPr>
              <w:snapToGrid w:val="0"/>
            </w:pPr>
            <w:r>
              <w:t>SPS release: We find the wording a bit confusing. SPS release is sent in a DCI that is not associated with a PDSCH and therefore has no associated HARQ process that can be feedback-disabled. We propose to reword the first part as follows:</w:t>
            </w:r>
          </w:p>
          <w:p w14:paraId="3E142C0C" w14:textId="77777777" w:rsidR="00977709" w:rsidRPr="00AD5523" w:rsidRDefault="00977709" w:rsidP="00977709">
            <w:pPr>
              <w:snapToGrid w:val="0"/>
              <w:spacing w:after="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26EA9BFB" w14:textId="77777777" w:rsidR="00977709" w:rsidRDefault="00977709" w:rsidP="00977709">
            <w:pPr>
              <w:pStyle w:val="aff0"/>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DAI is increased for the DCI indicating SPS release and ACK/NACK is reported by UE</w:t>
            </w:r>
            <w:r w:rsidRPr="007A132F">
              <w:rPr>
                <w:rFonts w:ascii="Times New Roman" w:hAnsi="Times New Roman"/>
                <w:color w:val="4472C4" w:themeColor="accent5"/>
                <w:sz w:val="20"/>
                <w:szCs w:val="20"/>
                <w:highlight w:val="yellow"/>
                <w:u w:val="single"/>
              </w:rPr>
              <w:t>, as per legacy behaviour</w:t>
            </w:r>
            <w:r w:rsidRPr="00AD5523">
              <w:rPr>
                <w:rFonts w:ascii="Times New Roman" w:hAnsi="Times New Roman"/>
                <w:sz w:val="20"/>
                <w:szCs w:val="20"/>
                <w:highlight w:val="yellow"/>
              </w:rPr>
              <w:t xml:space="preserve"> </w:t>
            </w:r>
            <w:r w:rsidRPr="007A132F">
              <w:rPr>
                <w:rFonts w:ascii="Times New Roman" w:hAnsi="Times New Roman"/>
                <w:strike/>
                <w:color w:val="FF0000"/>
                <w:sz w:val="20"/>
                <w:szCs w:val="20"/>
                <w:highlight w:val="yellow"/>
                <w:lang w:eastAsia="x-none"/>
              </w:rPr>
              <w:t>if feedback-disabled HARQ process is configured for SPS PDSCH</w:t>
            </w:r>
            <w:r w:rsidRPr="00AD5523">
              <w:rPr>
                <w:rFonts w:ascii="Times New Roman" w:hAnsi="Times New Roman"/>
                <w:sz w:val="20"/>
                <w:szCs w:val="20"/>
                <w:highlight w:val="yellow"/>
                <w:lang w:eastAsia="x-none"/>
              </w:rPr>
              <w:t>.</w:t>
            </w:r>
          </w:p>
          <w:p w14:paraId="116EBAF0" w14:textId="77777777" w:rsidR="00977709" w:rsidRPr="00B42EEA" w:rsidRDefault="00977709" w:rsidP="00977709">
            <w:pPr>
              <w:snapToGrid w:val="0"/>
              <w:rPr>
                <w:highlight w:val="yellow"/>
              </w:rPr>
            </w:pPr>
          </w:p>
          <w:p w14:paraId="600638FD" w14:textId="77777777" w:rsidR="00977709" w:rsidRDefault="00977709" w:rsidP="00977709">
            <w:pPr>
              <w:snapToGrid w:val="0"/>
            </w:pPr>
            <w:r>
              <w:t xml:space="preserve">SPS activation: We prefer keeping the solution simple by avoiding introduction of exceptions to the feedback enabled/disabled configuration per HARQ process by the network. In addition to the SPS activation case, other cases such as </w:t>
            </w:r>
            <w:r w:rsidRPr="006103A2">
              <w:t>SCell dormancy</w:t>
            </w:r>
            <w:r>
              <w:t xml:space="preserve"> have been identified for which similar exceptions would be required. We propose the following rewording of the second part:</w:t>
            </w:r>
          </w:p>
          <w:p w14:paraId="69C53DC4" w14:textId="77777777" w:rsidR="00977709" w:rsidRPr="004D55D4" w:rsidRDefault="00977709" w:rsidP="00977709">
            <w:pPr>
              <w:snapToGrid w:val="0"/>
              <w:spacing w:after="0"/>
              <w:ind w:leftChars="100" w:left="200"/>
              <w:rPr>
                <w:strike/>
                <w:color w:val="FF0000"/>
                <w:highlight w:val="yellow"/>
                <w:u w:val="single"/>
                <w:lang w:eastAsia="x-none"/>
              </w:rPr>
            </w:pPr>
            <w:r w:rsidRPr="002106C3">
              <w:rPr>
                <w:highlight w:val="yellow"/>
                <w:lang w:eastAsia="x-none"/>
              </w:rPr>
              <w:t>For the DCI carrying the SPS PDSCH activation</w:t>
            </w:r>
            <w:r w:rsidRPr="005044E2">
              <w:rPr>
                <w:highlight w:val="yellow"/>
                <w:lang w:eastAsia="x-none"/>
              </w:rPr>
              <w:t>:</w:t>
            </w:r>
            <w:r w:rsidRPr="004D55D4">
              <w:rPr>
                <w:strike/>
                <w:color w:val="FF0000"/>
                <w:highlight w:val="yellow"/>
                <w:u w:val="single"/>
                <w:lang w:eastAsia="x-none"/>
              </w:rPr>
              <w:t xml:space="preserve"> </w:t>
            </w:r>
          </w:p>
          <w:p w14:paraId="1DF598D1" w14:textId="4EDF6BB5" w:rsidR="00977709" w:rsidRDefault="00977709" w:rsidP="00977709">
            <w:pPr>
              <w:snapToGrid w:val="0"/>
              <w:ind w:left="360"/>
            </w:pPr>
            <w:r w:rsidRPr="002106C3">
              <w:rPr>
                <w:highlight w:val="yellow"/>
                <w:u w:val="single"/>
              </w:rPr>
              <w:t xml:space="preserve">DAI is increased for the DCI indicating SPS activation and ACK/NACK is reported by UE </w:t>
            </w:r>
            <w:r w:rsidRPr="002106C3">
              <w:rPr>
                <w:color w:val="5B9BD5" w:themeColor="accent1"/>
                <w:highlight w:val="yellow"/>
                <w:u w:val="single"/>
                <w:lang w:eastAsia="x-none"/>
              </w:rPr>
              <w:t>if</w:t>
            </w:r>
            <w:r w:rsidRPr="002106C3">
              <w:rPr>
                <w:highlight w:val="yellow"/>
                <w:u w:val="single"/>
                <w:lang w:eastAsia="x-none"/>
              </w:rPr>
              <w:t xml:space="preserve"> </w:t>
            </w:r>
            <w:r w:rsidRPr="005044E2">
              <w:rPr>
                <w:color w:val="5B9BD5" w:themeColor="accent1"/>
                <w:highlight w:val="yellow"/>
                <w:u w:val="single"/>
                <w:lang w:eastAsia="x-none"/>
              </w:rPr>
              <w:t xml:space="preserve">indicated by </w:t>
            </w:r>
            <w:r w:rsidRPr="004D55D4">
              <w:rPr>
                <w:color w:val="5B9BD5" w:themeColor="accent1"/>
                <w:highlight w:val="yellow"/>
                <w:u w:val="single"/>
                <w:lang w:eastAsia="x-none"/>
              </w:rPr>
              <w:t>the network configuration of enabled/disabled HARQ feedback for the first SPS PDSCH</w:t>
            </w:r>
            <w:r w:rsidRPr="00AD5523">
              <w:rPr>
                <w:highlight w:val="yellow"/>
                <w:lang w:eastAsia="x-none"/>
              </w:rPr>
              <w:t>.</w:t>
            </w:r>
            <w:r w:rsidRPr="002106C3">
              <w:rPr>
                <w:strike/>
                <w:color w:val="FF0000"/>
                <w:highlight w:val="yellow"/>
                <w:lang w:eastAsia="x-none"/>
              </w:rPr>
              <w:t xml:space="preserve"> if feedback-disabled HARQ process is configured for SPS PDSCH.</w:t>
            </w:r>
          </w:p>
        </w:tc>
      </w:tr>
      <w:tr w:rsidR="00CC04A3" w14:paraId="415A366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F14DED" w14:textId="3CE6B217" w:rsidR="00CC04A3" w:rsidRPr="00977709" w:rsidRDefault="00CC04A3" w:rsidP="00977709">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8594B09" w14:textId="77777777" w:rsidR="00CC04A3" w:rsidRDefault="00CC04A3" w:rsidP="00977709">
            <w:pPr>
              <w:snapToGrid w:val="0"/>
            </w:pPr>
            <w:r>
              <w:t xml:space="preserve">For the SPS release, legacy behaviour is clear and fine to follow. </w:t>
            </w:r>
          </w:p>
          <w:p w14:paraId="3747321C" w14:textId="5B0B954C" w:rsidR="00CC04A3" w:rsidRDefault="00CC04A3" w:rsidP="00977709">
            <w:pPr>
              <w:snapToGrid w:val="0"/>
            </w:pPr>
            <w:r>
              <w:t>For the SPS activation, we can try to achieve one step further.</w:t>
            </w:r>
          </w:p>
        </w:tc>
      </w:tr>
      <w:tr w:rsidR="008506C9" w14:paraId="05FA2DC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13E99" w14:textId="1F154C7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8B66F9" w14:textId="0F23320C" w:rsidR="008506C9" w:rsidRDefault="008506C9" w:rsidP="008506C9">
            <w:pPr>
              <w:snapToGrid w:val="0"/>
            </w:pPr>
            <w:r>
              <w:t>OK</w:t>
            </w:r>
          </w:p>
        </w:tc>
      </w:tr>
      <w:tr w:rsidR="00996911" w14:paraId="4D3D69E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CEBEC1" w14:textId="7B604B9B"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E78D985" w14:textId="384165A8" w:rsidR="00996911" w:rsidRDefault="00996911" w:rsidP="008506C9">
            <w:pPr>
              <w:snapToGrid w:val="0"/>
            </w:pPr>
            <w:r>
              <w:t>Support</w:t>
            </w:r>
          </w:p>
        </w:tc>
      </w:tr>
      <w:tr w:rsidR="000E709D" w14:paraId="35950B1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94074" w14:textId="0F3D49E9"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D4920B9" w14:textId="77777777" w:rsidR="000E709D" w:rsidRDefault="000E709D" w:rsidP="000E709D">
            <w:pPr>
              <w:snapToGrid w:val="0"/>
              <w:rPr>
                <w:rFonts w:eastAsia="Malgun Gothic" w:cstheme="minorBidi"/>
                <w:lang w:eastAsia="ko-KR"/>
              </w:rPr>
            </w:pPr>
            <w:r>
              <w:rPr>
                <w:rFonts w:eastAsia="Malgun Gothic"/>
                <w:lang w:eastAsia="ko-KR"/>
              </w:rPr>
              <w:t>Support. But, for the clarity, we can consider following modification.</w:t>
            </w:r>
          </w:p>
          <w:p w14:paraId="39793213" w14:textId="77777777" w:rsidR="000E709D" w:rsidRDefault="000E709D" w:rsidP="000E709D">
            <w:pPr>
              <w:snapToGrid w:val="0"/>
              <w:ind w:leftChars="100" w:left="200"/>
              <w:rPr>
                <w:rFonts w:eastAsiaTheme="minorEastAsia"/>
                <w:color w:val="000000" w:themeColor="text1"/>
                <w:highlight w:val="yellow"/>
                <w:lang w:eastAsia="x-none"/>
              </w:rPr>
            </w:pPr>
            <w:r>
              <w:rPr>
                <w:color w:val="000000" w:themeColor="text1"/>
                <w:highlight w:val="yellow"/>
                <w:lang w:eastAsia="x-none"/>
              </w:rPr>
              <w:t xml:space="preserve">For the DCI carrying the SPS PDSCH activation: </w:t>
            </w:r>
          </w:p>
          <w:p w14:paraId="7982C6B6" w14:textId="77777777" w:rsidR="000E709D" w:rsidRDefault="000E709D" w:rsidP="000E709D">
            <w:pPr>
              <w:pStyle w:val="aff0"/>
              <w:widowControl w:val="0"/>
              <w:numPr>
                <w:ilvl w:val="0"/>
                <w:numId w:val="57"/>
              </w:numPr>
              <w:overflowPunct w:val="0"/>
              <w:autoSpaceDE w:val="0"/>
              <w:autoSpaceDN w:val="0"/>
              <w:adjustRightInd w:val="0"/>
              <w:snapToGrid w:val="0"/>
              <w:ind w:leftChars="280" w:left="920"/>
              <w:jc w:val="both"/>
              <w:textAlignment w:val="baseline"/>
              <w:rPr>
                <w:rFonts w:ascii="Times New Roman" w:hAnsi="Times New Roman"/>
                <w:color w:val="FF0000"/>
                <w:sz w:val="20"/>
                <w:szCs w:val="20"/>
                <w:lang w:val="en-GB" w:eastAsia="zh-CN"/>
              </w:rPr>
            </w:pPr>
            <w:r>
              <w:rPr>
                <w:rFonts w:ascii="Times New Roman" w:hAnsi="Times New Roman"/>
                <w:color w:val="000000" w:themeColor="text1"/>
                <w:sz w:val="20"/>
                <w:szCs w:val="20"/>
                <w:highlight w:val="yellow"/>
                <w:lang w:eastAsia="zh-CN"/>
              </w:rPr>
              <w:t>DAI is increased for the DCI indicating SPS activation and ACK/NACK is reported by UE</w:t>
            </w:r>
            <w:r>
              <w:rPr>
                <w:rFonts w:ascii="Times New Roman" w:hAnsi="Times New Roman"/>
                <w:color w:val="FF0000"/>
                <w:sz w:val="20"/>
                <w:szCs w:val="20"/>
                <w:highlight w:val="yellow"/>
                <w:lang w:eastAsia="zh-CN"/>
              </w:rPr>
              <w:t xml:space="preserve"> via PUCCH resource indicated by PRI field in activation DCI </w:t>
            </w:r>
            <w:r>
              <w:rPr>
                <w:rFonts w:ascii="Times New Roman" w:hAnsi="Times New Roman"/>
                <w:sz w:val="20"/>
                <w:szCs w:val="20"/>
                <w:highlight w:val="yellow"/>
                <w:lang w:eastAsia="x-none"/>
              </w:rPr>
              <w:t>if feedback-disabled HARQ process is configured for SPS PDSCH.</w:t>
            </w:r>
          </w:p>
          <w:p w14:paraId="794A61C0" w14:textId="77777777" w:rsidR="000E709D" w:rsidRDefault="000E709D" w:rsidP="000E709D">
            <w:pPr>
              <w:snapToGrid w:val="0"/>
            </w:pPr>
          </w:p>
        </w:tc>
      </w:tr>
      <w:tr w:rsidR="000E709D" w14:paraId="2FDD5DB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FF1078" w14:textId="6D06AB39" w:rsidR="000E709D" w:rsidRDefault="000E709D" w:rsidP="000E709D">
            <w:pPr>
              <w:jc w:val="center"/>
              <w:rPr>
                <w:rFonts w:cs="Arial"/>
                <w:lang w:eastAsia="zh-CN"/>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E27971F" w14:textId="33E39F1F" w:rsidR="000E709D" w:rsidRDefault="000E709D" w:rsidP="000E709D">
            <w:pPr>
              <w:snapToGrid w:val="0"/>
            </w:pPr>
            <w:r>
              <w:rPr>
                <w:rFonts w:eastAsia="MS Mincho"/>
                <w:lang w:eastAsia="zh-CN"/>
              </w:rPr>
              <w:t>Support</w:t>
            </w:r>
          </w:p>
        </w:tc>
      </w:tr>
      <w:tr w:rsidR="002C28D7" w14:paraId="5F80CD0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01D7B3" w14:textId="60240C80" w:rsidR="002C28D7" w:rsidRDefault="002C28D7" w:rsidP="002C28D7">
            <w:pPr>
              <w:jc w:val="center"/>
              <w:rPr>
                <w:rFonts w:eastAsia="MS Mincho"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2006503" w14:textId="77777777" w:rsidR="002C28D7" w:rsidRDefault="002C28D7" w:rsidP="002C28D7">
            <w:pPr>
              <w:snapToGrid w:val="0"/>
              <w:rPr>
                <w:lang w:eastAsia="zh-CN"/>
              </w:rPr>
            </w:pPr>
            <w:r>
              <w:rPr>
                <w:rFonts w:hint="eastAsia"/>
                <w:lang w:eastAsia="zh-CN"/>
              </w:rPr>
              <w:t>F</w:t>
            </w:r>
            <w:r>
              <w:rPr>
                <w:lang w:eastAsia="zh-CN"/>
              </w:rPr>
              <w:t xml:space="preserve">ine with the proposal. But we have a concern. “DAI is increased” seems to a kind of gNB behaviour. We try to modify the description as followed. </w:t>
            </w:r>
          </w:p>
          <w:p w14:paraId="44300E1D" w14:textId="77777777" w:rsidR="002C28D7" w:rsidRPr="00AD5523" w:rsidRDefault="002C28D7" w:rsidP="002C28D7">
            <w:pPr>
              <w:pStyle w:val="aff0"/>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w:t>
            </w:r>
            <w:r>
              <w:rPr>
                <w:rFonts w:ascii="Times New Roman" w:hAnsi="Times New Roman"/>
                <w:sz w:val="20"/>
                <w:szCs w:val="20"/>
                <w:highlight w:val="yellow"/>
              </w:rPr>
              <w:t xml:space="preserve">included </w:t>
            </w:r>
            <w:r w:rsidRPr="008B7B9F">
              <w:rPr>
                <w:rFonts w:ascii="Times New Roman" w:hAnsi="Times New Roman"/>
                <w:strike/>
                <w:color w:val="FF0000"/>
                <w:sz w:val="20"/>
                <w:szCs w:val="20"/>
                <w:highlight w:val="yellow"/>
              </w:rPr>
              <w:t>increased</w:t>
            </w:r>
            <w:r w:rsidRPr="00AD5523">
              <w:rPr>
                <w:rFonts w:ascii="Times New Roman" w:hAnsi="Times New Roman"/>
                <w:sz w:val="20"/>
                <w:szCs w:val="20"/>
                <w:highlight w:val="yellow"/>
              </w:rPr>
              <w:t xml:space="preserve">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16BCAE8B" w14:textId="77777777" w:rsidR="002C28D7" w:rsidRDefault="002C28D7" w:rsidP="002C28D7">
            <w:pPr>
              <w:snapToGrid w:val="0"/>
              <w:rPr>
                <w:rFonts w:eastAsia="MS Mincho"/>
                <w:lang w:eastAsia="zh-CN"/>
              </w:rPr>
            </w:pPr>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Xiaomi, Ericsson, CMCC]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PDSCH scheduling restriction</w:t>
      </w:r>
    </w:p>
    <w:p w14:paraId="78CA5F21" w14:textId="0FA77100" w:rsidR="0031191B" w:rsidRDefault="00CC4F08" w:rsidP="00CC4F08">
      <w:pPr>
        <w:pStyle w:val="aff0"/>
        <w:snapToGrid w:val="0"/>
        <w:spacing w:beforeLines="50" w:before="120" w:afterLines="50" w:after="120"/>
        <w:ind w:left="360"/>
        <w:rPr>
          <w:rFonts w:ascii="Times New Roman" w:eastAsia="宋体" w:hAnsi="Times New Roman"/>
          <w:sz w:val="20"/>
          <w:szCs w:val="20"/>
          <w:lang w:val="en-GB" w:eastAsia="zh-CN"/>
        </w:rPr>
      </w:pPr>
      <w:r w:rsidRPr="00CC4F08">
        <w:rPr>
          <w:rFonts w:ascii="Times New Roman" w:eastAsia="宋体" w:hAnsi="Times New Roman"/>
          <w:sz w:val="20"/>
          <w:szCs w:val="20"/>
          <w:lang w:val="en-GB" w:eastAsia="zh-CN"/>
        </w:rPr>
        <w:t xml:space="preserve">For </w:t>
      </w:r>
      <w:r>
        <w:rPr>
          <w:rFonts w:ascii="Times New Roman" w:eastAsia="宋体" w:hAnsi="Times New Roman"/>
          <w:sz w:val="20"/>
          <w:szCs w:val="20"/>
          <w:lang w:val="en-GB" w:eastAsia="zh-CN"/>
        </w:rPr>
        <w:t xml:space="preserve">[Initial Proposal 4-1], </w:t>
      </w:r>
      <w:r w:rsidRPr="00CC4F08">
        <w:rPr>
          <w:rFonts w:ascii="Times New Roman" w:eastAsia="宋体" w:hAnsi="Times New Roman"/>
          <w:sz w:val="20"/>
          <w:szCs w:val="20"/>
          <w:lang w:val="en-GB" w:eastAsia="zh-CN"/>
        </w:rPr>
        <w:t>18 companies provid</w:t>
      </w:r>
      <w:r>
        <w:rPr>
          <w:rFonts w:ascii="Times New Roman" w:eastAsia="宋体" w:hAnsi="Times New Roman"/>
          <w:sz w:val="20"/>
          <w:szCs w:val="20"/>
          <w:lang w:val="en-GB" w:eastAsia="zh-CN"/>
        </w:rPr>
        <w:t xml:space="preserve">ed their views on this proposal, i.e., </w:t>
      </w:r>
      <w:r w:rsidRPr="00CC4F08">
        <w:rPr>
          <w:rFonts w:ascii="Times New Roman" w:eastAsia="宋体" w:hAnsi="Times New Roman"/>
          <w:sz w:val="20"/>
          <w:szCs w:val="20"/>
          <w:lang w:val="en-GB" w:eastAsia="zh-CN"/>
        </w:rPr>
        <w:t>16 companies [OPPO, CATT, ZTE, Nokia, Panasonic, CMCC, Huawei, Xiaomi, Sony, LG, NTT DOCOMO, FGI, Spreadtrum, Ericsson, Apple, Sharp</w:t>
      </w:r>
      <w:r>
        <w:rPr>
          <w:rFonts w:ascii="Times New Roman" w:eastAsia="宋体" w:hAnsi="Times New Roman"/>
          <w:sz w:val="20"/>
          <w:szCs w:val="20"/>
          <w:lang w:val="en-GB" w:eastAsia="zh-CN"/>
        </w:rPr>
        <w:t xml:space="preserve">] support the proposal and </w:t>
      </w:r>
      <w:r w:rsidRPr="00CC4F08">
        <w:rPr>
          <w:rFonts w:ascii="Times New Roman" w:eastAsia="宋体"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宋体" w:hAnsi="Times New Roman"/>
          <w:sz w:val="20"/>
          <w:szCs w:val="20"/>
          <w:lang w:val="en-GB" w:eastAsia="zh-CN"/>
        </w:rPr>
        <w:t xml:space="preserve"> From FL’s perspective, it’s proper to following the </w:t>
      </w:r>
      <w:r w:rsidR="0031191B">
        <w:rPr>
          <w:rFonts w:ascii="Times New Roman" w:eastAsia="宋体" w:hAnsi="Times New Roman"/>
          <w:sz w:val="20"/>
          <w:szCs w:val="20"/>
          <w:lang w:val="en-GB" w:eastAsia="zh-CN"/>
        </w:rPr>
        <w:t>majority’s</w:t>
      </w:r>
      <w:r>
        <w:rPr>
          <w:rFonts w:ascii="Times New Roman" w:eastAsia="宋体" w:hAnsi="Times New Roman"/>
          <w:sz w:val="20"/>
          <w:szCs w:val="20"/>
          <w:lang w:val="en-GB" w:eastAsia="zh-CN"/>
        </w:rPr>
        <w:t xml:space="preserve"> view</w:t>
      </w:r>
      <w:r w:rsidR="0031191B">
        <w:rPr>
          <w:rFonts w:ascii="Times New Roman" w:eastAsia="宋体" w:hAnsi="Times New Roman"/>
          <w:sz w:val="20"/>
          <w:szCs w:val="20"/>
          <w:lang w:val="en-GB" w:eastAsia="zh-CN"/>
        </w:rPr>
        <w:t xml:space="preserve"> and it means that </w:t>
      </w:r>
      <w:r>
        <w:rPr>
          <w:rFonts w:ascii="Times New Roman" w:eastAsia="宋体" w:hAnsi="Times New Roman"/>
          <w:sz w:val="20"/>
          <w:szCs w:val="20"/>
          <w:lang w:val="en-GB" w:eastAsia="zh-CN"/>
        </w:rPr>
        <w:t>functionality</w:t>
      </w:r>
      <w:r w:rsidR="0031191B">
        <w:rPr>
          <w:rFonts w:ascii="Times New Roman" w:eastAsia="宋体" w:hAnsi="Times New Roman"/>
          <w:sz w:val="20"/>
          <w:szCs w:val="20"/>
          <w:lang w:val="en-GB" w:eastAsia="zh-CN"/>
        </w:rPr>
        <w:t xml:space="preserve"> and size</w:t>
      </w:r>
      <w:r>
        <w:rPr>
          <w:rFonts w:ascii="Times New Roman" w:eastAsia="宋体" w:hAnsi="Times New Roman"/>
          <w:sz w:val="20"/>
          <w:szCs w:val="20"/>
          <w:lang w:val="en-GB" w:eastAsia="zh-CN"/>
        </w:rPr>
        <w:t xml:space="preserve"> of these bit-field </w:t>
      </w:r>
      <w:r w:rsidR="0031191B">
        <w:rPr>
          <w:rFonts w:ascii="Times New Roman" w:eastAsia="宋体" w:hAnsi="Times New Roman"/>
          <w:sz w:val="20"/>
          <w:szCs w:val="20"/>
          <w:lang w:val="en-GB" w:eastAsia="zh-CN"/>
        </w:rPr>
        <w:t xml:space="preserve">should be kept </w:t>
      </w:r>
      <w:r>
        <w:rPr>
          <w:rFonts w:ascii="Times New Roman" w:eastAsia="宋体" w:hAnsi="Times New Roman"/>
          <w:sz w:val="20"/>
          <w:szCs w:val="20"/>
          <w:lang w:val="en-GB" w:eastAsia="zh-CN"/>
        </w:rPr>
        <w:t>unchanged.</w:t>
      </w:r>
      <w:r w:rsidR="0031191B">
        <w:rPr>
          <w:rFonts w:ascii="Times New Roman" w:eastAsia="宋体" w:hAnsi="Times New Roman"/>
          <w:sz w:val="20"/>
          <w:szCs w:val="20"/>
          <w:lang w:val="en-GB" w:eastAsia="zh-CN"/>
        </w:rPr>
        <w:t xml:space="preserve"> </w:t>
      </w:r>
    </w:p>
    <w:p w14:paraId="61700BDB" w14:textId="71ED6C42" w:rsidR="00CC4F08" w:rsidRDefault="00CC4F08" w:rsidP="00CC4F08">
      <w:pPr>
        <w:pStyle w:val="aff0"/>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r w:rsidR="00E0777D" w14:paraId="1C7F6F6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0FA13E" w14:textId="1E36553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5BA9CF38" w14:textId="256FFBF8" w:rsidR="00E0777D" w:rsidRPr="00E0777D" w:rsidRDefault="00E0777D" w:rsidP="00E0777D">
            <w:pPr>
              <w:snapToGrid w:val="0"/>
              <w:ind w:left="360"/>
            </w:pPr>
            <w:r w:rsidRPr="00E0777D">
              <w:t>Support proposal 4-1.</w:t>
            </w:r>
          </w:p>
        </w:tc>
      </w:tr>
      <w:tr w:rsidR="003D1000" w14:paraId="5891482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CA7163" w14:textId="4108F8F1" w:rsidR="003D1000" w:rsidRPr="00E0777D" w:rsidRDefault="003D1000"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F6CB610" w14:textId="3F353ED2" w:rsidR="003D1000" w:rsidRPr="00E0777D" w:rsidRDefault="003D1000" w:rsidP="00E0777D">
            <w:pPr>
              <w:snapToGrid w:val="0"/>
              <w:ind w:left="360"/>
            </w:pPr>
            <w:r>
              <w:t>Support</w:t>
            </w:r>
          </w:p>
        </w:tc>
      </w:tr>
      <w:tr w:rsidR="00977709" w14:paraId="446C683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BD0659" w14:textId="6F1C7CB9"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2A94FEF" w14:textId="364C5986" w:rsidR="00977709" w:rsidRDefault="00977709" w:rsidP="00E0777D">
            <w:pPr>
              <w:snapToGrid w:val="0"/>
              <w:ind w:left="360"/>
            </w:pPr>
            <w:r>
              <w:t>Support</w:t>
            </w:r>
          </w:p>
        </w:tc>
      </w:tr>
      <w:tr w:rsidR="00855005" w:rsidRPr="00E0777D" w14:paraId="39289ACF"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F5A7C8" w14:textId="155E959C" w:rsidR="00855005" w:rsidRPr="00E0777D" w:rsidRDefault="00855005" w:rsidP="00B0636D">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A325D0D" w14:textId="77777777" w:rsidR="00855005" w:rsidRPr="00E0777D" w:rsidRDefault="00855005" w:rsidP="00B0636D">
            <w:pPr>
              <w:snapToGrid w:val="0"/>
              <w:ind w:left="360"/>
            </w:pPr>
            <w:r>
              <w:t>Support</w:t>
            </w:r>
          </w:p>
        </w:tc>
      </w:tr>
      <w:tr w:rsidR="008506C9" w:rsidRPr="00E0777D" w14:paraId="08F8DCBA"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EB75A6" w14:textId="770A313C"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50D4410" w14:textId="5D0FD44A" w:rsidR="008506C9" w:rsidRDefault="008506C9" w:rsidP="008506C9">
            <w:pPr>
              <w:snapToGrid w:val="0"/>
              <w:ind w:left="360"/>
            </w:pPr>
            <w:r>
              <w:t>OK</w:t>
            </w:r>
          </w:p>
        </w:tc>
      </w:tr>
      <w:tr w:rsidR="00996911" w:rsidRPr="00E0777D" w14:paraId="6F646513"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5CED6C" w14:textId="78B72538"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30D46DD" w14:textId="251BE030" w:rsidR="00996911" w:rsidRDefault="00996911" w:rsidP="008506C9">
            <w:pPr>
              <w:snapToGrid w:val="0"/>
              <w:ind w:left="360"/>
            </w:pPr>
            <w:r>
              <w:t>Support</w:t>
            </w:r>
          </w:p>
        </w:tc>
      </w:tr>
      <w:tr w:rsidR="000E709D" w:rsidRPr="00E0777D" w14:paraId="0A63726D"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1E1D8" w14:textId="082E4A49" w:rsidR="000E709D" w:rsidRDefault="000E709D" w:rsidP="000E709D">
            <w:pPr>
              <w:jc w:val="center"/>
              <w:rPr>
                <w:rFonts w:cs="Arial"/>
                <w:lang w:eastAsia="zh-CN"/>
              </w:rPr>
            </w:pPr>
            <w:r>
              <w:rPr>
                <w:rFonts w:eastAsia="Malgun Gothic" w:cs="Arial"/>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901F010" w14:textId="72E49235" w:rsidR="000E709D" w:rsidRDefault="000E709D" w:rsidP="000E709D">
            <w:pPr>
              <w:snapToGrid w:val="0"/>
              <w:ind w:left="360"/>
            </w:pPr>
            <w:r>
              <w:rPr>
                <w:rFonts w:eastAsia="Malgun Gothic"/>
                <w:lang w:eastAsia="ko-KR"/>
              </w:rPr>
              <w:t>Support</w:t>
            </w:r>
          </w:p>
        </w:tc>
      </w:tr>
      <w:tr w:rsidR="000E709D" w:rsidRPr="00E0777D" w14:paraId="42B2A226"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05795E" w14:textId="29EAFA6F"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30DC7B2" w14:textId="36963B95" w:rsidR="000E709D" w:rsidRDefault="000E709D" w:rsidP="000E709D">
            <w:pPr>
              <w:snapToGrid w:val="0"/>
              <w:ind w:left="360"/>
            </w:pPr>
            <w:r>
              <w:rPr>
                <w:rFonts w:eastAsia="MS Mincho"/>
                <w:lang w:eastAsia="zh-CN"/>
              </w:rPr>
              <w:t>Support</w:t>
            </w:r>
          </w:p>
        </w:tc>
      </w:tr>
      <w:tr w:rsidR="002C28D7" w:rsidRPr="00E0777D" w14:paraId="4D7FA6F5"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B79344" w14:textId="2E89A7C3" w:rsidR="002C28D7" w:rsidRDefault="002C28D7" w:rsidP="002C28D7">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0998B3D" w14:textId="71F5A480" w:rsidR="002C28D7" w:rsidRDefault="002C28D7" w:rsidP="002C28D7">
            <w:pPr>
              <w:snapToGrid w:val="0"/>
              <w:ind w:left="360"/>
            </w:pPr>
            <w:r>
              <w:rPr>
                <w:rFonts w:hint="eastAsia"/>
                <w:lang w:eastAsia="zh-CN"/>
              </w:rPr>
              <w:t>S</w:t>
            </w:r>
            <w:r>
              <w:rPr>
                <w:lang w:eastAsia="zh-CN"/>
              </w:rPr>
              <w:t>upport</w:t>
            </w:r>
          </w:p>
        </w:tc>
      </w:tr>
    </w:tbl>
    <w:p w14:paraId="5B397948"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lastRenderedPageBreak/>
        <w:t>Issue-5 Performance enhancement</w:t>
      </w:r>
    </w:p>
    <w:p w14:paraId="54F1EF54" w14:textId="2DAB1BA5" w:rsidR="00403131" w:rsidRDefault="00403131" w:rsidP="00403131">
      <w:pPr>
        <w:pStyle w:val="aff0"/>
        <w:snapToGrid w:val="0"/>
        <w:spacing w:beforeLines="50" w:before="120" w:afterLines="50" w:after="120"/>
        <w:ind w:left="360"/>
        <w:rPr>
          <w:rFonts w:ascii="Times New Roman" w:eastAsia="宋体" w:hAnsi="Times New Roman"/>
          <w:sz w:val="20"/>
          <w:szCs w:val="20"/>
          <w:lang w:val="en-GB" w:eastAsia="zh-CN"/>
        </w:rPr>
      </w:pPr>
      <w:r w:rsidRPr="00403131">
        <w:rPr>
          <w:rFonts w:ascii="Times New Roman" w:eastAsia="宋体" w:hAnsi="Times New Roman"/>
          <w:sz w:val="20"/>
          <w:szCs w:val="20"/>
          <w:lang w:val="en-GB" w:eastAsia="zh-CN"/>
        </w:rPr>
        <w:t xml:space="preserve">For </w:t>
      </w:r>
      <w:r>
        <w:rPr>
          <w:rFonts w:ascii="Times New Roman" w:eastAsia="宋体" w:hAnsi="Times New Roman"/>
          <w:sz w:val="20"/>
          <w:szCs w:val="20"/>
          <w:lang w:val="en-GB" w:eastAsia="zh-CN"/>
        </w:rPr>
        <w:t xml:space="preserve">[Initial Proposal 5-1], </w:t>
      </w:r>
      <w:r w:rsidRPr="00403131">
        <w:rPr>
          <w:rFonts w:ascii="Times New Roman" w:eastAsia="宋体" w:hAnsi="Times New Roman"/>
          <w:sz w:val="20"/>
          <w:szCs w:val="20"/>
          <w:lang w:val="en-GB" w:eastAsia="zh-CN"/>
        </w:rPr>
        <w:t>14 companies provid</w:t>
      </w:r>
      <w:r>
        <w:rPr>
          <w:rFonts w:ascii="Times New Roman" w:eastAsia="宋体" w:hAnsi="Times New Roman"/>
          <w:sz w:val="20"/>
          <w:szCs w:val="20"/>
          <w:lang w:val="en-GB" w:eastAsia="zh-CN"/>
        </w:rPr>
        <w:t xml:space="preserve">ed their views on this proposal, i.e., </w:t>
      </w:r>
      <w:r w:rsidRPr="00403131">
        <w:rPr>
          <w:rFonts w:ascii="Times New Roman" w:eastAsia="宋体" w:hAnsi="Times New Roman"/>
          <w:sz w:val="20"/>
          <w:szCs w:val="20"/>
          <w:lang w:val="en-GB" w:eastAsia="zh-CN"/>
        </w:rPr>
        <w:t xml:space="preserve">8 companies </w:t>
      </w:r>
      <w:r w:rsidRPr="00403131">
        <w:rPr>
          <w:rFonts w:ascii="Times New Roman" w:eastAsia="宋体" w:hAnsi="Times New Roman" w:hint="eastAsia"/>
          <w:sz w:val="20"/>
          <w:szCs w:val="20"/>
          <w:lang w:val="en-GB" w:eastAsia="zh-CN"/>
        </w:rPr>
        <w:t>[</w:t>
      </w:r>
      <w:r w:rsidRPr="00403131">
        <w:rPr>
          <w:rFonts w:ascii="Times New Roman" w:eastAsia="宋体" w:hAnsi="Times New Roman"/>
          <w:sz w:val="20"/>
          <w:szCs w:val="20"/>
          <w:lang w:val="en-GB" w:eastAsia="zh-CN"/>
        </w:rPr>
        <w:t>OPPO, CATT, ZTE, Nokia, Sony, FGI, Spreadtrum, MediaTek] support the proposal, and [Huawei] comments to support up to 32 in GEO deployments. And [ETRI, Apple] share similar preference on 32.</w:t>
      </w:r>
      <w:r>
        <w:rPr>
          <w:rFonts w:ascii="Times New Roman" w:eastAsia="宋体" w:hAnsi="Times New Roman"/>
          <w:sz w:val="20"/>
          <w:szCs w:val="20"/>
          <w:lang w:val="en-GB" w:eastAsia="zh-CN"/>
        </w:rPr>
        <w:t xml:space="preserve"> </w:t>
      </w:r>
      <w:r w:rsidRPr="00403131">
        <w:rPr>
          <w:rFonts w:ascii="Times New Roman" w:eastAsia="宋体" w:hAnsi="Times New Roman"/>
          <w:sz w:val="20"/>
          <w:szCs w:val="20"/>
          <w:lang w:val="en-GB" w:eastAsia="zh-CN"/>
        </w:rPr>
        <w:t xml:space="preserve">3 companies </w:t>
      </w:r>
      <w:r w:rsidRPr="00403131">
        <w:rPr>
          <w:rFonts w:ascii="Times New Roman" w:eastAsia="宋体" w:hAnsi="Times New Roman" w:hint="eastAsia"/>
          <w:sz w:val="20"/>
          <w:szCs w:val="20"/>
          <w:lang w:val="en-GB" w:eastAsia="zh-CN"/>
        </w:rPr>
        <w:t>[</w:t>
      </w:r>
      <w:r w:rsidRPr="00403131">
        <w:rPr>
          <w:rFonts w:ascii="Times New Roman" w:eastAsia="宋体" w:hAnsi="Times New Roman"/>
          <w:sz w:val="20"/>
          <w:szCs w:val="20"/>
          <w:lang w:val="en-GB" w:eastAsia="zh-CN"/>
        </w:rPr>
        <w:t>Samsung, vivo, Ericsson] do not support it.</w:t>
      </w:r>
      <w:r>
        <w:rPr>
          <w:rFonts w:ascii="Times New Roman" w:eastAsia="宋体" w:hAnsi="Times New Roman"/>
          <w:sz w:val="20"/>
          <w:szCs w:val="20"/>
          <w:lang w:val="en-GB" w:eastAsia="zh-CN"/>
        </w:rPr>
        <w:t xml:space="preserve"> </w:t>
      </w:r>
    </w:p>
    <w:p w14:paraId="24049E95" w14:textId="342E9832" w:rsidR="00403131" w:rsidRDefault="00403131" w:rsidP="00403131">
      <w:pPr>
        <w:pStyle w:val="aff0"/>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The maximum number of supported aggregation factor (i.e., pdsch-AggregationFactor)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r w:rsidR="00B41FC0" w14:paraId="141AC248"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7A539" w14:textId="4378AB19" w:rsidR="00B41FC0" w:rsidRDefault="00B41FC0"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02A5C11" w14:textId="773E372F" w:rsidR="00B41FC0" w:rsidRDefault="00B41FC0" w:rsidP="00CE7D9A">
            <w:pPr>
              <w:snapToGrid w:val="0"/>
              <w:ind w:left="360"/>
            </w:pPr>
            <w:r>
              <w:t>Support</w:t>
            </w:r>
          </w:p>
        </w:tc>
      </w:tr>
      <w:tr w:rsidR="00E0777D" w14:paraId="1242817E"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5C5039" w14:textId="63B25669"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077E45A5" w14:textId="4BA9F6FA" w:rsidR="00E0777D" w:rsidRPr="00E0777D" w:rsidRDefault="00E0777D" w:rsidP="00E0777D">
            <w:pPr>
              <w:snapToGrid w:val="0"/>
              <w:ind w:left="360"/>
            </w:pPr>
            <w:r w:rsidRPr="00E0777D">
              <w:t>Support proposal 5-1.</w:t>
            </w:r>
          </w:p>
        </w:tc>
      </w:tr>
      <w:tr w:rsidR="00977709" w14:paraId="0D74B7E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A6764" w14:textId="21609993"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6FD460A" w14:textId="11F06FE0" w:rsidR="00977709" w:rsidRPr="00E0777D" w:rsidRDefault="00977709" w:rsidP="00E0777D">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855005" w:rsidRPr="00E0777D" w14:paraId="373929D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CB2E1E" w14:textId="2E3906B9" w:rsidR="00855005" w:rsidRPr="00E0777D" w:rsidRDefault="00855005" w:rsidP="00B0636D">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6EB52AD5" w14:textId="77777777" w:rsidR="00855005" w:rsidRPr="00855005" w:rsidRDefault="00855005" w:rsidP="00B0636D">
            <w:pPr>
              <w:snapToGrid w:val="0"/>
              <w:ind w:left="360"/>
              <w:rPr>
                <w:rFonts w:eastAsia="Malgun Gothic"/>
                <w:lang w:eastAsia="ko-KR"/>
              </w:rPr>
            </w:pPr>
            <w:r w:rsidRPr="00855005">
              <w:rPr>
                <w:rFonts w:eastAsia="Malgun Gothic"/>
                <w:lang w:eastAsia="ko-KR"/>
              </w:rPr>
              <w:t>Support</w:t>
            </w:r>
          </w:p>
        </w:tc>
      </w:tr>
      <w:tr w:rsidR="008506C9" w:rsidRPr="00E0777D" w14:paraId="20572E7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9E32C" w14:textId="2B79409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6FCEE85" w14:textId="7812E323" w:rsidR="008506C9" w:rsidRPr="00855005" w:rsidRDefault="008506C9" w:rsidP="000E709D">
            <w:pPr>
              <w:snapToGrid w:val="0"/>
              <w:ind w:left="360" w:right="800"/>
              <w:rPr>
                <w:rFonts w:eastAsia="Malgun Gothic"/>
                <w:lang w:eastAsia="ko-KR"/>
              </w:rPr>
            </w:pPr>
            <w:r>
              <w:rPr>
                <w:rFonts w:eastAsia="Malgun Gothic"/>
                <w:lang w:eastAsia="ko-KR"/>
              </w:rPr>
              <w:t>We could live with either 8 or 16 HARQ processes.</w:t>
            </w:r>
          </w:p>
        </w:tc>
      </w:tr>
      <w:tr w:rsidR="00996911" w:rsidRPr="00E0777D" w14:paraId="09756BB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8CAE05" w14:textId="3E4C5EEA"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6FCC098" w14:textId="12E21D83" w:rsidR="00996911" w:rsidRDefault="00996911" w:rsidP="00996911">
            <w:pPr>
              <w:snapToGrid w:val="0"/>
              <w:ind w:left="360" w:right="400"/>
              <w:rPr>
                <w:rFonts w:eastAsia="Malgun Gothic"/>
                <w:lang w:eastAsia="ko-KR"/>
              </w:rPr>
            </w:pPr>
            <w:r>
              <w:t>Support</w:t>
            </w:r>
          </w:p>
        </w:tc>
      </w:tr>
      <w:tr w:rsidR="000E709D" w:rsidRPr="00E0777D" w14:paraId="6F64591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DDE023" w14:textId="4E7CDC28" w:rsidR="000E709D" w:rsidRDefault="000E709D" w:rsidP="000E709D">
            <w:pPr>
              <w:jc w:val="center"/>
              <w:rPr>
                <w:rFonts w:cs="Arial"/>
                <w:lang w:eastAsia="zh-CN"/>
              </w:rPr>
            </w:pPr>
            <w:r>
              <w:rPr>
                <w:rFonts w:eastAsia="Malgun Gothic" w:cs="Arial"/>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08EC617B" w14:textId="2716D694" w:rsidR="000E709D" w:rsidRDefault="000E709D" w:rsidP="000E709D">
            <w:pPr>
              <w:snapToGrid w:val="0"/>
              <w:ind w:left="360" w:right="400"/>
            </w:pPr>
            <w:r>
              <w:rPr>
                <w:rFonts w:eastAsia="Malgun Gothic"/>
                <w:lang w:eastAsia="ko-KR"/>
              </w:rPr>
              <w:t>Support</w:t>
            </w:r>
          </w:p>
        </w:tc>
      </w:tr>
      <w:tr w:rsidR="00D30E61" w:rsidRPr="00E0777D" w14:paraId="3B3895C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4CEB3" w14:textId="02420F98" w:rsidR="00D30E61" w:rsidRDefault="00D30E61" w:rsidP="00D30E61">
            <w:pPr>
              <w:jc w:val="center"/>
              <w:rPr>
                <w:rFonts w:eastAsia="Malgun Gothic" w:cs="Arial"/>
                <w:lang w:eastAsia="ko-KR"/>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B2A923A" w14:textId="3B5CFBEE" w:rsidR="00D30E61" w:rsidRDefault="00D30E61" w:rsidP="00D30E61">
            <w:pPr>
              <w:snapToGrid w:val="0"/>
              <w:ind w:left="360" w:right="400"/>
              <w:rPr>
                <w:rFonts w:eastAsia="Malgun Gothic"/>
                <w:lang w:eastAsia="ko-KR"/>
              </w:rPr>
            </w:pPr>
            <w:r>
              <w:rPr>
                <w:rFonts w:eastAsia="Malgun Gothic"/>
                <w:lang w:eastAsia="ko-KR"/>
              </w:rPr>
              <w:t>Support</w:t>
            </w:r>
          </w:p>
        </w:tc>
      </w:tr>
      <w:tr w:rsidR="002C28D7" w:rsidRPr="00E0777D" w14:paraId="6243A7D0"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62DD5E" w14:textId="09927703" w:rsidR="002C28D7" w:rsidRDefault="002C28D7" w:rsidP="002C28D7">
            <w:pPr>
              <w:jc w:val="center"/>
              <w:rPr>
                <w:rFonts w:eastAsia="Malgun Gothic" w:cs="Arial" w:hint="eastAsia"/>
                <w:lang w:eastAsia="ko-KR"/>
              </w:rPr>
            </w:pPr>
            <w:bookmarkStart w:id="4" w:name="_GoBack" w:colFirst="0" w:colLast="0"/>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2EC6529" w14:textId="77777777" w:rsidR="002C28D7" w:rsidRDefault="002C28D7" w:rsidP="002C28D7">
            <w:pPr>
              <w:snapToGrid w:val="0"/>
              <w:ind w:left="360"/>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w:t>
            </w:r>
            <w:r>
              <w:rPr>
                <w:rFonts w:eastAsiaTheme="minorEastAsia"/>
                <w:lang w:eastAsia="zh-CN"/>
              </w:rPr>
              <w:t>th the maximum number of supported aggregation factor, but we suggest the modification as followed.</w:t>
            </w:r>
          </w:p>
          <w:p w14:paraId="2BD33FCF" w14:textId="51F1C324" w:rsidR="002C28D7" w:rsidRDefault="002C28D7" w:rsidP="002C28D7">
            <w:pPr>
              <w:snapToGrid w:val="0"/>
              <w:ind w:left="360" w:right="400"/>
              <w:rPr>
                <w:rFonts w:eastAsia="Malgun Gothic"/>
                <w:lang w:eastAsia="ko-KR"/>
              </w:rPr>
            </w:pPr>
            <w:r w:rsidRPr="0067417E">
              <w:rPr>
                <w:rFonts w:eastAsiaTheme="minorEastAsia"/>
                <w:highlight w:val="yellow"/>
                <w:lang w:eastAsia="zh-CN"/>
              </w:rPr>
              <w:t xml:space="preserve">The maximum number of supported aggregation factor </w:t>
            </w:r>
            <w:r w:rsidRPr="0067417E">
              <w:rPr>
                <w:rFonts w:eastAsiaTheme="minorEastAsia"/>
                <w:strike/>
                <w:color w:val="FF0000"/>
                <w:highlight w:val="yellow"/>
                <w:lang w:eastAsia="zh-CN"/>
              </w:rPr>
              <w:t>(i.e., pdsch-AggregationFactor)</w:t>
            </w:r>
            <w:r w:rsidRPr="0067417E">
              <w:rPr>
                <w:rFonts w:eastAsiaTheme="minorEastAsia"/>
                <w:highlight w:val="yellow"/>
                <w:lang w:eastAsia="zh-CN"/>
              </w:rPr>
              <w:t xml:space="preserve"> for DL PDSCH is 16 or 32.</w:t>
            </w:r>
          </w:p>
        </w:tc>
      </w:tr>
      <w:bookmarkEnd w:id="4"/>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aff0"/>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w:t>
      </w:r>
      <w:r w:rsidRPr="00300D12">
        <w:rPr>
          <w:rFonts w:ascii="Times New Roman" w:eastAsia="宋体" w:hAnsi="Times New Roman"/>
          <w:sz w:val="20"/>
          <w:szCs w:val="20"/>
          <w:lang w:val="en-GB" w:eastAsia="zh-CN"/>
        </w:rPr>
        <w:t>[Initial Proposal 6-1]</w:t>
      </w:r>
      <w:r>
        <w:rPr>
          <w:rFonts w:ascii="Times New Roman" w:eastAsia="宋体" w:hAnsi="Times New Roman"/>
          <w:sz w:val="20"/>
          <w:szCs w:val="20"/>
          <w:lang w:val="en-GB" w:eastAsia="zh-CN"/>
        </w:rPr>
        <w:t xml:space="preserve">, </w:t>
      </w:r>
      <w:r w:rsidRPr="00300D12">
        <w:rPr>
          <w:rFonts w:ascii="Times New Roman" w:eastAsia="宋体" w:hAnsi="Times New Roman"/>
          <w:sz w:val="20"/>
          <w:szCs w:val="20"/>
          <w:lang w:val="en-GB" w:eastAsia="zh-CN"/>
        </w:rPr>
        <w:t>19 companies provid</w:t>
      </w:r>
      <w:r>
        <w:rPr>
          <w:rFonts w:ascii="Times New Roman" w:eastAsia="宋体" w:hAnsi="Times New Roman"/>
          <w:sz w:val="20"/>
          <w:szCs w:val="20"/>
          <w:lang w:val="en-GB" w:eastAsia="zh-CN"/>
        </w:rPr>
        <w:t xml:space="preserve">ed their views on this proposal, i.e., </w:t>
      </w:r>
      <w:r w:rsidRPr="00300D12">
        <w:rPr>
          <w:rFonts w:ascii="Times New Roman" w:eastAsia="宋体" w:hAnsi="Times New Roman"/>
          <w:sz w:val="20"/>
          <w:szCs w:val="20"/>
          <w:lang w:val="en-GB" w:eastAsia="zh-CN"/>
        </w:rPr>
        <w:t xml:space="preserve">10 companies </w:t>
      </w:r>
      <w:r w:rsidRPr="00300D12">
        <w:rPr>
          <w:rFonts w:ascii="Times New Roman" w:eastAsia="宋体" w:hAnsi="Times New Roman" w:hint="eastAsia"/>
          <w:sz w:val="20"/>
          <w:szCs w:val="20"/>
          <w:lang w:val="en-GB" w:eastAsia="zh-CN"/>
        </w:rPr>
        <w:t>[</w:t>
      </w:r>
      <w:r w:rsidRPr="00300D12">
        <w:rPr>
          <w:rFonts w:ascii="Times New Roman" w:eastAsia="宋体" w:hAnsi="Times New Roman"/>
          <w:sz w:val="20"/>
          <w:szCs w:val="20"/>
          <w:lang w:val="en-GB" w:eastAsia="zh-CN"/>
        </w:rPr>
        <w:t>CATT, ZTE, CMCC, Huawei, Sony, NTT DOCOMO, FGI, Spreadtrum, CAICT, MediaTek] support this proposal, 8</w:t>
      </w:r>
      <w:r w:rsidRPr="00300D12">
        <w:rPr>
          <w:rFonts w:ascii="Times New Roman" w:eastAsia="宋体" w:hAnsi="Times New Roman" w:hint="eastAsia"/>
          <w:sz w:val="20"/>
          <w:szCs w:val="20"/>
          <w:lang w:val="en-GB" w:eastAsia="zh-CN"/>
        </w:rPr>
        <w:t xml:space="preserve"> [</w:t>
      </w:r>
      <w:r w:rsidRPr="00300D12">
        <w:rPr>
          <w:rFonts w:ascii="Times New Roman" w:eastAsia="宋体" w:hAnsi="Times New Roman"/>
          <w:sz w:val="20"/>
          <w:szCs w:val="20"/>
          <w:lang w:val="en-GB" w:eastAsia="zh-CN"/>
        </w:rPr>
        <w:t>OPPO, Samsung, Nokia, Panasonic, NEC, vivo, Ericsson, Sharp]</w:t>
      </w:r>
      <w:r>
        <w:rPr>
          <w:rFonts w:ascii="Times New Roman" w:eastAsia="宋体" w:hAnsi="Times New Roman"/>
          <w:sz w:val="20"/>
          <w:szCs w:val="20"/>
          <w:lang w:val="en-GB" w:eastAsia="zh-CN"/>
        </w:rPr>
        <w:t xml:space="preserve"> are negative on this proposal and prefer to </w:t>
      </w:r>
      <w:r w:rsidRPr="00300D12">
        <w:rPr>
          <w:rFonts w:ascii="Times New Roman" w:eastAsia="宋体"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宋体" w:hAnsi="Times New Roman"/>
          <w:sz w:val="20"/>
          <w:szCs w:val="20"/>
          <w:lang w:val="en-GB" w:eastAsia="zh-CN"/>
        </w:rPr>
        <w:t xml:space="preserve"> </w:t>
      </w:r>
      <w:r w:rsidRPr="00300D12">
        <w:rPr>
          <w:rFonts w:ascii="Times New Roman" w:eastAsia="宋体"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aff0"/>
        <w:snapToGrid w:val="0"/>
        <w:spacing w:beforeLines="50" w:before="120" w:afterLines="50" w:after="120"/>
        <w:ind w:left="360"/>
        <w:rPr>
          <w:lang w:eastAsia="zh-CN"/>
        </w:rPr>
      </w:pPr>
      <w:r>
        <w:rPr>
          <w:rFonts w:ascii="Times New Roman" w:eastAsia="宋体" w:hAnsi="Times New Roman"/>
          <w:sz w:val="20"/>
          <w:szCs w:val="20"/>
          <w:lang w:val="en-GB" w:eastAsia="zh-CN"/>
        </w:rPr>
        <w:t>Since this topic has been discussed in several meeting and companies’ views are still unchanged. It’s preferred to leave it and proponent are encourage to further discuss with others. This topic will not be treated in RAN1#106Bis-e.</w:t>
      </w:r>
    </w:p>
    <w:p w14:paraId="627AFD15" w14:textId="77777777" w:rsidR="00A54671" w:rsidRPr="00FD7695"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lastRenderedPageBreak/>
        <w:t>Issue-7 PUSCH scheduling restriction</w:t>
      </w:r>
    </w:p>
    <w:p w14:paraId="58617FF8" w14:textId="0C775C00" w:rsidR="003D15C5" w:rsidRPr="003D15C5" w:rsidRDefault="008115C8" w:rsidP="005B6663">
      <w:pPr>
        <w:pStyle w:val="aff0"/>
        <w:snapToGrid w:val="0"/>
        <w:spacing w:beforeLines="50" w:before="120" w:afterLines="50" w:after="120"/>
        <w:ind w:left="360"/>
        <w:rPr>
          <w:lang w:eastAsia="zh-CN"/>
        </w:rPr>
      </w:pPr>
      <w:r>
        <w:rPr>
          <w:rFonts w:ascii="Times New Roman" w:eastAsia="宋体" w:hAnsi="Times New Roman"/>
          <w:sz w:val="20"/>
          <w:szCs w:val="20"/>
          <w:lang w:val="en-GB" w:eastAsia="zh-CN"/>
        </w:rPr>
        <w:t xml:space="preserve">For this topic, </w:t>
      </w:r>
      <w:r w:rsidRPr="008115C8">
        <w:rPr>
          <w:rFonts w:ascii="Times New Roman" w:eastAsia="宋体" w:hAnsi="Times New Roman"/>
          <w:sz w:val="20"/>
          <w:szCs w:val="20"/>
          <w:lang w:val="en-GB" w:eastAsia="zh-CN"/>
        </w:rPr>
        <w:t>13 companies provid</w:t>
      </w:r>
      <w:r>
        <w:rPr>
          <w:rFonts w:ascii="Times New Roman" w:eastAsia="宋体" w:hAnsi="Times New Roman"/>
          <w:sz w:val="20"/>
          <w:szCs w:val="20"/>
          <w:lang w:val="en-GB" w:eastAsia="zh-CN"/>
        </w:rPr>
        <w:t xml:space="preserve">ed their views on this proposal, i.e., </w:t>
      </w:r>
      <w:r w:rsidRPr="008115C8">
        <w:rPr>
          <w:rFonts w:ascii="Times New Roman" w:eastAsia="宋体" w:hAnsi="Times New Roman"/>
          <w:sz w:val="20"/>
          <w:szCs w:val="20"/>
          <w:lang w:val="en-GB" w:eastAsia="zh-CN"/>
        </w:rPr>
        <w:t xml:space="preserve">12 companies </w:t>
      </w:r>
      <w:r w:rsidRPr="008115C8">
        <w:rPr>
          <w:rFonts w:ascii="Times New Roman" w:eastAsia="宋体" w:hAnsi="Times New Roman" w:hint="eastAsia"/>
          <w:sz w:val="20"/>
          <w:szCs w:val="20"/>
          <w:lang w:val="en-GB" w:eastAsia="zh-CN"/>
        </w:rPr>
        <w:t>[</w:t>
      </w:r>
      <w:r w:rsidRPr="008115C8">
        <w:rPr>
          <w:rFonts w:ascii="Times New Roman" w:eastAsia="宋体" w:hAnsi="Times New Roman"/>
          <w:sz w:val="20"/>
          <w:szCs w:val="20"/>
          <w:lang w:val="en-GB" w:eastAsia="zh-CN"/>
        </w:rPr>
        <w:t xml:space="preserve">Samsung, CATT, ZTE, Nokia, Huawei, Xiaomi, LG, vivo, FGI, Spreadtrum, Ericsson, MediaTek] share the view </w:t>
      </w:r>
      <w:r>
        <w:rPr>
          <w:rFonts w:ascii="Times New Roman" w:eastAsia="宋体" w:hAnsi="Times New Roman"/>
          <w:sz w:val="20"/>
          <w:szCs w:val="20"/>
          <w:lang w:val="en-GB" w:eastAsia="zh-CN"/>
        </w:rPr>
        <w:t xml:space="preserve">to reuse the </w:t>
      </w:r>
      <w:r w:rsidRPr="008115C8">
        <w:rPr>
          <w:rFonts w:ascii="Times New Roman" w:eastAsia="宋体" w:hAnsi="Times New Roman"/>
          <w:sz w:val="20"/>
          <w:szCs w:val="20"/>
          <w:lang w:val="en-GB" w:eastAsia="zh-CN"/>
        </w:rPr>
        <w:t xml:space="preserve">legacy </w:t>
      </w:r>
      <w:r>
        <w:rPr>
          <w:rFonts w:ascii="Times New Roman" w:eastAsia="宋体" w:hAnsi="Times New Roman"/>
          <w:sz w:val="20"/>
          <w:szCs w:val="20"/>
          <w:lang w:val="en-GB" w:eastAsia="zh-CN"/>
        </w:rPr>
        <w:t xml:space="preserve">behaviour. But </w:t>
      </w:r>
      <w:r w:rsidRPr="008115C8">
        <w:rPr>
          <w:rFonts w:ascii="Times New Roman" w:eastAsia="宋体" w:hAnsi="Times New Roman"/>
          <w:sz w:val="20"/>
          <w:szCs w:val="20"/>
          <w:lang w:val="en-GB" w:eastAsia="zh-CN"/>
        </w:rPr>
        <w:t>[Qualcomm] highlights the legacy restriction bring limit of UE’s throughput in some cases.</w:t>
      </w:r>
      <w:r>
        <w:rPr>
          <w:rFonts w:ascii="Times New Roman" w:eastAsia="宋体" w:hAnsi="Times New Roman"/>
          <w:sz w:val="20"/>
          <w:szCs w:val="20"/>
          <w:lang w:val="en-GB" w:eastAsia="zh-CN"/>
        </w:rPr>
        <w:t xml:space="preserve"> </w:t>
      </w:r>
      <w:r w:rsidR="002A07F8">
        <w:rPr>
          <w:rFonts w:ascii="Times New Roman" w:eastAsia="宋体"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宋体" w:hAnsi="Times New Roman"/>
          <w:sz w:val="20"/>
          <w:szCs w:val="20"/>
          <w:lang w:val="en-GB" w:eastAsia="zh-CN"/>
        </w:rPr>
        <w:t xml:space="preserve"> </w:t>
      </w:r>
      <w:r w:rsidR="005B6663">
        <w:rPr>
          <w:rFonts w:ascii="Times New Roman" w:eastAsia="宋体" w:hAnsi="Times New Roman"/>
          <w:sz w:val="20"/>
          <w:szCs w:val="20"/>
          <w:lang w:val="en-GB" w:eastAsia="zh-CN"/>
        </w:rPr>
        <w:t>It’s preferred to leave it and proponent are encourage to further discuss with others. This topic will not be treated in RAN1#106Bis-e.</w:t>
      </w:r>
    </w:p>
    <w:p w14:paraId="42EA82C9" w14:textId="266D878A" w:rsidR="00C27075" w:rsidRDefault="00C27075" w:rsidP="000C250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lastRenderedPageBreak/>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e"/>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1974C2">
            <w:pPr>
              <w:pStyle w:val="aff0"/>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aff0"/>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aff0"/>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e"/>
              <w:spacing w:after="0"/>
              <w:rPr>
                <w:rFonts w:ascii="Times New Roman" w:eastAsia="等线"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等线"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ae"/>
              <w:numPr>
                <w:ilvl w:val="0"/>
                <w:numId w:val="29"/>
              </w:numPr>
              <w:overflowPunct/>
              <w:autoSpaceDE/>
              <w:autoSpaceDN/>
              <w:adjustRightInd/>
              <w:spacing w:after="0"/>
              <w:textAlignment w:val="auto"/>
              <w:rPr>
                <w:rFonts w:ascii="Times New Roman" w:eastAsia="等线" w:hAnsi="Times New Roman"/>
                <w:szCs w:val="20"/>
                <w:lang w:eastAsia="zh-CN"/>
              </w:rPr>
            </w:pPr>
            <w:r w:rsidRPr="006103A2">
              <w:rPr>
                <w:rFonts w:ascii="Times New Roman" w:eastAsia="等线" w:hAnsi="Times New Roman"/>
                <w:szCs w:val="20"/>
                <w:lang w:eastAsia="zh-CN"/>
              </w:rPr>
              <w:t>The maximum number of supported aggregation factor for DL PDSCH is 16.</w:t>
            </w:r>
          </w:p>
          <w:p w14:paraId="7A6BC291"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等线" w:hAnsi="Times New Roman"/>
                <w:szCs w:val="20"/>
                <w:lang w:eastAsia="zh-CN"/>
              </w:rPr>
              <w:t>T</w:t>
            </w:r>
            <w:r w:rsidRPr="006103A2">
              <w:rPr>
                <w:rFonts w:ascii="Times New Roman" w:hAnsi="Times New Roman"/>
                <w:szCs w:val="20"/>
              </w:rPr>
              <w:t xml:space="preserve">he size of the PDSCH-to-HARQ_feedback timing indicator field in DCI should not be </w:t>
            </w:r>
            <w:r w:rsidRPr="006103A2">
              <w:rPr>
                <w:rFonts w:ascii="Times New Roman" w:hAnsi="Times New Roman"/>
                <w:szCs w:val="20"/>
              </w:rPr>
              <w:lastRenderedPageBreak/>
              <w:t xml:space="preserve">changed. </w:t>
            </w:r>
          </w:p>
          <w:p w14:paraId="1A22D18F" w14:textId="576B7047" w:rsidR="000311D2" w:rsidRPr="006103A2" w:rsidRDefault="000311D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lastRenderedPageBreak/>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aff0"/>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e"/>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aff0"/>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lastRenderedPageBreak/>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aff0"/>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lastRenderedPageBreak/>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aff0"/>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w:t>
            </w:r>
            <w:r w:rsidRPr="006103A2">
              <w:rPr>
                <w:u w:val="single"/>
              </w:rPr>
              <w:lastRenderedPageBreak/>
              <w:t xml:space="preserve">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For SCell dormancy, UE reports HARQ-ACK regardless of indication via HARQ process number field in DCI format 1_1 indicating SCell dormancy without scheduling a PDSCH </w:t>
            </w:r>
            <w:r w:rsidRPr="006103A2">
              <w:rPr>
                <w:rFonts w:eastAsiaTheme="minorEastAsia"/>
              </w:rPr>
              <w:lastRenderedPageBreak/>
              <w:t>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aff0"/>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aff0"/>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aff0"/>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aff0"/>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aff0"/>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aff0"/>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1974C2">
            <w:pPr>
              <w:pStyle w:val="aff0"/>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1974C2">
            <w:pPr>
              <w:pStyle w:val="aff0"/>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1974C2">
            <w:pPr>
              <w:pStyle w:val="aff0"/>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aff0"/>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aff0"/>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lastRenderedPageBreak/>
              <w:t>Observation 14 : NR gNB cannot optimally react to some cases, if the slot aggregation is used.</w:t>
            </w:r>
          </w:p>
          <w:p w14:paraId="15B9BD9E"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aff0"/>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1974C2">
            <w:pPr>
              <w:pStyle w:val="aff0"/>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aff0"/>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1974C2">
            <w:pPr>
              <w:pStyle w:val="aff0"/>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aff0"/>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f0"/>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c"/>
                  <w:sz w:val="20"/>
                </w:rPr>
                <w:t>Proposal 1</w:t>
              </w:r>
              <w:r w:rsidRPr="006103A2">
                <w:rPr>
                  <w:rFonts w:eastAsiaTheme="minorEastAsia"/>
                  <w:sz w:val="20"/>
                  <w:lang w:eastAsia="zh-TW"/>
                </w:rPr>
                <w:tab/>
              </w:r>
              <w:r w:rsidRPr="006103A2">
                <w:rPr>
                  <w:rStyle w:val="afc"/>
                  <w:sz w:val="20"/>
                </w:rPr>
                <w:t>For HARQ process indication, support no enhancement for DCI 0-0/1-0 (Option 4).</w:t>
              </w:r>
            </w:hyperlink>
          </w:p>
          <w:p w14:paraId="3BFBFFB8" w14:textId="77777777" w:rsidR="0037367A" w:rsidRPr="006103A2" w:rsidRDefault="00691C26" w:rsidP="006103A2">
            <w:pPr>
              <w:pStyle w:val="TOC1"/>
              <w:spacing w:before="0"/>
              <w:rPr>
                <w:rFonts w:eastAsiaTheme="minorEastAsia"/>
                <w:sz w:val="20"/>
                <w:lang w:eastAsia="zh-TW"/>
              </w:rPr>
            </w:pPr>
            <w:hyperlink w:anchor="_Toc82252402" w:history="1">
              <w:r w:rsidR="0037367A" w:rsidRPr="006103A2">
                <w:rPr>
                  <w:rStyle w:val="afc"/>
                  <w:sz w:val="20"/>
                </w:rPr>
                <w:t>Proposal 2</w:t>
              </w:r>
              <w:r w:rsidR="0037367A" w:rsidRPr="006103A2">
                <w:rPr>
                  <w:rFonts w:eastAsiaTheme="minorEastAsia"/>
                  <w:sz w:val="20"/>
                  <w:lang w:eastAsia="zh-TW"/>
                </w:rPr>
                <w:tab/>
              </w:r>
              <w:r w:rsidR="0037367A" w:rsidRPr="006103A2">
                <w:rPr>
                  <w:rStyle w:val="afc"/>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691C26" w:rsidP="006103A2">
            <w:pPr>
              <w:pStyle w:val="TOC1"/>
              <w:spacing w:before="0"/>
              <w:rPr>
                <w:rFonts w:eastAsiaTheme="minorEastAsia"/>
                <w:sz w:val="20"/>
                <w:lang w:eastAsia="zh-TW"/>
              </w:rPr>
            </w:pPr>
            <w:hyperlink w:anchor="_Toc82252403" w:history="1">
              <w:r w:rsidR="0037367A" w:rsidRPr="006103A2">
                <w:rPr>
                  <w:rStyle w:val="afc"/>
                  <w:sz w:val="20"/>
                </w:rPr>
                <w:t>Proposal 3</w:t>
              </w:r>
              <w:r w:rsidR="0037367A" w:rsidRPr="006103A2">
                <w:rPr>
                  <w:rFonts w:eastAsiaTheme="minorEastAsia"/>
                  <w:sz w:val="20"/>
                  <w:lang w:eastAsia="zh-TW"/>
                </w:rPr>
                <w:tab/>
              </w:r>
              <w:r w:rsidR="0037367A" w:rsidRPr="006103A2">
                <w:rPr>
                  <w:rStyle w:val="afc"/>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691C26" w:rsidP="006103A2">
            <w:pPr>
              <w:pStyle w:val="TOC1"/>
              <w:spacing w:before="0"/>
              <w:rPr>
                <w:rFonts w:eastAsiaTheme="minorEastAsia"/>
                <w:sz w:val="20"/>
                <w:lang w:eastAsia="zh-TW"/>
              </w:rPr>
            </w:pPr>
            <w:hyperlink w:anchor="_Toc82252404" w:history="1">
              <w:r w:rsidR="0037367A" w:rsidRPr="006103A2">
                <w:rPr>
                  <w:rStyle w:val="afc"/>
                  <w:sz w:val="20"/>
                  <w:lang w:eastAsia="zh-TW"/>
                </w:rPr>
                <w:t>Proposal 4</w:t>
              </w:r>
              <w:r w:rsidR="0037367A" w:rsidRPr="006103A2">
                <w:rPr>
                  <w:rFonts w:eastAsiaTheme="minorEastAsia"/>
                  <w:sz w:val="20"/>
                  <w:lang w:eastAsia="zh-TW"/>
                </w:rPr>
                <w:tab/>
              </w:r>
              <w:r w:rsidR="0037367A" w:rsidRPr="006103A2">
                <w:rPr>
                  <w:rStyle w:val="afc"/>
                  <w:sz w:val="20"/>
                  <w:lang w:eastAsia="zh-TW"/>
                </w:rPr>
                <w:t xml:space="preserve">If C-DAI and T-DAI are not incremented for feedback-disabled HARQ, UE shall remove padding NACKs if they are added by triggering the condition of </w:t>
              </w:r>
              <m:oMath>
                <m:r>
                  <m:rPr>
                    <m:sty m:val="p"/>
                  </m:rPr>
                  <w:rPr>
                    <w:rStyle w:val="afc"/>
                    <w:rFonts w:ascii="Cambria Math" w:hAnsi="Cambria Math"/>
                    <w:sz w:val="20"/>
                    <w:lang w:eastAsia="zh-TW"/>
                  </w:rPr>
                  <m:t>VC-DAI,c,mDL≤Vtemp</m:t>
                </m:r>
              </m:oMath>
              <w:r w:rsidR="0037367A" w:rsidRPr="006103A2">
                <w:rPr>
                  <w:rStyle w:val="afc"/>
                  <w:sz w:val="20"/>
                  <w:lang w:eastAsia="zh-TW"/>
                </w:rPr>
                <w:t xml:space="preserve"> in the pseudo-code.</w:t>
              </w:r>
            </w:hyperlink>
          </w:p>
          <w:p w14:paraId="5E92CE07" w14:textId="77777777" w:rsidR="0037367A" w:rsidRPr="006103A2" w:rsidRDefault="00691C26" w:rsidP="006103A2">
            <w:pPr>
              <w:pStyle w:val="TOC1"/>
              <w:spacing w:before="0"/>
              <w:rPr>
                <w:rFonts w:eastAsiaTheme="minorEastAsia"/>
                <w:sz w:val="20"/>
                <w:lang w:eastAsia="zh-TW"/>
              </w:rPr>
            </w:pPr>
            <w:hyperlink w:anchor="_Toc82252405" w:history="1">
              <w:r w:rsidR="0037367A" w:rsidRPr="006103A2">
                <w:rPr>
                  <w:rStyle w:val="afc"/>
                  <w:sz w:val="20"/>
                  <w:lang w:eastAsia="zh-TW"/>
                </w:rPr>
                <w:t>Proposal 5</w:t>
              </w:r>
              <w:r w:rsidR="0037367A" w:rsidRPr="006103A2">
                <w:rPr>
                  <w:rFonts w:eastAsiaTheme="minorEastAsia"/>
                  <w:sz w:val="20"/>
                  <w:lang w:eastAsia="zh-TW"/>
                </w:rPr>
                <w:tab/>
              </w:r>
              <w:r w:rsidR="0037367A" w:rsidRPr="006103A2">
                <w:rPr>
                  <w:rStyle w:val="afc"/>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691C26" w:rsidP="006103A2">
            <w:pPr>
              <w:pStyle w:val="TOC1"/>
              <w:spacing w:before="0"/>
              <w:rPr>
                <w:rFonts w:eastAsiaTheme="minorEastAsia"/>
                <w:sz w:val="20"/>
                <w:lang w:eastAsia="zh-TW"/>
              </w:rPr>
            </w:pPr>
            <w:hyperlink w:anchor="_Toc82252406" w:history="1">
              <w:r w:rsidR="0037367A" w:rsidRPr="006103A2">
                <w:rPr>
                  <w:rStyle w:val="afc"/>
                  <w:sz w:val="20"/>
                  <w:lang w:eastAsia="zh-TW"/>
                </w:rPr>
                <w:t>Proposal 6</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691C26" w:rsidP="006103A2">
            <w:pPr>
              <w:pStyle w:val="TOC1"/>
              <w:spacing w:before="0"/>
              <w:rPr>
                <w:rFonts w:eastAsiaTheme="minorEastAsia"/>
                <w:sz w:val="20"/>
                <w:lang w:eastAsia="zh-TW"/>
              </w:rPr>
            </w:pPr>
            <w:hyperlink w:anchor="_Toc82252407" w:history="1">
              <w:r w:rsidR="0037367A" w:rsidRPr="006103A2">
                <w:rPr>
                  <w:rStyle w:val="afc"/>
                  <w:sz w:val="20"/>
                  <w:lang w:eastAsia="zh-TW"/>
                </w:rPr>
                <w:t>Proposal 7</w:t>
              </w:r>
              <w:r w:rsidR="00A913FA" w:rsidRPr="006103A2">
                <w:rPr>
                  <w:rStyle w:val="afc"/>
                  <w:sz w:val="20"/>
                  <w:lang w:eastAsia="zh-TW"/>
                </w:rPr>
                <w:t xml:space="preserve"> </w:t>
              </w:r>
              <w:r w:rsidR="0037367A" w:rsidRPr="006103A2">
                <w:rPr>
                  <w:rStyle w:val="afc"/>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691C26" w:rsidP="006103A2">
            <w:pPr>
              <w:pStyle w:val="TOC1"/>
              <w:spacing w:before="0"/>
              <w:rPr>
                <w:rFonts w:eastAsiaTheme="minorEastAsia"/>
                <w:sz w:val="20"/>
                <w:lang w:eastAsia="zh-TW"/>
              </w:rPr>
            </w:pPr>
            <w:hyperlink w:anchor="_Toc82252408" w:history="1">
              <w:r w:rsidR="0037367A" w:rsidRPr="006103A2">
                <w:rPr>
                  <w:rStyle w:val="afc"/>
                  <w:sz w:val="20"/>
                  <w:lang w:eastAsia="zh-TW"/>
                </w:rPr>
                <w:t>Proposal 8</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691C26" w:rsidP="006103A2">
            <w:pPr>
              <w:pStyle w:val="TOC1"/>
              <w:spacing w:before="0"/>
              <w:rPr>
                <w:rFonts w:eastAsiaTheme="minorEastAsia"/>
                <w:sz w:val="20"/>
                <w:lang w:eastAsia="zh-TW"/>
              </w:rPr>
            </w:pPr>
            <w:hyperlink w:anchor="_Toc82252409" w:history="1">
              <w:r w:rsidR="0037367A" w:rsidRPr="006103A2">
                <w:rPr>
                  <w:rStyle w:val="afc"/>
                  <w:sz w:val="20"/>
                  <w:lang w:eastAsia="zh-TW"/>
                </w:rPr>
                <w:t>Proposal 9</w:t>
              </w:r>
              <w:r w:rsidR="00A913FA" w:rsidRPr="006103A2">
                <w:rPr>
                  <w:rFonts w:eastAsiaTheme="minorEastAsia"/>
                  <w:sz w:val="20"/>
                </w:rPr>
                <w:t xml:space="preserve"> </w:t>
              </w:r>
              <w:r w:rsidR="0037367A" w:rsidRPr="006103A2">
                <w:rPr>
                  <w:rStyle w:val="afc"/>
                  <w:sz w:val="20"/>
                  <w:lang w:eastAsia="zh-TW"/>
                </w:rPr>
                <w:t>The new aggregation factor IE, e.g., pdsch-AggregationFactor-r17, shall be configured per HARQ process via RRC signaling.</w:t>
              </w:r>
            </w:hyperlink>
          </w:p>
          <w:p w14:paraId="0AE895E9" w14:textId="52BF2DA8" w:rsidR="0037367A" w:rsidRPr="006103A2" w:rsidRDefault="00691C26" w:rsidP="006103A2">
            <w:pPr>
              <w:pStyle w:val="TOC1"/>
              <w:spacing w:before="0"/>
              <w:rPr>
                <w:rFonts w:eastAsiaTheme="minorEastAsia"/>
                <w:sz w:val="20"/>
                <w:lang w:eastAsia="zh-TW"/>
              </w:rPr>
            </w:pPr>
            <w:hyperlink w:anchor="_Toc82252410" w:history="1">
              <w:r w:rsidR="0037367A" w:rsidRPr="006103A2">
                <w:rPr>
                  <w:rStyle w:val="afc"/>
                  <w:sz w:val="20"/>
                  <w:lang w:eastAsia="zh-TW"/>
                </w:rPr>
                <w:t>Proposal 10</w:t>
              </w:r>
              <w:r w:rsidR="00A913FA" w:rsidRPr="006103A2">
                <w:rPr>
                  <w:rFonts w:eastAsiaTheme="minorEastAsia"/>
                  <w:sz w:val="20"/>
                </w:rPr>
                <w:t xml:space="preserve"> </w:t>
              </w:r>
              <w:r w:rsidR="0037367A" w:rsidRPr="006103A2">
                <w:rPr>
                  <w:rStyle w:val="afc"/>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691C26" w:rsidP="006103A2">
            <w:pPr>
              <w:pStyle w:val="TOC1"/>
              <w:spacing w:before="0"/>
              <w:rPr>
                <w:rFonts w:eastAsia="Malgun Gothic"/>
                <w:sz w:val="20"/>
                <w:lang w:eastAsia="ko-KR"/>
              </w:rPr>
            </w:pPr>
            <w:hyperlink w:anchor="_Toc82252411" w:history="1">
              <w:r w:rsidR="0037367A" w:rsidRPr="006103A2">
                <w:rPr>
                  <w:rStyle w:val="afc"/>
                  <w:sz w:val="20"/>
                  <w:lang w:eastAsia="zh-TW"/>
                </w:rPr>
                <w:t>Proposal 11</w:t>
              </w:r>
              <w:r w:rsidR="00A913FA" w:rsidRPr="006103A2">
                <w:rPr>
                  <w:rFonts w:eastAsiaTheme="minorEastAsia"/>
                  <w:sz w:val="20"/>
                </w:rPr>
                <w:t xml:space="preserve"> </w:t>
              </w:r>
              <w:r w:rsidR="0037367A" w:rsidRPr="006103A2">
                <w:rPr>
                  <w:rStyle w:val="afc"/>
                  <w:sz w:val="20"/>
                  <w:lang w:eastAsia="zh-TW"/>
                </w:rPr>
                <w:t>A new aggregation factor, e.g.,</w:t>
              </w:r>
              <w:r w:rsidR="0037367A" w:rsidRPr="006103A2">
                <w:rPr>
                  <w:rStyle w:val="afc"/>
                  <w:sz w:val="20"/>
                </w:rPr>
                <w:t xml:space="preserve"> </w:t>
              </w:r>
              <w:r w:rsidR="0037367A" w:rsidRPr="006103A2">
                <w:rPr>
                  <w:rStyle w:val="afc"/>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 xml:space="preserve">Proposal 12: The reduced DM-RS density in frequency should be supported to improve the performance </w:t>
            </w:r>
            <w:r w:rsidRPr="006103A2">
              <w:rPr>
                <w:lang w:eastAsia="zh-CN"/>
              </w:rPr>
              <w:lastRenderedPageBreak/>
              <w:t>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7"/>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c"/>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691C26" w:rsidP="006103A2">
            <w:pPr>
              <w:pStyle w:val="aff7"/>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c"/>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691C26" w:rsidP="006103A2">
            <w:pPr>
              <w:pStyle w:val="aff7"/>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c"/>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691C26" w:rsidP="006103A2">
            <w:pPr>
              <w:pStyle w:val="aff7"/>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c"/>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691C26" w:rsidP="006103A2">
            <w:pPr>
              <w:pStyle w:val="aff7"/>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c"/>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691C26" w:rsidP="006103A2">
            <w:pPr>
              <w:pStyle w:val="aff7"/>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c"/>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 xml:space="preserve">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w:t>
              </w:r>
              <w:r w:rsidR="00801F1F" w:rsidRPr="006103A2">
                <w:rPr>
                  <w:rStyle w:val="afc"/>
                  <w:rFonts w:ascii="Times New Roman" w:hAnsi="Times New Roman" w:cs="Times New Roman"/>
                  <w:b w:val="0"/>
                  <w:noProof/>
                  <w:sz w:val="20"/>
                  <w:szCs w:val="20"/>
                </w:rPr>
                <w:lastRenderedPageBreak/>
                <w:t>is disabled.</w:t>
              </w:r>
            </w:hyperlink>
          </w:p>
          <w:p w14:paraId="0C261A3D" w14:textId="3A27AAF5" w:rsidR="00801F1F" w:rsidRPr="006103A2" w:rsidRDefault="00801F1F" w:rsidP="006103A2">
            <w:pPr>
              <w:pStyle w:val="ae"/>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7"/>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c"/>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691C26" w:rsidP="006103A2">
            <w:pPr>
              <w:pStyle w:val="aff7"/>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c"/>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691C26" w:rsidP="006103A2">
            <w:pPr>
              <w:pStyle w:val="aff7"/>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c"/>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691C26" w:rsidP="006103A2">
            <w:pPr>
              <w:pStyle w:val="aff7"/>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c"/>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c"/>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c"/>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691C26" w:rsidP="006103A2">
            <w:pPr>
              <w:pStyle w:val="aff7"/>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c"/>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Type-2 HARQ codebook:</w:t>
              </w:r>
              <w:r w:rsidR="00801F1F" w:rsidRPr="006103A2">
                <w:rPr>
                  <w:rStyle w:val="afc"/>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c"/>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691C26" w:rsidP="006103A2">
            <w:pPr>
              <w:pStyle w:val="aff7"/>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c"/>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691C26" w:rsidP="006103A2">
            <w:pPr>
              <w:pStyle w:val="aff7"/>
              <w:tabs>
                <w:tab w:val="right" w:leader="dot" w:pos="9629"/>
              </w:tabs>
              <w:spacing w:after="0"/>
              <w:rPr>
                <w:rFonts w:ascii="Times New Roman" w:hAnsi="Times New Roman" w:cs="Times New Roman"/>
                <w:b w:val="0"/>
                <w:sz w:val="20"/>
                <w:szCs w:val="20"/>
              </w:rPr>
            </w:pPr>
            <w:hyperlink w:anchor="_Toc84017328" w:history="1">
              <w:r w:rsidR="00801F1F" w:rsidRPr="006103A2">
                <w:rPr>
                  <w:rStyle w:val="afc"/>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c"/>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c"/>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9"/>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w:t>
            </w:r>
            <w:r w:rsidRPr="006103A2">
              <w:lastRenderedPageBreak/>
              <w:t xml:space="preserve">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aff0"/>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lastRenderedPageBreak/>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1974C2">
            <w:pPr>
              <w:pStyle w:val="aff0"/>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aff0"/>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f0"/>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DCIs of PDSCH with feedback-disabled HARQ processes, the values of the C-DAI and T-DAI are the same of the C-DAI and T-DAI of the most recent DCI of a PDSCH with a feedback-</w:t>
            </w:r>
            <w:r w:rsidRPr="006103A2">
              <w:lastRenderedPageBreak/>
              <w:t xml:space="preserve">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aff0"/>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aff0"/>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aff0"/>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6A582" w14:textId="77777777" w:rsidR="00691C26" w:rsidRDefault="00691C26">
      <w:pPr>
        <w:spacing w:after="0"/>
      </w:pPr>
      <w:r>
        <w:separator/>
      </w:r>
    </w:p>
  </w:endnote>
  <w:endnote w:type="continuationSeparator" w:id="0">
    <w:p w14:paraId="5A700B04" w14:textId="77777777" w:rsidR="00691C26" w:rsidRDefault="00691C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CE7D9A" w:rsidRDefault="00CE7D9A">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CE7D9A" w:rsidRDefault="00CE7D9A">
    <w:pPr>
      <w:pStyle w:val="af1"/>
      <w:ind w:right="360"/>
    </w:pPr>
  </w:p>
  <w:p w14:paraId="5E0AA512" w14:textId="77777777" w:rsidR="00CE7D9A" w:rsidRDefault="00CE7D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677EB45" w:rsidR="00CE7D9A" w:rsidRDefault="00CE7D9A">
    <w:pPr>
      <w:pStyle w:val="af1"/>
      <w:ind w:right="360"/>
    </w:pPr>
    <w:r>
      <w:rPr>
        <w:rStyle w:val="af9"/>
      </w:rPr>
      <w:fldChar w:fldCharType="begin"/>
    </w:r>
    <w:r>
      <w:rPr>
        <w:rStyle w:val="af9"/>
      </w:rPr>
      <w:instrText xml:space="preserve"> PAGE </w:instrText>
    </w:r>
    <w:r>
      <w:rPr>
        <w:rStyle w:val="af9"/>
      </w:rPr>
      <w:fldChar w:fldCharType="separate"/>
    </w:r>
    <w:r w:rsidR="00D047DD">
      <w:rPr>
        <w:rStyle w:val="af9"/>
        <w:noProof/>
      </w:rPr>
      <w:t>32</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D047DD">
      <w:rPr>
        <w:rStyle w:val="af9"/>
        <w:noProof/>
      </w:rPr>
      <w:t>52</w:t>
    </w:r>
    <w:r>
      <w:rPr>
        <w:rStyle w:val="af9"/>
      </w:rPr>
      <w:fldChar w:fldCharType="end"/>
    </w:r>
  </w:p>
  <w:p w14:paraId="7BDCDC6E" w14:textId="77777777" w:rsidR="00CE7D9A" w:rsidRDefault="00CE7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C9EDC" w14:textId="77777777" w:rsidR="00691C26" w:rsidRDefault="00691C26">
      <w:pPr>
        <w:spacing w:after="0"/>
      </w:pPr>
      <w:r>
        <w:separator/>
      </w:r>
    </w:p>
  </w:footnote>
  <w:footnote w:type="continuationSeparator" w:id="0">
    <w:p w14:paraId="7DEB85EA" w14:textId="77777777" w:rsidR="00691C26" w:rsidRDefault="00691C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CE7D9A" w:rsidRDefault="00CE7D9A">
    <w:r>
      <w:t xml:space="preserve">Page </w:t>
    </w:r>
    <w:r>
      <w:fldChar w:fldCharType="begin"/>
    </w:r>
    <w:r>
      <w:instrText>PAGE</w:instrText>
    </w:r>
    <w:r>
      <w:fldChar w:fldCharType="separate"/>
    </w:r>
    <w:r>
      <w:t>1</w:t>
    </w:r>
    <w:r>
      <w:fldChar w:fldCharType="end"/>
    </w:r>
  </w:p>
  <w:p w14:paraId="46AD2BF3" w14:textId="77777777" w:rsidR="00CE7D9A" w:rsidRDefault="00CE7D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4"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 w:numId="57">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09D"/>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1FA2"/>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46B"/>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984"/>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5D"/>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8D7"/>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8E3"/>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000"/>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A4F"/>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27A"/>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27F"/>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566"/>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C26"/>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1A5"/>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647"/>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6C9"/>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05"/>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12B"/>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4CB"/>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709"/>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11"/>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631"/>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72"/>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1FC0"/>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4777"/>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4A3"/>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7DD"/>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E61"/>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21B"/>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7D"/>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162"/>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1C0"/>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596"/>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667"/>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0B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9CE"/>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00CC90F9-52C7-4CF7-BEB8-380E9239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004E3"/>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목록 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aff9">
    <w:name w:val="No Spacing"/>
    <w:aliases w:val="동현일반"/>
    <w:basedOn w:val="a1"/>
    <w:link w:val="affa"/>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a">
    <w:name w:val="无间隔 字符"/>
    <w:aliases w:val="동현일반 字符"/>
    <w:basedOn w:val="a2"/>
    <w:link w:val="aff9"/>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20980199">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F81EF7-B026-4CB1-99EB-142CEBD8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53</Pages>
  <Words>21659</Words>
  <Characters>123457</Characters>
  <Application>Microsoft Office Word</Application>
  <DocSecurity>0</DocSecurity>
  <Lines>1028</Lines>
  <Paragraphs>289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144827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Yong Wang</cp:lastModifiedBy>
  <cp:revision>7</cp:revision>
  <cp:lastPrinted>2011-11-09T07:49:00Z</cp:lastPrinted>
  <dcterms:created xsi:type="dcterms:W3CDTF">2021-10-14T12:14:00Z</dcterms:created>
  <dcterms:modified xsi:type="dcterms:W3CDTF">2021-10-14T13:05:00Z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