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맑은 고딕"/>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맑은 고딕"/>
                <w:lang w:eastAsia="ko-KR"/>
              </w:rPr>
            </w:pPr>
            <w:r>
              <w:rPr>
                <w:rFonts w:eastAsia="맑은 고딕"/>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맑은 고딕"/>
                <w:lang w:eastAsia="ko-KR"/>
              </w:rPr>
            </w:pPr>
            <w:r w:rsidRPr="009A4B48">
              <w:rPr>
                <w:rFonts w:eastAsia="맑은 고딕"/>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맑은 고딕"/>
                <w:lang w:eastAsia="ko-KR"/>
              </w:rPr>
              <w:t>Since fall</w:t>
            </w:r>
            <w:r w:rsidRPr="00BD6979">
              <w:rPr>
                <w:rFonts w:eastAsia="맑은 고딕"/>
                <w:lang w:eastAsia="ko-KR"/>
              </w:rPr>
              <w:t>back DCI is designed for robustness and suppor</w:t>
            </w:r>
            <w:r>
              <w:rPr>
                <w:rFonts w:eastAsia="맑은 고딕"/>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맑은 고딕"/>
                <w:lang w:eastAsia="ko-KR"/>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맑은 고딕"/>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맑은 고딕"/>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맑은 고딕"/>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맑은 고딕"/>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맑은 고딕"/>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맑은 고딕"/>
                <w:lang w:eastAsia="ko-KR"/>
              </w:rPr>
            </w:pPr>
            <w:r>
              <w:rPr>
                <w:rFonts w:eastAsia="맑은 고딕"/>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맑은 고딕"/>
                <w:lang w:eastAsia="ko-KR"/>
              </w:rPr>
            </w:pPr>
            <w:r>
              <w:rPr>
                <w:rFonts w:eastAsia="맑은 고딕"/>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맑은 고딕"/>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맑은 고딕"/>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맑은 고딕"/>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맑은 고딕"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맑은 고딕"/>
                <w:lang w:eastAsia="ko-KR"/>
              </w:rPr>
              <w:t>If the down selection had to b</w:t>
            </w:r>
            <w:r>
              <w:rPr>
                <w:rFonts w:eastAsia="맑은 고딕"/>
                <w:lang w:eastAsia="ko-KR"/>
              </w:rPr>
              <w:t xml:space="preserve">e considered based on the </w:t>
            </w:r>
            <w:r w:rsidRPr="001041BC">
              <w:rPr>
                <w:rFonts w:eastAsia="맑은 고딕"/>
                <w:lang w:eastAsia="ko-KR"/>
              </w:rPr>
              <w:t>agreement</w:t>
            </w:r>
            <w:r>
              <w:rPr>
                <w:rFonts w:eastAsia="맑은 고딕"/>
                <w:lang w:eastAsia="ko-KR"/>
              </w:rPr>
              <w:t xml:space="preserve"> made in RAN1#106e</w:t>
            </w:r>
            <w:r w:rsidRPr="001041BC">
              <w:rPr>
                <w:rFonts w:eastAsia="맑은 고딕"/>
                <w:lang w:eastAsia="ko-KR"/>
              </w:rPr>
              <w:t xml:space="preserve">, our preference is </w:t>
            </w:r>
            <w:r>
              <w:rPr>
                <w:rFonts w:eastAsia="맑은 고딕"/>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맑은 고딕"/>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맑은 고딕"/>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맑은 고딕"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맑은 고딕"/>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맑은 고딕"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맑은 고딕"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맑은 고딕"/>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맑은 고딕"/>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맑은 고딕"/>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맑은 고딕"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맑은 고딕"/>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맑은 고딕"/>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맑은 고딕"/>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맑은 고딕"/>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맑은 고딕"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맑은 고딕"/>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바탕" w:hAnsi="Times"/>
          <w:lang w:eastAsia="x-none"/>
        </w:rPr>
        <w:t xml:space="preserve">the SPS PDSCHs are configured to correspond to enabled HARQ processes, or </w:t>
      </w:r>
      <w:r w:rsidRPr="0086137D">
        <w:rPr>
          <w:lang w:eastAsia="zh-CN"/>
        </w:rPr>
        <w:t>to</w:t>
      </w:r>
      <w:r w:rsidRPr="0086137D">
        <w:rPr>
          <w:rFonts w:ascii="Times" w:eastAsia="바탕"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맑은 고딕"/>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맑은 고딕"/>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맑은 고딕"/>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맑은 고딕"/>
                <w:lang w:eastAsia="ko-KR"/>
              </w:rPr>
            </w:pPr>
            <w:r>
              <w:rPr>
                <w:rFonts w:eastAsia="맑은 고딕"/>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맑은 고딕"/>
                <w:lang w:eastAsia="ko-KR"/>
              </w:rPr>
            </w:pPr>
            <w:r>
              <w:rPr>
                <w:rFonts w:eastAsia="맑은 고딕"/>
                <w:lang w:eastAsia="ko-KR"/>
              </w:rPr>
              <w:t>To our understanding, f</w:t>
            </w:r>
            <w:r w:rsidR="00A178C5" w:rsidRPr="00A178C5">
              <w:rPr>
                <w:rFonts w:eastAsia="맑은 고딕"/>
                <w:lang w:eastAsia="ko-KR"/>
              </w:rPr>
              <w:t xml:space="preserve">or the DCI carrying the SPS PDSCH release, the </w:t>
            </w:r>
            <w:r w:rsidR="00A178C5">
              <w:rPr>
                <w:rFonts w:eastAsia="맑은 고딕"/>
                <w:lang w:eastAsia="ko-KR"/>
              </w:rPr>
              <w:t>legacy behaviour is HARQ-ACK for the DCI is included in the HARQ-ACK codebook.</w:t>
            </w:r>
            <w:r w:rsidRPr="000418C5">
              <w:rPr>
                <w:sz w:val="22"/>
              </w:rPr>
              <w:t xml:space="preserve"> </w:t>
            </w:r>
            <w:r>
              <w:rPr>
                <w:rFonts w:eastAsia="맑은 고딕"/>
                <w:lang w:eastAsia="ko-KR"/>
              </w:rPr>
              <w:t xml:space="preserve">For the </w:t>
            </w:r>
            <w:r w:rsidRPr="00A178C5">
              <w:rPr>
                <w:rFonts w:eastAsia="맑은 고딕"/>
                <w:lang w:eastAsia="ko-KR"/>
              </w:rPr>
              <w:t>DCI carrying the SPS PDSCH activation,</w:t>
            </w:r>
            <w:r>
              <w:rPr>
                <w:rFonts w:eastAsia="맑은 고딕"/>
                <w:lang w:eastAsia="ko-KR"/>
              </w:rPr>
              <w:t xml:space="preserve"> </w:t>
            </w:r>
            <w:r w:rsidRPr="00A178C5">
              <w:rPr>
                <w:rFonts w:eastAsia="맑은 고딕"/>
                <w:lang w:eastAsia="ko-KR"/>
              </w:rPr>
              <w:t xml:space="preserve">the </w:t>
            </w:r>
            <w:r>
              <w:rPr>
                <w:rFonts w:eastAsia="맑은 고딕"/>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맑은 고딕"/>
                <w:lang w:eastAsia="ko-KR"/>
              </w:rPr>
            </w:pPr>
            <w:r>
              <w:rPr>
                <w:rFonts w:eastAsia="맑은 고딕"/>
                <w:lang w:eastAsia="ko-KR"/>
              </w:rPr>
              <w:t>F</w:t>
            </w:r>
            <w:r w:rsidRPr="00A178C5">
              <w:rPr>
                <w:rFonts w:eastAsia="맑은 고딕"/>
                <w:lang w:eastAsia="ko-KR"/>
              </w:rPr>
              <w:t>or the DCI carrying the SPS PDSCH release</w:t>
            </w:r>
            <w:r>
              <w:rPr>
                <w:rFonts w:eastAsia="맑은 고딕"/>
                <w:lang w:eastAsia="ko-KR"/>
              </w:rPr>
              <w:t>, we</w:t>
            </w:r>
            <w:r w:rsidR="00A178C5">
              <w:rPr>
                <w:rFonts w:eastAsia="맑은 고딕"/>
                <w:lang w:eastAsia="ko-KR"/>
              </w:rPr>
              <w:t xml:space="preserve"> think the legacy behaviour could be kept.</w:t>
            </w:r>
          </w:p>
          <w:p w14:paraId="6B3546A7" w14:textId="77777777" w:rsidR="00E3073B" w:rsidRDefault="00B31408" w:rsidP="00115F2B">
            <w:pPr>
              <w:snapToGrid w:val="0"/>
              <w:spacing w:after="60"/>
              <w:ind w:left="360"/>
              <w:rPr>
                <w:rFonts w:eastAsia="맑은 고딕"/>
                <w:lang w:eastAsia="ko-KR"/>
              </w:rPr>
            </w:pPr>
            <w:r>
              <w:rPr>
                <w:rFonts w:eastAsia="맑은 고딕"/>
                <w:lang w:eastAsia="ko-KR"/>
              </w:rPr>
              <w:lastRenderedPageBreak/>
              <w:t>F</w:t>
            </w:r>
            <w:r w:rsidRPr="00A178C5">
              <w:rPr>
                <w:rFonts w:eastAsia="맑은 고딕"/>
                <w:lang w:eastAsia="ko-KR"/>
              </w:rPr>
              <w:t xml:space="preserve">or the DCI carrying the SPS PDSCH </w:t>
            </w:r>
            <w:r>
              <w:rPr>
                <w:sz w:val="22"/>
                <w:lang w:eastAsia="zh-CN"/>
              </w:rPr>
              <w:t>activation</w:t>
            </w:r>
            <w:r w:rsidR="00991C97">
              <w:rPr>
                <w:rFonts w:eastAsia="맑은 고딕"/>
                <w:lang w:eastAsia="ko-KR"/>
              </w:rPr>
              <w:t xml:space="preserve">, </w:t>
            </w:r>
            <w:r w:rsidR="00991C97" w:rsidRPr="00E67A85">
              <w:rPr>
                <w:rFonts w:eastAsia="맑은 고딕"/>
                <w:lang w:eastAsia="ko-KR"/>
              </w:rPr>
              <w:t>if feedback-disabled HARQ process is used for SPS PDSCH</w:t>
            </w:r>
            <w:r w:rsidR="00991C97">
              <w:rPr>
                <w:rFonts w:eastAsia="맑은 고딕"/>
                <w:lang w:eastAsia="ko-KR"/>
              </w:rPr>
              <w:t xml:space="preserve">, and the </w:t>
            </w:r>
            <w:r w:rsidR="00991C97" w:rsidRPr="00E67A85">
              <w:rPr>
                <w:rFonts w:eastAsia="맑은 고딕"/>
                <w:lang w:eastAsia="ko-KR"/>
              </w:rPr>
              <w:t xml:space="preserve">SPS PDSCHs other than the </w:t>
            </w:r>
            <w:r>
              <w:rPr>
                <w:rFonts w:eastAsia="맑은 고딕"/>
                <w:lang w:eastAsia="ko-KR"/>
              </w:rPr>
              <w:t>1</w:t>
            </w:r>
            <w:r w:rsidRPr="00B31408">
              <w:rPr>
                <w:rFonts w:eastAsia="맑은 고딕"/>
                <w:vertAlign w:val="superscript"/>
                <w:lang w:eastAsia="ko-KR"/>
              </w:rPr>
              <w:t>st</w:t>
            </w:r>
            <w:r>
              <w:rPr>
                <w:rFonts w:eastAsia="맑은 고딕"/>
                <w:lang w:eastAsia="ko-KR"/>
              </w:rPr>
              <w:t xml:space="preserve"> </w:t>
            </w:r>
            <w:r w:rsidR="00991C97" w:rsidRPr="00E67A85">
              <w:rPr>
                <w:rFonts w:eastAsia="맑은 고딕"/>
                <w:lang w:eastAsia="ko-KR"/>
              </w:rPr>
              <w:t>scheduled SPS PDSCH</w:t>
            </w:r>
            <w:r w:rsidR="00E67A85">
              <w:rPr>
                <w:rFonts w:eastAsia="맑은 고딕"/>
                <w:lang w:eastAsia="ko-KR"/>
              </w:rPr>
              <w:t xml:space="preserve"> is without corresponding HARQ-ACK feedback</w:t>
            </w:r>
            <w:r w:rsidR="00991C97" w:rsidRPr="00E67A85">
              <w:rPr>
                <w:rFonts w:eastAsia="맑은 고딕"/>
                <w:lang w:eastAsia="ko-KR"/>
              </w:rPr>
              <w:t>,</w:t>
            </w:r>
            <w:r w:rsidR="00E67A85">
              <w:rPr>
                <w:rFonts w:eastAsia="맑은 고딕"/>
                <w:lang w:eastAsia="ko-KR"/>
              </w:rPr>
              <w:t xml:space="preserve"> it is meaningless to report HARQ-ACK for the </w:t>
            </w:r>
            <w:r w:rsidR="004C723B">
              <w:rPr>
                <w:rFonts w:eastAsia="맑은 고딕"/>
                <w:lang w:eastAsia="ko-KR"/>
              </w:rPr>
              <w:t>1</w:t>
            </w:r>
            <w:r w:rsidR="004C723B">
              <w:rPr>
                <w:rFonts w:eastAsia="맑은 고딕"/>
                <w:vertAlign w:val="superscript"/>
                <w:lang w:eastAsia="ko-KR"/>
              </w:rPr>
              <w:t xml:space="preserve">st </w:t>
            </w:r>
            <w:r w:rsidR="004C723B">
              <w:rPr>
                <w:rFonts w:eastAsia="맑은 고딕"/>
                <w:lang w:eastAsia="ko-KR"/>
              </w:rPr>
              <w:t>SPS PDSCH.</w:t>
            </w:r>
            <w:r>
              <w:rPr>
                <w:rFonts w:eastAsia="맑은 고딕"/>
                <w:lang w:eastAsia="ko-KR"/>
              </w:rPr>
              <w:t xml:space="preserve"> Suppose NACK is feedback</w:t>
            </w:r>
            <w:r w:rsidR="00E3073B">
              <w:rPr>
                <w:rFonts w:eastAsia="맑은 고딕"/>
                <w:lang w:eastAsia="ko-KR"/>
              </w:rPr>
              <w:t>ed</w:t>
            </w:r>
            <w:r>
              <w:rPr>
                <w:rFonts w:eastAsia="맑은 고딕"/>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맑은 고딕"/>
                <w:lang w:eastAsia="ko-KR"/>
              </w:rPr>
              <w:t>, gNB could not decide th</w:t>
            </w:r>
            <w:r w:rsidR="00115F2B">
              <w:rPr>
                <w:rFonts w:eastAsia="맑은 고딕"/>
                <w:lang w:eastAsia="ko-KR"/>
              </w:rPr>
              <w:t>is</w:t>
            </w:r>
            <w:r w:rsidR="009827E0">
              <w:rPr>
                <w:rFonts w:eastAsia="맑은 고딕"/>
                <w:lang w:eastAsia="ko-KR"/>
              </w:rPr>
              <w:t xml:space="preserve"> </w:t>
            </w:r>
            <w:r w:rsidR="00115F2B">
              <w:rPr>
                <w:rFonts w:eastAsia="맑은 고딕"/>
                <w:lang w:eastAsia="ko-KR"/>
              </w:rPr>
              <w:t>“</w:t>
            </w:r>
            <w:r w:rsidR="009827E0">
              <w:rPr>
                <w:rFonts w:eastAsia="맑은 고딕"/>
                <w:lang w:eastAsia="ko-KR"/>
              </w:rPr>
              <w:t>NACK</w:t>
            </w:r>
            <w:r w:rsidR="00115F2B">
              <w:rPr>
                <w:rFonts w:eastAsia="맑은 고딕"/>
                <w:lang w:eastAsia="ko-KR"/>
              </w:rPr>
              <w:t xml:space="preserve">” </w:t>
            </w:r>
            <w:r w:rsidR="009827E0">
              <w:rPr>
                <w:rFonts w:eastAsia="맑은 고딕"/>
                <w:lang w:eastAsia="ko-KR"/>
              </w:rPr>
              <w:t>denotes the 1</w:t>
            </w:r>
            <w:r w:rsidR="009827E0" w:rsidRPr="009827E0">
              <w:rPr>
                <w:rFonts w:eastAsia="맑은 고딕"/>
                <w:vertAlign w:val="superscript"/>
                <w:lang w:eastAsia="ko-KR"/>
              </w:rPr>
              <w:t>st</w:t>
            </w:r>
            <w:r w:rsidR="009827E0">
              <w:rPr>
                <w:rFonts w:eastAsia="맑은 고딕"/>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맑은 고딕"/>
                <w:lang w:eastAsia="ko-KR"/>
              </w:rPr>
              <w:t>is missed.</w:t>
            </w:r>
            <w:r w:rsidR="00115F2B">
              <w:rPr>
                <w:rFonts w:eastAsia="맑은 고딕"/>
                <w:lang w:eastAsia="ko-KR"/>
              </w:rPr>
              <w:t xml:space="preserve"> </w:t>
            </w:r>
          </w:p>
          <w:p w14:paraId="7C5DF402" w14:textId="79410486" w:rsidR="00A178C5" w:rsidRPr="00A178C5" w:rsidRDefault="00115F2B" w:rsidP="00E3073B">
            <w:pPr>
              <w:snapToGrid w:val="0"/>
              <w:spacing w:after="60"/>
              <w:ind w:left="360"/>
              <w:rPr>
                <w:rFonts w:eastAsia="맑은 고딕"/>
                <w:lang w:eastAsia="ko-KR"/>
              </w:rPr>
            </w:pPr>
            <w:r>
              <w:rPr>
                <w:rFonts w:eastAsia="맑은 고딕"/>
                <w:lang w:eastAsia="ko-KR"/>
              </w:rPr>
              <w:t>Since HARQ-ACK for the 1</w:t>
            </w:r>
            <w:r>
              <w:rPr>
                <w:rFonts w:eastAsia="맑은 고딕"/>
                <w:vertAlign w:val="superscript"/>
                <w:lang w:eastAsia="ko-KR"/>
              </w:rPr>
              <w:t xml:space="preserve">st </w:t>
            </w:r>
            <w:r>
              <w:rPr>
                <w:rFonts w:eastAsia="맑은 고딕"/>
                <w:lang w:eastAsia="ko-KR"/>
              </w:rPr>
              <w:t xml:space="preserve">SPS PDSCH is not used for further scheduling, HARQ-ACK corresponding to the </w:t>
            </w:r>
            <w:r w:rsidRPr="00A178C5">
              <w:rPr>
                <w:rFonts w:eastAsia="맑은 고딕"/>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맑은 고딕"/>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맑은 고딕"/>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맑은 고딕"/>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맑은 고딕"/>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맑은 고딕"/>
                <w:lang w:eastAsia="ko-KR"/>
              </w:rPr>
            </w:pPr>
            <w:r>
              <w:rPr>
                <w:rFonts w:eastAsia="맑은 고딕"/>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맑은 고딕" w:hint="eastAsia"/>
                <w:noProof/>
                <w:lang w:eastAsia="ko-KR"/>
              </w:rPr>
              <w:t xml:space="preserve">Same view with CATT that </w:t>
            </w:r>
            <w:r>
              <w:rPr>
                <w:rFonts w:eastAsia="맑은 고딕"/>
                <w:noProof/>
                <w:lang w:eastAsia="ko-KR"/>
              </w:rPr>
              <w:t>t</w:t>
            </w:r>
            <w:r w:rsidRPr="00497736">
              <w:rPr>
                <w:rFonts w:eastAsia="맑은 고딕"/>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맑은 고딕"/>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맑은 고딕" w:hAnsi="Times New Roman"/>
          <w:sz w:val="20"/>
          <w:szCs w:val="20"/>
        </w:rPr>
        <w:t>t</w:t>
      </w:r>
      <w:r w:rsidR="004A39CA" w:rsidRPr="00936090">
        <w:rPr>
          <w:rFonts w:ascii="Times New Roman" w:eastAsia="맑은 고딕"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맑은 고딕" w:hAnsi="Times New Roman"/>
          <w:sz w:val="20"/>
          <w:szCs w:val="20"/>
        </w:rPr>
        <w:t xml:space="preserve">). </w:t>
      </w:r>
      <w:r w:rsidR="002B3556" w:rsidRPr="00936090">
        <w:rPr>
          <w:rFonts w:ascii="Times New Roman" w:eastAsia="맑은 고딕"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맑은 고딕"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맑은 고딕"/>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맑은 고딕"/>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맑은 고딕"/>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맑은 고딕"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맑은 고딕"/>
                <w:lang w:eastAsia="ko-KR"/>
              </w:rPr>
            </w:pPr>
            <w:r>
              <w:rPr>
                <w:rFonts w:eastAsia="맑은 고딕"/>
                <w:lang w:eastAsia="ko-KR"/>
              </w:rPr>
              <w:t>We prefer 32 rather than 16 in order to guarantee safer transmission</w:t>
            </w:r>
          </w:p>
          <w:p w14:paraId="208F0995" w14:textId="475B6E52" w:rsidR="00D80C2A" w:rsidRPr="00D80C2A" w:rsidRDefault="00D80C2A" w:rsidP="00BC4B3B">
            <w:pPr>
              <w:snapToGrid w:val="0"/>
              <w:ind w:left="360"/>
              <w:rPr>
                <w:rFonts w:eastAsia="맑은 고딕"/>
                <w:lang w:eastAsia="ko-KR"/>
              </w:rPr>
            </w:pPr>
            <w:r>
              <w:rPr>
                <w:rFonts w:eastAsia="맑은 고딕"/>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맑은 고딕"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맑은 고딕"/>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맑은 고딕" w:cs="Arial"/>
                <w:lang w:eastAsia="ko-KR"/>
              </w:rPr>
            </w:pPr>
            <w:r>
              <w:rPr>
                <w:rFonts w:eastAsia="맑은 고딕"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맑은 고딕"/>
                <w:lang w:eastAsia="ko-KR"/>
              </w:rPr>
            </w:pPr>
            <w:r>
              <w:rPr>
                <w:rFonts w:eastAsia="맑은 고딕"/>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맑은 고딕"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맑은 고딕"/>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맑은 고딕"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맑은 고딕"/>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바탕" w:hAnsi="Times"/>
                <w:color w:val="000000" w:themeColor="text1"/>
                <w:lang w:eastAsia="x-none"/>
              </w:rPr>
              <w:t xml:space="preserve"> signalling</w:t>
            </w:r>
            <w:r>
              <w:rPr>
                <w:noProof/>
                <w:color w:val="000000" w:themeColor="text1"/>
                <w:lang w:eastAsia="zh-CN"/>
              </w:rPr>
              <w:t xml:space="preserve"> is disabled, the</w:t>
            </w:r>
            <w:r>
              <w:rPr>
                <w:rFonts w:ascii="Times" w:eastAsia="바탕"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맑은 고딕"/>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맑은 고딕"/>
                <w:lang w:eastAsia="ko-KR"/>
              </w:rPr>
            </w:pPr>
            <w:r>
              <w:rPr>
                <w:rFonts w:eastAsia="맑은 고딕"/>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95pt;height:185.95pt;mso-width-percent:0;mso-height-percent:0;mso-width-percent:0;mso-height-percent:0" o:ole="">
            <v:imagedata r:id="rId12" o:title=""/>
          </v:shape>
          <o:OLEObject Type="Embed" ProgID="Visio.Drawing.15" ShapeID="_x0000_i1025" DrawAspect="Content" ObjectID="_1695751912"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15pt;height:66.25pt;mso-width-percent:0;mso-height-percent:0;mso-width-percent:0;mso-height-percent:0" o:ole="">
            <v:imagedata r:id="rId14" o:title=""/>
          </v:shape>
          <o:OLEObject Type="Embed" ProgID="Visio.Drawing.15" ShapeID="_x0000_i1026" DrawAspect="Content" ObjectID="_1695751913" r:id="rId15"/>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3.6pt;height:84.35pt;mso-width-percent:0;mso-height-percent:0;mso-width-percent:0;mso-height-percent:0" o:ole="">
            <v:imagedata r:id="rId16" o:title=""/>
          </v:shape>
          <o:OLEObject Type="Embed" ProgID="Visio.Drawing.15" ShapeID="_x0000_i1027" DrawAspect="Content" ObjectID="_1695751914"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맑은 고딕"/>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맑은 고딕"/>
                <w:lang w:eastAsia="ko-KR"/>
              </w:rPr>
            </w:pPr>
            <w:r>
              <w:rPr>
                <w:rFonts w:eastAsia="맑은 고딕"/>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맑은 고딕"/>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맑은 고딕"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맑은 고딕"/>
          <w:lang w:eastAsia="ko-KR"/>
        </w:rPr>
        <w:t>Ericsson, MediaTek</w:t>
      </w:r>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w:t>
      </w:r>
      <w:r>
        <w:rPr>
          <w:lang w:eastAsia="zh-CN"/>
        </w:rPr>
        <w:lastRenderedPageBreak/>
        <w:t xml:space="preserve">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5F6C3A" w14:paraId="19CC03C0" w14:textId="77777777" w:rsidTr="005F6C3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F8A389" w14:textId="77777777" w:rsidR="005F6C3A" w:rsidRDefault="005F6C3A" w:rsidP="00C5630B">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3A69C6E" w14:textId="77777777" w:rsidR="005F6C3A" w:rsidRDefault="005F6C3A" w:rsidP="005F6C3A">
            <w:pPr>
              <w:snapToGrid w:val="0"/>
              <w:ind w:left="360"/>
            </w:pPr>
            <w:r>
              <w:t>Support, for Option-1a, we prefer modification from Ericsson.</w:t>
            </w:r>
          </w:p>
        </w:tc>
      </w:tr>
    </w:tbl>
    <w:p w14:paraId="7C59FCDF" w14:textId="77777777" w:rsidR="004D38F3" w:rsidRPr="005F6C3A"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lastRenderedPageBreak/>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5F6C3A" w14:paraId="1AA3738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73F3A" w14:textId="3C83FF60" w:rsidR="005F6C3A" w:rsidRDefault="005F6C3A" w:rsidP="005F6C3A">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011818A" w14:textId="2EE8D287" w:rsidR="005F6C3A" w:rsidRDefault="005F6C3A" w:rsidP="005F6C3A">
            <w:pPr>
              <w:snapToGrid w:val="0"/>
              <w:ind w:left="360"/>
            </w:pPr>
            <w:r>
              <w:t>Support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5F6C3A" w14:paraId="58A8A55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D1DF4" w14:textId="2D099B6D" w:rsidR="005F6C3A" w:rsidRDefault="005F6C3A" w:rsidP="005F6C3A">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1B02E219" w14:textId="649C6555" w:rsidR="005F6C3A" w:rsidRDefault="005F6C3A" w:rsidP="005F6C3A">
            <w:pPr>
              <w:snapToGrid w:val="0"/>
              <w:ind w:left="360"/>
            </w:pPr>
            <w:r>
              <w:t>We also agree that it is up to UE implementation.</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w:t>
      </w:r>
      <w:r w:rsidRPr="00AD5523">
        <w:rPr>
          <w:rFonts w:ascii="Times New Roman" w:eastAsia="SimSun" w:hAnsi="Times New Roman"/>
          <w:sz w:val="20"/>
          <w:szCs w:val="20"/>
          <w:lang w:val="en-GB" w:eastAsia="zh-CN"/>
        </w:rPr>
        <w:lastRenderedPageBreak/>
        <w:t xml:space="preserve">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5F6C3A" w14:paraId="3D4A90F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25FDB8" w14:textId="67531AA4" w:rsidR="005F6C3A" w:rsidRDefault="005F6C3A" w:rsidP="005F6C3A">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A31EC14" w14:textId="77777777" w:rsidR="005F6C3A" w:rsidRDefault="005F6C3A" w:rsidP="005F6C3A">
            <w:pPr>
              <w:snapToGrid w:val="0"/>
              <w:rPr>
                <w:rFonts w:eastAsia="맑은 고딕"/>
                <w:lang w:eastAsia="ko-KR"/>
              </w:rPr>
            </w:pPr>
            <w:r>
              <w:rPr>
                <w:rFonts w:eastAsia="맑은 고딕" w:hint="eastAsia"/>
                <w:lang w:eastAsia="ko-KR"/>
              </w:rPr>
              <w:t xml:space="preserve">Support. </w:t>
            </w:r>
            <w:r>
              <w:rPr>
                <w:rFonts w:eastAsia="맑은 고딕"/>
                <w:lang w:eastAsia="ko-KR"/>
              </w:rPr>
              <w:t>But, for the clarity, we can consider following modification.</w:t>
            </w:r>
          </w:p>
          <w:p w14:paraId="683AA7AF" w14:textId="77777777" w:rsidR="005F6C3A" w:rsidRPr="00700400" w:rsidRDefault="005F6C3A" w:rsidP="005F6C3A">
            <w:pPr>
              <w:snapToGrid w:val="0"/>
              <w:spacing w:after="0"/>
              <w:ind w:leftChars="100" w:left="200"/>
              <w:rPr>
                <w:color w:val="000000" w:themeColor="text1"/>
                <w:highlight w:val="yellow"/>
                <w:lang w:eastAsia="x-none"/>
              </w:rPr>
            </w:pPr>
            <w:r w:rsidRPr="00700400">
              <w:rPr>
                <w:color w:val="000000" w:themeColor="text1"/>
                <w:highlight w:val="yellow"/>
                <w:lang w:eastAsia="x-none"/>
              </w:rPr>
              <w:t xml:space="preserve">For the DCI carrying the SPS PDSCH activation: </w:t>
            </w:r>
          </w:p>
          <w:p w14:paraId="2D3FDE7C" w14:textId="77777777" w:rsidR="005F6C3A" w:rsidRPr="00700400" w:rsidRDefault="005F6C3A" w:rsidP="005F6C3A">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700400">
              <w:rPr>
                <w:rFonts w:ascii="Times New Roman" w:hAnsi="Times New Roman"/>
                <w:color w:val="000000" w:themeColor="text1"/>
                <w:sz w:val="20"/>
                <w:szCs w:val="20"/>
                <w:highlight w:val="yellow"/>
              </w:rPr>
              <w:t>DAI is increased for the DCI indicating SPS activation and ACK/NACK is reported by UE</w:t>
            </w:r>
            <w:r>
              <w:rPr>
                <w:rFonts w:ascii="Times New Roman" w:hAnsi="Times New Roman"/>
                <w:color w:val="FF0000"/>
                <w:sz w:val="20"/>
                <w:szCs w:val="20"/>
                <w:highlight w:val="yellow"/>
              </w:rPr>
              <w:t xml:space="preserve"> via PUCCH resource indicated by PRI field in activation DCI</w:t>
            </w:r>
            <w:r w:rsidRPr="00AD5523">
              <w:rPr>
                <w:rFonts w:ascii="Times New Roman" w:hAnsi="Times New Roman"/>
                <w:color w:val="FF0000"/>
                <w:sz w:val="20"/>
                <w:szCs w:val="20"/>
                <w:highlight w:val="yellow"/>
              </w:rPr>
              <w:t xml:space="preserve"> </w:t>
            </w:r>
            <w:r w:rsidRPr="00AD5523">
              <w:rPr>
                <w:rFonts w:ascii="Times New Roman" w:hAnsi="Times New Roman"/>
                <w:sz w:val="20"/>
                <w:szCs w:val="20"/>
                <w:highlight w:val="yellow"/>
                <w:lang w:eastAsia="x-none"/>
              </w:rPr>
              <w:t>if feedback-disabled HARQ process is configured for SPS PDSCH.</w:t>
            </w:r>
          </w:p>
          <w:p w14:paraId="63834067" w14:textId="77777777" w:rsidR="005F6C3A" w:rsidRDefault="005F6C3A" w:rsidP="005F6C3A">
            <w:pPr>
              <w:snapToGrid w:val="0"/>
            </w:pP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w:t>
      </w:r>
      <w:proofErr w:type="gramStart"/>
      <w:r>
        <w:rPr>
          <w:lang w:val="en-US" w:eastAsia="zh-CN"/>
        </w:rPr>
        <w:t>CMCC</w:t>
      </w:r>
      <w:proofErr w:type="gramEnd"/>
      <w:r>
        <w:rPr>
          <w:lang w:val="en-US" w:eastAsia="zh-CN"/>
        </w:rPr>
        <w:t xml:space="preserve">]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5F6C3A" w:rsidRPr="00E0777D" w14:paraId="0E02C510"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69073B" w14:textId="6881D68E" w:rsidR="005F6C3A" w:rsidRDefault="005F6C3A" w:rsidP="005F6C3A">
            <w:pPr>
              <w:jc w:val="center"/>
              <w:rPr>
                <w:rFonts w:cs="Arial"/>
              </w:rPr>
            </w:pPr>
            <w:r>
              <w:rPr>
                <w:rFonts w:eastAsia="맑은 고딕"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3473680" w14:textId="5810F8F9" w:rsidR="005F6C3A" w:rsidRDefault="005F6C3A" w:rsidP="005F6C3A">
            <w:pPr>
              <w:snapToGrid w:val="0"/>
              <w:ind w:left="360"/>
            </w:pPr>
            <w:r>
              <w:rPr>
                <w:rFonts w:eastAsia="맑은 고딕" w:hint="eastAsia"/>
                <w:lang w:eastAsia="ko-KR"/>
              </w:rPr>
              <w:t>Support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 xml:space="preserve">OPPO, CATT, ZTE, Nokia, Sony, FGI, Spreadtrum, MediaTek] support the proposal, and [Huawei] comments to support up to 32 in GEO </w:t>
      </w:r>
      <w:r w:rsidRPr="00403131">
        <w:rPr>
          <w:rFonts w:ascii="Times New Roman" w:eastAsia="SimSun" w:hAnsi="Times New Roman"/>
          <w:sz w:val="20"/>
          <w:szCs w:val="20"/>
          <w:lang w:val="en-GB" w:eastAsia="zh-CN"/>
        </w:rPr>
        <w:lastRenderedPageBreak/>
        <w:t>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맑은 고딕"/>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맑은 고딕"/>
                <w:lang w:eastAsia="ko-KR"/>
              </w:rPr>
            </w:pPr>
            <w:r w:rsidRPr="00855005">
              <w:rPr>
                <w:rFonts w:eastAsia="맑은 고딕"/>
                <w:lang w:eastAsia="ko-KR"/>
              </w:rPr>
              <w:t>Support</w:t>
            </w:r>
          </w:p>
        </w:tc>
      </w:tr>
      <w:tr w:rsidR="008506C9" w:rsidRPr="00E0777D" w14:paraId="20572E7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5F6C3A">
            <w:pPr>
              <w:snapToGrid w:val="0"/>
              <w:ind w:left="360"/>
              <w:rPr>
                <w:rFonts w:eastAsia="맑은 고딕"/>
                <w:lang w:eastAsia="ko-KR"/>
              </w:rPr>
            </w:pPr>
            <w:r>
              <w:rPr>
                <w:rFonts w:eastAsia="맑은 고딕"/>
                <w:lang w:eastAsia="ko-KR"/>
              </w:rPr>
              <w:t>We could live with either 8 or 16 HARQ processes.</w:t>
            </w:r>
          </w:p>
        </w:tc>
      </w:tr>
      <w:tr w:rsidR="005F6C3A" w:rsidRPr="00E0777D" w14:paraId="425BF80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8C95DF" w14:textId="43FD1B92" w:rsidR="005F6C3A" w:rsidRDefault="005F6C3A" w:rsidP="005F6C3A">
            <w:pPr>
              <w:jc w:val="center"/>
              <w:rPr>
                <w:rFonts w:cs="Arial"/>
              </w:rPr>
            </w:pPr>
            <w:r>
              <w:rPr>
                <w:rFonts w:eastAsia="맑은 고딕" w:cs="Arial" w:hint="eastAsia"/>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05E7285" w14:textId="60177D23" w:rsidR="005F6C3A" w:rsidRDefault="005F6C3A" w:rsidP="005F6C3A">
            <w:pPr>
              <w:snapToGrid w:val="0"/>
              <w:ind w:left="360"/>
              <w:rPr>
                <w:rFonts w:eastAsia="맑은 고딕"/>
                <w:lang w:eastAsia="ko-KR"/>
              </w:rPr>
            </w:pPr>
            <w:r>
              <w:rPr>
                <w:rFonts w:eastAsia="맑은 고딕" w:hint="eastAsia"/>
                <w:lang w:eastAsia="ko-KR"/>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Issue-6 Restriction </w:t>
      </w:r>
      <w:bookmarkStart w:id="4" w:name="_GoBack"/>
      <w:bookmarkEnd w:id="4"/>
      <w:r w:rsidRPr="00FD7695">
        <w:rPr>
          <w:rFonts w:ascii="Times New Roman" w:hAnsi="Times New Roman"/>
          <w:b/>
          <w:kern w:val="28"/>
          <w:sz w:val="28"/>
          <w:lang w:val="en-US" w:eastAsia="zh-CN"/>
        </w:rPr>
        <w:t>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lastRenderedPageBreak/>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바탕"/>
                <w:bCs/>
              </w:rPr>
            </w:pPr>
            <w:r w:rsidRPr="006103A2">
              <w:t xml:space="preserve">Proposal 5: support </w:t>
            </w:r>
            <w:r w:rsidRPr="006103A2">
              <w:rPr>
                <w:rFonts w:eastAsia="바탕"/>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lastRenderedPageBreak/>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w:t>
            </w:r>
            <w:proofErr w:type="gramStart"/>
            <w:r w:rsidRPr="006103A2">
              <w:rPr>
                <w:iCs/>
                <w:vertAlign w:val="subscript"/>
                <w:lang w:eastAsia="zh-CN"/>
              </w:rPr>
              <w:t>,c</w:t>
            </w:r>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w:t>
            </w:r>
            <w:proofErr w:type="gramStart"/>
            <w:r w:rsidRPr="006103A2">
              <w:rPr>
                <w:iCs/>
                <w:vertAlign w:val="subscript"/>
                <w:lang w:eastAsia="zh-CN"/>
              </w:rPr>
              <w:t>,c</w:t>
            </w:r>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lastRenderedPageBreak/>
              <w:t xml:space="preserve">Option 1. </w:t>
            </w:r>
            <w:proofErr w:type="gramStart"/>
            <w:r w:rsidRPr="006103A2">
              <w:rPr>
                <w:rFonts w:ascii="Times New Roman" w:hAnsi="Times New Roman"/>
                <w:sz w:val="20"/>
                <w:szCs w:val="20"/>
                <w:u w:val="single"/>
              </w:rPr>
              <w:t>gNB</w:t>
            </w:r>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맑은 고딕"/>
                <w:bCs/>
                <w:iCs/>
                <w:u w:val="single"/>
              </w:rPr>
              <w:t>Observation 1</w:t>
            </w:r>
            <w:r w:rsidRPr="006103A2">
              <w:rPr>
                <w:rFonts w:eastAsia="맑은 고딕"/>
                <w:iCs/>
                <w:u w:val="single"/>
              </w:rPr>
              <w:t>: For a DCI format scheduling a TB for a HARQ process with disabled HARQ-ACK, there is no need for any agreement on the UE behavior for fields associated with HARQ-ACK codebook construction or PUCCH (Option-2)</w:t>
            </w:r>
            <w:r w:rsidRPr="006103A2">
              <w:rPr>
                <w:rFonts w:eastAsia="맑은 고딕"/>
                <w:iCs/>
              </w:rPr>
              <w:t>.</w:t>
            </w:r>
          </w:p>
          <w:p w14:paraId="6EF0C021" w14:textId="19679FFB" w:rsidR="00873155" w:rsidRPr="006103A2" w:rsidRDefault="00873155" w:rsidP="006103A2">
            <w:pPr>
              <w:suppressAutoHyphens/>
              <w:spacing w:after="0"/>
              <w:jc w:val="both"/>
            </w:pPr>
            <w:r w:rsidRPr="006103A2">
              <w:rPr>
                <w:rFonts w:eastAsia="맑은 고딕"/>
                <w:bCs/>
                <w:iCs/>
                <w:u w:val="single"/>
              </w:rPr>
              <w:t>Observation 2</w:t>
            </w:r>
            <w:r w:rsidRPr="006103A2">
              <w:rPr>
                <w:rFonts w:eastAsia="맑은 고딕"/>
                <w:iCs/>
                <w:u w:val="single"/>
              </w:rPr>
              <w:t>: There is no need to consider any new support for “out of order” scheduling for PDCCH receptions associated with HARQ processes having disabled HARQ-ACK reports</w:t>
            </w:r>
            <w:r w:rsidRPr="006103A2">
              <w:rPr>
                <w:rFonts w:eastAsia="맑은 고딕"/>
                <w:iCs/>
              </w:rPr>
              <w:t>.</w:t>
            </w:r>
          </w:p>
          <w:p w14:paraId="3296BB9F" w14:textId="3C335C45" w:rsidR="00873155" w:rsidRPr="006103A2" w:rsidRDefault="00873155" w:rsidP="006103A2">
            <w:pPr>
              <w:suppressAutoHyphens/>
              <w:spacing w:after="0"/>
              <w:jc w:val="both"/>
              <w:rPr>
                <w:rFonts w:eastAsia="맑은 고딕"/>
                <w:bCs/>
                <w:iCs/>
                <w:u w:val="single"/>
              </w:rPr>
            </w:pPr>
            <w:r w:rsidRPr="006103A2">
              <w:rPr>
                <w:rFonts w:eastAsia="맑은 고딕"/>
                <w:bCs/>
                <w:iCs/>
                <w:u w:val="single"/>
              </w:rPr>
              <w:t>Observation 3</w:t>
            </w:r>
            <w:r w:rsidRPr="006103A2">
              <w:rPr>
                <w:rFonts w:eastAsia="맑은 고딕"/>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맑은 고딕"/>
                <w:bCs/>
                <w:iCs/>
                <w:u w:val="single"/>
              </w:rPr>
              <w:t>Observation 4</w:t>
            </w:r>
            <w:r w:rsidRPr="006103A2">
              <w:rPr>
                <w:rFonts w:eastAsia="맑은 고딕"/>
                <w:iCs/>
                <w:u w:val="single"/>
              </w:rPr>
              <w:t>: There is no need to support more than 16 HARQ processes by DCI formats 0_0/1_0 (“Option 4”)</w:t>
            </w:r>
            <w:r w:rsidRPr="006103A2">
              <w:rPr>
                <w:rFonts w:eastAsia="맑은 고딕"/>
                <w:iCs/>
              </w:rPr>
              <w:t>.</w:t>
            </w:r>
          </w:p>
          <w:p w14:paraId="171FCF0C" w14:textId="5FB4F54C" w:rsidR="000311D2" w:rsidRPr="006103A2" w:rsidRDefault="00873155" w:rsidP="006103A2">
            <w:pPr>
              <w:spacing w:after="0"/>
              <w:jc w:val="both"/>
            </w:pPr>
            <w:r w:rsidRPr="006103A2">
              <w:rPr>
                <w:rFonts w:eastAsia="맑은 고딕"/>
                <w:bCs/>
                <w:iCs/>
                <w:u w:val="single"/>
              </w:rPr>
              <w:t>Observation 5</w:t>
            </w:r>
            <w:r w:rsidRPr="006103A2">
              <w:rPr>
                <w:rFonts w:eastAsia="맑은 고딕"/>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941512"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941512"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941512"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941512"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941512"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941512"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941512"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941512"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941512"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941512" w:rsidP="006103A2">
            <w:pPr>
              <w:pStyle w:val="10"/>
              <w:spacing w:before="0"/>
              <w:rPr>
                <w:rFonts w:eastAsia="맑은 고딕"/>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941512"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941512"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바탕"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953F" w14:textId="77777777" w:rsidR="00941512" w:rsidRDefault="00941512">
      <w:pPr>
        <w:spacing w:after="0"/>
      </w:pPr>
      <w:r>
        <w:separator/>
      </w:r>
    </w:p>
  </w:endnote>
  <w:endnote w:type="continuationSeparator" w:id="0">
    <w:p w14:paraId="58ACBCC9" w14:textId="77777777" w:rsidR="00941512" w:rsidRDefault="00941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E7D9A" w:rsidRDefault="00CE7D9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E7D9A" w:rsidRDefault="00CE7D9A">
    <w:pPr>
      <w:pStyle w:val="ae"/>
      <w:ind w:right="360"/>
    </w:pPr>
  </w:p>
  <w:p w14:paraId="5E0AA512" w14:textId="77777777" w:rsidR="00CE7D9A" w:rsidRDefault="00CE7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677EB45" w:rsidR="00CE7D9A" w:rsidRDefault="00CE7D9A">
    <w:pPr>
      <w:pStyle w:val="ae"/>
      <w:ind w:right="360"/>
    </w:pPr>
    <w:r>
      <w:rPr>
        <w:rStyle w:val="af3"/>
      </w:rPr>
      <w:fldChar w:fldCharType="begin"/>
    </w:r>
    <w:r>
      <w:rPr>
        <w:rStyle w:val="af3"/>
      </w:rPr>
      <w:instrText xml:space="preserve"> PAGE </w:instrText>
    </w:r>
    <w:r>
      <w:rPr>
        <w:rStyle w:val="af3"/>
      </w:rPr>
      <w:fldChar w:fldCharType="separate"/>
    </w:r>
    <w:r w:rsidR="005F6C3A">
      <w:rPr>
        <w:rStyle w:val="af3"/>
        <w:noProof/>
      </w:rPr>
      <w:t>37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F6C3A">
      <w:rPr>
        <w:rStyle w:val="af3"/>
        <w:noProof/>
      </w:rPr>
      <w:t>52</w:t>
    </w:r>
    <w:r>
      <w:rPr>
        <w:rStyle w:val="af3"/>
      </w:rPr>
      <w:fldChar w:fldCharType="end"/>
    </w:r>
  </w:p>
  <w:p w14:paraId="7BDCDC6E" w14:textId="77777777" w:rsidR="00CE7D9A" w:rsidRDefault="00CE7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E3DDE" w14:textId="77777777" w:rsidR="00941512" w:rsidRDefault="00941512">
      <w:pPr>
        <w:spacing w:after="0"/>
      </w:pPr>
      <w:r>
        <w:separator/>
      </w:r>
    </w:p>
  </w:footnote>
  <w:footnote w:type="continuationSeparator" w:id="0">
    <w:p w14:paraId="7EA1A4C1" w14:textId="77777777" w:rsidR="00941512" w:rsidRDefault="009415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3A"/>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12"/>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0FF7987"/>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C9F52016-DF32-4DA2-BB6A-7F68796D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52</Pages>
  <Words>21256</Words>
  <Characters>121165</Characters>
  <Application>Microsoft Office Word</Application>
  <DocSecurity>0</DocSecurity>
  <Lines>1009</Lines>
  <Paragraphs>284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142137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박해욱/책임연구원/미래기술센터 C&amp;M표준(연)5G무선통신표준Task(haewook.park@lge.com)</cp:lastModifiedBy>
  <cp:revision>3</cp:revision>
  <cp:lastPrinted>2011-11-09T07:49:00Z</cp:lastPrinted>
  <dcterms:created xsi:type="dcterms:W3CDTF">2021-10-14T12:13:00Z</dcterms:created>
  <dcterms:modified xsi:type="dcterms:W3CDTF">2021-10-14T12:15:00Z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