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2569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pt;height:66pt;mso-width-percent:0;mso-height-percent:0;mso-width-percent:0;mso-height-percent:0" o:ole="">
            <v:imagedata r:id="rId14" o:title=""/>
          </v:shape>
          <o:OLEObject Type="Embed" ProgID="Visio.Drawing.15" ShapeID="_x0000_i1026" DrawAspect="Content" ObjectID="_1695725691"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4pt;height:84.5pt;mso-width-percent:0;mso-height-percent:0;mso-width-percent:0;mso-height-percent:0" o:ole="">
            <v:imagedata r:id="rId16" o:title=""/>
          </v:shape>
          <o:OLEObject Type="Embed" ProgID="Visio.Drawing.15" ShapeID="_x0000_i1027" DrawAspect="Content" ObjectID="_169572569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hint="eastAsia"/>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w:t>
      </w:r>
      <w:r>
        <w:rPr>
          <w:lang w:eastAsia="zh-CN"/>
        </w:rPr>
        <w:lastRenderedPageBreak/>
        <w:t xml:space="preserve">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hint="eastAsia"/>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 xml:space="preserve">While we acknowledge the efforts on reaching a compromise solution here, we would like to have option-1a extended such that </w:t>
            </w:r>
            <w:proofErr w:type="gramStart"/>
            <w:r>
              <w:t>it is clear that it</w:t>
            </w:r>
            <w:proofErr w:type="gramEnd"/>
            <w:r>
              <w:t xml:space="preserve"> would only apply to UCI on PUCCH.</w:t>
            </w:r>
          </w:p>
          <w:p w14:paraId="5D24B36D" w14:textId="4060CFDD" w:rsidR="008506C9" w:rsidRDefault="008506C9" w:rsidP="008506C9">
            <w:pPr>
              <w:snapToGrid w:val="0"/>
              <w:rPr>
                <w:rFonts w:hint="eastAsia"/>
              </w:rPr>
            </w:pPr>
            <w:r>
              <w:t xml:space="preserve">And in principle there is still the </w:t>
            </w:r>
            <w:proofErr w:type="gramStart"/>
            <w:r>
              <w:t>option-2</w:t>
            </w:r>
            <w:proofErr w:type="gramEnd"/>
            <w:r>
              <w:t>, which would be “no enhancements”.</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lastRenderedPageBreak/>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hint="eastAsia"/>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rPr>
                <w:rFonts w:hint="eastAsia"/>
              </w:rPr>
            </w:pPr>
            <w:r>
              <w:t>This would be UE implementation, but would come at the cost of increased UE power consumption (longer session time)</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hint="eastAsia"/>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w:t>
      </w:r>
      <w:r>
        <w:rPr>
          <w:lang w:val="en-US" w:eastAsia="zh-CN"/>
        </w:rPr>
        <w:lastRenderedPageBreak/>
        <w:t xml:space="preserve">Sharp] Support to </w:t>
      </w:r>
      <w:r>
        <w:t xml:space="preserve">have HARQ-ACK enabling/disabling per SPS configuration. </w:t>
      </w:r>
      <w:proofErr w:type="gramStart"/>
      <w:r>
        <w:t>But,</w:t>
      </w:r>
      <w:proofErr w:type="gramEnd"/>
      <w:r>
        <w:t xml:space="preserve">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7E61A5">
            <w:pPr>
              <w:snapToGrid w:val="0"/>
              <w:ind w:left="360"/>
              <w:jc w:val="right"/>
              <w:rPr>
                <w:rFonts w:eastAsia="Malgun Gothic"/>
                <w:lang w:eastAsia="ko-KR"/>
              </w:rPr>
            </w:pPr>
            <w:r>
              <w:rPr>
                <w:rFonts w:eastAsia="Malgun Gothic"/>
                <w:lang w:eastAsia="ko-KR"/>
              </w:rPr>
              <w:t>We could live with either 8 or 16 HARQ processes.</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lastRenderedPageBreak/>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lastRenderedPageBreak/>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lastRenderedPageBreak/>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lastRenderedPageBreak/>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gramStart"/>
            <w:r w:rsidRPr="006103A2">
              <w:rPr>
                <w:iCs/>
                <w:lang w:eastAsia="zh-CN"/>
              </w:rPr>
              <w:t>M</w:t>
            </w:r>
            <w:r w:rsidRPr="006103A2">
              <w:rPr>
                <w:iCs/>
                <w:vertAlign w:val="subscript"/>
                <w:lang w:eastAsia="zh-CN"/>
              </w:rPr>
              <w:t>A,c</w:t>
            </w:r>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gramStart"/>
            <w:r w:rsidRPr="006103A2">
              <w:rPr>
                <w:iCs/>
                <w:lang w:eastAsia="zh-CN"/>
              </w:rPr>
              <w:t>M</w:t>
            </w:r>
            <w:r w:rsidRPr="006103A2">
              <w:rPr>
                <w:iCs/>
                <w:vertAlign w:val="subscript"/>
                <w:lang w:eastAsia="zh-CN"/>
              </w:rPr>
              <w:t>A,c</w:t>
            </w:r>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lastRenderedPageBreak/>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w:t>
            </w:r>
            <w:proofErr w:type="gramStart"/>
            <w:r w:rsidRPr="006103A2">
              <w:rPr>
                <w:rFonts w:ascii="Times New Roman" w:hAnsi="Times New Roman"/>
                <w:sz w:val="20"/>
                <w:szCs w:val="20"/>
                <w:u w:val="single"/>
              </w:rPr>
              <w:t>a number of</w:t>
            </w:r>
            <w:proofErr w:type="gramEnd"/>
            <w:r w:rsidRPr="006103A2">
              <w:rPr>
                <w:rFonts w:ascii="Times New Roman" w:hAnsi="Times New Roman"/>
                <w:sz w:val="20"/>
                <w:szCs w:val="20"/>
                <w:u w:val="single"/>
              </w:rPr>
              <w:t xml:space="preserve">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lastRenderedPageBreak/>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w:t>
            </w:r>
            <w:r w:rsidRPr="006103A2">
              <w:rPr>
                <w:rFonts w:eastAsiaTheme="minorEastAsia"/>
                <w:lang w:val="en-US"/>
              </w:rPr>
              <w:lastRenderedPageBreak/>
              <w:t xml:space="preserve">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if only DCI carrying </w:t>
            </w:r>
            <w:proofErr w:type="gramStart"/>
            <w:r w:rsidRPr="006103A2">
              <w:rPr>
                <w:rFonts w:ascii="Times New Roman" w:hAnsi="Times New Roman"/>
                <w:bCs/>
                <w:sz w:val="20"/>
                <w:szCs w:val="20"/>
                <w:lang w:eastAsia="zh-CN"/>
              </w:rPr>
              <w:t>feedback-disabled</w:t>
            </w:r>
            <w:proofErr w:type="gramEnd"/>
            <w:r w:rsidRPr="006103A2">
              <w:rPr>
                <w:rFonts w:ascii="Times New Roman" w:hAnsi="Times New Roman"/>
                <w:bCs/>
                <w:sz w:val="20"/>
                <w:szCs w:val="20"/>
                <w:lang w:eastAsia="zh-CN"/>
              </w:rPr>
              <w:t xml:space="preserve">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lastRenderedPageBreak/>
              <w:t>16 aggregated transmission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7E61A5"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7E61A5"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7E61A5"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7E61A5"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7E61A5"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7E61A5"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7E61A5"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7E61A5"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7E61A5"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7E61A5"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7E61A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7E61A5"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7584" w14:textId="77777777" w:rsidR="00F749CE" w:rsidRDefault="00F749CE">
      <w:pPr>
        <w:spacing w:after="0"/>
      </w:pPr>
      <w:r>
        <w:separator/>
      </w:r>
    </w:p>
  </w:endnote>
  <w:endnote w:type="continuationSeparator" w:id="0">
    <w:p w14:paraId="183CE0E1" w14:textId="77777777" w:rsidR="00F749CE" w:rsidRDefault="00F74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CE7D9A" w:rsidRDefault="00CE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E7D9A" w:rsidRDefault="00CE7D9A">
    <w:pPr>
      <w:pStyle w:val="Footer"/>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677EB45" w:rsidR="00CE7D9A" w:rsidRDefault="00CE7D9A">
    <w:pPr>
      <w:pStyle w:val="Footer"/>
      <w:ind w:right="360"/>
    </w:pPr>
    <w:r>
      <w:rPr>
        <w:rStyle w:val="PageNumber"/>
      </w:rPr>
      <w:fldChar w:fldCharType="begin"/>
    </w:r>
    <w:r>
      <w:rPr>
        <w:rStyle w:val="PageNumber"/>
      </w:rPr>
      <w:instrText xml:space="preserve"> PAGE </w:instrText>
    </w:r>
    <w:r>
      <w:rPr>
        <w:rStyle w:val="PageNumber"/>
      </w:rPr>
      <w:fldChar w:fldCharType="separate"/>
    </w:r>
    <w:r w:rsidR="00855005">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5005">
      <w:rPr>
        <w:rStyle w:val="PageNumber"/>
        <w:noProof/>
      </w:rPr>
      <w:t>51</w:t>
    </w:r>
    <w:r>
      <w:rPr>
        <w:rStyle w:val="PageNumber"/>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6064F" w14:textId="77777777" w:rsidR="00F749CE" w:rsidRDefault="00F749CE">
      <w:pPr>
        <w:spacing w:after="0"/>
      </w:pPr>
      <w:r>
        <w:separator/>
      </w:r>
    </w:p>
  </w:footnote>
  <w:footnote w:type="continuationSeparator" w:id="0">
    <w:p w14:paraId="2F29EDC5" w14:textId="77777777" w:rsidR="00F749CE" w:rsidRDefault="00F749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75800A-66A9-4E94-A002-704E5D3AB2E3}">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52</Pages>
  <Words>22305</Words>
  <Characters>119555</Characters>
  <Application>Microsoft Office Word</Application>
  <DocSecurity>0</DocSecurity>
  <Lines>996</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Nokia, Frank</cp:lastModifiedBy>
  <cp:revision>4</cp:revision>
  <cp:lastPrinted>2011-11-09T07:49:00Z</cp:lastPrinted>
  <dcterms:created xsi:type="dcterms:W3CDTF">2021-10-14T12:01:00Z</dcterms:created>
  <dcterms:modified xsi:type="dcterms:W3CDTF">2021-10-14T12:04:00Z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