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0F7143"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0F7143" w:rsidRPr="005D67D0" w:rsidRDefault="000F7143"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0F7143" w:rsidRPr="005D67D0" w:rsidRDefault="000F7143"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0F7143" w:rsidRPr="005D67D0" w:rsidRDefault="000F7143" w:rsidP="00C2479F">
            <w:pPr>
              <w:snapToGrid w:val="0"/>
              <w:ind w:left="360"/>
              <w:jc w:val="center"/>
            </w:pPr>
          </w:p>
        </w:tc>
      </w:tr>
      <w:tr w:rsidR="000F7143"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0F7143" w:rsidRPr="005D67D0" w:rsidRDefault="000F7143"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0F7143" w:rsidRDefault="000F7143"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0F7143" w:rsidRPr="005D67D0" w:rsidRDefault="000F7143"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0F7143"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0F7143" w:rsidRPr="005D67D0" w:rsidRDefault="000F7143"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0F7143" w:rsidRDefault="000F7143"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0F7143" w:rsidRDefault="000F7143" w:rsidP="00C2479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0F7143"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0F7143" w:rsidRPr="005D67D0" w:rsidRDefault="000F7143"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0F7143" w:rsidRDefault="000F7143" w:rsidP="00C2479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0F7143" w:rsidRDefault="000F7143" w:rsidP="00C2479F">
            <w:pPr>
              <w:snapToGrid w:val="0"/>
              <w:ind w:left="360"/>
              <w:jc w:val="center"/>
            </w:pPr>
          </w:p>
        </w:tc>
      </w:tr>
      <w:tr w:rsidR="000F7143"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0F7143" w:rsidRPr="005D67D0" w:rsidRDefault="000F7143"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0F7143" w:rsidRPr="00F43B1D" w:rsidRDefault="000F7143"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0F7143" w:rsidRDefault="000F7143" w:rsidP="00C2479F">
            <w:pPr>
              <w:snapToGrid w:val="0"/>
              <w:ind w:left="360"/>
              <w:jc w:val="center"/>
            </w:pPr>
          </w:p>
        </w:tc>
      </w:tr>
      <w:tr w:rsidR="000F7143"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0F7143" w:rsidRPr="005D67D0" w:rsidRDefault="000F7143"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0F7143" w:rsidRDefault="000F7143"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0F7143" w:rsidRDefault="000F7143" w:rsidP="00C2479F">
            <w:pPr>
              <w:snapToGrid w:val="0"/>
              <w:ind w:left="360"/>
              <w:jc w:val="center"/>
            </w:pPr>
          </w:p>
        </w:tc>
      </w:tr>
      <w:tr w:rsidR="000F7143"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0F7143" w:rsidRPr="005D67D0" w:rsidRDefault="000F7143"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0F7143" w:rsidRDefault="000F7143" w:rsidP="00C2479F">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0F7143" w:rsidRDefault="000F7143" w:rsidP="00C2479F">
            <w:pPr>
              <w:snapToGrid w:val="0"/>
              <w:ind w:left="360"/>
              <w:jc w:val="center"/>
            </w:pPr>
          </w:p>
        </w:tc>
      </w:tr>
      <w:tr w:rsidR="000F7143"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0F7143" w:rsidRPr="005D67D0" w:rsidRDefault="000F7143"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0F7143" w:rsidRDefault="000F7143" w:rsidP="00C17EA0">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0F7143" w:rsidRDefault="000F7143" w:rsidP="00C17EA0">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0F7143"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0F7143" w:rsidRPr="005D67D0" w:rsidRDefault="000F7143"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0F7143" w:rsidRDefault="000F7143" w:rsidP="00C17EA0">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0F7143" w:rsidRDefault="000F7143" w:rsidP="00C17EA0">
            <w:pPr>
              <w:snapToGrid w:val="0"/>
              <w:ind w:left="360"/>
              <w:jc w:val="center"/>
              <w:rPr>
                <w:rFonts w:eastAsia="Malgun Gothic"/>
                <w:lang w:eastAsia="ko-KR"/>
              </w:rPr>
            </w:pPr>
          </w:p>
        </w:tc>
      </w:tr>
      <w:tr w:rsidR="000F7143"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0F7143" w:rsidRDefault="000F7143" w:rsidP="00F949FE">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0F7143" w:rsidRDefault="000F7143" w:rsidP="00F949FE">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0F7143" w14:paraId="2EDE3C91" w14:textId="77777777" w:rsidTr="00F205EF">
        <w:trPr>
          <w:jc w:val="center"/>
        </w:trPr>
        <w:tc>
          <w:tcPr>
            <w:tcW w:w="1338" w:type="pct"/>
            <w:vMerge/>
            <w:tcBorders>
              <w:left w:val="single" w:sz="4" w:space="0" w:color="auto"/>
              <w:right w:val="single" w:sz="4" w:space="0" w:color="auto"/>
            </w:tcBorders>
            <w:vAlign w:val="center"/>
          </w:tcPr>
          <w:p w14:paraId="09B635E7"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0F7143" w:rsidRDefault="000F7143" w:rsidP="00F949FE">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0F7143" w:rsidRDefault="000F7143" w:rsidP="00F949FE">
            <w:pPr>
              <w:snapToGrid w:val="0"/>
              <w:ind w:left="360"/>
              <w:rPr>
                <w:lang w:eastAsia="zh-CN"/>
              </w:rPr>
            </w:pPr>
            <w:r>
              <w:rPr>
                <w:lang w:eastAsia="zh-CN"/>
              </w:rPr>
              <w:t>Fallback DCI is used at least for initial access. Some NTN UE may not support 32 HARQ IDs.</w:t>
            </w:r>
          </w:p>
        </w:tc>
      </w:tr>
      <w:tr w:rsidR="000F7143" w14:paraId="40D65FDB" w14:textId="77777777" w:rsidTr="00360F7A">
        <w:trPr>
          <w:jc w:val="center"/>
        </w:trPr>
        <w:tc>
          <w:tcPr>
            <w:tcW w:w="1338" w:type="pct"/>
            <w:vMerge/>
            <w:tcBorders>
              <w:left w:val="single" w:sz="4" w:space="0" w:color="auto"/>
              <w:right w:val="single" w:sz="4" w:space="0" w:color="auto"/>
            </w:tcBorders>
            <w:vAlign w:val="center"/>
          </w:tcPr>
          <w:p w14:paraId="046230CD"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0F7143" w:rsidRDefault="000F7143" w:rsidP="00F949FE">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0F7143" w:rsidRDefault="000F7143" w:rsidP="00F949FE">
            <w:pPr>
              <w:snapToGrid w:val="0"/>
              <w:ind w:left="360"/>
              <w:rPr>
                <w:lang w:eastAsia="zh-CN"/>
              </w:rPr>
            </w:pPr>
          </w:p>
        </w:tc>
      </w:tr>
      <w:tr w:rsidR="000F7143"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0F7143" w:rsidRDefault="000F7143" w:rsidP="00F949FE">
            <w:pPr>
              <w:snapToGrid w:val="0"/>
              <w:ind w:left="360"/>
              <w:jc w:val="center"/>
              <w:rPr>
                <w:rFonts w:eastAsiaTheme="minorEastAsia" w:hint="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0F7143" w:rsidRDefault="000F7143" w:rsidP="00F949FE">
            <w:pPr>
              <w:snapToGrid w:val="0"/>
              <w:ind w:left="360"/>
              <w:rPr>
                <w:lang w:eastAsia="zh-CN"/>
              </w:rPr>
            </w:pPr>
            <w:r w:rsidRPr="00FE5423">
              <w:rPr>
                <w:lang w:eastAsia="zh-CN"/>
              </w:rPr>
              <w:t>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F949FE"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F949FE" w:rsidRPr="005D67D0" w:rsidRDefault="00F949FE" w:rsidP="00F949FE">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F949FE" w:rsidRPr="005D67D0" w:rsidRDefault="00F949FE" w:rsidP="00F949FE">
            <w:pPr>
              <w:snapToGrid w:val="0"/>
              <w:ind w:left="360"/>
              <w:jc w:val="center"/>
            </w:pPr>
            <w:r w:rsidRPr="005D67D0">
              <w:rPr>
                <w:b/>
                <w:lang w:eastAsia="zh-CN"/>
              </w:rPr>
              <w:t>Strong concern</w:t>
            </w:r>
          </w:p>
        </w:tc>
      </w:tr>
      <w:tr w:rsidR="00F949FE"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F949FE" w:rsidRPr="005D67D0" w:rsidRDefault="00F949FE" w:rsidP="00F949FE">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F949FE" w:rsidRDefault="00F949FE" w:rsidP="00F949FE">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F949FE" w:rsidRPr="005D67D0" w:rsidRDefault="00F949FE" w:rsidP="00F949FE">
            <w:pPr>
              <w:snapToGrid w:val="0"/>
              <w:ind w:left="360"/>
              <w:jc w:val="center"/>
              <w:rPr>
                <w:b/>
                <w:lang w:eastAsia="zh-CN"/>
              </w:rPr>
            </w:pPr>
            <w:r>
              <w:rPr>
                <w:rFonts w:hint="eastAsia"/>
                <w:b/>
                <w:lang w:eastAsia="zh-CN"/>
              </w:rPr>
              <w:t>J</w:t>
            </w:r>
            <w:r>
              <w:rPr>
                <w:b/>
                <w:lang w:eastAsia="zh-CN"/>
              </w:rPr>
              <w:t>ustification</w:t>
            </w:r>
          </w:p>
        </w:tc>
      </w:tr>
      <w:tr w:rsidR="000F7143"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0F7143" w:rsidRPr="005D67D0" w:rsidRDefault="000F7143" w:rsidP="00F949FE">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0F7143" w:rsidRPr="00235505" w:rsidRDefault="000F7143" w:rsidP="00F949FE">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0F7143" w:rsidRPr="00235505" w:rsidRDefault="000F7143" w:rsidP="00F949FE">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0F7143"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0F7143" w:rsidRPr="00235505" w:rsidRDefault="000F7143" w:rsidP="00F949FE">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0F7143" w:rsidRPr="00235505" w:rsidRDefault="000F7143" w:rsidP="00F949FE">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0F7143"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0F7143" w:rsidRDefault="000F7143" w:rsidP="00F949FE">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0F7143" w:rsidRDefault="000F7143" w:rsidP="00F949FE">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0F7143" w:rsidRPr="00B44D29" w:rsidRDefault="000F7143" w:rsidP="00F949FE">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0F7143"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0F7143" w:rsidRDefault="000F7143" w:rsidP="00F949FE">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0F7143" w:rsidRPr="00B44D29" w:rsidRDefault="000F7143" w:rsidP="00F949FE">
            <w:pPr>
              <w:snapToGrid w:val="0"/>
              <w:ind w:left="360"/>
              <w:jc w:val="center"/>
              <w:rPr>
                <w:bCs/>
                <w:lang w:eastAsia="zh-CN"/>
              </w:rPr>
            </w:pPr>
            <w:r>
              <w:rPr>
                <w:rFonts w:eastAsia="MS Mincho"/>
                <w:bCs/>
                <w:lang w:eastAsia="ja-JP"/>
              </w:rPr>
              <w:t>Unnecessary support/specifications, unnecessary UE impact</w:t>
            </w:r>
          </w:p>
        </w:tc>
      </w:tr>
      <w:tr w:rsidR="000F7143" w14:paraId="1B5B2252" w14:textId="77777777" w:rsidTr="00D64C7D">
        <w:trPr>
          <w:jc w:val="center"/>
        </w:trPr>
        <w:tc>
          <w:tcPr>
            <w:tcW w:w="1338" w:type="pct"/>
            <w:vMerge/>
            <w:tcBorders>
              <w:left w:val="single" w:sz="4" w:space="0" w:color="auto"/>
              <w:right w:val="single" w:sz="4" w:space="0" w:color="auto"/>
            </w:tcBorders>
            <w:vAlign w:val="center"/>
          </w:tcPr>
          <w:p w14:paraId="3E08DDBC"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0F7143" w:rsidRDefault="000F7143" w:rsidP="00F949FE">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0F7143" w:rsidRDefault="000F7143" w:rsidP="00F949FE">
            <w:pPr>
              <w:snapToGrid w:val="0"/>
              <w:ind w:left="360"/>
              <w:jc w:val="center"/>
              <w:rPr>
                <w:rFonts w:eastAsia="MS Mincho"/>
                <w:bCs/>
                <w:lang w:eastAsia="ja-JP"/>
              </w:rPr>
            </w:pPr>
            <w:r>
              <w:rPr>
                <w:bCs/>
                <w:lang w:eastAsia="zh-CN"/>
              </w:rPr>
              <w:t>Undesirable impact on initial access</w:t>
            </w:r>
          </w:p>
        </w:tc>
      </w:tr>
      <w:tr w:rsidR="000F7143"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0F7143" w:rsidRPr="005D67D0" w:rsidRDefault="000F7143"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0F7143" w:rsidRDefault="000F7143" w:rsidP="00F949FE">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0F7143" w:rsidRDefault="000F7143" w:rsidP="00F949FE">
            <w:pPr>
              <w:snapToGrid w:val="0"/>
              <w:ind w:left="360"/>
              <w:jc w:val="center"/>
              <w:rPr>
                <w:bCs/>
                <w:lang w:eastAsia="zh-CN"/>
              </w:rPr>
            </w:pPr>
            <w:r>
              <w:rPr>
                <w:bCs/>
                <w:lang w:eastAsia="zh-CN"/>
              </w:rPr>
              <w:t>See our justification for preferred method.</w:t>
            </w:r>
          </w:p>
        </w:tc>
      </w:tr>
      <w:tr w:rsidR="00F949F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F949FE" w:rsidRPr="005D67D0" w:rsidRDefault="00F949FE" w:rsidP="00F949FE">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F949FE" w:rsidRDefault="00F949FE" w:rsidP="00F949FE">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F949FE" w:rsidRDefault="00F949FE" w:rsidP="00F949FE">
            <w:pPr>
              <w:snapToGrid w:val="0"/>
              <w:ind w:left="360"/>
              <w:jc w:val="center"/>
              <w:rPr>
                <w:b/>
                <w:lang w:eastAsia="zh-CN"/>
              </w:rPr>
            </w:pPr>
          </w:p>
        </w:tc>
      </w:tr>
      <w:tr w:rsidR="00F949FE"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949FE" w:rsidRPr="005D67D0" w:rsidRDefault="00F949FE" w:rsidP="00F949FE">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949FE" w:rsidRPr="00F72554" w:rsidRDefault="00F949FE" w:rsidP="00F949FE">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949FE" w:rsidRPr="00F72554" w:rsidRDefault="00F949FE" w:rsidP="00F949FE">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hint="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w:t>
            </w:r>
            <w:proofErr w:type="gramStart"/>
            <w:r w:rsidRPr="00FE5423">
              <w:rPr>
                <w:lang w:eastAsia="zh-CN"/>
              </w:rPr>
              <w:t>closed-loop</w:t>
            </w:r>
            <w:proofErr w:type="gramEnd"/>
            <w:r w:rsidRPr="00FE5423">
              <w:rPr>
                <w:lang w:eastAsia="zh-CN"/>
              </w:rPr>
              <w:t xml:space="preserve">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430EF2"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430EF2" w:rsidRPr="005D67D0" w:rsidRDefault="00430EF2"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430EF2" w:rsidRPr="005D67D0" w:rsidRDefault="00430EF2"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430EF2" w:rsidRPr="005D67D0" w:rsidRDefault="00430EF2" w:rsidP="001632DA">
            <w:pPr>
              <w:snapToGrid w:val="0"/>
              <w:ind w:left="360"/>
              <w:jc w:val="center"/>
              <w:rPr>
                <w:lang w:eastAsia="zh-CN"/>
              </w:rPr>
            </w:pPr>
            <w:r>
              <w:rPr>
                <w:lang w:eastAsia="zh-CN"/>
              </w:rPr>
              <w:t>The indication bit is already in the DCI, it would be reasonable to use this bit instead of making it useless.</w:t>
            </w:r>
          </w:p>
        </w:tc>
      </w:tr>
      <w:tr w:rsidR="00430EF2"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430EF2" w:rsidRPr="005D67D0" w:rsidRDefault="00430EF2"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430EF2" w:rsidRDefault="00430EF2"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430EF2" w:rsidRPr="0029544A" w:rsidRDefault="00430EF2"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430EF2"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430EF2" w:rsidRPr="005D67D0" w:rsidRDefault="00430EF2"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430EF2" w:rsidRDefault="00430EF2"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430EF2" w:rsidRPr="0029544A" w:rsidRDefault="00430EF2"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430EF2"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430EF2" w:rsidRPr="005D67D0" w:rsidRDefault="00430EF2"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430EF2" w:rsidRDefault="00430EF2"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430EF2" w:rsidRPr="0029544A" w:rsidRDefault="00430EF2"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430EF2"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430EF2" w:rsidRPr="005D67D0" w:rsidRDefault="00430EF2"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430EF2" w:rsidRDefault="00430EF2"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430EF2" w:rsidRDefault="00430EF2"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430EF2"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430EF2" w:rsidRPr="005D67D0" w:rsidRDefault="00430EF2"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430EF2" w:rsidRDefault="00430EF2"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430EF2" w:rsidRDefault="00430EF2"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430EF2"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430EF2" w:rsidRPr="005D67D0" w:rsidRDefault="00430EF2"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430EF2" w:rsidRDefault="00430EF2"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430EF2" w:rsidRDefault="00430EF2"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430EF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430EF2" w:rsidRPr="005D67D0" w:rsidRDefault="00430EF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430EF2" w:rsidRDefault="00430EF2"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430EF2" w:rsidRDefault="00430EF2" w:rsidP="00A15EE2">
            <w:pPr>
              <w:snapToGrid w:val="0"/>
              <w:ind w:left="360"/>
              <w:rPr>
                <w:bCs/>
                <w:lang w:eastAsia="zh-CN"/>
              </w:rPr>
            </w:pPr>
            <w:r>
              <w:rPr>
                <w:rFonts w:eastAsia="MS Mincho"/>
                <w:bCs/>
                <w:lang w:eastAsia="ja-JP"/>
              </w:rPr>
              <w:t>Support option 1. The option can improve reliability for DCI miss detection.</w:t>
            </w:r>
          </w:p>
        </w:tc>
      </w:tr>
      <w:tr w:rsidR="00430EF2"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430EF2" w:rsidRPr="005D67D0" w:rsidRDefault="00430EF2"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430EF2" w:rsidRDefault="00430EF2"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430EF2" w:rsidRDefault="00430EF2" w:rsidP="00C17EA0">
            <w:pPr>
              <w:snapToGrid w:val="0"/>
              <w:ind w:left="360"/>
              <w:rPr>
                <w:bCs/>
                <w:lang w:eastAsia="zh-CN"/>
              </w:rPr>
            </w:pPr>
            <w:r>
              <w:rPr>
                <w:rFonts w:eastAsia="Malgun Gothic" w:hint="eastAsia"/>
                <w:bCs/>
                <w:lang w:eastAsia="ko-KR"/>
              </w:rPr>
              <w:t xml:space="preserve">Agree with CATT and QC. </w:t>
            </w:r>
          </w:p>
        </w:tc>
      </w:tr>
      <w:tr w:rsidR="00430EF2"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430EF2" w:rsidRPr="005D67D0" w:rsidRDefault="00430EF2"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430EF2" w:rsidRDefault="00430EF2"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430EF2" w:rsidRDefault="00430EF2" w:rsidP="00BF7E57">
            <w:pPr>
              <w:snapToGrid w:val="0"/>
              <w:ind w:left="360"/>
              <w:rPr>
                <w:rFonts w:eastAsia="Malgun Gothic"/>
                <w:bCs/>
                <w:lang w:eastAsia="ko-KR"/>
              </w:rPr>
            </w:pPr>
            <w:r>
              <w:rPr>
                <w:bCs/>
                <w:lang w:eastAsia="zh-CN"/>
              </w:rPr>
              <w:t>Just ignoring the DAI field, i.e. option 2, is wasted and no gain compared to option 1.</w:t>
            </w:r>
          </w:p>
        </w:tc>
      </w:tr>
      <w:tr w:rsidR="00430EF2" w14:paraId="13FE66F0" w14:textId="77777777" w:rsidTr="00A01230">
        <w:trPr>
          <w:jc w:val="center"/>
        </w:trPr>
        <w:tc>
          <w:tcPr>
            <w:tcW w:w="1338" w:type="pct"/>
            <w:vMerge/>
            <w:tcBorders>
              <w:left w:val="single" w:sz="4" w:space="0" w:color="auto"/>
              <w:right w:val="single" w:sz="4" w:space="0" w:color="auto"/>
            </w:tcBorders>
            <w:vAlign w:val="center"/>
          </w:tcPr>
          <w:p w14:paraId="269846D1" w14:textId="77777777" w:rsidR="00430EF2" w:rsidRPr="005D67D0" w:rsidRDefault="00430EF2"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430EF2" w:rsidRDefault="00430EF2"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430EF2" w:rsidRDefault="00430EF2" w:rsidP="00BF7E57">
            <w:pPr>
              <w:snapToGrid w:val="0"/>
              <w:ind w:left="360"/>
              <w:rPr>
                <w:lang w:eastAsia="zh-CN"/>
              </w:rPr>
            </w:pPr>
            <w:r>
              <w:rPr>
                <w:lang w:eastAsia="zh-CN"/>
              </w:rPr>
              <w:t>Improve the reliability.</w:t>
            </w:r>
          </w:p>
          <w:p w14:paraId="76938265" w14:textId="0C495AAF" w:rsidR="00430EF2" w:rsidRDefault="00430EF2"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430EF2" w14:paraId="12F1B9AE" w14:textId="77777777" w:rsidTr="00EA2CE5">
        <w:trPr>
          <w:jc w:val="center"/>
        </w:trPr>
        <w:tc>
          <w:tcPr>
            <w:tcW w:w="1338" w:type="pct"/>
            <w:vMerge/>
            <w:tcBorders>
              <w:left w:val="single" w:sz="4" w:space="0" w:color="auto"/>
              <w:right w:val="single" w:sz="4" w:space="0" w:color="auto"/>
            </w:tcBorders>
            <w:vAlign w:val="center"/>
          </w:tcPr>
          <w:p w14:paraId="5F3A2C30" w14:textId="77777777" w:rsidR="00430EF2" w:rsidRPr="005D67D0" w:rsidRDefault="00430EF2"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430EF2" w:rsidRDefault="00430EF2"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430EF2" w:rsidRDefault="00430EF2" w:rsidP="00243364">
            <w:pPr>
              <w:snapToGrid w:val="0"/>
              <w:ind w:left="360"/>
              <w:rPr>
                <w:lang w:eastAsia="zh-CN"/>
              </w:rPr>
            </w:pPr>
            <w:r>
              <w:rPr>
                <w:rFonts w:hint="eastAsia"/>
                <w:lang w:eastAsia="zh-CN"/>
              </w:rPr>
              <w:t>Agree with HW.</w:t>
            </w:r>
          </w:p>
        </w:tc>
      </w:tr>
      <w:tr w:rsidR="00430EF2" w14:paraId="3C59082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E95E2FC" w14:textId="77777777" w:rsidR="00430EF2" w:rsidRPr="005D67D0" w:rsidRDefault="00430EF2"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430EF2" w:rsidRDefault="00430EF2" w:rsidP="00243364">
            <w:pPr>
              <w:snapToGrid w:val="0"/>
              <w:ind w:left="360"/>
              <w:jc w:val="center"/>
              <w:rPr>
                <w:rFonts w:hint="eastAsia"/>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430EF2" w:rsidRDefault="00430EF2" w:rsidP="00243364">
            <w:pPr>
              <w:snapToGrid w:val="0"/>
              <w:ind w:left="360"/>
              <w:rPr>
                <w:rFonts w:hint="eastAsia"/>
                <w:lang w:eastAsia="zh-CN"/>
              </w:rPr>
            </w:pPr>
            <w:r w:rsidRPr="00A343AD">
              <w:rPr>
                <w:lang w:eastAsia="zh-CN"/>
              </w:rPr>
              <w:t>Reduced impact of missed DCI detection.</w:t>
            </w:r>
          </w:p>
        </w:tc>
      </w:tr>
      <w:tr w:rsidR="00243364"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243364" w:rsidRPr="005D67D0" w:rsidRDefault="00243364" w:rsidP="00243364">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243364" w:rsidRPr="005D67D0" w:rsidRDefault="00243364" w:rsidP="00243364">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243364" w:rsidRPr="005D67D0" w:rsidRDefault="00243364" w:rsidP="00243364">
            <w:pPr>
              <w:snapToGrid w:val="0"/>
              <w:ind w:left="360"/>
              <w:jc w:val="center"/>
            </w:pPr>
            <w:r>
              <w:t>DCI for HARQ disabled TBs can have a smaller size.</w:t>
            </w:r>
          </w:p>
        </w:tc>
      </w:tr>
      <w:tr w:rsidR="00243364"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243364" w:rsidRPr="005D67D0" w:rsidRDefault="00243364"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243364" w:rsidRDefault="00243364" w:rsidP="00243364">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243364" w:rsidRDefault="00243364" w:rsidP="00243364">
            <w:pPr>
              <w:snapToGrid w:val="0"/>
              <w:ind w:left="360"/>
              <w:rPr>
                <w:lang w:eastAsia="zh-CN"/>
              </w:rPr>
            </w:pPr>
            <w:r>
              <w:rPr>
                <w:lang w:eastAsia="zh-CN"/>
              </w:rPr>
              <w:t>Simplified UE’s behaviour for HARQ codebook generation with same robustness as TN regarding to the DCI mis-detection.</w:t>
            </w:r>
          </w:p>
        </w:tc>
      </w:tr>
      <w:tr w:rsidR="00243364"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243364" w:rsidRPr="005D67D0" w:rsidRDefault="00243364"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243364" w:rsidRDefault="00243364" w:rsidP="00243364">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243364" w:rsidRDefault="00243364" w:rsidP="00243364">
            <w:pPr>
              <w:snapToGrid w:val="0"/>
              <w:ind w:left="360"/>
              <w:rPr>
                <w:lang w:eastAsia="zh-CN"/>
              </w:rPr>
            </w:pPr>
          </w:p>
        </w:tc>
      </w:tr>
      <w:tr w:rsidR="00243364" w14:paraId="6B0358C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52A5A18" w14:textId="77777777" w:rsidR="00243364" w:rsidRPr="005D67D0" w:rsidRDefault="00243364"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243364" w:rsidRDefault="00243364" w:rsidP="00243364">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243364" w:rsidRDefault="00243364" w:rsidP="00243364">
            <w:pPr>
              <w:snapToGrid w:val="0"/>
              <w:ind w:left="360"/>
              <w:rPr>
                <w:lang w:eastAsia="zh-CN"/>
              </w:rPr>
            </w:pPr>
            <w:r>
              <w:rPr>
                <w:lang w:eastAsia="zh-CN"/>
              </w:rPr>
              <w:t xml:space="preserve">Simplify UE’s behaviour for HARQ CB generation. </w:t>
            </w:r>
          </w:p>
          <w:p w14:paraId="531D7FDB" w14:textId="2893E718" w:rsidR="00243364" w:rsidRDefault="00243364" w:rsidP="00243364">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243364" w:rsidRDefault="00243364" w:rsidP="00243364">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243364"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243364" w:rsidRPr="005D67D0" w:rsidRDefault="00243364" w:rsidP="00243364">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243364" w:rsidRPr="005D67D0" w:rsidRDefault="00243364" w:rsidP="00243364">
            <w:pPr>
              <w:snapToGrid w:val="0"/>
              <w:ind w:left="360"/>
              <w:jc w:val="center"/>
            </w:pPr>
            <w:r w:rsidRPr="005D67D0">
              <w:rPr>
                <w:b/>
                <w:lang w:eastAsia="zh-CN"/>
              </w:rPr>
              <w:t>Strong concern</w:t>
            </w:r>
          </w:p>
        </w:tc>
      </w:tr>
      <w:tr w:rsidR="00243364"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243364" w:rsidRPr="005D67D0" w:rsidRDefault="00243364" w:rsidP="00243364">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243364" w:rsidRDefault="00243364" w:rsidP="00243364">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243364" w:rsidRPr="005D67D0" w:rsidRDefault="00243364" w:rsidP="00243364">
            <w:pPr>
              <w:snapToGrid w:val="0"/>
              <w:ind w:left="360"/>
              <w:jc w:val="center"/>
              <w:rPr>
                <w:b/>
                <w:lang w:eastAsia="zh-CN"/>
              </w:rPr>
            </w:pPr>
            <w:r>
              <w:rPr>
                <w:rFonts w:hint="eastAsia"/>
                <w:b/>
                <w:lang w:eastAsia="zh-CN"/>
              </w:rPr>
              <w:t>J</w:t>
            </w:r>
            <w:r>
              <w:rPr>
                <w:b/>
                <w:lang w:eastAsia="zh-CN"/>
              </w:rPr>
              <w:t>ustification</w:t>
            </w:r>
          </w:p>
        </w:tc>
      </w:tr>
      <w:tr w:rsidR="00243364"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243364" w:rsidRPr="005D67D0" w:rsidRDefault="00243364" w:rsidP="00243364">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243364" w:rsidRPr="00681A8F" w:rsidRDefault="00243364" w:rsidP="00243364">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243364" w:rsidRDefault="00243364" w:rsidP="00243364">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243364" w:rsidRPr="00633319" w:rsidRDefault="00243364" w:rsidP="00243364">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243364"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243364" w:rsidRPr="005D67D0" w:rsidRDefault="00243364" w:rsidP="00243364">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243364" w:rsidRDefault="00243364" w:rsidP="00243364">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243364" w:rsidRDefault="00243364" w:rsidP="00243364">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hint="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hint="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w:t>
            </w:r>
            <w:proofErr w:type="gramStart"/>
            <w:r w:rsidRPr="00A343AD">
              <w:rPr>
                <w:rFonts w:eastAsia="MS Mincho"/>
                <w:lang w:eastAsia="ja-JP"/>
              </w:rPr>
              <w:t>feedback-disabled</w:t>
            </w:r>
            <w:proofErr w:type="gramEnd"/>
            <w:r w:rsidRPr="00A343AD">
              <w:rPr>
                <w:rFonts w:eastAsia="MS Mincho"/>
                <w:lang w:eastAsia="ja-JP"/>
              </w:rPr>
              <w:t xml:space="preserve">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hint="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 xml:space="preserve">For SPS release, there is no HARQ process associated with the DCI indicating SPS release, so the enabling/disabling of HARQ feedback per HARQ process does not matter in this case. Legacy behaviour should be kept, i.e., ACK/NACK is </w:t>
            </w:r>
            <w:proofErr w:type="gramStart"/>
            <w:r>
              <w:t>sent</w:t>
            </w:r>
            <w:proofErr w:type="gramEnd"/>
            <w:r>
              <w:t xml:space="preserve">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We do not see a need for additional solutions for SPS PDSCH. The legacy agreement that feedback disabling is done per HARQ process is applicable also to SPS and it can be left up to network implementation to decide whether e.g. all HARQ processes in an SPS configuration should have the same configuration.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hint="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hint="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hint="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w:t>
            </w:r>
            <w:proofErr w:type="gramStart"/>
            <w:r w:rsidRPr="00A343AD">
              <w:t>feedback-enabled</w:t>
            </w:r>
            <w:proofErr w:type="gramEnd"/>
            <w:r w:rsidRPr="00A343AD">
              <w:t xml:space="preserve"> HARQ processes. The TAC control loop is </w:t>
            </w:r>
            <w:proofErr w:type="gramStart"/>
            <w:r w:rsidRPr="00A343AD">
              <w:t>closed-loop</w:t>
            </w:r>
            <w:proofErr w:type="gramEnd"/>
            <w:r w:rsidRPr="00A343AD">
              <w:t xml:space="preserve">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5pt;height:186pt" o:ole="">
            <v:imagedata r:id="rId12" o:title=""/>
          </v:shape>
          <o:OLEObject Type="Embed" ProgID="Visio.Drawing.15" ShapeID="_x0000_i1025" DrawAspect="Content" ObjectID="_1695552703"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BodyText"/>
        <w:jc w:val="center"/>
      </w:pPr>
      <w:r>
        <w:object w:dxaOrig="12504" w:dyaOrig="2916" w14:anchorId="488C2115">
          <v:shape id="_x0000_i1026" type="#_x0000_t75" style="width:283.2pt;height:66.2pt" o:ole="">
            <v:imagedata r:id="rId14" o:title=""/>
          </v:shape>
          <o:OLEObject Type="Embed" ProgID="Visio.Drawing.15" ShapeID="_x0000_i1026" DrawAspect="Content" ObjectID="_1695552704" r:id="rId15"/>
        </w:object>
      </w:r>
      <w:r w:rsidRPr="000F0FD8">
        <w:t xml:space="preserve"> </w:t>
      </w:r>
    </w:p>
    <w:p w14:paraId="7E298AFE" w14:textId="77777777" w:rsidR="008146CB" w:rsidRPr="008E0C0B" w:rsidRDefault="008146CB" w:rsidP="008146CB">
      <w:pPr>
        <w:pStyle w:val="BodyText"/>
        <w:jc w:val="center"/>
        <w:rPr>
          <w:lang w:eastAsia="zh-CN"/>
        </w:rPr>
      </w:pPr>
      <w:r>
        <w:object w:dxaOrig="12180" w:dyaOrig="3624" w14:anchorId="42DE0995">
          <v:shape id="_x0000_i1027" type="#_x0000_t75" style="width:283.8pt;height:84.1pt" o:ole="">
            <v:imagedata r:id="rId16" o:title=""/>
          </v:shape>
          <o:OLEObject Type="Embed" ProgID="Visio.Drawing.15" ShapeID="_x0000_i1027" DrawAspect="Content" ObjectID="_1695552705"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hint="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082458"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082458"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082458"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082458"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082458"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082458"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082458"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082458"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082458"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082458"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082458"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082458"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B964F" w14:textId="77777777" w:rsidR="00082458" w:rsidRDefault="00082458">
      <w:pPr>
        <w:spacing w:after="0"/>
      </w:pPr>
      <w:r>
        <w:separator/>
      </w:r>
    </w:p>
  </w:endnote>
  <w:endnote w:type="continuationSeparator" w:id="0">
    <w:p w14:paraId="5C1EE61A" w14:textId="77777777" w:rsidR="00082458" w:rsidRDefault="00082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7E28B7" w:rsidRDefault="007E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E28B7" w:rsidRDefault="007E28B7">
    <w:pPr>
      <w:pStyle w:val="Footer"/>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CFCD8C7" w:rsidR="007E28B7" w:rsidRDefault="007E28B7">
    <w:pPr>
      <w:pStyle w:val="Footer"/>
      <w:ind w:right="360"/>
    </w:pPr>
    <w:r>
      <w:rPr>
        <w:rStyle w:val="PageNumber"/>
      </w:rPr>
      <w:fldChar w:fldCharType="begin"/>
    </w:r>
    <w:r>
      <w:rPr>
        <w:rStyle w:val="PageNumber"/>
      </w:rPr>
      <w:instrText xml:space="preserve"> PAGE </w:instrText>
    </w:r>
    <w:r>
      <w:rPr>
        <w:rStyle w:val="PageNumber"/>
      </w:rPr>
      <w:fldChar w:fldCharType="separate"/>
    </w:r>
    <w:r w:rsidR="00D12B22">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2B22">
      <w:rPr>
        <w:rStyle w:val="PageNumber"/>
        <w:noProof/>
      </w:rPr>
      <w:t>40</w:t>
    </w:r>
    <w:r>
      <w:rPr>
        <w:rStyle w:val="PageNumber"/>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51EB6" w14:textId="77777777" w:rsidR="00082458" w:rsidRDefault="00082458">
      <w:pPr>
        <w:spacing w:after="0"/>
      </w:pPr>
      <w:r>
        <w:separator/>
      </w:r>
    </w:p>
  </w:footnote>
  <w:footnote w:type="continuationSeparator" w:id="0">
    <w:p w14:paraId="2063DA67" w14:textId="77777777" w:rsidR="00082458" w:rsidRDefault="000824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74E63C70-58F5-4AAB-B43A-C077969DB63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42</Pages>
  <Words>18531</Words>
  <Characters>98216</Characters>
  <Application>Microsoft Office Word</Application>
  <DocSecurity>0</DocSecurity>
  <Lines>818</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Stefan Eriksson Löwenmark</cp:lastModifiedBy>
  <cp:revision>9</cp:revision>
  <cp:lastPrinted>2011-11-09T07:49:00Z</cp:lastPrinted>
  <dcterms:created xsi:type="dcterms:W3CDTF">2021-10-12T10:21:00Z</dcterms:created>
  <dcterms:modified xsi:type="dcterms:W3CDTF">2021-10-12T11:06:00Z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