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5B130F" w:rsidRPr="005D67D0" w:rsidRDefault="003452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5B130F" w:rsidRPr="005D67D0" w:rsidRDefault="0034529F" w:rsidP="0034529F">
            <w:pPr>
              <w:snapToGrid w:val="0"/>
              <w:ind w:left="360"/>
              <w:rPr>
                <w:lang w:eastAsia="zh-CN"/>
              </w:rPr>
            </w:pPr>
            <w:r>
              <w:rPr>
                <w:lang w:eastAsia="zh-CN"/>
              </w:rPr>
              <w:t xml:space="preserve">Enhancement on Fallback DCI can boost the benefits for scheduling and other benefits as shown above. </w:t>
            </w:r>
          </w:p>
        </w:tc>
      </w:tr>
      <w:tr w:rsidR="0034529F" w14:paraId="0D88495E" w14:textId="77777777" w:rsidTr="00333263">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34529F" w:rsidRPr="005D67D0" w:rsidRDefault="0034529F"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34529F" w:rsidRPr="005D67D0" w:rsidRDefault="0034529F" w:rsidP="001632DA">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34529F" w:rsidRPr="005D67D0" w:rsidRDefault="0034529F" w:rsidP="001632DA">
            <w:pPr>
              <w:snapToGrid w:val="0"/>
              <w:ind w:left="360"/>
              <w:jc w:val="center"/>
            </w:pPr>
          </w:p>
        </w:tc>
      </w:tr>
      <w:tr w:rsidR="0034529F" w14:paraId="7387899E" w14:textId="77777777" w:rsidTr="00333263">
        <w:trPr>
          <w:jc w:val="center"/>
        </w:trPr>
        <w:tc>
          <w:tcPr>
            <w:tcW w:w="1338" w:type="pct"/>
            <w:vMerge/>
            <w:tcBorders>
              <w:left w:val="single" w:sz="4" w:space="0" w:color="auto"/>
              <w:bottom w:val="single" w:sz="4" w:space="0" w:color="auto"/>
              <w:right w:val="single" w:sz="4" w:space="0" w:color="auto"/>
            </w:tcBorders>
            <w:vAlign w:val="center"/>
          </w:tcPr>
          <w:p w14:paraId="0B96689C" w14:textId="77777777" w:rsidR="0034529F" w:rsidRPr="005D67D0" w:rsidRDefault="0034529F" w:rsidP="001632DA">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34529F" w:rsidRDefault="0034529F" w:rsidP="001632DA">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34529F" w:rsidRPr="005D67D0" w:rsidRDefault="0034529F" w:rsidP="001632DA">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1632DA">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5B130F" w:rsidRPr="00235505" w:rsidRDefault="00235505" w:rsidP="001632DA">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5B130F" w:rsidRPr="00235505" w:rsidRDefault="00235505" w:rsidP="00235505">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D578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D578E" w:rsidRPr="005D67D0" w:rsidRDefault="00BD578E" w:rsidP="001632DA">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D578E" w:rsidRDefault="00BD578E" w:rsidP="001632DA">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D578E" w:rsidRDefault="00BD578E" w:rsidP="001632DA">
            <w:pPr>
              <w:snapToGrid w:val="0"/>
              <w:ind w:left="360"/>
              <w:jc w:val="center"/>
              <w:rPr>
                <w:b/>
                <w:lang w:eastAsia="zh-CN"/>
              </w:rPr>
            </w:pPr>
          </w:p>
        </w:tc>
      </w:tr>
      <w:tr w:rsidR="00F72554"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72554" w:rsidRPr="005D67D0" w:rsidRDefault="00F72554" w:rsidP="001632DA">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72554" w:rsidRPr="00F72554" w:rsidRDefault="00F72554" w:rsidP="001632DA">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72554" w:rsidRPr="00F72554" w:rsidRDefault="00F72554" w:rsidP="001632DA">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rFonts w:hint="eastAsia"/>
                <w:lang w:eastAsia="zh-CN"/>
              </w:rPr>
            </w:pPr>
            <w:r>
              <w:rPr>
                <w:lang w:eastAsia="zh-CN"/>
              </w:rPr>
              <w:t>Support</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e are support to take it since benefits to reduce the power consumption at UE is forseen.</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rFonts w:hint="eastAsia"/>
                <w:lang w:eastAsia="zh-CN"/>
              </w:rPr>
            </w:pPr>
            <w:r>
              <w:rPr>
                <w:lang w:eastAsia="zh-CN"/>
              </w:rPr>
              <w:t>Not sure about the need of the agreement. It would be more useful to clarify the case where the feedback is carried by PUSCH.</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6A31C5" w14:paraId="5D35EA82" w14:textId="77777777" w:rsidTr="00996BE0">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6A31C5" w:rsidRPr="005D67D0" w:rsidRDefault="006A31C5"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6A31C5" w:rsidRPr="005D67D0" w:rsidRDefault="006A31C5"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6A31C5" w:rsidRPr="005D67D0" w:rsidRDefault="006A31C5" w:rsidP="001632DA">
            <w:pPr>
              <w:snapToGrid w:val="0"/>
              <w:ind w:left="360"/>
              <w:jc w:val="center"/>
              <w:rPr>
                <w:lang w:eastAsia="zh-CN"/>
              </w:rPr>
            </w:pPr>
            <w:r>
              <w:rPr>
                <w:lang w:eastAsia="zh-CN"/>
              </w:rPr>
              <w:t>The indication bit is already in the DCI, it would be reasonable to use this bit instead of making it useless.</w:t>
            </w:r>
          </w:p>
        </w:tc>
      </w:tr>
      <w:tr w:rsidR="006A31C5" w14:paraId="60997564" w14:textId="77777777" w:rsidTr="00996BE0">
        <w:trPr>
          <w:jc w:val="center"/>
        </w:trPr>
        <w:tc>
          <w:tcPr>
            <w:tcW w:w="1338" w:type="pct"/>
            <w:vMerge/>
            <w:tcBorders>
              <w:left w:val="single" w:sz="4" w:space="0" w:color="auto"/>
              <w:bottom w:val="single" w:sz="4" w:space="0" w:color="auto"/>
              <w:right w:val="single" w:sz="4" w:space="0" w:color="auto"/>
            </w:tcBorders>
            <w:vAlign w:val="center"/>
          </w:tcPr>
          <w:p w14:paraId="21E14883" w14:textId="77777777" w:rsidR="006A31C5" w:rsidRPr="005D67D0" w:rsidRDefault="006A31C5"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6A31C5" w:rsidRDefault="006A31C5"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6A31C5" w:rsidRPr="0029544A" w:rsidRDefault="006A31C5"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F72554" w14:paraId="5EB5E57F" w14:textId="77777777" w:rsidTr="00996BE0">
        <w:trPr>
          <w:jc w:val="center"/>
        </w:trPr>
        <w:tc>
          <w:tcPr>
            <w:tcW w:w="1338" w:type="pct"/>
            <w:tcBorders>
              <w:left w:val="single" w:sz="4" w:space="0" w:color="auto"/>
              <w:bottom w:val="single" w:sz="4" w:space="0" w:color="auto"/>
              <w:right w:val="single" w:sz="4" w:space="0" w:color="auto"/>
            </w:tcBorders>
            <w:vAlign w:val="center"/>
          </w:tcPr>
          <w:p w14:paraId="2855D9D9" w14:textId="77777777" w:rsidR="00F72554" w:rsidRPr="005D67D0" w:rsidRDefault="00F72554"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F72554" w:rsidRDefault="00F72554"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F72554" w:rsidRPr="0029544A" w:rsidRDefault="00F72554" w:rsidP="0029544A">
            <w:pPr>
              <w:snapToGrid w:val="0"/>
              <w:ind w:left="360"/>
              <w:rPr>
                <w:bCs/>
                <w:lang w:eastAsia="zh-CN"/>
              </w:rPr>
            </w:pPr>
            <w:r>
              <w:rPr>
                <w:bCs/>
                <w:lang w:eastAsia="zh-CN"/>
              </w:rPr>
              <w:t>The option improves the reliability with no additional impact on gNB other than repeating the DAI counter.</w:t>
            </w:r>
          </w:p>
        </w:tc>
      </w:tr>
      <w:tr w:rsidR="006A31C5" w14:paraId="711E5AC4" w14:textId="77777777" w:rsidTr="00B81EE1">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6A31C5" w:rsidRPr="005D67D0" w:rsidRDefault="006A31C5" w:rsidP="0077213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6A31C5" w:rsidRPr="005D67D0" w:rsidRDefault="006A31C5" w:rsidP="001632DA">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6A31C5" w:rsidRPr="005D67D0" w:rsidRDefault="006A31C5" w:rsidP="001632DA">
            <w:pPr>
              <w:snapToGrid w:val="0"/>
              <w:ind w:left="360"/>
              <w:jc w:val="center"/>
            </w:pPr>
            <w:r>
              <w:t>DCI for HARQ disabled TBs can have a smaller size.</w:t>
            </w:r>
          </w:p>
        </w:tc>
      </w:tr>
      <w:tr w:rsidR="006A31C5" w14:paraId="4D027D1E" w14:textId="77777777" w:rsidTr="00B81EE1">
        <w:trPr>
          <w:jc w:val="center"/>
        </w:trPr>
        <w:tc>
          <w:tcPr>
            <w:tcW w:w="1338" w:type="pct"/>
            <w:vMerge/>
            <w:tcBorders>
              <w:left w:val="single" w:sz="4" w:space="0" w:color="auto"/>
              <w:bottom w:val="single" w:sz="4" w:space="0" w:color="auto"/>
              <w:right w:val="single" w:sz="4" w:space="0" w:color="auto"/>
            </w:tcBorders>
            <w:vAlign w:val="center"/>
          </w:tcPr>
          <w:p w14:paraId="6CBFCF8B" w14:textId="77777777" w:rsidR="006A31C5" w:rsidRPr="005D67D0" w:rsidRDefault="006A31C5"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6A31C5" w:rsidRDefault="006A31C5" w:rsidP="001632DA">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6A31C5" w:rsidRDefault="006A31C5" w:rsidP="006A31C5">
            <w:pPr>
              <w:snapToGrid w:val="0"/>
              <w:ind w:left="360"/>
              <w:rPr>
                <w:lang w:eastAsia="zh-CN"/>
              </w:rPr>
            </w:pPr>
            <w:r>
              <w:rPr>
                <w:lang w:eastAsia="zh-CN"/>
              </w:rPr>
              <w:t>Simplified UE’s behaviour for HARQ codebook generation with same robustness as TN regarding to the DCI mis-detection.</w:t>
            </w: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165A70" w:rsidRPr="00681A8F" w:rsidRDefault="00633319" w:rsidP="00165A70">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165A70" w:rsidRDefault="00633319" w:rsidP="0063331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DE1C1D" w:rsidRPr="00633319" w:rsidRDefault="00DE1C1D" w:rsidP="00DE1C1D">
            <w:pPr>
              <w:snapToGrid w:val="0"/>
              <w:ind w:left="253"/>
              <w:rPr>
                <w:lang w:eastAsia="zh-CN"/>
              </w:rPr>
            </w:pPr>
            <w:r>
              <w:rPr>
                <w:lang w:eastAsia="zh-CN"/>
              </w:rPr>
              <w:t>The basic</w:t>
            </w:r>
            <w:r w:rsidR="00633319">
              <w:rPr>
                <w:lang w:eastAsia="zh-CN"/>
              </w:rPr>
              <w:t xml:space="preserve"> qu</w:t>
            </w:r>
            <w:r>
              <w:rPr>
                <w:lang w:eastAsia="zh-CN"/>
              </w:rPr>
              <w:t>estion</w:t>
            </w:r>
            <w:r w:rsidR="00633319">
              <w:rPr>
                <w:lang w:eastAsia="zh-CN"/>
              </w:rPr>
              <w:t xml:space="preserve"> is whether or not a DCI format associated with a HARQ disabled process is to be used</w:t>
            </w:r>
            <w:r>
              <w:rPr>
                <w:lang w:eastAsia="zh-CN"/>
              </w:rPr>
              <w:t xml:space="preserve"> </w:t>
            </w:r>
            <w:r w:rsidR="007976BC">
              <w:rPr>
                <w:lang w:eastAsia="zh-CN"/>
              </w:rPr>
              <w:t>for PUCCH/</w:t>
            </w:r>
            <w:r>
              <w:rPr>
                <w:lang w:eastAsia="zh-CN"/>
              </w:rPr>
              <w:t>HARQ-ACK</w:t>
            </w:r>
            <w:r w:rsidR="00633319">
              <w:rPr>
                <w:lang w:eastAsia="zh-CN"/>
              </w:rPr>
              <w:t xml:space="preserve"> – option 1 picks the DAIs</w:t>
            </w:r>
            <w:r>
              <w:rPr>
                <w:lang w:eastAsia="zh-CN"/>
              </w:rPr>
              <w:t xml:space="preserve"> (BTW, there is no T-DAI as R17 NTN is</w:t>
            </w:r>
            <w:r w:rsidR="00633319">
              <w:rPr>
                <w:lang w:eastAsia="zh-CN"/>
              </w:rPr>
              <w:t xml:space="preserve"> single cell operation) but that is only one of the fields that may not be needed. We support an “all-or-nothing” approach instead of picking ‘yes’</w:t>
            </w:r>
            <w:r w:rsidR="007976BC">
              <w:rPr>
                <w:lang w:eastAsia="zh-CN"/>
              </w:rPr>
              <w:t xml:space="preserve"> for</w:t>
            </w:r>
            <w:r>
              <w:rPr>
                <w:lang w:eastAsia="zh-CN"/>
              </w:rPr>
              <w:t xml:space="preserve"> fields</w:t>
            </w:r>
            <w:r w:rsidR="007976BC">
              <w:rPr>
                <w:lang w:eastAsia="zh-CN"/>
              </w:rPr>
              <w:t xml:space="preserve"> ‘A and C’ and ‘no’ for fields ‘B and D’</w:t>
            </w:r>
            <w:r>
              <w:rPr>
                <w:lang w:eastAsia="zh-CN"/>
              </w:rPr>
              <w:t>.</w:t>
            </w:r>
            <w:r w:rsidR="007976BC">
              <w:rPr>
                <w:lang w:eastAsia="zh-CN"/>
              </w:rPr>
              <w:t xml:space="preserve"> We support option 2 because </w:t>
            </w:r>
            <w:r>
              <w:rPr>
                <w:lang w:eastAsia="zh-CN"/>
              </w:rPr>
              <w:t>DCI formats not associated with HARQ-ACK reports do not need to include fields associated with HARQ-ACK reports (e.g. if the NW disables HARQ-ACK for all HARQ processes, should DAI/PRI/</w:t>
            </w:r>
            <w:r w:rsidR="0098685C">
              <w:rPr>
                <w:lang w:eastAsia="zh-CN"/>
              </w:rPr>
              <w:t xml:space="preserve">HARQ </w:t>
            </w:r>
            <w:r>
              <w:rPr>
                <w:lang w:eastAsia="zh-CN"/>
              </w:rPr>
              <w:t xml:space="preserve">timing/TPC for PUCCH be included in </w:t>
            </w:r>
            <w:r w:rsidR="00681A8F">
              <w:rPr>
                <w:lang w:eastAsia="zh-CN"/>
              </w:rPr>
              <w:t xml:space="preserve">the </w:t>
            </w:r>
            <w:r>
              <w:rPr>
                <w:lang w:eastAsia="zh-CN"/>
              </w:rPr>
              <w:t xml:space="preserve">DCI?) </w:t>
            </w:r>
          </w:p>
        </w:tc>
      </w:tr>
      <w:tr w:rsidR="00165A70"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t>Option-</w:t>
            </w:r>
            <w:r w:rsidR="00772137">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2478"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F72554"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77777777" w:rsidR="00F72554" w:rsidRDefault="00F72554" w:rsidP="002E530F">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77777777" w:rsidR="00F72554" w:rsidRDefault="00F72554" w:rsidP="00DE1C1D">
            <w:pPr>
              <w:snapToGrid w:val="0"/>
              <w:ind w:left="360"/>
              <w:rPr>
                <w:rFonts w:hint="eastAsia"/>
                <w:lang w:eastAsia="zh-CN"/>
              </w:rPr>
            </w:pP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rFonts w:hint="eastAsia"/>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rFonts w:hint="eastAsia"/>
                <w:lang w:eastAsia="zh-CN"/>
              </w:rPr>
            </w:pPr>
            <w:r>
              <w:t xml:space="preserve">Support in principle but prefer to clarify </w:t>
            </w:r>
            <w:r w:rsidRPr="001A6A10">
              <w:rPr>
                <w:b/>
                <w:bCs/>
                <w:i/>
                <w:iCs/>
              </w:rPr>
              <w:t>the legacy behaviour</w:t>
            </w:r>
            <w:r>
              <w:t xml:space="preserve"> in the agreement.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rFonts w:hint="eastAsia"/>
                <w:noProof/>
                <w:lang w:eastAsia="zh-CN"/>
              </w:rPr>
            </w:pPr>
            <w:r>
              <w:rPr>
                <w:noProof/>
                <w:lang w:eastAsia="zh-CN"/>
              </w:rPr>
              <w:t xml:space="preserve">We do see some potential issues and understand that RAN2 will discuss them. </w:t>
            </w:r>
            <w:r>
              <w:rPr>
                <w:noProof/>
                <w:lang w:eastAsia="zh-CN"/>
              </w:rPr>
              <w:t>Recommend to leave the decision to RAN2 as the original agreement about disabling/enabling feedback per HARQ process is made by RAN2.</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72554"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77777777" w:rsidR="00F72554" w:rsidRDefault="00F72554" w:rsidP="00AB2C16">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77777777" w:rsidR="00F72554" w:rsidRDefault="00F72554" w:rsidP="00AB2C16">
            <w:pPr>
              <w:snapToGrid w:val="0"/>
              <w:ind w:left="360"/>
              <w:rPr>
                <w:rFonts w:hint="eastAsia"/>
                <w:lang w:eastAsia="zh-CN"/>
              </w:rPr>
            </w:pP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00901"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2pt;height:66pt" o:ole="">
            <v:imagedata r:id="rId14" o:title=""/>
          </v:shape>
          <o:OLEObject Type="Embed" ProgID="Visio.Drawing.15" ShapeID="_x0000_i1026" DrawAspect="Content" ObjectID="_1695500902"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3.8pt;height:84pt" o:ole="">
            <v:imagedata r:id="rId16" o:title=""/>
          </v:shape>
          <o:OLEObject Type="Embed" ProgID="Visio.Drawing.15" ShapeID="_x0000_i1027" DrawAspect="Content" ObjectID="_1695500903"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hint="eastAsia"/>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rFonts w:hint="eastAsia"/>
                <w:lang w:eastAsia="zh-CN"/>
              </w:rPr>
            </w:pPr>
            <w:r>
              <w:t>The legacy restriction was designed with TN in mind and will seriously limit UE’s throughput in some scenarios. Hence, we believe the legacy restriction should be removed.</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DD4F8D"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DD4F8D"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DD4F8D"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DD4F8D"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DD4F8D"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DD4F8D"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DD4F8D"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DD4F8D"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DD4F8D"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DD4F8D"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DD4F8D"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DD4F8D"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ADC7" w14:textId="77777777" w:rsidR="00DD4F8D" w:rsidRDefault="00DD4F8D">
      <w:pPr>
        <w:spacing w:after="0"/>
      </w:pPr>
      <w:r>
        <w:separator/>
      </w:r>
    </w:p>
  </w:endnote>
  <w:endnote w:type="continuationSeparator" w:id="0">
    <w:p w14:paraId="464234DF" w14:textId="77777777" w:rsidR="00DD4F8D" w:rsidRDefault="00DD4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235505" w:rsidRDefault="00235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35505" w:rsidRDefault="00235505">
    <w:pPr>
      <w:pStyle w:val="Footer"/>
      <w:ind w:right="360"/>
    </w:pPr>
  </w:p>
  <w:p w14:paraId="5E0AA512" w14:textId="77777777" w:rsidR="00235505" w:rsidRDefault="002355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4EBE0C7C" w:rsidR="00235505" w:rsidRDefault="00235505">
    <w:pPr>
      <w:pStyle w:val="Footer"/>
      <w:ind w:right="360"/>
    </w:pPr>
    <w:r>
      <w:rPr>
        <w:rStyle w:val="PageNumber"/>
      </w:rPr>
      <w:fldChar w:fldCharType="begin"/>
    </w:r>
    <w:r>
      <w:rPr>
        <w:rStyle w:val="PageNumber"/>
      </w:rPr>
      <w:instrText xml:space="preserve"> PAGE </w:instrText>
    </w:r>
    <w:r>
      <w:rPr>
        <w:rStyle w:val="PageNumber"/>
      </w:rPr>
      <w:fldChar w:fldCharType="separate"/>
    </w:r>
    <w:r w:rsidR="00E8629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6295">
      <w:rPr>
        <w:rStyle w:val="PageNumber"/>
        <w:noProof/>
      </w:rPr>
      <w:t>29</w:t>
    </w:r>
    <w:r>
      <w:rPr>
        <w:rStyle w:val="PageNumber"/>
      </w:rPr>
      <w:fldChar w:fldCharType="end"/>
    </w:r>
  </w:p>
  <w:p w14:paraId="7BDCDC6E" w14:textId="77777777" w:rsidR="00235505" w:rsidRDefault="00235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A2F3" w14:textId="77777777" w:rsidR="00DD4F8D" w:rsidRDefault="00DD4F8D">
      <w:pPr>
        <w:spacing w:after="0"/>
      </w:pPr>
      <w:r>
        <w:separator/>
      </w:r>
    </w:p>
  </w:footnote>
  <w:footnote w:type="continuationSeparator" w:id="0">
    <w:p w14:paraId="288C2B06" w14:textId="77777777" w:rsidR="00DD4F8D" w:rsidRDefault="00DD4F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235505" w:rsidRDefault="00235505">
    <w:r>
      <w:t xml:space="preserve">Page </w:t>
    </w:r>
    <w:r>
      <w:fldChar w:fldCharType="begin"/>
    </w:r>
    <w:r>
      <w:instrText>PAGE</w:instrText>
    </w:r>
    <w:r>
      <w:fldChar w:fldCharType="separate"/>
    </w:r>
    <w:r>
      <w:t>1</w:t>
    </w:r>
    <w:r>
      <w:fldChar w:fldCharType="end"/>
    </w:r>
  </w:p>
  <w:p w14:paraId="46AD2BF3" w14:textId="77777777" w:rsidR="00235505" w:rsidRDefault="00235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80957-2593-4458-B3A3-5EEADF7B1F5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30</Pages>
  <Words>13573</Words>
  <Characters>77372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Xiao feng Wang</cp:lastModifiedBy>
  <cp:revision>3</cp:revision>
  <cp:lastPrinted>2011-11-09T07:49:00Z</cp:lastPrinted>
  <dcterms:created xsi:type="dcterms:W3CDTF">2021-10-12T06:30:00Z</dcterms:created>
  <dcterms:modified xsi:type="dcterms:W3CDTF">2021-10-12T06:41:00Z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