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235505">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3"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235505">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77777777" w:rsidR="005B130F" w:rsidRPr="005D67D0" w:rsidRDefault="005B130F" w:rsidP="001632DA">
            <w:pPr>
              <w:snapToGrid w:val="0"/>
              <w:ind w:left="360"/>
              <w:jc w:val="center"/>
            </w:pPr>
          </w:p>
        </w:tc>
        <w:tc>
          <w:tcPr>
            <w:tcW w:w="1813" w:type="pct"/>
            <w:tcBorders>
              <w:top w:val="single" w:sz="4" w:space="0" w:color="auto"/>
              <w:left w:val="single" w:sz="4" w:space="0" w:color="auto"/>
              <w:bottom w:val="single" w:sz="4" w:space="0" w:color="auto"/>
              <w:right w:val="single" w:sz="4" w:space="0" w:color="auto"/>
            </w:tcBorders>
          </w:tcPr>
          <w:p w14:paraId="7FFB156A" w14:textId="77777777" w:rsidR="005B130F" w:rsidRPr="005D67D0" w:rsidRDefault="005B130F" w:rsidP="001632DA">
            <w:pPr>
              <w:snapToGrid w:val="0"/>
              <w:ind w:left="360"/>
              <w:jc w:val="center"/>
            </w:pPr>
          </w:p>
        </w:tc>
      </w:tr>
      <w:tr w:rsidR="005B130F" w14:paraId="0D88495E" w14:textId="77777777" w:rsidTr="00235505">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4638874" w14:textId="77777777" w:rsidR="005B130F" w:rsidRPr="005D67D0" w:rsidRDefault="005B130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5B130F" w:rsidRPr="005D67D0" w:rsidRDefault="00235505" w:rsidP="001632DA">
            <w:pPr>
              <w:snapToGrid w:val="0"/>
              <w:ind w:left="360"/>
              <w:jc w:val="center"/>
            </w:pPr>
            <w:r>
              <w:t>Samsung</w:t>
            </w:r>
          </w:p>
        </w:tc>
        <w:tc>
          <w:tcPr>
            <w:tcW w:w="1813" w:type="pct"/>
            <w:tcBorders>
              <w:top w:val="single" w:sz="4" w:space="0" w:color="auto"/>
              <w:left w:val="single" w:sz="4" w:space="0" w:color="auto"/>
              <w:bottom w:val="single" w:sz="4" w:space="0" w:color="auto"/>
              <w:right w:val="single" w:sz="4" w:space="0" w:color="auto"/>
            </w:tcBorders>
          </w:tcPr>
          <w:p w14:paraId="15E85818" w14:textId="77777777" w:rsidR="005B130F" w:rsidRPr="005D67D0" w:rsidRDefault="005B130F" w:rsidP="001632DA">
            <w:pPr>
              <w:snapToGrid w:val="0"/>
              <w:ind w:left="360"/>
              <w:jc w:val="center"/>
            </w:pP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235505">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813"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5B130F" w14:paraId="6B756F77" w14:textId="77777777" w:rsidTr="00235505">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EB3C7EC" w14:textId="77777777" w:rsidR="005B130F" w:rsidRPr="005D67D0" w:rsidRDefault="005B130F" w:rsidP="001632DA">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5B130F" w:rsidRPr="00235505" w:rsidRDefault="00235505" w:rsidP="001632DA">
            <w:pPr>
              <w:snapToGrid w:val="0"/>
              <w:ind w:left="360"/>
              <w:jc w:val="center"/>
              <w:rPr>
                <w:lang w:eastAsia="zh-CN"/>
              </w:rPr>
            </w:pPr>
            <w:r w:rsidRPr="00235505">
              <w:rPr>
                <w:lang w:eastAsia="zh-CN"/>
              </w:rPr>
              <w:t>Samsung</w:t>
            </w:r>
          </w:p>
        </w:tc>
        <w:tc>
          <w:tcPr>
            <w:tcW w:w="1813" w:type="pct"/>
            <w:tcBorders>
              <w:top w:val="single" w:sz="4" w:space="0" w:color="auto"/>
              <w:left w:val="single" w:sz="4" w:space="0" w:color="auto"/>
              <w:bottom w:val="single" w:sz="4" w:space="0" w:color="auto"/>
              <w:right w:val="single" w:sz="4" w:space="0" w:color="auto"/>
            </w:tcBorders>
          </w:tcPr>
          <w:p w14:paraId="0EC9B6C5" w14:textId="58A17031" w:rsidR="005B130F" w:rsidRPr="00235505" w:rsidRDefault="00235505" w:rsidP="00235505">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5B130F" w14:paraId="70D80E1E" w14:textId="77777777" w:rsidTr="00235505">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5B130F" w:rsidRPr="005D67D0" w:rsidRDefault="005B130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77777777" w:rsidR="005B130F" w:rsidRDefault="005B130F" w:rsidP="001632DA">
            <w:pPr>
              <w:snapToGrid w:val="0"/>
              <w:ind w:left="360"/>
              <w:jc w:val="center"/>
              <w:rPr>
                <w:b/>
                <w:lang w:eastAsia="zh-CN"/>
              </w:rPr>
            </w:pPr>
          </w:p>
        </w:tc>
        <w:tc>
          <w:tcPr>
            <w:tcW w:w="1813" w:type="pct"/>
            <w:tcBorders>
              <w:top w:val="single" w:sz="4" w:space="0" w:color="auto"/>
              <w:left w:val="single" w:sz="4" w:space="0" w:color="auto"/>
              <w:bottom w:val="single" w:sz="4" w:space="0" w:color="auto"/>
              <w:right w:val="single" w:sz="4" w:space="0" w:color="auto"/>
            </w:tcBorders>
          </w:tcPr>
          <w:p w14:paraId="10B7A8EC" w14:textId="77777777" w:rsidR="005B130F" w:rsidRDefault="005B130F" w:rsidP="001632DA">
            <w:pPr>
              <w:snapToGrid w:val="0"/>
              <w:ind w:left="360"/>
              <w:jc w:val="center"/>
              <w:rPr>
                <w:b/>
                <w:lang w:eastAsia="zh-CN"/>
              </w:rPr>
            </w:pP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lastRenderedPageBreak/>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lastRenderedPageBreak/>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235505"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77777777" w:rsidR="00235505" w:rsidRDefault="00235505" w:rsidP="001632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82AFEDC" w14:textId="77777777" w:rsidR="00235505" w:rsidRDefault="00235505" w:rsidP="001632DA">
            <w:pPr>
              <w:snapToGrid w:val="0"/>
              <w:ind w:left="360"/>
            </w:pP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 xml:space="preserve">DCIs of PDSCH with feedback-disabled HARQ processes, </w:t>
      </w:r>
      <w:r w:rsidR="004A2D43" w:rsidRPr="00690640">
        <w:rPr>
          <w:rFonts w:ascii="Times New Roman" w:hAnsi="Times New Roman"/>
          <w:sz w:val="20"/>
          <w:szCs w:val="20"/>
        </w:rPr>
        <w:lastRenderedPageBreak/>
        <w:t>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165A70" w14:paraId="5D35EA82"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3F55B2E" w14:textId="1B4B6CA3" w:rsidR="00165A70" w:rsidRPr="005D67D0" w:rsidRDefault="00165A70" w:rsidP="00772137">
            <w:pPr>
              <w:jc w:val="center"/>
              <w:rPr>
                <w:rFonts w:cs="Arial"/>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165A70" w:rsidRPr="005D67D0" w:rsidRDefault="001632DA"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165A70" w:rsidRPr="005D67D0" w:rsidRDefault="001632DA" w:rsidP="001632DA">
            <w:pPr>
              <w:snapToGrid w:val="0"/>
              <w:ind w:left="360"/>
              <w:jc w:val="center"/>
              <w:rPr>
                <w:lang w:eastAsia="zh-CN"/>
              </w:rPr>
            </w:pPr>
            <w:r>
              <w:rPr>
                <w:lang w:eastAsia="zh-CN"/>
              </w:rPr>
              <w:t>The indication bit is already in the DCI, it would be reasonable to use this bit instead of making it useless.</w:t>
            </w:r>
          </w:p>
        </w:tc>
      </w:tr>
      <w:tr w:rsidR="00165A70" w14:paraId="711E5AC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787254F7" w14:textId="2E65A0CC" w:rsidR="00165A70" w:rsidRPr="005D67D0" w:rsidRDefault="00165A70" w:rsidP="00772137">
            <w:pPr>
              <w:jc w:val="center"/>
              <w:rPr>
                <w:rFonts w:cs="Arial"/>
                <w:lang w:eastAsia="zh-CN"/>
              </w:rPr>
            </w:pPr>
            <w:r w:rsidRPr="005D67D0">
              <w:rPr>
                <w:rFonts w:cs="Arial"/>
                <w:lang w:eastAsia="zh-CN"/>
              </w:rPr>
              <w:t>Option-</w:t>
            </w:r>
            <w:r w:rsidR="00772137">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165A70" w:rsidRPr="005D67D0" w:rsidRDefault="00633319" w:rsidP="001632DA">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165A70" w:rsidRPr="005D67D0" w:rsidRDefault="00633319" w:rsidP="001632DA">
            <w:pPr>
              <w:snapToGrid w:val="0"/>
              <w:ind w:left="360"/>
              <w:jc w:val="center"/>
            </w:pPr>
            <w:r>
              <w:t>DCI for HARQ disabled TBs can have a smaller size.</w:t>
            </w:r>
          </w:p>
        </w:tc>
      </w:tr>
      <w:tr w:rsidR="00165A70"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165A70" w:rsidRPr="005D67D0" w:rsidRDefault="00165A70" w:rsidP="00165A70">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165A70" w:rsidRPr="005D67D0" w:rsidRDefault="00165A70" w:rsidP="00165A70">
            <w:pPr>
              <w:snapToGrid w:val="0"/>
              <w:ind w:left="360"/>
              <w:jc w:val="center"/>
            </w:pPr>
            <w:r w:rsidRPr="005D67D0">
              <w:rPr>
                <w:b/>
                <w:lang w:eastAsia="zh-CN"/>
              </w:rPr>
              <w:t>Strong concern</w:t>
            </w:r>
          </w:p>
        </w:tc>
      </w:tr>
      <w:tr w:rsidR="00165A70"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165A70" w:rsidRPr="005D67D0" w:rsidRDefault="00165A70" w:rsidP="00165A70">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165A70" w:rsidRDefault="00165A70" w:rsidP="00165A70">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165A70" w:rsidRPr="005D67D0" w:rsidRDefault="00165A70" w:rsidP="00165A70">
            <w:pPr>
              <w:snapToGrid w:val="0"/>
              <w:ind w:left="360"/>
              <w:jc w:val="center"/>
              <w:rPr>
                <w:b/>
                <w:lang w:eastAsia="zh-CN"/>
              </w:rPr>
            </w:pPr>
            <w:r>
              <w:rPr>
                <w:rFonts w:hint="eastAsia"/>
                <w:b/>
                <w:lang w:eastAsia="zh-CN"/>
              </w:rPr>
              <w:t>J</w:t>
            </w:r>
            <w:r>
              <w:rPr>
                <w:b/>
                <w:lang w:eastAsia="zh-CN"/>
              </w:rPr>
              <w:t>ustification</w:t>
            </w:r>
          </w:p>
        </w:tc>
      </w:tr>
      <w:tr w:rsidR="00165A70"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165A70" w:rsidRPr="005D67D0" w:rsidRDefault="00165A70" w:rsidP="00772137">
            <w:pPr>
              <w:jc w:val="center"/>
              <w:rPr>
                <w:b/>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165A70" w:rsidRPr="00681A8F" w:rsidRDefault="00633319" w:rsidP="00165A70">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165A70" w:rsidRDefault="00633319" w:rsidP="0063331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DE1C1D" w:rsidRPr="00633319" w:rsidRDefault="00DE1C1D" w:rsidP="00DE1C1D">
            <w:pPr>
              <w:snapToGrid w:val="0"/>
              <w:ind w:left="253"/>
              <w:rPr>
                <w:lang w:eastAsia="zh-CN"/>
              </w:rPr>
            </w:pPr>
            <w:r>
              <w:rPr>
                <w:lang w:eastAsia="zh-CN"/>
              </w:rPr>
              <w:t>The basic</w:t>
            </w:r>
            <w:r w:rsidR="00633319">
              <w:rPr>
                <w:lang w:eastAsia="zh-CN"/>
              </w:rPr>
              <w:t xml:space="preserve"> qu</w:t>
            </w:r>
            <w:r>
              <w:rPr>
                <w:lang w:eastAsia="zh-CN"/>
              </w:rPr>
              <w:t>estion</w:t>
            </w:r>
            <w:r w:rsidR="00633319">
              <w:rPr>
                <w:lang w:eastAsia="zh-CN"/>
              </w:rPr>
              <w:t xml:space="preserve"> is whether or not a DCI format associated with a HARQ disabled process is to be used</w:t>
            </w:r>
            <w:r>
              <w:rPr>
                <w:lang w:eastAsia="zh-CN"/>
              </w:rPr>
              <w:t xml:space="preserve"> </w:t>
            </w:r>
            <w:r w:rsidR="007976BC">
              <w:rPr>
                <w:lang w:eastAsia="zh-CN"/>
              </w:rPr>
              <w:lastRenderedPageBreak/>
              <w:t>for PUCCH/</w:t>
            </w:r>
            <w:r>
              <w:rPr>
                <w:lang w:eastAsia="zh-CN"/>
              </w:rPr>
              <w:t>HARQ-ACK</w:t>
            </w:r>
            <w:r w:rsidR="00633319">
              <w:rPr>
                <w:lang w:eastAsia="zh-CN"/>
              </w:rPr>
              <w:t xml:space="preserve"> – option 1 picks the DAIs</w:t>
            </w:r>
            <w:r>
              <w:rPr>
                <w:lang w:eastAsia="zh-CN"/>
              </w:rPr>
              <w:t xml:space="preserve"> (BTW, there is no T-DAI as R17 NTN is</w:t>
            </w:r>
            <w:r w:rsidR="00633319">
              <w:rPr>
                <w:lang w:eastAsia="zh-CN"/>
              </w:rPr>
              <w:t xml:space="preserve"> single cell operation) but that is only one of the fields that may not be needed. We support an “all-or-nothing” approach instead of picking ‘yes’</w:t>
            </w:r>
            <w:r w:rsidR="007976BC">
              <w:rPr>
                <w:lang w:eastAsia="zh-CN"/>
              </w:rPr>
              <w:t xml:space="preserve"> for</w:t>
            </w:r>
            <w:r>
              <w:rPr>
                <w:lang w:eastAsia="zh-CN"/>
              </w:rPr>
              <w:t xml:space="preserve"> fields</w:t>
            </w:r>
            <w:r w:rsidR="007976BC">
              <w:rPr>
                <w:lang w:eastAsia="zh-CN"/>
              </w:rPr>
              <w:t xml:space="preserve"> ‘A and C’ and ‘no’ for fields ‘B and D’</w:t>
            </w:r>
            <w:r>
              <w:rPr>
                <w:lang w:eastAsia="zh-CN"/>
              </w:rPr>
              <w:t>.</w:t>
            </w:r>
            <w:r w:rsidR="007976BC">
              <w:rPr>
                <w:lang w:eastAsia="zh-CN"/>
              </w:rPr>
              <w:t xml:space="preserve"> We support option 2 because </w:t>
            </w:r>
            <w:r>
              <w:rPr>
                <w:lang w:eastAsia="zh-CN"/>
              </w:rPr>
              <w:t>DCI formats not associated with HARQ-ACK reports do not need to include fields associated with HARQ-ACK reports (e.g. if the NW disables HARQ-ACK for all HARQ processes, should DAI/PRI/</w:t>
            </w:r>
            <w:r w:rsidR="0098685C">
              <w:rPr>
                <w:lang w:eastAsia="zh-CN"/>
              </w:rPr>
              <w:t xml:space="preserve">HARQ </w:t>
            </w:r>
            <w:r>
              <w:rPr>
                <w:lang w:eastAsia="zh-CN"/>
              </w:rPr>
              <w:t xml:space="preserve">timing/TPC for PUCCH be included in </w:t>
            </w:r>
            <w:r w:rsidR="00681A8F">
              <w:rPr>
                <w:lang w:eastAsia="zh-CN"/>
              </w:rPr>
              <w:t xml:space="preserve">the </w:t>
            </w:r>
            <w:r>
              <w:rPr>
                <w:lang w:eastAsia="zh-CN"/>
              </w:rPr>
              <w:t xml:space="preserve">DCI?) </w:t>
            </w:r>
          </w:p>
        </w:tc>
      </w:tr>
      <w:tr w:rsidR="00165A70"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165A70" w:rsidRPr="005D67D0" w:rsidRDefault="00165A70" w:rsidP="00165A70">
            <w:pPr>
              <w:jc w:val="center"/>
              <w:rPr>
                <w:rFonts w:cs="Arial"/>
                <w:lang w:eastAsia="zh-CN"/>
              </w:rPr>
            </w:pPr>
            <w:r w:rsidRPr="005D67D0">
              <w:rPr>
                <w:rFonts w:cs="Arial"/>
                <w:lang w:eastAsia="zh-CN"/>
              </w:rPr>
              <w:lastRenderedPageBreak/>
              <w:t>Option-</w:t>
            </w:r>
            <w:r w:rsidR="00772137">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77777777" w:rsidR="00165A70" w:rsidRDefault="00165A70" w:rsidP="00165A70">
            <w:pPr>
              <w:snapToGrid w:val="0"/>
              <w:ind w:left="360"/>
              <w:jc w:val="center"/>
              <w:rPr>
                <w:b/>
                <w:lang w:eastAsia="zh-CN"/>
              </w:rPr>
            </w:pPr>
          </w:p>
        </w:tc>
        <w:tc>
          <w:tcPr>
            <w:tcW w:w="2478" w:type="pct"/>
            <w:tcBorders>
              <w:top w:val="single" w:sz="4" w:space="0" w:color="auto"/>
              <w:left w:val="single" w:sz="4" w:space="0" w:color="auto"/>
              <w:bottom w:val="single" w:sz="4" w:space="0" w:color="auto"/>
              <w:right w:val="single" w:sz="4" w:space="0" w:color="auto"/>
            </w:tcBorders>
          </w:tcPr>
          <w:p w14:paraId="563D2857" w14:textId="77777777" w:rsidR="00165A70" w:rsidRDefault="00165A70" w:rsidP="00165A70">
            <w:pPr>
              <w:snapToGrid w:val="0"/>
              <w:ind w:left="360"/>
              <w:jc w:val="center"/>
              <w:rPr>
                <w:b/>
                <w:lang w:eastAsia="zh-CN"/>
              </w:rPr>
            </w:pP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lastRenderedPageBreak/>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lastRenderedPageBreak/>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lastRenderedPageBreak/>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bl>
    <w:p w14:paraId="58197E2B" w14:textId="1674A3C6"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w:t>
      </w:r>
      <w:r w:rsidR="00D905D8">
        <w:rPr>
          <w:rFonts w:ascii="Times New Roman" w:hAnsi="Times New Roman"/>
          <w:sz w:val="20"/>
          <w:szCs w:val="20"/>
          <w:lang w:eastAsia="zh-CN"/>
        </w:rPr>
        <w:lastRenderedPageBreak/>
        <w:t xml:space="preserve">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D770B7"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77777777" w:rsidR="00D770B7" w:rsidRDefault="00D770B7" w:rsidP="00AB2C16">
            <w:pPr>
              <w:snapToGrid w:val="0"/>
              <w:ind w:left="360"/>
            </w:pP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w:t>
      </w:r>
      <w:proofErr w:type="gramStart"/>
      <w:r w:rsidRPr="00B50477">
        <w:rPr>
          <w:rFonts w:ascii="Times New Roman" w:eastAsiaTheme="minorEastAsia" w:hAnsi="Times New Roman"/>
          <w:lang w:eastAsia="zh-CN"/>
        </w:rPr>
        <w:t>transmission</w:t>
      </w:r>
      <w:proofErr w:type="gramEnd"/>
      <w:r w:rsidRPr="00B50477">
        <w:rPr>
          <w:rFonts w:ascii="Times New Roman" w:eastAsiaTheme="minorEastAsia" w:hAnsi="Times New Roman"/>
          <w:lang w:eastAsia="zh-CN"/>
        </w:rPr>
        <w:t xml:space="preserve">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45D30"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77777777" w:rsidR="00C45D30" w:rsidRDefault="00C45D30" w:rsidP="007D2022">
            <w:pPr>
              <w:snapToGrid w:val="0"/>
              <w:ind w:left="360"/>
            </w:pP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lastRenderedPageBreak/>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w:t>
            </w:r>
            <w:bookmarkStart w:id="2" w:name="_GoBack"/>
            <w:bookmarkEnd w:id="2"/>
            <w:r>
              <w:t>an clear by now that the proposal is inappropriate.</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5.65pt" o:ole="">
            <v:imagedata r:id="rId12" o:title=""/>
          </v:shape>
          <o:OLEObject Type="Embed" ProgID="Visio.Drawing.15" ShapeID="_x0000_i1025" DrawAspect="Content" ObjectID="_1695462190"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BodyText"/>
        <w:jc w:val="center"/>
      </w:pPr>
      <w:r>
        <w:object w:dxaOrig="12504" w:dyaOrig="2916" w14:anchorId="488C2115">
          <v:shape id="_x0000_i1026" type="#_x0000_t75" style="width:283.05pt;height:66pt" o:ole="">
            <v:imagedata r:id="rId14" o:title=""/>
          </v:shape>
          <o:OLEObject Type="Embed" ProgID="Visio.Drawing.15" ShapeID="_x0000_i1026" DrawAspect="Content" ObjectID="_1695462191" r:id="rId15"/>
        </w:object>
      </w:r>
      <w:r w:rsidRPr="000F0FD8">
        <w:t xml:space="preserve"> </w:t>
      </w:r>
    </w:p>
    <w:p w14:paraId="7E298AFE" w14:textId="77777777" w:rsidR="008146CB" w:rsidRPr="008E0C0B" w:rsidRDefault="008146CB" w:rsidP="008146CB">
      <w:pPr>
        <w:pStyle w:val="BodyText"/>
        <w:jc w:val="center"/>
        <w:rPr>
          <w:lang w:eastAsia="zh-CN"/>
        </w:rPr>
      </w:pPr>
      <w:r>
        <w:object w:dxaOrig="12180" w:dyaOrig="3624" w14:anchorId="42DE0995">
          <v:shape id="_x0000_i1027" type="#_x0000_t75" style="width:283.05pt;height:84.35pt" o:ole="">
            <v:imagedata r:id="rId16" o:title=""/>
          </v:shape>
          <o:OLEObject Type="Embed" ProgID="Visio.Drawing.15" ShapeID="_x0000_i1027" DrawAspect="Content" ObjectID="_1695462192"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8146CB"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77777777" w:rsidR="008146CB" w:rsidRDefault="008146CB" w:rsidP="00023312">
            <w:pPr>
              <w:snapToGrid w:val="0"/>
              <w:ind w:left="360"/>
            </w:pP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77777777" w:rsidR="008146CB" w:rsidRDefault="008146CB" w:rsidP="00023312">
            <w:pPr>
              <w:snapToGrid w:val="0"/>
              <w:ind w:left="360"/>
            </w:pP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lastRenderedPageBreak/>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lastRenderedPageBreak/>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lastRenderedPageBreak/>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lastRenderedPageBreak/>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r w:rsidRPr="006103A2">
              <w:rPr>
                <w:rFonts w:ascii="Times New Roman" w:hAnsi="Times New Roman"/>
                <w:sz w:val="20"/>
                <w:szCs w:val="20"/>
                <w:u w:val="single"/>
              </w:rPr>
              <w:t>gNB</w:t>
            </w:r>
            <w:proofErr w:type="spell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w:t>
            </w:r>
            <w:proofErr w:type="gramStart"/>
            <w:r w:rsidRPr="006103A2">
              <w:rPr>
                <w:rFonts w:ascii="Times New Roman" w:hAnsi="Times New Roman"/>
                <w:sz w:val="20"/>
                <w:szCs w:val="20"/>
              </w:rPr>
              <w:t>transmission</w:t>
            </w:r>
            <w:proofErr w:type="gramEnd"/>
            <w:r w:rsidRPr="006103A2">
              <w:rPr>
                <w:rFonts w:ascii="Times New Roman" w:hAnsi="Times New Roman"/>
                <w:sz w:val="20"/>
                <w:szCs w:val="20"/>
              </w:rPr>
              <w:t xml:space="preserve">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 xml:space="preserve">8 aggregated </w:t>
            </w:r>
            <w:proofErr w:type="gramStart"/>
            <w:r w:rsidRPr="006103A2">
              <w:rPr>
                <w:rFonts w:ascii="Times New Roman" w:hAnsi="Times New Roman"/>
                <w:sz w:val="20"/>
                <w:szCs w:val="20"/>
              </w:rPr>
              <w:t>transmission</w:t>
            </w:r>
            <w:proofErr w:type="gramEnd"/>
            <w:r w:rsidRPr="006103A2">
              <w:rPr>
                <w:rFonts w:ascii="Times New Roman" w:hAnsi="Times New Roman"/>
                <w:sz w:val="20"/>
                <w:szCs w:val="20"/>
              </w:rPr>
              <w:t xml:space="preserve">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lastRenderedPageBreak/>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8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16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32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8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235505"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235505"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235505"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235505"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235505"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235505"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235505"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235505"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235505"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235505"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lastRenderedPageBreak/>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235505"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235505"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lastRenderedPageBreak/>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lastRenderedPageBreak/>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506F" w14:textId="77777777" w:rsidR="00573607" w:rsidRDefault="00573607">
      <w:pPr>
        <w:spacing w:after="0"/>
      </w:pPr>
      <w:r>
        <w:separator/>
      </w:r>
    </w:p>
  </w:endnote>
  <w:endnote w:type="continuationSeparator" w:id="0">
    <w:p w14:paraId="759B7A7B" w14:textId="77777777" w:rsidR="00573607" w:rsidRDefault="00573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SimSun"/>
    <w:panose1 w:val="02010600030101010101"/>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235505" w:rsidRDefault="00235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235505" w:rsidRDefault="00235505">
    <w:pPr>
      <w:pStyle w:val="Footer"/>
      <w:ind w:right="360"/>
    </w:pPr>
  </w:p>
  <w:p w14:paraId="5E0AA512" w14:textId="77777777" w:rsidR="00235505" w:rsidRDefault="0023550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EBE0C7C" w:rsidR="00235505" w:rsidRDefault="00235505">
    <w:pPr>
      <w:pStyle w:val="Footer"/>
      <w:ind w:right="360"/>
    </w:pPr>
    <w:r>
      <w:rPr>
        <w:rStyle w:val="PageNumber"/>
      </w:rPr>
      <w:fldChar w:fldCharType="begin"/>
    </w:r>
    <w:r>
      <w:rPr>
        <w:rStyle w:val="PageNumber"/>
      </w:rPr>
      <w:instrText xml:space="preserve"> PAGE </w:instrText>
    </w:r>
    <w:r>
      <w:rPr>
        <w:rStyle w:val="PageNumber"/>
      </w:rPr>
      <w:fldChar w:fldCharType="separate"/>
    </w:r>
    <w:r w:rsidR="00F537AD">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37AD">
      <w:rPr>
        <w:rStyle w:val="PageNumber"/>
        <w:noProof/>
      </w:rPr>
      <w:t>28</w:t>
    </w:r>
    <w:r>
      <w:rPr>
        <w:rStyle w:val="PageNumber"/>
      </w:rPr>
      <w:fldChar w:fldCharType="end"/>
    </w:r>
  </w:p>
  <w:p w14:paraId="7BDCDC6E" w14:textId="77777777" w:rsidR="00235505" w:rsidRDefault="002355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6C99" w14:textId="77777777" w:rsidR="00573607" w:rsidRDefault="00573607">
      <w:pPr>
        <w:spacing w:after="0"/>
      </w:pPr>
      <w:r>
        <w:separator/>
      </w:r>
    </w:p>
  </w:footnote>
  <w:footnote w:type="continuationSeparator" w:id="0">
    <w:p w14:paraId="0A302CB7" w14:textId="77777777" w:rsidR="00573607" w:rsidRDefault="005736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235505" w:rsidRDefault="00235505">
    <w:r>
      <w:t xml:space="preserve">Page </w:t>
    </w:r>
    <w:r>
      <w:fldChar w:fldCharType="begin"/>
    </w:r>
    <w:r>
      <w:instrText>PAGE</w:instrText>
    </w:r>
    <w:r>
      <w:fldChar w:fldCharType="separate"/>
    </w:r>
    <w:r>
      <w:t>1</w:t>
    </w:r>
    <w:r>
      <w:fldChar w:fldCharType="end"/>
    </w:r>
  </w:p>
  <w:p w14:paraId="46AD2BF3" w14:textId="77777777" w:rsidR="00235505" w:rsidRDefault="002355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6127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77297FD-3313-4D9C-A6CC-B5A5937D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28</Pages>
  <Words>13001</Words>
  <Characters>74112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Aris Papasakellariou 1</cp:lastModifiedBy>
  <cp:revision>3</cp:revision>
  <cp:lastPrinted>2011-11-09T07:49:00Z</cp:lastPrinted>
  <dcterms:created xsi:type="dcterms:W3CDTF">2021-10-11T16:46:00Z</dcterms:created>
  <dcterms:modified xsi:type="dcterms:W3CDTF">2021-10-11T16:56:00Z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