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Heading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Heading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TableGrid"/>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sensing beam and the transmission beam should be zero if pseudo-</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    Burst is a set of (near-)contiguous transmissions from a </w:t>
            </w:r>
            <w:proofErr w:type="spellStart"/>
            <w:r>
              <w:rPr>
                <w:rFonts w:eastAsia="Times New Roman"/>
                <w:snapToGrid/>
                <w:color w:val="000000"/>
                <w:kern w:val="0"/>
                <w:sz w:val="16"/>
                <w:szCs w:val="16"/>
                <w:lang w:val="en-US" w:eastAsia="en-US"/>
              </w:rPr>
              <w:t>gNB</w:t>
            </w:r>
            <w:proofErr w:type="spellEnd"/>
            <w:r>
              <w:rPr>
                <w:rFonts w:eastAsia="Times New Roman"/>
                <w:snapToGrid/>
                <w:color w:val="000000"/>
                <w:kern w:val="0"/>
                <w:sz w:val="16"/>
                <w:szCs w:val="16"/>
                <w:lang w:val="en-US" w:eastAsia="en-US"/>
              </w:rPr>
              <w:t>/UE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3: The transmission burst is a set of transmissions from </w:t>
            </w:r>
            <w:proofErr w:type="spellStart"/>
            <w:r>
              <w:rPr>
                <w:rFonts w:eastAsia="Times New Roman"/>
                <w:b/>
                <w:bCs/>
                <w:snapToGrid/>
                <w:color w:val="000000"/>
                <w:kern w:val="0"/>
                <w:sz w:val="22"/>
                <w:lang w:val="en-US" w:eastAsia="en-US"/>
              </w:rPr>
              <w:t>gNB</w:t>
            </w:r>
            <w:proofErr w:type="spellEnd"/>
            <w:r>
              <w:rPr>
                <w:rFonts w:eastAsia="Times New Roman"/>
                <w:b/>
                <w:bCs/>
                <w:snapToGrid/>
                <w:color w:val="000000"/>
                <w:kern w:val="0"/>
                <w:sz w:val="22"/>
                <w:lang w:val="en-US" w:eastAsia="en-US"/>
              </w:rPr>
              <w:t>/UE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Heading3"/>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ListParagraph"/>
        <w:numPr>
          <w:ilvl w:val="0"/>
          <w:numId w:val="16"/>
        </w:numPr>
      </w:pPr>
      <w:r>
        <w:t xml:space="preserve">Support additional adjustment to ED Threshold </w:t>
      </w:r>
      <w:r>
        <w:tab/>
      </w:r>
    </w:p>
    <w:p w14:paraId="3E468ABC" w14:textId="373CB172" w:rsidR="00E068E7" w:rsidRDefault="00EA24EB">
      <w:pPr>
        <w:pStyle w:val="ListParagraph"/>
        <w:numPr>
          <w:ilvl w:val="1"/>
          <w:numId w:val="16"/>
        </w:numPr>
        <w:rPr>
          <w:lang w:val="de-DE"/>
        </w:rPr>
      </w:pPr>
      <w:r>
        <w:rPr>
          <w:lang w:val="de-DE"/>
        </w:rPr>
        <w:t xml:space="preserve">Apple, Huawei, FUTUREWEI, Spreadtrum, ZTE, vivo, OPPO, CATT, TCL, Xiaomi, Intel, InterDigital, Qualcomm, </w:t>
      </w:r>
      <w:r w:rsidR="000C1D0E">
        <w:rPr>
          <w:lang w:val="de-DE"/>
        </w:rPr>
        <w:t>Lenovo</w:t>
      </w:r>
    </w:p>
    <w:p w14:paraId="3E468ABD" w14:textId="77777777" w:rsidR="00E068E7" w:rsidRDefault="00EA24EB">
      <w:pPr>
        <w:pStyle w:val="ListParagraph"/>
        <w:numPr>
          <w:ilvl w:val="1"/>
          <w:numId w:val="16"/>
        </w:numPr>
      </w:pPr>
      <w:r>
        <w:t xml:space="preserve">Samsung (other criteria), LG </w:t>
      </w:r>
    </w:p>
    <w:p w14:paraId="3E468ABE" w14:textId="77777777" w:rsidR="00E068E7" w:rsidRDefault="00EA24EB">
      <w:pPr>
        <w:pStyle w:val="ListParagraph"/>
        <w:numPr>
          <w:ilvl w:val="0"/>
          <w:numId w:val="16"/>
        </w:numPr>
      </w:pPr>
      <w:r>
        <w:t>Do not Support additional adjustment</w:t>
      </w:r>
    </w:p>
    <w:p w14:paraId="3E468ABF" w14:textId="77777777" w:rsidR="00E068E7" w:rsidRDefault="00EA24EB">
      <w:pPr>
        <w:pStyle w:val="ListParagraph"/>
        <w:numPr>
          <w:ilvl w:val="1"/>
          <w:numId w:val="16"/>
        </w:numPr>
      </w:pPr>
      <w:r>
        <w:lastRenderedPageBreak/>
        <w:t>Ericsson, Nokia,</w:t>
      </w:r>
    </w:p>
    <w:p w14:paraId="3E468AC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C3" w14:textId="77777777">
        <w:tc>
          <w:tcPr>
            <w:tcW w:w="2245" w:type="dxa"/>
          </w:tcPr>
          <w:p w14:paraId="3E468AC1" w14:textId="77777777" w:rsidR="00E068E7" w:rsidRDefault="00EA24EB">
            <w:pPr>
              <w:rPr>
                <w:lang w:eastAsia="en-US"/>
              </w:rPr>
            </w:pPr>
            <w:r>
              <w:rPr>
                <w:lang w:eastAsia="en-US"/>
              </w:rPr>
              <w:t>Company</w:t>
            </w:r>
          </w:p>
        </w:tc>
        <w:tc>
          <w:tcPr>
            <w:tcW w:w="7117" w:type="dxa"/>
          </w:tcPr>
          <w:p w14:paraId="3E468AC2" w14:textId="77777777" w:rsidR="00E068E7" w:rsidRDefault="00EA24EB">
            <w:pPr>
              <w:rPr>
                <w:lang w:eastAsia="en-US"/>
              </w:rPr>
            </w:pPr>
            <w:r>
              <w:rPr>
                <w:lang w:eastAsia="en-US"/>
              </w:rPr>
              <w:t>View</w:t>
            </w:r>
          </w:p>
        </w:tc>
      </w:tr>
      <w:tr w:rsidR="00E068E7" w14:paraId="3E468AC6" w14:textId="77777777">
        <w:tc>
          <w:tcPr>
            <w:tcW w:w="2245" w:type="dxa"/>
          </w:tcPr>
          <w:p w14:paraId="3E468AC4" w14:textId="77777777" w:rsidR="00E068E7" w:rsidRDefault="00EA24EB">
            <w:pPr>
              <w:rPr>
                <w:lang w:eastAsia="en-US"/>
              </w:rPr>
            </w:pPr>
            <w:r>
              <w:rPr>
                <w:lang w:eastAsia="en-US"/>
              </w:rPr>
              <w:t>Intel</w:t>
            </w:r>
          </w:p>
        </w:tc>
        <w:tc>
          <w:tcPr>
            <w:tcW w:w="711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E068E7" w14:paraId="3E468AC9" w14:textId="77777777">
        <w:tc>
          <w:tcPr>
            <w:tcW w:w="2245" w:type="dxa"/>
          </w:tcPr>
          <w:p w14:paraId="3E468AC7" w14:textId="77777777" w:rsidR="00E068E7" w:rsidRDefault="00EA24EB">
            <w:pPr>
              <w:rPr>
                <w:lang w:eastAsia="en-US"/>
              </w:rPr>
            </w:pPr>
            <w:r>
              <w:rPr>
                <w:lang w:eastAsia="en-US"/>
              </w:rPr>
              <w:t>Lenovo, Motorola Mobility</w:t>
            </w:r>
          </w:p>
        </w:tc>
        <w:tc>
          <w:tcPr>
            <w:tcW w:w="7117" w:type="dxa"/>
          </w:tcPr>
          <w:p w14:paraId="3E468AC8" w14:textId="77777777" w:rsidR="00E068E7" w:rsidRDefault="00EA24EB">
            <w:pPr>
              <w:rPr>
                <w:lang w:eastAsia="en-US"/>
              </w:rPr>
            </w:pPr>
            <w:r>
              <w:rPr>
                <w:lang w:eastAsia="en-US"/>
              </w:rPr>
              <w:t xml:space="preserve">We also support additional adjustment to ED threshold </w:t>
            </w:r>
          </w:p>
        </w:tc>
      </w:tr>
      <w:tr w:rsidR="00E068E7" w14:paraId="3E468ACC" w14:textId="77777777">
        <w:tc>
          <w:tcPr>
            <w:tcW w:w="224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E068E7" w14:paraId="3E468ACF" w14:textId="77777777">
        <w:tc>
          <w:tcPr>
            <w:tcW w:w="2245" w:type="dxa"/>
          </w:tcPr>
          <w:p w14:paraId="3E468AC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ACE" w14:textId="77777777" w:rsidR="00E068E7" w:rsidRDefault="00EA24EB">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8E600A" w14:paraId="0A0320CE" w14:textId="77777777" w:rsidTr="008E600A">
        <w:tc>
          <w:tcPr>
            <w:tcW w:w="2245" w:type="dxa"/>
          </w:tcPr>
          <w:p w14:paraId="67E615CC"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00DF1A5D" w14:textId="77777777" w:rsidR="008E600A" w:rsidRPr="00416C40" w:rsidRDefault="008E600A" w:rsidP="001562C9">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ListParagraph"/>
        <w:numPr>
          <w:ilvl w:val="0"/>
          <w:numId w:val="16"/>
        </w:numPr>
      </w:pPr>
      <w:r>
        <w:t xml:space="preserve">Confirm Working Assumption after Modification as </w:t>
      </w:r>
      <w:proofErr w:type="gramStart"/>
      <w:r>
        <w:t>follows :</w:t>
      </w:r>
      <w:proofErr w:type="gramEnd"/>
      <w:r>
        <w:t xml:space="preserve"> </w:t>
      </w:r>
    </w:p>
    <w:p w14:paraId="3E468AD6" w14:textId="77777777" w:rsidR="00E068E7" w:rsidRDefault="00EA24EB">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3E468AD7" w14:textId="0C78D0EF" w:rsidR="00E068E7" w:rsidRDefault="00EA24EB">
      <w:pPr>
        <w:pStyle w:val="ListParagraph"/>
        <w:numPr>
          <w:ilvl w:val="1"/>
          <w:numId w:val="16"/>
        </w:numPr>
      </w:pPr>
      <w:r>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ListParagraph"/>
        <w:numPr>
          <w:ilvl w:val="0"/>
          <w:numId w:val="16"/>
        </w:numPr>
      </w:pPr>
      <w:r>
        <w:t xml:space="preserve">Confirm Working Assumption as it is </w:t>
      </w:r>
    </w:p>
    <w:p w14:paraId="3E468AD9" w14:textId="598E22B3" w:rsidR="00E068E7" w:rsidRDefault="00EA24EB">
      <w:pPr>
        <w:pStyle w:val="ListParagraph"/>
        <w:numPr>
          <w:ilvl w:val="1"/>
          <w:numId w:val="16"/>
        </w:numPr>
      </w:pPr>
      <w:r>
        <w:t xml:space="preserve">Huawei, </w:t>
      </w:r>
      <w:proofErr w:type="gramStart"/>
      <w:r w:rsidRPr="008E600A">
        <w:rPr>
          <w:strike/>
        </w:rPr>
        <w:t>Vivo,</w:t>
      </w:r>
      <w:r>
        <w:t xml:space="preserve">  OPPO</w:t>
      </w:r>
      <w:proofErr w:type="gramEnd"/>
      <w:r>
        <w:t xml:space="preserve">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6B4CB91C" w14:textId="77777777" w:rsidR="008E600A" w:rsidRPr="005A772A" w:rsidRDefault="008E600A" w:rsidP="001562C9">
            <w:pPr>
              <w:rPr>
                <w:rFonts w:eastAsiaTheme="minorEastAsia"/>
                <w:lang w:eastAsia="zh-CN"/>
              </w:rPr>
            </w:pPr>
            <w:r>
              <w:rPr>
                <w:rFonts w:eastAsiaTheme="minorEastAsia"/>
                <w:lang w:eastAsia="zh-CN"/>
              </w:rPr>
              <w:t>Seems our views were not correctly captured. We corrected our position, we prefer the modified working assumption.</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Heading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ListParagraph"/>
              <w:numPr>
                <w:ilvl w:val="0"/>
                <w:numId w:val="17"/>
              </w:numPr>
              <w:snapToGrid w:val="0"/>
              <w:spacing w:line="256" w:lineRule="auto"/>
              <w:ind w:left="360"/>
              <w:textAlignment w:val="auto"/>
              <w:rPr>
                <w:lang w:eastAsia="en-US"/>
              </w:rPr>
            </w:pPr>
            <w:r>
              <w:t xml:space="preserve">For LBT for single carrier transmission, </w:t>
            </w:r>
            <w:proofErr w:type="spellStart"/>
            <w:r>
              <w:t>gNB</w:t>
            </w:r>
            <w:proofErr w:type="spellEnd"/>
            <w:r>
              <w:t>/UE performs LBT over the channel bandwidth (or BWP bandwidth) (Alt SC.1. in earlier agreements)</w:t>
            </w:r>
          </w:p>
          <w:p w14:paraId="3E468AF1" w14:textId="77777777" w:rsidR="00E068E7" w:rsidRDefault="00EA24EB">
            <w:pPr>
              <w:pStyle w:val="ListParagraph"/>
              <w:numPr>
                <w:ilvl w:val="0"/>
                <w:numId w:val="18"/>
              </w:numPr>
              <w:snapToGrid w:val="0"/>
              <w:spacing w:line="256" w:lineRule="auto"/>
              <w:ind w:left="360"/>
              <w:textAlignment w:val="auto"/>
            </w:pPr>
            <w:r>
              <w:lastRenderedPageBreak/>
              <w:t xml:space="preserve">For LBT for multi-carrier transmission in intra-band CA, </w:t>
            </w:r>
            <w:proofErr w:type="spellStart"/>
            <w:r>
              <w:t>gNB</w:t>
            </w:r>
            <w:proofErr w:type="spellEnd"/>
            <w:r>
              <w:t>/UE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14:paraId="3E468AF3" w14:textId="77777777" w:rsidR="00E068E7" w:rsidRDefault="00EA24EB">
            <w:pPr>
              <w:rPr>
                <w:color w:val="000000"/>
                <w:szCs w:val="20"/>
              </w:rPr>
            </w:pPr>
            <w:r>
              <w:rPr>
                <w:color w:val="000000"/>
                <w:szCs w:val="20"/>
              </w:rPr>
              <w:t>more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w:t>
            </w:r>
          </w:p>
          <w:p w14:paraId="3E468A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are the channel BWs for transmission supported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perform LBT is left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LBT for single carrier transmission,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Heading3"/>
      </w:pPr>
      <w:r>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ListParagraph"/>
        <w:numPr>
          <w:ilvl w:val="0"/>
          <w:numId w:val="16"/>
        </w:numPr>
      </w:pPr>
      <w:r>
        <w:t>Additional support of performing single LBT over all CCs (Alt CA.2. in earlier agreements)</w:t>
      </w:r>
    </w:p>
    <w:p w14:paraId="3E468B3C" w14:textId="77777777" w:rsidR="00E068E7" w:rsidRDefault="00EA24EB">
      <w:pPr>
        <w:pStyle w:val="ListParagraph"/>
        <w:numPr>
          <w:ilvl w:val="1"/>
          <w:numId w:val="16"/>
        </w:numPr>
      </w:pPr>
      <w:r>
        <w:t xml:space="preserve">Huawei, CATT </w:t>
      </w:r>
      <w:proofErr w:type="gramStart"/>
      <w:r>
        <w:t>( use</w:t>
      </w:r>
      <w:proofErr w:type="gramEnd"/>
      <w:r>
        <w:t xml:space="preserve"> right EDT), Nokia, LGE</w:t>
      </w:r>
    </w:p>
    <w:p w14:paraId="3E468B3D" w14:textId="77777777" w:rsidR="00E068E7" w:rsidRDefault="00EA24EB">
      <w:pPr>
        <w:pStyle w:val="ListParagraph"/>
        <w:numPr>
          <w:ilvl w:val="0"/>
          <w:numId w:val="16"/>
        </w:numPr>
      </w:pPr>
      <w:r>
        <w:t xml:space="preserve">Do not support single LBT over all CCs  </w:t>
      </w:r>
    </w:p>
    <w:p w14:paraId="3E468B3E" w14:textId="402E2AF7" w:rsidR="00E068E7" w:rsidRDefault="00EA24EB">
      <w:pPr>
        <w:pStyle w:val="ListParagraph"/>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ListParagraph"/>
        <w:numPr>
          <w:ilvl w:val="0"/>
          <w:numId w:val="16"/>
        </w:numPr>
        <w:rPr>
          <w:lang w:eastAsia="en-US"/>
        </w:rPr>
      </w:pPr>
      <w:r>
        <w:rPr>
          <w:lang w:eastAsia="en-US"/>
        </w:rPr>
        <w:t>Other: Deprioritize (</w:t>
      </w:r>
      <w:proofErr w:type="spellStart"/>
      <w:r>
        <w:rPr>
          <w:lang w:eastAsia="en-US"/>
        </w:rPr>
        <w:t>Docomo</w:t>
      </w:r>
      <w:proofErr w:type="spellEnd"/>
      <w:r>
        <w:rPr>
          <w:lang w:eastAsia="en-US"/>
        </w:rPr>
        <w:t>)</w:t>
      </w:r>
    </w:p>
    <w:p w14:paraId="3E468B40" w14:textId="77777777" w:rsidR="00E068E7" w:rsidRDefault="00E068E7"/>
    <w:p w14:paraId="3E468B41"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77777777" w:rsidR="00E068E7" w:rsidRDefault="00EA24EB">
            <w:pPr>
              <w:rPr>
                <w:lang w:eastAsia="en-US"/>
              </w:rPr>
            </w:pPr>
            <w:r>
              <w:rPr>
                <w:lang w:eastAsia="en-US"/>
              </w:rPr>
              <w:t>Lenovo, Motorola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3E468B50" w14:textId="77777777" w:rsidR="00E068E7" w:rsidRDefault="00EA24EB">
            <w:pPr>
              <w:rPr>
                <w:rFonts w:eastAsia="SimSun"/>
                <w:lang w:val="en-US" w:eastAsia="zh-CN"/>
              </w:rPr>
            </w:pPr>
            <w:r>
              <w:rPr>
                <w:rFonts w:eastAsia="SimSun" w:hint="eastAsia"/>
                <w:lang w:val="en-US" w:eastAsia="zh-CN"/>
              </w:rPr>
              <w:t>There is no see the necessity of supporting single LBT over all CCs.</w:t>
            </w:r>
          </w:p>
          <w:p w14:paraId="3E468B51" w14:textId="77777777" w:rsidR="00E068E7" w:rsidRDefault="00EA24EB">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 views on how to deal with this remaining issue.</w:t>
            </w:r>
          </w:p>
        </w:tc>
      </w:tr>
      <w:tr w:rsidR="008E600A" w14:paraId="011DC6D9" w14:textId="77777777" w:rsidTr="008E600A">
        <w:tc>
          <w:tcPr>
            <w:tcW w:w="1117" w:type="dxa"/>
          </w:tcPr>
          <w:p w14:paraId="22923B9E" w14:textId="77777777" w:rsidR="008E600A" w:rsidRPr="00F768DD"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8245" w:type="dxa"/>
          </w:tcPr>
          <w:p w14:paraId="5F05EB39" w14:textId="77777777" w:rsidR="008E600A" w:rsidRPr="00F768DD" w:rsidRDefault="008E600A" w:rsidP="001562C9">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bl>
    <w:p w14:paraId="3E468B53" w14:textId="77777777" w:rsidR="00E068E7" w:rsidRDefault="00E068E7">
      <w:pPr>
        <w:rPr>
          <w:lang w:eastAsia="en-US"/>
        </w:rPr>
      </w:pPr>
    </w:p>
    <w:p w14:paraId="3E468B54" w14:textId="77777777" w:rsidR="00E068E7" w:rsidRDefault="00EA24EB">
      <w:pPr>
        <w:pStyle w:val="Heading2"/>
        <w:rPr>
          <w:rFonts w:ascii="Times New Roman" w:hAnsi="Times New Roman"/>
        </w:rPr>
      </w:pPr>
      <w:r>
        <w:rPr>
          <w:rFonts w:ascii="Times New Roman" w:hAnsi="Times New Roman"/>
        </w:rPr>
        <w:lastRenderedPageBreak/>
        <w:t>Sensing Structures FFS Items</w:t>
      </w:r>
    </w:p>
    <w:p w14:paraId="3E468B55"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1" w:name="OLE_LINK71"/>
                            <w:bookmarkStart w:id="2"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3E469261" w14:textId="77777777" w:rsidR="00E068E7" w:rsidRDefault="00EA24EB">
                      <w:pPr>
                        <w:rPr>
                          <w:snapToGrid/>
                          <w:lang w:eastAsia="zh-CN"/>
                        </w:rPr>
                      </w:pPr>
                      <w:bookmarkStart w:id="3" w:name="OLE_LINK71"/>
                      <w:bookmarkStart w:id="4"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3E46926C" w14:textId="77777777" w:rsidR="00E068E7" w:rsidRDefault="00E068E7"/>
                  </w:txbxContent>
                </v:textbox>
                <w10:wrap type="topAndBottom" anchorx="margin"/>
              </v:shape>
            </w:pict>
          </mc:Fallback>
        </mc:AlternateContent>
      </w:r>
    </w:p>
    <w:p w14:paraId="3E468B56" w14:textId="77777777" w:rsidR="00E068E7" w:rsidRDefault="00E068E7">
      <w:pPr>
        <w:rPr>
          <w:lang w:eastAsia="en-US"/>
        </w:rPr>
      </w:pPr>
    </w:p>
    <w:tbl>
      <w:tblPr>
        <w:tblStyle w:val="TableGrid"/>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Heading3"/>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ListParagraph"/>
        <w:numPr>
          <w:ilvl w:val="1"/>
          <w:numId w:val="16"/>
        </w:numPr>
      </w:pPr>
      <w:r>
        <w:t>Implementation</w:t>
      </w:r>
    </w:p>
    <w:p w14:paraId="3E468B84" w14:textId="7BC66EF7" w:rsidR="00E068E7" w:rsidRDefault="00EA24EB">
      <w:pPr>
        <w:pStyle w:val="ListParagraph"/>
        <w:numPr>
          <w:ilvl w:val="1"/>
          <w:numId w:val="16"/>
        </w:numPr>
      </w:pPr>
      <w:r>
        <w:t xml:space="preserve">Other :1 us (Qualcomm), 2us (OPPO, Intel), 3us (ZTE, </w:t>
      </w:r>
      <w:proofErr w:type="spellStart"/>
      <w:r>
        <w:t>Spreadtrum</w:t>
      </w:r>
      <w:proofErr w:type="spellEnd"/>
      <w:r w:rsidR="001B50BB">
        <w:t>, Lenovo</w:t>
      </w:r>
      <w:r>
        <w:t>)</w:t>
      </w:r>
    </w:p>
    <w:p w14:paraId="3E468B85" w14:textId="77777777" w:rsidR="00E068E7" w:rsidRDefault="00EA24EB">
      <w:pPr>
        <w:pStyle w:val="ListParagraph"/>
        <w:numPr>
          <w:ilvl w:val="0"/>
          <w:numId w:val="16"/>
        </w:numPr>
      </w:pPr>
      <w:r>
        <w:t>Location of the X us measurement within a 5 us observation slot:</w:t>
      </w:r>
    </w:p>
    <w:p w14:paraId="3E468B86" w14:textId="7471BA49" w:rsidR="00E068E7" w:rsidRDefault="00EA24EB">
      <w:pPr>
        <w:pStyle w:val="ListParagraph"/>
        <w:numPr>
          <w:ilvl w:val="1"/>
          <w:numId w:val="16"/>
        </w:numPr>
      </w:pPr>
      <w:r>
        <w:t xml:space="preserve">Implementation: Ericsson, </w:t>
      </w:r>
      <w:proofErr w:type="spellStart"/>
      <w:r>
        <w:t>Oppo</w:t>
      </w:r>
      <w:proofErr w:type="spellEnd"/>
      <w:r>
        <w:t>,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bl>
    <w:p w14:paraId="3E468B96" w14:textId="77777777" w:rsidR="00E068E7" w:rsidRDefault="00E068E7">
      <w:pPr>
        <w:rPr>
          <w:lang w:eastAsia="en-US"/>
        </w:rPr>
      </w:pPr>
    </w:p>
    <w:p w14:paraId="3E468B97" w14:textId="77777777" w:rsidR="00E068E7" w:rsidRDefault="00EA24EB">
      <w:pPr>
        <w:pStyle w:val="Heading2"/>
        <w:rPr>
          <w:rFonts w:ascii="Times New Roman" w:hAnsi="Times New Roman"/>
        </w:rPr>
      </w:pPr>
      <w:r>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ListParagraph"/>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ListParagraph"/>
              <w:numPr>
                <w:ilvl w:val="1"/>
                <w:numId w:val="19"/>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3E468B9D" w14:textId="77777777" w:rsidR="00E068E7" w:rsidRDefault="00EA24EB">
            <w:pPr>
              <w:pStyle w:val="ListParagraph"/>
              <w:numPr>
                <w:ilvl w:val="1"/>
                <w:numId w:val="19"/>
              </w:numPr>
              <w:snapToGrid w:val="0"/>
              <w:spacing w:line="256" w:lineRule="auto"/>
              <w:textAlignment w:val="auto"/>
            </w:pPr>
            <w:r>
              <w:t xml:space="preserve">Further </w:t>
            </w:r>
            <w:proofErr w:type="spellStart"/>
            <w:r>
              <w:t>downselect</w:t>
            </w:r>
            <w:proofErr w:type="spellEnd"/>
            <w:r>
              <w:t xml:space="preserve"> between the following options:</w:t>
            </w:r>
          </w:p>
          <w:p w14:paraId="3E468B9E"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 xml:space="preserve">The usage of the two alternatives is a </w:t>
            </w:r>
            <w:proofErr w:type="spellStart"/>
            <w:r>
              <w:rPr>
                <w:rFonts w:eastAsia="Calibri"/>
                <w:szCs w:val="20"/>
              </w:rPr>
              <w:t>gNB</w:t>
            </w:r>
            <w:proofErr w:type="spellEnd"/>
            <w:r>
              <w:rPr>
                <w:rFonts w:eastAsia="Calibri"/>
                <w:szCs w:val="20"/>
              </w:rPr>
              <w:t xml:space="preserve"> choice and depends at least on local regulations.</w:t>
            </w:r>
          </w:p>
          <w:p w14:paraId="3E468BA3" w14:textId="77777777" w:rsidR="00E068E7" w:rsidRDefault="00EA24EB">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lastRenderedPageBreak/>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is capable of beam correspondence and it is expected to use only any of the Rx beam(s) as </w:t>
            </w:r>
            <w:proofErr w:type="spellStart"/>
            <w:r>
              <w:rPr>
                <w:rFonts w:eastAsia="Times New Roman"/>
                <w:b/>
                <w:bCs/>
                <w:i/>
                <w:iCs/>
                <w:snapToGrid/>
                <w:color w:val="000000"/>
                <w:kern w:val="0"/>
                <w:szCs w:val="20"/>
                <w:u w:val="single"/>
                <w:lang w:val="en-US" w:eastAsia="en-US"/>
              </w:rPr>
              <w:t>Tx</w:t>
            </w:r>
            <w:proofErr w:type="spellEnd"/>
            <w:r>
              <w:rPr>
                <w:rFonts w:eastAsia="Times New Roman"/>
                <w:b/>
                <w:bCs/>
                <w:i/>
                <w:iCs/>
                <w:snapToGrid/>
                <w:color w:val="000000"/>
                <w:kern w:val="0"/>
                <w:szCs w:val="20"/>
                <w:u w:val="single"/>
                <w:lang w:val="en-US" w:eastAsia="en-US"/>
              </w:rPr>
              <w:t xml:space="preserve">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Alt-3 for COT sharing,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Heading3"/>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3E468BE8"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ListParagraph"/>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 xml:space="preserve">Option 3: </w:t>
      </w:r>
      <w:proofErr w:type="spellStart"/>
      <w:r>
        <w:rPr>
          <w:szCs w:val="20"/>
        </w:rPr>
        <w:t>gNB</w:t>
      </w:r>
      <w:proofErr w:type="spellEnd"/>
      <w:r>
        <w:rPr>
          <w:szCs w:val="20"/>
        </w:rPr>
        <w:t xml:space="preserve">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ListParagraph"/>
        <w:numPr>
          <w:ilvl w:val="0"/>
          <w:numId w:val="0"/>
        </w:numPr>
        <w:ind w:left="1440"/>
      </w:pPr>
    </w:p>
    <w:p w14:paraId="3E468BF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 xml:space="preserve">The intention is the Y chosen by </w:t>
            </w:r>
            <w:proofErr w:type="spellStart"/>
            <w:r>
              <w:rPr>
                <w:rFonts w:eastAsiaTheme="minorEastAsia"/>
                <w:color w:val="FF0000"/>
                <w:lang w:eastAsia="en-US"/>
              </w:rPr>
              <w:t>gNB</w:t>
            </w:r>
            <w:proofErr w:type="spellEnd"/>
            <w:r>
              <w:rPr>
                <w:rFonts w:eastAsiaTheme="minorEastAsia"/>
                <w:color w:val="FF0000"/>
                <w:lang w:eastAsia="en-US"/>
              </w:rPr>
              <w:t xml:space="preserve">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bl>
    <w:p w14:paraId="3E468C00" w14:textId="77777777" w:rsidR="00E068E7" w:rsidRDefault="00E068E7">
      <w:pPr>
        <w:rPr>
          <w:lang w:eastAsia="en-US"/>
        </w:rPr>
      </w:pPr>
    </w:p>
    <w:p w14:paraId="3E468C01" w14:textId="77777777" w:rsidR="00E068E7" w:rsidRDefault="00EA24EB">
      <w:pPr>
        <w:pStyle w:val="Heading2"/>
        <w:rPr>
          <w:rFonts w:ascii="Times New Roman" w:hAnsi="Times New Roman"/>
        </w:rPr>
      </w:pPr>
      <w:r>
        <w:rPr>
          <w:rFonts w:ascii="Times New Roman" w:hAnsi="Times New Roman"/>
        </w:rPr>
        <w:lastRenderedPageBreak/>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In addition to support CAT-2 LBT for COT-sharing procedure,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Heading3"/>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3E468C4A"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385A0405"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p>
    <w:p w14:paraId="3E468C4E"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0A54FB90"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p>
    <w:p w14:paraId="3E468C51"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Multi-channel Type B access if supported </w:t>
      </w:r>
    </w:p>
    <w:p w14:paraId="3E468C52" w14:textId="1DA5D771"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3E468C5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ListParagraph"/>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ListParagraph"/>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ListParagraph"/>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ListParagraph"/>
                    <w:numPr>
                      <w:ilvl w:val="0"/>
                      <w:numId w:val="20"/>
                    </w:numPr>
                    <w:jc w:val="both"/>
                    <w:rPr>
                      <w:sz w:val="12"/>
                      <w:szCs w:val="14"/>
                    </w:rPr>
                  </w:pPr>
                  <w:r>
                    <w:rPr>
                      <w:sz w:val="12"/>
                      <w:szCs w:val="14"/>
                    </w:rPr>
                    <w:t>(Enforcement Article 6-2)</w:t>
                  </w:r>
                </w:p>
                <w:p w14:paraId="3E468C63" w14:textId="77777777" w:rsidR="00E068E7" w:rsidRDefault="00EA24EB">
                  <w:pPr>
                    <w:pStyle w:val="ListParagraph"/>
                    <w:numPr>
                      <w:ilvl w:val="0"/>
                      <w:numId w:val="20"/>
                    </w:numPr>
                    <w:jc w:val="both"/>
                    <w:rPr>
                      <w:sz w:val="12"/>
                      <w:szCs w:val="14"/>
                    </w:rPr>
                  </w:pPr>
                  <w:r>
                    <w:rPr>
                      <w:sz w:val="12"/>
                      <w:szCs w:val="14"/>
                    </w:rPr>
                    <w:t>(Facilities Article 9-4)</w:t>
                  </w:r>
                </w:p>
                <w:p w14:paraId="3E468C64" w14:textId="77777777" w:rsidR="00E068E7" w:rsidRDefault="00EA24EB">
                  <w:pPr>
                    <w:pStyle w:val="ListParagraph"/>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ListParagraph"/>
                    <w:numPr>
                      <w:ilvl w:val="0"/>
                      <w:numId w:val="20"/>
                    </w:numPr>
                    <w:jc w:val="both"/>
                    <w:rPr>
                      <w:sz w:val="12"/>
                      <w:szCs w:val="14"/>
                    </w:rPr>
                  </w:pPr>
                  <w:r>
                    <w:rPr>
                      <w:sz w:val="12"/>
                      <w:szCs w:val="14"/>
                    </w:rPr>
                    <w:t>(Facilities Article 49-20)</w:t>
                  </w:r>
                </w:p>
                <w:p w14:paraId="3E468C67" w14:textId="77777777" w:rsidR="00E068E7" w:rsidRDefault="00EA24EB">
                  <w:pPr>
                    <w:pStyle w:val="ListParagraph"/>
                    <w:numPr>
                      <w:ilvl w:val="0"/>
                      <w:numId w:val="20"/>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E468C69" w14:textId="77777777" w:rsidR="00E068E7" w:rsidRDefault="00EA24EB">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ListParagraph"/>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ListParagraph"/>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1562C9">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w:t>
            </w:r>
            <w:r>
              <w:rPr>
                <w:rFonts w:eastAsiaTheme="minorEastAsia"/>
                <w:lang w:eastAsia="zh-CN"/>
              </w:rPr>
              <w:t xml:space="preserve"> Our positions are added to the summary.</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Heading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5"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5"/>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6"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 xml:space="preserve">FFS: What is included in the L1-RSSI report, such as the value of RSSI measurement, comparison outcome with Energy Detection threshold, </w:t>
                      </w:r>
                      <w:proofErr w:type="spellStart"/>
                      <w:r>
                        <w:rPr>
                          <w:rFonts w:eastAsia="Times New Roman"/>
                        </w:rPr>
                        <w:t>etc</w:t>
                      </w:r>
                      <w:proofErr w:type="spellEnd"/>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3E469294"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before the UL grant to represent the interference at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E468C8C"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w:t>
            </w:r>
            <w:proofErr w:type="spellStart"/>
            <w:r>
              <w:rPr>
                <w:rFonts w:eastAsia="Times New Roman"/>
                <w:i/>
                <w:iCs/>
                <w:snapToGrid/>
                <w:color w:val="000000"/>
                <w:kern w:val="0"/>
                <w:szCs w:val="20"/>
                <w:lang w:val="en-US" w:eastAsia="en-US"/>
              </w:rPr>
              <w:t>Config</w:t>
            </w:r>
            <w:proofErr w:type="spellEnd"/>
            <w:r>
              <w:rPr>
                <w:rFonts w:eastAsia="Times New Roman"/>
                <w:i/>
                <w:iCs/>
                <w:snapToGrid/>
                <w:color w:val="000000"/>
                <w:kern w:val="0"/>
                <w:szCs w:val="20"/>
                <w:lang w:val="en-US" w:eastAsia="en-US"/>
              </w:rPr>
              <w:t xml:space="preserve">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2)      A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to trigger/schedule UL transmission and DL data transmission considering complexity. </w:t>
            </w:r>
          </w:p>
          <w:p w14:paraId="3E468C9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supported.</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w:t>
                  </w:r>
                  <w:proofErr w:type="spellStart"/>
                  <w:r>
                    <w:rPr>
                      <w:rFonts w:eastAsia="Times New Roman"/>
                      <w:snapToGrid/>
                      <w:color w:val="000000"/>
                      <w:kern w:val="0"/>
                      <w:szCs w:val="20"/>
                      <w:lang w:val="en-US" w:eastAsia="en-US"/>
                    </w:rPr>
                    <w:t>ed</w:t>
                  </w:r>
                  <w:proofErr w:type="spellEnd"/>
                  <w:r>
                    <w:rPr>
                      <w:rFonts w:eastAsia="Times New Roman"/>
                      <w:snapToGrid/>
                      <w:color w:val="000000"/>
                      <w:kern w:val="0"/>
                      <w:szCs w:val="20"/>
                      <w:lang w:val="en-US" w:eastAsia="en-US"/>
                    </w:rPr>
                    <w:t xml:space="preserve">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o    Timeline for L1-RSSI reporting is at least equal to AP-CSI reporting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threshold,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Receiver assistance should be considered for both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w:t>
            </w:r>
            <w:proofErr w:type="spellStart"/>
            <w:r>
              <w:rPr>
                <w:rFonts w:eastAsia="Times New Roman"/>
                <w:snapToGrid/>
                <w:color w:val="000000"/>
                <w:kern w:val="0"/>
                <w:szCs w:val="20"/>
                <w:lang w:val="en-US" w:eastAsia="en-US"/>
              </w:rPr>
              <w:t>Rel</w:t>
            </w:r>
            <w:proofErr w:type="spellEnd"/>
            <w:r>
              <w:rPr>
                <w:rFonts w:eastAsia="Times New Roman"/>
                <w:snapToGrid/>
                <w:color w:val="000000"/>
                <w:kern w:val="0"/>
                <w:szCs w:val="20"/>
                <w:lang w:val="en-US" w:eastAsia="en-US"/>
              </w:rPr>
              <w:t xml:space="preserve">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Heading3"/>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w:t>
      </w:r>
      <w:proofErr w:type="spellStart"/>
      <w:r>
        <w:t>Docomo</w:t>
      </w:r>
      <w:proofErr w:type="spellEnd"/>
      <w:r>
        <w:t xml:space="preserve"> (second </w:t>
      </w:r>
      <w:proofErr w:type="spellStart"/>
      <w:r>
        <w:t>pref</w:t>
      </w:r>
      <w:proofErr w:type="spellEnd"/>
      <w:r>
        <w:t>) ,CATT, Lenovo, InterDigital, Qualcomm, Apple</w:t>
      </w:r>
    </w:p>
    <w:p w14:paraId="3E468D12" w14:textId="77777777" w:rsidR="00E068E7" w:rsidRDefault="00EA24EB">
      <w:pPr>
        <w:pStyle w:val="ListParagraph"/>
        <w:numPr>
          <w:ilvl w:val="0"/>
          <w:numId w:val="16"/>
        </w:numPr>
      </w:pPr>
      <w:r>
        <w:t>Scheme 2: Huawei, Futurewei, Vivo, Fujitsu (2-1), OPPO</w:t>
      </w:r>
      <w:proofErr w:type="gramStart"/>
      <w:r>
        <w:t>, ,</w:t>
      </w:r>
      <w:proofErr w:type="gramEnd"/>
      <w:r>
        <w:t xml:space="preserve"> Samsung, </w:t>
      </w:r>
      <w:proofErr w:type="spellStart"/>
      <w:r>
        <w:t>MediaTek</w:t>
      </w:r>
      <w:proofErr w:type="spellEnd"/>
      <w:r>
        <w:t>(2-2), Intel (capability), Sony, LG (oppose 1),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3E468D13" w14:textId="77777777" w:rsidR="00E068E7" w:rsidRDefault="00EA24EB">
      <w:pPr>
        <w:pStyle w:val="ListParagraph"/>
        <w:numPr>
          <w:ilvl w:val="0"/>
          <w:numId w:val="16"/>
        </w:numPr>
      </w:pPr>
      <w:r>
        <w:t>Scheme 3:  Lenovo?</w:t>
      </w:r>
    </w:p>
    <w:p w14:paraId="3E468D14" w14:textId="77777777" w:rsidR="00E068E7" w:rsidRDefault="00EA24EB">
      <w:pPr>
        <w:pStyle w:val="ListParagraph"/>
        <w:numPr>
          <w:ilvl w:val="0"/>
          <w:numId w:val="16"/>
        </w:numPr>
      </w:pPr>
      <w:r>
        <w:t xml:space="preserve">Scheme 4:  </w:t>
      </w:r>
      <w:proofErr w:type="spellStart"/>
      <w:r>
        <w:t>Spreadtrum</w:t>
      </w:r>
      <w:proofErr w:type="spellEnd"/>
      <w:r>
        <w:t xml:space="preserve">, Xiaomi, (oppose 2/3), Ericsson (no to 2-1,3), Nokia, Samsung, </w:t>
      </w:r>
      <w:proofErr w:type="spellStart"/>
      <w:proofErr w:type="gramStart"/>
      <w:r>
        <w:t>Docomo</w:t>
      </w:r>
      <w:proofErr w:type="spellEnd"/>
      <w:r>
        <w:t>,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ListParagraph"/>
        <w:numPr>
          <w:ilvl w:val="0"/>
          <w:numId w:val="16"/>
        </w:numPr>
        <w:rPr>
          <w:rFonts w:eastAsia="Times New Roman"/>
        </w:rPr>
      </w:pPr>
      <w:r>
        <w:rPr>
          <w:rFonts w:eastAsia="Times New Roman"/>
        </w:rPr>
        <w:t>Resource used for RSSI measurement</w:t>
      </w:r>
    </w:p>
    <w:p w14:paraId="3E468D1A" w14:textId="77777777" w:rsidR="00E068E7" w:rsidRDefault="00EA24EB">
      <w:pPr>
        <w:pStyle w:val="ListParagraph"/>
        <w:numPr>
          <w:ilvl w:val="1"/>
          <w:numId w:val="16"/>
        </w:numPr>
        <w:rPr>
          <w:rFonts w:eastAsia="Times New Roman"/>
        </w:rPr>
      </w:pPr>
      <w:r>
        <w:rPr>
          <w:rFonts w:eastAsia="Times New Roman"/>
        </w:rPr>
        <w:t>Alt 1: RSSI measurement is based on the time/frequency resources configured for ZP-CSI-RS</w:t>
      </w:r>
    </w:p>
    <w:p w14:paraId="3E468D1B" w14:textId="67EFB5A3" w:rsidR="00E068E7" w:rsidRDefault="00EA24EB">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721812B1" w14:textId="1C1115DC" w:rsidR="00C67157" w:rsidRDefault="00C67157">
      <w:pPr>
        <w:pStyle w:val="ListParagraph"/>
        <w:numPr>
          <w:ilvl w:val="2"/>
          <w:numId w:val="16"/>
        </w:numPr>
        <w:rPr>
          <w:rFonts w:eastAsia="Times New Roman"/>
        </w:rPr>
      </w:pPr>
      <w:r>
        <w:rPr>
          <w:rFonts w:eastAsia="Times New Roman"/>
        </w:rPr>
        <w:t>Qualcomm</w:t>
      </w:r>
    </w:p>
    <w:p w14:paraId="3E468D1C" w14:textId="72A4397E" w:rsidR="00E068E7" w:rsidRDefault="00EA24EB">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ListParagraph"/>
        <w:numPr>
          <w:ilvl w:val="2"/>
          <w:numId w:val="16"/>
        </w:numPr>
        <w:rPr>
          <w:rFonts w:eastAsia="Times New Roman"/>
        </w:rPr>
      </w:pPr>
      <w:r>
        <w:rPr>
          <w:rFonts w:eastAsia="Times New Roman"/>
        </w:rPr>
        <w:t>Intel, Lenovo</w:t>
      </w:r>
    </w:p>
    <w:p w14:paraId="3E468D1D" w14:textId="77777777" w:rsidR="00E068E7" w:rsidRDefault="00EA24EB">
      <w:pPr>
        <w:pStyle w:val="ListParagraph"/>
        <w:numPr>
          <w:ilvl w:val="0"/>
          <w:numId w:val="16"/>
        </w:numPr>
        <w:rPr>
          <w:rFonts w:eastAsia="Times New Roman"/>
        </w:rPr>
      </w:pPr>
      <w:r>
        <w:rPr>
          <w:rFonts w:eastAsia="Times New Roman"/>
        </w:rPr>
        <w:t>L1-RSSI is reported in an AP-CSI report</w:t>
      </w:r>
    </w:p>
    <w:p w14:paraId="3E468D1E" w14:textId="77777777" w:rsidR="00E068E7" w:rsidRDefault="00EA24EB">
      <w:pPr>
        <w:pStyle w:val="ListParagraph"/>
        <w:numPr>
          <w:ilvl w:val="0"/>
          <w:numId w:val="16"/>
        </w:numPr>
        <w:rPr>
          <w:rFonts w:eastAsia="Times New Roman"/>
        </w:rPr>
      </w:pPr>
      <w:r>
        <w:rPr>
          <w:rFonts w:eastAsia="Times New Roman"/>
        </w:rPr>
        <w:t>L1-RSSI trigger in UL grant</w:t>
      </w:r>
    </w:p>
    <w:p w14:paraId="3E468D1F" w14:textId="77777777" w:rsidR="00E068E7" w:rsidRDefault="00EA24EB">
      <w:pPr>
        <w:pStyle w:val="ListParagraph"/>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ListParagraph"/>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ListParagraph"/>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ListParagraph"/>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ListParagraph"/>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ListParagraph"/>
        <w:numPr>
          <w:ilvl w:val="2"/>
          <w:numId w:val="16"/>
        </w:numPr>
        <w:rPr>
          <w:rFonts w:eastAsia="Times New Roman"/>
        </w:rPr>
      </w:pPr>
      <w:r>
        <w:rPr>
          <w:rFonts w:eastAsia="Times New Roman"/>
        </w:rPr>
        <w:t>Intel, Lenovo</w:t>
      </w:r>
    </w:p>
    <w:p w14:paraId="3E468D25" w14:textId="5119FEBD" w:rsidR="00E068E7" w:rsidRDefault="00480D8D"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77777777" w:rsidR="00E068E7" w:rsidRDefault="00EA24EB">
            <w:pPr>
              <w:rPr>
                <w:lang w:eastAsia="en-US"/>
              </w:rPr>
            </w:pPr>
            <w:r>
              <w:rPr>
                <w:lang w:eastAsia="en-US"/>
              </w:rPr>
              <w:t>In principle we are fine with the listed design components for L1-RSSI based receiver assistance.</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8E600A" w14:paraId="5288F097" w14:textId="77777777" w:rsidTr="008E600A">
        <w:tc>
          <w:tcPr>
            <w:tcW w:w="1525" w:type="dxa"/>
          </w:tcPr>
          <w:p w14:paraId="70D8CB33" w14:textId="77777777" w:rsidR="008E600A" w:rsidRDefault="008E600A" w:rsidP="001562C9">
            <w:pPr>
              <w:rPr>
                <w:rFonts w:eastAsiaTheme="minorEastAsia"/>
                <w:lang w:val="en-US" w:eastAsia="zh-CN"/>
              </w:rPr>
            </w:pPr>
            <w:r>
              <w:rPr>
                <w:rFonts w:eastAsiaTheme="minorEastAsia"/>
                <w:lang w:val="en-US" w:eastAsia="zh-CN"/>
              </w:rPr>
              <w:t>vivo</w:t>
            </w:r>
          </w:p>
        </w:tc>
        <w:tc>
          <w:tcPr>
            <w:tcW w:w="7837" w:type="dxa"/>
          </w:tcPr>
          <w:p w14:paraId="47F84442" w14:textId="77777777" w:rsidR="008E600A" w:rsidRDefault="008E600A" w:rsidP="001562C9">
            <w:pPr>
              <w:rPr>
                <w:sz w:val="21"/>
                <w:szCs w:val="21"/>
                <w:lang w:val="en-US" w:eastAsia="zh-CN"/>
              </w:rPr>
            </w:pPr>
            <w:r>
              <w:rPr>
                <w:sz w:val="21"/>
                <w:szCs w:val="21"/>
                <w:lang w:val="en-US" w:eastAsia="zh-CN"/>
              </w:rPr>
              <w:t>If the intention is to list components of scheme 1 (if introduced), we suggest to make it clear.</w:t>
            </w:r>
          </w:p>
          <w:p w14:paraId="1A5F8500" w14:textId="77777777" w:rsidR="008E600A" w:rsidRDefault="008E600A" w:rsidP="001562C9">
            <w:pPr>
              <w:rPr>
                <w:sz w:val="21"/>
                <w:szCs w:val="21"/>
                <w:lang w:val="en-US" w:eastAsia="zh-CN"/>
              </w:rPr>
            </w:pPr>
          </w:p>
          <w:p w14:paraId="5D7E0F7D" w14:textId="77777777" w:rsidR="008E600A" w:rsidRDefault="008E600A" w:rsidP="001562C9">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1562C9">
            <w:pPr>
              <w:rPr>
                <w:sz w:val="21"/>
                <w:szCs w:val="21"/>
                <w:lang w:eastAsia="zh-CN"/>
              </w:rPr>
            </w:pPr>
          </w:p>
          <w:p w14:paraId="48251AFB" w14:textId="562440C1" w:rsidR="008E600A" w:rsidRPr="00A756CE" w:rsidRDefault="008E600A" w:rsidP="001562C9">
            <w:pPr>
              <w:rPr>
                <w:sz w:val="21"/>
                <w:szCs w:val="21"/>
                <w:lang w:eastAsia="zh-CN"/>
              </w:rPr>
            </w:pPr>
            <w:r>
              <w:rPr>
                <w:sz w:val="21"/>
                <w:szCs w:val="21"/>
                <w:lang w:eastAsia="zh-CN"/>
              </w:rPr>
              <w:t>We don’t support scheme 1.</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E468D40"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w:t>
      </w:r>
      <w:proofErr w:type="spellStart"/>
      <w:r>
        <w:rPr>
          <w:rFonts w:eastAsia="Times New Roman"/>
        </w:rPr>
        <w:t>gNB</w:t>
      </w:r>
      <w:proofErr w:type="spellEnd"/>
      <w:r>
        <w:rPr>
          <w:rFonts w:eastAsia="Times New Roman"/>
        </w:rPr>
        <w:t xml:space="preserve"> should not transmit if PUCCH/SRS is not detected, the scheme has no spec impact and can be left for implementation</w:t>
      </w:r>
    </w:p>
    <w:p w14:paraId="3E468D4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r w:rsidR="008E600A" w:rsidRPr="00E73B60" w14:paraId="1521FEDD" w14:textId="77777777" w:rsidTr="008E600A">
        <w:trPr>
          <w:trHeight w:val="179"/>
        </w:trPr>
        <w:tc>
          <w:tcPr>
            <w:tcW w:w="1525" w:type="dxa"/>
          </w:tcPr>
          <w:p w14:paraId="4BF07B7D"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BE4320" w14:textId="77777777" w:rsidR="008E600A" w:rsidRPr="00CC7AD3" w:rsidRDefault="008E600A" w:rsidP="001562C9">
            <w:pPr>
              <w:rPr>
                <w:rFonts w:eastAsiaTheme="minorEastAsia"/>
                <w:lang w:eastAsia="zh-CN"/>
              </w:rPr>
            </w:pPr>
            <w:r>
              <w:rPr>
                <w:rFonts w:eastAsiaTheme="minorEastAsia"/>
                <w:lang w:eastAsia="zh-CN"/>
              </w:rPr>
              <w:t xml:space="preserve">From our point of view, the receiver assisted information is used to assist DL transmissions to address hidden node problem. Therefore, </w:t>
            </w:r>
            <w:proofErr w:type="spellStart"/>
            <w:r>
              <w:rPr>
                <w:rFonts w:eastAsiaTheme="minorEastAsia"/>
                <w:lang w:eastAsia="zh-CN"/>
              </w:rPr>
              <w:t>gNB</w:t>
            </w:r>
            <w:proofErr w:type="spellEnd"/>
            <w:r>
              <w:rPr>
                <w:rFonts w:eastAsiaTheme="minorEastAsia"/>
                <w:lang w:eastAsia="zh-CN"/>
              </w:rPr>
              <w:t xml:space="preserve"> should only transmit after it receives the assistant information. The observation from FL is not the intention of Scheme 2 and we don’t agree.</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3E468D5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transmit DL data if PUCCH/SRS is not detected</w:t>
      </w:r>
    </w:p>
    <w:p w14:paraId="3E468D5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w:t>
      </w:r>
      <w:proofErr w:type="spellStart"/>
      <w:r>
        <w:rPr>
          <w:rFonts w:eastAsia="Times New Roman"/>
        </w:rPr>
        <w:t>gNB</w:t>
      </w:r>
      <w:proofErr w:type="spellEnd"/>
      <w:r>
        <w:rPr>
          <w:rFonts w:eastAsia="Times New Roman"/>
        </w:rPr>
        <w:t xml:space="preserve">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8E600A" w:rsidRPr="00E73B60" w14:paraId="678917A6" w14:textId="77777777" w:rsidTr="008E600A">
        <w:tc>
          <w:tcPr>
            <w:tcW w:w="1525" w:type="dxa"/>
          </w:tcPr>
          <w:p w14:paraId="7EBE0D18"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C094DB9" w14:textId="20DF1CCE" w:rsidR="008E600A" w:rsidRDefault="008E600A" w:rsidP="001562C9">
            <w:pPr>
              <w:rPr>
                <w:rFonts w:eastAsiaTheme="minorEastAsia"/>
                <w:lang w:eastAsia="zh-CN"/>
              </w:rPr>
            </w:pPr>
            <w:r>
              <w:rPr>
                <w:rFonts w:eastAsiaTheme="minorEastAsia"/>
                <w:lang w:eastAsia="zh-CN"/>
              </w:rPr>
              <w:t xml:space="preserve">Support the intention. </w:t>
            </w:r>
            <w:r>
              <w:rPr>
                <w:rFonts w:eastAsiaTheme="minorEastAsia"/>
                <w:lang w:eastAsia="zh-CN"/>
              </w:rPr>
              <w:t>DL data could be interpreted as PDSCH only. We prefer a rewording.</w:t>
            </w:r>
          </w:p>
          <w:p w14:paraId="6BF7A3B9" w14:textId="77777777" w:rsidR="008E600A" w:rsidRPr="006D26B2"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lastRenderedPageBreak/>
              <w:t xml:space="preserve"> </w:t>
            </w:r>
            <w:r>
              <w:rPr>
                <w:rFonts w:eastAsia="Times New Roman"/>
              </w:rPr>
              <w:t xml:space="preserve">In Scheme 2-1, </w:t>
            </w:r>
            <w:r>
              <w:rPr>
                <w:rFonts w:eastAsia="Times New Roman"/>
                <w:lang w:val="en-US"/>
              </w:rPr>
              <w:t>the</w:t>
            </w:r>
            <w:r w:rsidRPr="00096534">
              <w:rPr>
                <w:rFonts w:eastAsia="Times New Roman"/>
              </w:rPr>
              <w:t xml:space="preserve"> </w:t>
            </w:r>
            <w:proofErr w:type="spellStart"/>
            <w:r w:rsidRPr="00096534">
              <w:rPr>
                <w:rFonts w:eastAsia="Times New Roman"/>
              </w:rPr>
              <w:t>gNB</w:t>
            </w:r>
            <w:proofErr w:type="spellEnd"/>
            <w:r w:rsidRPr="00096534">
              <w:rPr>
                <w:rFonts w:eastAsia="Times New Roman"/>
              </w:rPr>
              <w:t xml:space="preserve">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w:t>
            </w:r>
            <w:proofErr w:type="spellStart"/>
            <w:r w:rsidRPr="00096534">
              <w:rPr>
                <w:rFonts w:eastAsia="Times New Roman"/>
              </w:rPr>
              <w:t>gNB</w:t>
            </w:r>
            <w:proofErr w:type="spellEnd"/>
            <w:r w:rsidRPr="00096534">
              <w:rPr>
                <w:rFonts w:eastAsia="Times New Roman"/>
              </w:rPr>
              <w:t xml:space="preserve">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1562C9">
            <w:pPr>
              <w:rPr>
                <w:rFonts w:eastAsiaTheme="minorEastAsia"/>
                <w:lang w:eastAsia="zh-CN"/>
              </w:rPr>
            </w:pP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3E468D6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8E600A" w:rsidRPr="00E73B60" w14:paraId="6CA2AA85" w14:textId="77777777" w:rsidTr="008E600A">
        <w:tc>
          <w:tcPr>
            <w:tcW w:w="1525" w:type="dxa"/>
          </w:tcPr>
          <w:p w14:paraId="5F555324"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7636EE8" w14:textId="77777777" w:rsidR="008E600A" w:rsidRPr="00715410" w:rsidRDefault="008E600A" w:rsidP="001562C9">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TableGrid"/>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1562C9">
            <w:pPr>
              <w:rPr>
                <w:rFonts w:eastAsiaTheme="minorEastAsia"/>
                <w:lang w:eastAsia="zh-CN"/>
              </w:rPr>
            </w:pPr>
            <w:r>
              <w:rPr>
                <w:rFonts w:eastAsiaTheme="minorEastAsia"/>
                <w:lang w:eastAsia="zh-CN"/>
              </w:rPr>
              <w:t>We are fine with the conclusion.</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Alt 1: </w:t>
      </w:r>
      <w:proofErr w:type="spellStart"/>
      <w:r>
        <w:rPr>
          <w:rFonts w:eastAsia="Times New Roman"/>
        </w:rPr>
        <w:t>gNB</w:t>
      </w:r>
      <w:proofErr w:type="spellEnd"/>
      <w:r>
        <w:rPr>
          <w:rFonts w:eastAsia="Times New Roman"/>
        </w:rPr>
        <w:t xml:space="preserve">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w:t>
      </w:r>
      <w:proofErr w:type="spellStart"/>
      <w:r>
        <w:rPr>
          <w:rFonts w:eastAsia="Times New Roman"/>
        </w:rPr>
        <w:t>gNB</w:t>
      </w:r>
      <w:proofErr w:type="spellEnd"/>
      <w:r>
        <w:rPr>
          <w:rFonts w:eastAsia="Times New Roman"/>
        </w:rPr>
        <w:t xml:space="preserve"> indication of new reference SCS and measurement bandwidths and </w:t>
      </w:r>
      <w:proofErr w:type="gramStart"/>
      <w:r>
        <w:rPr>
          <w:rFonts w:eastAsia="Times New Roman"/>
        </w:rPr>
        <w:t>how</w:t>
      </w:r>
      <w:proofErr w:type="gramEnd"/>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E468D93" w14:textId="77777777" w:rsidR="00E068E7" w:rsidRDefault="00EA24EB">
            <w:pPr>
              <w:rPr>
                <w:lang w:eastAsia="en-US"/>
              </w:rPr>
            </w:pPr>
            <w:r>
              <w:rPr>
                <w:rFonts w:eastAsiaTheme="minorEastAsia"/>
                <w:lang w:eastAsia="zh-CN"/>
              </w:rPr>
              <w:t xml:space="preserve">Yes, we support to introduce </w:t>
            </w:r>
            <w:proofErr w:type="spellStart"/>
            <w:r>
              <w:rPr>
                <w:rFonts w:eastAsiaTheme="minorEastAsia"/>
                <w:lang w:eastAsia="zh-CN"/>
              </w:rPr>
              <w:t>gNB</w:t>
            </w:r>
            <w:proofErr w:type="spellEnd"/>
            <w:r>
              <w:rPr>
                <w:rFonts w:eastAsiaTheme="minorEastAsia"/>
                <w:lang w:eastAsia="zh-CN"/>
              </w:rPr>
              <w:t xml:space="preserve"> indication of the beam used for UE RSSI measurement. 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 xml:space="preserve">introducing </w:t>
            </w:r>
            <w:proofErr w:type="spellStart"/>
            <w:r>
              <w:rPr>
                <w:rFonts w:eastAsia="Times New Roman"/>
              </w:rPr>
              <w:t>gNB</w:t>
            </w:r>
            <w:proofErr w:type="spellEnd"/>
            <w:r>
              <w:rPr>
                <w:rFonts w:eastAsia="Times New Roman"/>
              </w:rPr>
              <w:t xml:space="preserve"> indication of the beam used for UE RSSI measurement</w:t>
            </w:r>
            <w:r>
              <w:rPr>
                <w:rFonts w:eastAsia="SimSun" w:hint="eastAsia"/>
                <w:lang w:val="en-US" w:eastAsia="zh-CN"/>
              </w:rPr>
              <w:t xml:space="preserve"> and specific related indication method can be further discussed and determined.</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Heading2"/>
        <w:rPr>
          <w:rFonts w:ascii="Times New Roman" w:hAnsi="Times New Roman"/>
        </w:rPr>
      </w:pPr>
      <w:r>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DA1"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down-select one or more of the following LBT operations </w:t>
            </w:r>
          </w:p>
          <w:p w14:paraId="3E468DA5"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3E468DA6" w14:textId="77777777" w:rsidR="00E068E7" w:rsidRDefault="00EA24EB">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w:t>
            </w:r>
            <w:r>
              <w:rPr>
                <w:szCs w:val="20"/>
              </w:rPr>
              <w:lastRenderedPageBreak/>
              <w:t>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One-to-many correspondence between LBT beam and transmit beams and using quasi-</w:t>
            </w:r>
            <w:proofErr w:type="spellStart"/>
            <w:r>
              <w:rPr>
                <w:rFonts w:eastAsia="Times New Roman"/>
                <w:i/>
                <w:iCs/>
                <w:snapToGrid/>
                <w:color w:val="000000"/>
                <w:kern w:val="0"/>
                <w:szCs w:val="20"/>
                <w:lang w:val="en-US" w:eastAsia="en-US"/>
              </w:rPr>
              <w:t>omni</w:t>
            </w:r>
            <w:proofErr w:type="spellEnd"/>
            <w:r>
              <w:rPr>
                <w:rFonts w:eastAsia="Times New Roman"/>
                <w:i/>
                <w:iCs/>
                <w:snapToGrid/>
                <w:color w:val="000000"/>
                <w:kern w:val="0"/>
                <w:szCs w:val="20"/>
                <w:lang w:val="en-US" w:eastAsia="en-US"/>
              </w:rPr>
              <w:t xml:space="preserve">-directional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w:t>
            </w:r>
            <w:proofErr w:type="spellStart"/>
            <w:r>
              <w:rPr>
                <w:rFonts w:eastAsia="Times New Roman"/>
                <w:i/>
                <w:iCs/>
                <w:snapToGrid/>
                <w:color w:val="000000"/>
                <w:kern w:val="0"/>
                <w:szCs w:val="20"/>
                <w:lang w:val="en-US" w:eastAsia="en-US"/>
              </w:rPr>
              <w:t>beamwidth</w:t>
            </w:r>
            <w:proofErr w:type="spellEnd"/>
            <w:r>
              <w:rPr>
                <w:rFonts w:eastAsia="Times New Roman"/>
                <w:i/>
                <w:iCs/>
                <w:snapToGrid/>
                <w:color w:val="000000"/>
                <w:kern w:val="0"/>
                <w:szCs w:val="20"/>
                <w:lang w:val="en-US" w:eastAsia="en-US"/>
              </w:rPr>
              <w:t xml:space="preserve">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15: When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7"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8" w:name="RANGE!C82"/>
            <w:bookmarkEnd w:id="7"/>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8"/>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D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TDM transmission, both Alt 1 and Alt 3 are supported.</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or quasi-</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E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proofErr w:type="spellStart"/>
            <w:r>
              <w:rPr>
                <w:rFonts w:eastAsia="Times New Roman"/>
                <w:snapToGrid/>
                <w:color w:val="000000"/>
                <w:kern w:val="0"/>
                <w:szCs w:val="20"/>
                <w:lang w:val="en-US" w:eastAsia="en-US"/>
              </w:rPr>
              <w:t>deprioritised</w:t>
            </w:r>
            <w:proofErr w:type="spellEnd"/>
            <w:r>
              <w:rPr>
                <w:rFonts w:eastAsia="Times New Roman"/>
                <w:snapToGrid/>
                <w:color w:val="000000"/>
                <w:kern w:val="0"/>
                <w:szCs w:val="20"/>
                <w:lang w:val="en-US" w:eastAsia="en-US"/>
              </w:rPr>
              <w:t xml:space="preserve">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11: It is important to maintain flexibility of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single contention window is shared by beams or each beam has a separate contention window.</w:t>
            </w:r>
          </w:p>
          <w:p w14:paraId="3E468E1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    Alt A-1: The node completes one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on one beam, and directly move on to the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on the other beam, with no transmission in the middle</w:t>
            </w:r>
          </w:p>
          <w:p w14:paraId="3E468E3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    Alt A-2: The node completes one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on one beam, start transmission with the beam to occupy the COT, then move on to the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on the other beam</w:t>
            </w:r>
          </w:p>
          <w:p w14:paraId="3E468E3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    Alt A-3: The node performs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E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FFS: Details on the definition of "cover”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For a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/UE to initiate a COT with SDM or TDM multiple beams with separate LBT per beam and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Heading3"/>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Heading3"/>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ListParagraph"/>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p>
    <w:p w14:paraId="3E468E8C" w14:textId="77777777" w:rsidR="00E068E7" w:rsidRDefault="00EA24EB">
      <w:pPr>
        <w:pStyle w:val="ListParagraph"/>
        <w:numPr>
          <w:ilvl w:val="0"/>
          <w:numId w:val="41"/>
        </w:numPr>
        <w:rPr>
          <w:lang w:eastAsia="en-US"/>
        </w:rPr>
      </w:pPr>
      <w:r>
        <w:t>Decide single beam sensing first, deprioritize independent per beam sensing: Ericsson, Nokia</w:t>
      </w:r>
    </w:p>
    <w:p w14:paraId="3E468E8D" w14:textId="77777777" w:rsidR="00E068E7" w:rsidRDefault="00E068E7">
      <w:pPr>
        <w:pStyle w:val="ListParagraph"/>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w:t>
      </w:r>
      <w:proofErr w:type="gramStart"/>
      <w:r>
        <w:t>2  (</w:t>
      </w:r>
      <w:proofErr w:type="gramEnd"/>
      <w:r>
        <w:t>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ListParagraph"/>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w:t>
      </w:r>
      <w:proofErr w:type="gramStart"/>
      <w:r>
        <w:t>3  (</w:t>
      </w:r>
      <w:proofErr w:type="gramEnd"/>
      <w:r>
        <w:t>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ListParagraph"/>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w:t>
      </w:r>
      <w:proofErr w:type="gramStart"/>
      <w:r>
        <w:t>4  (</w:t>
      </w:r>
      <w:proofErr w:type="gramEnd"/>
      <w:r>
        <w:t>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Heading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1"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hcFwIAADU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ozSFAEokFlDc0IGLUx9jHOHhw7sd0oG7OGKum8HZgUl6oNBFVbZfB6aPhrz4m2O&#10;hr321NceZjhCVdRTMh23Pg5K4MfALarVysjjSybnlLE3I73nOQrNf23HqJdp3/wA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FPkhcFwIAADUEAAAOAAAAAAAAAAAAAAAAAC4CAABkcnMvZTJvRG9jLnhtbFBLAQItABQABgAI&#10;AAAAIQDGxDJn3QAAAAcBAAAPAAAAAAAAAAAAAAAAAHEEAABkcnMvZG93bnJldi54bWxQSwUGAAAA&#10;AAQABADzAAAAewUAAAAA&#10;">
                <v:textbo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TableGrid"/>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Heading3"/>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3E468ECF"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w:t>
            </w:r>
            <w:proofErr w:type="spellStart"/>
            <w:r>
              <w:rPr>
                <w:lang w:eastAsia="zh-CN"/>
              </w:rPr>
              <w:t>adaptivity</w:t>
            </w:r>
            <w:proofErr w:type="spellEnd"/>
            <w:r>
              <w:rPr>
                <w:lang w:eastAsia="zh-CN"/>
              </w:rPr>
              <w:t xml:space="preserve">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77777777" w:rsidR="00E068E7" w:rsidRDefault="00EA24EB">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w:t>
            </w:r>
            <w:proofErr w:type="spellStart"/>
            <w:r>
              <w:rPr>
                <w:rFonts w:eastAsiaTheme="minorEastAsia"/>
                <w:lang w:eastAsia="zh-CN"/>
              </w:rPr>
              <w:t>gNB</w:t>
            </w:r>
            <w:proofErr w:type="spellEnd"/>
            <w:r>
              <w:rPr>
                <w:rFonts w:eastAsiaTheme="minorEastAsia"/>
                <w:lang w:eastAsia="zh-CN"/>
              </w:rPr>
              <w:t>/UE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w:t>
            </w:r>
            <w:r>
              <w:rPr>
                <w:rFonts w:eastAsiaTheme="minorEastAsia"/>
                <w:lang w:eastAsia="zh-CN"/>
              </w:rPr>
              <w:lastRenderedPageBreak/>
              <w:t xml:space="preserve">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 xml:space="preserve">ed, CCA or </w:t>
            </w:r>
            <w:proofErr w:type="spellStart"/>
            <w:r w:rsidR="00753D27" w:rsidRPr="00753D27">
              <w:rPr>
                <w:rFonts w:eastAsiaTheme="minorEastAsia"/>
                <w:color w:val="FF0000"/>
                <w:lang w:eastAsia="en-US"/>
              </w:rPr>
              <w:t>eCCA</w:t>
            </w:r>
            <w:proofErr w:type="spellEnd"/>
            <w:r w:rsidR="00753D27" w:rsidRPr="00753D27">
              <w:rPr>
                <w:rFonts w:eastAsiaTheme="minorEastAsia"/>
                <w:color w:val="FF0000"/>
                <w:lang w:eastAsia="en-US"/>
              </w:rPr>
              <w:t>.</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77777777" w:rsidR="008E600A" w:rsidRDefault="008E600A" w:rsidP="001562C9">
            <w:pPr>
              <w:rPr>
                <w:rFonts w:eastAsia="SimSun"/>
                <w:lang w:val="en-US" w:eastAsia="zh-CN"/>
              </w:rPr>
            </w:pPr>
            <w:r>
              <w:rPr>
                <w:rFonts w:eastAsia="SimSun"/>
                <w:lang w:val="en-US" w:eastAsia="zh-CN"/>
              </w:rPr>
              <w:t>vivo</w:t>
            </w:r>
          </w:p>
        </w:tc>
        <w:tc>
          <w:tcPr>
            <w:tcW w:w="6937" w:type="dxa"/>
          </w:tcPr>
          <w:p w14:paraId="06A5BF23" w14:textId="77777777" w:rsidR="008E600A" w:rsidRDefault="008E600A" w:rsidP="001562C9">
            <w:pPr>
              <w:rPr>
                <w:rFonts w:eastAsia="SimSun"/>
                <w:lang w:val="en-US" w:eastAsia="zh-CN"/>
              </w:rPr>
            </w:pPr>
            <w:r>
              <w:rPr>
                <w:rFonts w:eastAsiaTheme="minorEastAsia"/>
                <w:lang w:eastAsia="zh-CN"/>
              </w:rPr>
              <w:t>We support Alt 2. Cat 2 can be used for Type B multi-channel access</w:t>
            </w:r>
          </w:p>
        </w:tc>
      </w:tr>
    </w:tbl>
    <w:p w14:paraId="3E468EE7" w14:textId="77777777" w:rsidR="00E068E7" w:rsidRDefault="00E068E7">
      <w:pPr>
        <w:rPr>
          <w:lang w:eastAsia="en-US"/>
        </w:rPr>
      </w:pPr>
    </w:p>
    <w:p w14:paraId="3E468EE8" w14:textId="77777777" w:rsidR="00E068E7" w:rsidRDefault="00EA24EB">
      <w:pPr>
        <w:pStyle w:val="Heading2"/>
        <w:rPr>
          <w:rFonts w:ascii="Times New Roman" w:hAnsi="Times New Roman"/>
        </w:rPr>
      </w:pPr>
      <w:r>
        <w:rPr>
          <w:rFonts w:ascii="Times New Roman" w:hAnsi="Times New Roman"/>
        </w:rPr>
        <w:t>Directional LBT</w:t>
      </w:r>
    </w:p>
    <w:tbl>
      <w:tblPr>
        <w:tblStyle w:val="TableGrid"/>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77777777" w:rsidR="00E068E7" w:rsidRDefault="00EA24EB">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3E468EEE" w14:textId="77777777" w:rsidR="00E068E7" w:rsidRDefault="00EA24EB">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3E468EF2" w14:textId="77777777" w:rsidR="00E068E7" w:rsidRDefault="00EA24EB">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ListParagraph"/>
              <w:numPr>
                <w:ilvl w:val="1"/>
                <w:numId w:val="45"/>
              </w:numPr>
              <w:snapToGrid w:val="0"/>
              <w:spacing w:after="0" w:line="256" w:lineRule="auto"/>
              <w:textAlignment w:val="auto"/>
            </w:pPr>
            <w:r>
              <w:t xml:space="preserve">On </w:t>
            </w:r>
            <w:proofErr w:type="spellStart"/>
            <w:r>
              <w:t>gNB</w:t>
            </w:r>
            <w:proofErr w:type="spellEnd"/>
            <w:r>
              <w:t xml:space="preserve"> side sensing beam selection for a DL transmission beam, </w:t>
            </w:r>
          </w:p>
          <w:p w14:paraId="3E468EF6" w14:textId="77777777" w:rsidR="00E068E7" w:rsidRDefault="00EA24EB">
            <w:pPr>
              <w:pStyle w:val="ListParagraph"/>
              <w:numPr>
                <w:ilvl w:val="2"/>
                <w:numId w:val="45"/>
              </w:numPr>
              <w:snapToGrid w:val="0"/>
              <w:spacing w:after="0" w:line="256" w:lineRule="auto"/>
              <w:textAlignment w:val="auto"/>
            </w:pPr>
            <w:r>
              <w:t xml:space="preserve">Option 1: The selection of eligible sensing beam for a transmission beam is left for </w:t>
            </w:r>
            <w:proofErr w:type="spellStart"/>
            <w:r>
              <w:t>gNB</w:t>
            </w:r>
            <w:proofErr w:type="spellEnd"/>
            <w:r>
              <w:t xml:space="preserve"> implementation</w:t>
            </w:r>
          </w:p>
          <w:p w14:paraId="3E468EF7" w14:textId="77777777" w:rsidR="00E068E7" w:rsidRDefault="00EA24EB">
            <w:pPr>
              <w:pStyle w:val="ListParagraph"/>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Option 2: Beam correspondence at </w:t>
            </w:r>
            <w:proofErr w:type="spellStart"/>
            <w:r>
              <w:rPr>
                <w:color w:val="000000"/>
              </w:rPr>
              <w:t>gNB</w:t>
            </w:r>
            <w:proofErr w:type="spellEnd"/>
            <w:r>
              <w:rPr>
                <w:color w:val="000000"/>
              </w:rPr>
              <w:t xml:space="preserve"> side is assumed. Supporting one or more of the following </w:t>
            </w:r>
            <w:proofErr w:type="spellStart"/>
            <w:r>
              <w:rPr>
                <w:color w:val="000000"/>
              </w:rPr>
              <w:t>behaviors</w:t>
            </w:r>
            <w:proofErr w:type="spellEnd"/>
          </w:p>
          <w:p w14:paraId="3E468EF9"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3E468EFA"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3E468EFB"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w:t>
            </w:r>
            <w:proofErr w:type="spellStart"/>
            <w:r>
              <w:rPr>
                <w:color w:val="000000"/>
              </w:rPr>
              <w:t>gNB</w:t>
            </w:r>
            <w:proofErr w:type="spellEnd"/>
            <w:r>
              <w:rPr>
                <w:color w:val="000000"/>
              </w:rPr>
              <w:t xml:space="preserve"> cannot use the transmission beam corresponds to TCI C as the sensing beam for transmission with TCI A.  </w:t>
            </w:r>
          </w:p>
          <w:p w14:paraId="3E468EFC" w14:textId="77777777" w:rsidR="00E068E7" w:rsidRDefault="00EA24EB">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w:t>
            </w:r>
            <w:proofErr w:type="spellStart"/>
            <w:r>
              <w:rPr>
                <w:color w:val="000000"/>
              </w:rPr>
              <w:t>omni</w:t>
            </w:r>
            <w:proofErr w:type="spellEnd"/>
            <w:r>
              <w:rPr>
                <w:color w:val="000000"/>
              </w:rPr>
              <w:t xml:space="preserve"> beam</w:t>
            </w:r>
          </w:p>
          <w:p w14:paraId="3E468EFD" w14:textId="77777777" w:rsidR="00E068E7" w:rsidRDefault="00EA24EB">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ListParagraph"/>
              <w:numPr>
                <w:ilvl w:val="3"/>
                <w:numId w:val="45"/>
              </w:numPr>
              <w:snapToGrid w:val="0"/>
              <w:spacing w:after="0" w:line="256" w:lineRule="auto"/>
              <w:textAlignment w:val="auto"/>
              <w:rPr>
                <w:color w:val="000000"/>
              </w:rPr>
            </w:pPr>
            <w:bookmarkStart w:id="9" w:name="_Hlk83718787"/>
            <w:r>
              <w:rPr>
                <w:color w:val="000000"/>
              </w:rPr>
              <w:t>Assuming Rel.17 unified TCI framework, if the UE is indicated to transmit with a beam corresponding to a certain unified TCI, the UE can use the reception beam corresponding to the TCI for sensing</w:t>
            </w:r>
          </w:p>
          <w:bookmarkEnd w:id="9"/>
          <w:p w14:paraId="3E468F03" w14:textId="77777777" w:rsidR="00E068E7" w:rsidRDefault="00EA24EB">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w:t>
            </w:r>
            <w:proofErr w:type="spellStart"/>
            <w:r>
              <w:rPr>
                <w:color w:val="000000"/>
              </w:rPr>
              <w:t>omni</w:t>
            </w:r>
            <w:proofErr w:type="spellEnd"/>
            <w:r>
              <w:rPr>
                <w:color w:val="000000"/>
              </w:rPr>
              <w:t xml:space="preserve"> beam, which is supported in </w:t>
            </w:r>
            <w:proofErr w:type="spellStart"/>
            <w:r>
              <w:rPr>
                <w:color w:val="000000"/>
              </w:rPr>
              <w:t>WiFi</w:t>
            </w:r>
            <w:proofErr w:type="spellEnd"/>
            <w:r>
              <w:rPr>
                <w:color w:val="000000"/>
              </w:rPr>
              <w:t>) to be used for a narrower transmission beam under QCL/TCI framework</w:t>
            </w:r>
          </w:p>
          <w:p w14:paraId="3E468F04" w14:textId="77777777" w:rsidR="00E068E7" w:rsidRDefault="00EA24EB">
            <w:pPr>
              <w:pStyle w:val="ListParagraph"/>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ListParagraph"/>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2: </w:t>
            </w:r>
            <w:proofErr w:type="spellStart"/>
            <w:r>
              <w:rPr>
                <w:color w:val="000000"/>
              </w:rPr>
              <w:t>gNB</w:t>
            </w:r>
            <w:proofErr w:type="spellEnd"/>
            <w:r>
              <w:rPr>
                <w:color w:val="000000"/>
              </w:rPr>
              <w:t xml:space="preserve"> indication. </w:t>
            </w:r>
          </w:p>
          <w:p w14:paraId="3E468F08" w14:textId="77777777" w:rsidR="00E068E7" w:rsidRDefault="00EA24EB">
            <w:pPr>
              <w:pStyle w:val="ListParagraph"/>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ListParagraph"/>
              <w:numPr>
                <w:ilvl w:val="0"/>
                <w:numId w:val="45"/>
              </w:numPr>
              <w:snapToGrid w:val="0"/>
              <w:spacing w:after="0" w:line="256" w:lineRule="auto"/>
              <w:textAlignment w:val="auto"/>
            </w:pPr>
            <w:r>
              <w:t>Note: Supporting both alternatives or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w:t>
      </w:r>
      <w:proofErr w:type="spellStart"/>
      <w:r>
        <w:t>gNB</w:t>
      </w:r>
      <w:proofErr w:type="spellEnd"/>
      <w:r>
        <w:t>), Interdigital,  Qualcomm (mixed)</w:t>
      </w:r>
    </w:p>
    <w:p w14:paraId="3E468F10" w14:textId="77777777" w:rsidR="00E068E7" w:rsidRDefault="00EA24EB">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Qualcomm (mixed) ,Charter</w:t>
      </w:r>
    </w:p>
    <w:p w14:paraId="3E468F11" w14:textId="77777777" w:rsidR="00E068E7" w:rsidRDefault="00EA24EB">
      <w:pPr>
        <w:pStyle w:val="ListParagraph"/>
        <w:numPr>
          <w:ilvl w:val="0"/>
          <w:numId w:val="16"/>
        </w:numPr>
      </w:pPr>
      <w:proofErr w:type="gramStart"/>
      <w:r>
        <w:t>ITRI :</w:t>
      </w:r>
      <w:proofErr w:type="gramEnd"/>
      <w:r>
        <w:t xml:space="preserve">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eastAsia="Times New Roman"/>
                <w:b/>
                <w:bCs/>
                <w:i/>
                <w:iCs/>
                <w:snapToGrid/>
                <w:color w:val="000000"/>
                <w:kern w:val="0"/>
                <w:szCs w:val="20"/>
                <w:lang w:val="en-US" w:eastAsia="en-US"/>
              </w:rPr>
              <w:t>beamwidth</w:t>
            </w:r>
            <w:proofErr w:type="spellEnd"/>
            <w:r>
              <w:rPr>
                <w:rFonts w:eastAsia="Times New Roman"/>
                <w:b/>
                <w:bCs/>
                <w:i/>
                <w:iCs/>
                <w:snapToGrid/>
                <w:color w:val="000000"/>
                <w:kern w:val="0"/>
                <w:szCs w:val="20"/>
                <w:lang w:val="en-US" w:eastAsia="en-US"/>
              </w:rPr>
              <w:t>.</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3E468F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E468F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Option 1 that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 can be considered in order to provide more flexibility to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3E468F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E468F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 xml:space="preserve">Proposal 2: The relative relationship of the sensing beam(s) and the transmission beam(s) on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Common understanding in ETSI and IEEE 802.11ad and IEEE 802.11ay specs are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or quasi-</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option 2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sensing beam selection for a DL transmission beam, </w:t>
            </w:r>
            <w:r>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    Option 2: Beam correspondence at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 is assumed. Supporting one or more of the following behaviors</w:t>
            </w:r>
            <w:r>
              <w:rPr>
                <w:rFonts w:eastAsia="Times New Roman"/>
                <w:b/>
                <w:bCs/>
                <w:i/>
                <w:iCs/>
                <w:snapToGrid/>
                <w:color w:val="000000"/>
                <w:kern w:val="0"/>
                <w:szCs w:val="20"/>
                <w:lang w:val="en-US" w:eastAsia="en-US"/>
              </w:rPr>
              <w:br/>
              <w:t xml:space="preserve">•    A1. For a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state A for a certain UE, the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w:t>
            </w:r>
            <w:proofErr w:type="spellStart"/>
            <w:r>
              <w:rPr>
                <w:rFonts w:eastAsia="Times New Roman"/>
                <w:b/>
                <w:bCs/>
                <w:i/>
                <w:iCs/>
                <w:snapToGrid/>
                <w:color w:val="000000"/>
                <w:kern w:val="0"/>
                <w:szCs w:val="20"/>
                <w:lang w:val="en-US" w:eastAsia="en-US"/>
              </w:rPr>
              <w:t>omni</w:t>
            </w:r>
            <w:proofErr w:type="spellEnd"/>
            <w:r>
              <w:rPr>
                <w:rFonts w:eastAsia="Times New Roman"/>
                <w:b/>
                <w:bCs/>
                <w:i/>
                <w:iCs/>
                <w:snapToGrid/>
                <w:color w:val="000000"/>
                <w:kern w:val="0"/>
                <w:szCs w:val="20"/>
                <w:lang w:val="en-US" w:eastAsia="en-US"/>
              </w:rPr>
              <w:t xml:space="preserve">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w:t>
            </w:r>
            <w:proofErr w:type="spellStart"/>
            <w:r>
              <w:rPr>
                <w:rFonts w:eastAsia="Times New Roman"/>
                <w:b/>
                <w:bCs/>
                <w:i/>
                <w:iCs/>
                <w:snapToGrid/>
                <w:color w:val="000000"/>
                <w:kern w:val="0"/>
                <w:szCs w:val="20"/>
                <w:lang w:val="en-US" w:eastAsia="en-US"/>
              </w:rPr>
              <w:t>omni</w:t>
            </w:r>
            <w:proofErr w:type="spellEnd"/>
            <w:r>
              <w:rPr>
                <w:rFonts w:eastAsia="Times New Roman"/>
                <w:b/>
                <w:bCs/>
                <w:i/>
                <w:iCs/>
                <w:snapToGrid/>
                <w:color w:val="000000"/>
                <w:kern w:val="0"/>
                <w:szCs w:val="20"/>
                <w:lang w:val="en-US" w:eastAsia="en-US"/>
              </w:rPr>
              <w:t xml:space="preserve">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r>
            <w:proofErr w:type="spellStart"/>
            <w:r>
              <w:rPr>
                <w:rFonts w:eastAsia="Times New Roman"/>
                <w:b/>
                <w:bCs/>
                <w:i/>
                <w:iCs/>
                <w:snapToGrid/>
                <w:color w:val="000000"/>
                <w:kern w:val="0"/>
                <w:szCs w:val="20"/>
                <w:lang w:val="en-US" w:eastAsia="en-US"/>
              </w:rPr>
              <w:t>o</w:t>
            </w:r>
            <w:proofErr w:type="spellEnd"/>
            <w:r>
              <w:rPr>
                <w:rFonts w:eastAsia="Times New Roman"/>
                <w:b/>
                <w:bCs/>
                <w:i/>
                <w:iCs/>
                <w:snapToGrid/>
                <w:color w:val="000000"/>
                <w:kern w:val="0"/>
                <w:szCs w:val="20"/>
                <w:lang w:val="en-US" w:eastAsia="en-US"/>
              </w:rPr>
              <w:t xml:space="preserve">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proofErr w:type="spellStart"/>
            <w:r>
              <w:rPr>
                <w:rFonts w:eastAsia="Times New Roman"/>
                <w:b/>
                <w:bCs/>
                <w:i/>
                <w:iCs/>
                <w:snapToGrid/>
                <w:color w:val="000000"/>
                <w:kern w:val="0"/>
                <w:szCs w:val="20"/>
                <w:lang w:val="en-US" w:eastAsia="en-US"/>
              </w:rPr>
              <w:t>o</w:t>
            </w:r>
            <w:proofErr w:type="spellEnd"/>
            <w:r>
              <w:rPr>
                <w:rFonts w:eastAsia="Times New Roman"/>
                <w:b/>
                <w:bCs/>
                <w:i/>
                <w:iCs/>
                <w:snapToGrid/>
                <w:color w:val="000000"/>
                <w:kern w:val="0"/>
                <w:szCs w:val="20"/>
                <w:lang w:val="en-US" w:eastAsia="en-US"/>
              </w:rPr>
              <w:t xml:space="preserve">    Option 2: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w:t>
            </w:r>
            <w:proofErr w:type="spellStart"/>
            <w:r>
              <w:rPr>
                <w:rFonts w:eastAsia="Times New Roman"/>
                <w:b/>
                <w:bCs/>
                <w:i/>
                <w:iCs/>
                <w:snapToGrid/>
                <w:color w:val="000000"/>
                <w:kern w:val="0"/>
                <w:szCs w:val="20"/>
                <w:lang w:val="en-US" w:eastAsia="en-US"/>
              </w:rPr>
              <w:t>gNB</w:t>
            </w:r>
            <w:proofErr w:type="spellEnd"/>
            <w:r>
              <w:rPr>
                <w:rFonts w:eastAsia="Times New Roman"/>
                <w:b/>
                <w:bCs/>
                <w:i/>
                <w:iCs/>
                <w:snapToGrid/>
                <w:color w:val="000000"/>
                <w:kern w:val="0"/>
                <w:szCs w:val="20"/>
                <w:lang w:val="en-US" w:eastAsia="en-US"/>
              </w:rPr>
              <w:t xml:space="preserve">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w:t>
            </w:r>
            <w:proofErr w:type="spellStart"/>
            <w:r>
              <w:rPr>
                <w:rFonts w:eastAsia="Times New Roman"/>
                <w:b/>
                <w:bCs/>
                <w:i/>
                <w:iCs/>
                <w:snapToGrid/>
                <w:color w:val="000000"/>
                <w:kern w:val="0"/>
                <w:szCs w:val="20"/>
                <w:lang w:val="en-US" w:eastAsia="en-US"/>
              </w:rPr>
              <w:t>Tx</w:t>
            </w:r>
            <w:proofErr w:type="spellEnd"/>
            <w:r>
              <w:rPr>
                <w:rFonts w:eastAsia="Times New Roman"/>
                <w:b/>
                <w:bCs/>
                <w:i/>
                <w:iCs/>
                <w:snapToGrid/>
                <w:color w:val="000000"/>
                <w:kern w:val="0"/>
                <w:szCs w:val="20"/>
                <w:lang w:val="en-US" w:eastAsia="en-US"/>
              </w:rPr>
              <w:t xml:space="preserve">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On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FFS point regarding how and if to support a wider sensing beam (such as pseudo-</w:t>
            </w:r>
            <w:proofErr w:type="spellStart"/>
            <w:r>
              <w:rPr>
                <w:rFonts w:eastAsia="Times New Roman"/>
                <w:snapToGrid/>
                <w:color w:val="000000"/>
                <w:kern w:val="0"/>
                <w:szCs w:val="20"/>
                <w:lang w:val="en-US" w:eastAsia="en-US"/>
              </w:rPr>
              <w:t>omni</w:t>
            </w:r>
            <w:proofErr w:type="spellEnd"/>
            <w:r>
              <w:rPr>
                <w:rFonts w:eastAsia="Times New Roman"/>
                <w:snapToGrid/>
                <w:color w:val="000000"/>
                <w:kern w:val="0"/>
                <w:szCs w:val="20"/>
                <w:lang w:val="en-US" w:eastAsia="en-US"/>
              </w:rPr>
              <w:t xml:space="preserve">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beam correspondence is not assumed, sensing beam may be determined from a certain dB </w:t>
            </w:r>
            <w:proofErr w:type="spellStart"/>
            <w:r>
              <w:rPr>
                <w:rFonts w:eastAsia="Times New Roman"/>
                <w:snapToGrid/>
                <w:color w:val="000000"/>
                <w:kern w:val="0"/>
                <w:szCs w:val="20"/>
                <w:lang w:val="en-US" w:eastAsia="en-US"/>
              </w:rPr>
              <w:t>beamwidth</w:t>
            </w:r>
            <w:proofErr w:type="spellEnd"/>
            <w:r>
              <w:rPr>
                <w:rFonts w:eastAsia="Times New Roman"/>
                <w:snapToGrid/>
                <w:color w:val="000000"/>
                <w:kern w:val="0"/>
                <w:szCs w:val="20"/>
                <w:lang w:val="en-US" w:eastAsia="en-US"/>
              </w:rPr>
              <w:t xml:space="preserve">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23: If Alt -2 is chosen, adopt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behaviors A1 and A2 for sensing at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Heading3"/>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 xml:space="preserve">If beam correspondence at </w:t>
      </w:r>
      <w:proofErr w:type="spellStart"/>
      <w:r>
        <w:rPr>
          <w:color w:val="000000"/>
        </w:rPr>
        <w:t>gNB</w:t>
      </w:r>
      <w:proofErr w:type="spellEnd"/>
      <w:r>
        <w:rPr>
          <w:color w:val="000000"/>
        </w:rPr>
        <w:t xml:space="preserve">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3E468FA4"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A1. For a </w:t>
      </w:r>
      <w:proofErr w:type="spellStart"/>
      <w:r>
        <w:rPr>
          <w:color w:val="000000"/>
        </w:rPr>
        <w:t>gNB</w:t>
      </w:r>
      <w:proofErr w:type="spellEnd"/>
      <w:r>
        <w:rPr>
          <w:color w:val="000000"/>
        </w:rPr>
        <w:t xml:space="preserve"> transmission beam corresponding to TCI state A for a certain UE, the </w:t>
      </w:r>
      <w:proofErr w:type="spellStart"/>
      <w:r>
        <w:rPr>
          <w:color w:val="000000"/>
        </w:rPr>
        <w:t>gNB</w:t>
      </w:r>
      <w:proofErr w:type="spellEnd"/>
      <w:r>
        <w:rPr>
          <w:color w:val="000000"/>
        </w:rPr>
        <w:t xml:space="preserve"> can use the same beam for sensing </w:t>
      </w:r>
    </w:p>
    <w:p w14:paraId="3E468FA5"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w:t>
      </w:r>
      <w:proofErr w:type="spellStart"/>
      <w:r>
        <w:rPr>
          <w:color w:val="000000"/>
        </w:rPr>
        <w:t>gNB</w:t>
      </w:r>
      <w:proofErr w:type="spellEnd"/>
      <w:r>
        <w:rPr>
          <w:color w:val="000000"/>
        </w:rPr>
        <w:t xml:space="preserve">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 xml:space="preserve">Not support (leave for </w:t>
      </w:r>
      <w:proofErr w:type="spellStart"/>
      <w:r>
        <w:rPr>
          <w:color w:val="000000"/>
        </w:rPr>
        <w:t>gNB</w:t>
      </w:r>
      <w:proofErr w:type="spellEnd"/>
      <w:r>
        <w:rPr>
          <w:color w:val="000000"/>
        </w:rPr>
        <w:t xml:space="preserve">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 xml:space="preserve">For </w:t>
            </w:r>
            <w:proofErr w:type="spellStart"/>
            <w:r>
              <w:rPr>
                <w:lang w:eastAsia="en-US"/>
              </w:rPr>
              <w:t>gNB</w:t>
            </w:r>
            <w:proofErr w:type="spellEnd"/>
            <w:r>
              <w:rPr>
                <w:lang w:eastAsia="en-US"/>
              </w:rPr>
              <w:t>,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w:t>
            </w:r>
            <w:proofErr w:type="spellStart"/>
            <w:r>
              <w:rPr>
                <w:lang w:eastAsia="en-US"/>
              </w:rPr>
              <w:t>gNB</w:t>
            </w:r>
            <w:proofErr w:type="spellEnd"/>
            <w:r>
              <w:rPr>
                <w:lang w:eastAsia="en-US"/>
              </w:rPr>
              <w:t xml:space="preserve">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B5" w14:textId="77777777" w:rsidR="00E068E7" w:rsidRDefault="00EA24EB">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lastRenderedPageBreak/>
        <w:t xml:space="preserve">When UE has beam correspondence, support the following </w:t>
      </w:r>
      <w:proofErr w:type="spellStart"/>
      <w:r>
        <w:rPr>
          <w:color w:val="000000"/>
        </w:rPr>
        <w:t>behaviors</w:t>
      </w:r>
      <w:proofErr w:type="spellEnd"/>
    </w:p>
    <w:p w14:paraId="3E468FBA" w14:textId="77777777" w:rsidR="00E068E7" w:rsidRDefault="00EA24EB">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ListParagraph"/>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ListParagraph"/>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77777777" w:rsidR="00E068E7" w:rsidRDefault="00EA24EB">
            <w:pPr>
              <w:rPr>
                <w:rFonts w:eastAsiaTheme="minorEastAsia"/>
                <w:lang w:eastAsia="zh-CN"/>
              </w:rPr>
            </w:pPr>
            <w:r>
              <w:rPr>
                <w:rFonts w:eastAsiaTheme="minorEastAsia"/>
                <w:lang w:eastAsia="zh-CN"/>
              </w:rPr>
              <w:t>Support in principle. but I think an important case is missed in the Proposal, that is how to defied a sensing beam that is wider than the transmission beam. and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14FA855" w14:textId="77777777" w:rsidR="00E068E7" w:rsidRDefault="00EA24EB">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w:t>
            </w:r>
            <w:r>
              <w:rPr>
                <w:rFonts w:eastAsiaTheme="minorEastAsia"/>
                <w:lang w:eastAsia="zh-CN"/>
              </w:rPr>
              <w:t>is</w:t>
            </w:r>
            <w:r>
              <w:rPr>
                <w:rFonts w:eastAsiaTheme="minorEastAsia"/>
                <w:lang w:eastAsia="zh-CN"/>
              </w:rPr>
              <w:t xml:space="preserve"> behaviour.</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w:t>
      </w:r>
      <w:proofErr w:type="spellStart"/>
      <w:r>
        <w:rPr>
          <w:rFonts w:eastAsia="Times New Roman"/>
          <w:color w:val="000000"/>
          <w:szCs w:val="20"/>
          <w:lang w:val="en-US" w:eastAsia="zh-CN"/>
        </w:rPr>
        <w:t>beamwidth</w:t>
      </w:r>
      <w:proofErr w:type="spellEnd"/>
      <w:r>
        <w:rPr>
          <w:rFonts w:eastAsia="Times New Roman"/>
          <w:color w:val="000000"/>
          <w:szCs w:val="20"/>
          <w:lang w:val="en-US" w:eastAsia="zh-CN"/>
        </w:rPr>
        <w:t xml:space="preserve"> of the transmission beam is included </w:t>
      </w:r>
      <w:r>
        <w:rPr>
          <w:rFonts w:eastAsia="Times New Roman"/>
          <w:szCs w:val="20"/>
          <w:lang w:val="en-US" w:eastAsia="zh-CN"/>
        </w:rPr>
        <w:t xml:space="preserve">in the [X, FFS] dB </w:t>
      </w:r>
      <w:proofErr w:type="spellStart"/>
      <w:r>
        <w:rPr>
          <w:rFonts w:eastAsia="Times New Roman"/>
          <w:szCs w:val="20"/>
          <w:lang w:val="en-US" w:eastAsia="zh-CN"/>
        </w:rPr>
        <w:t>beamwidth</w:t>
      </w:r>
      <w:proofErr w:type="spellEnd"/>
      <w:r>
        <w:rPr>
          <w:rFonts w:eastAsia="Times New Roman"/>
          <w:szCs w:val="20"/>
          <w:lang w:val="en-US" w:eastAsia="zh-CN"/>
        </w:rPr>
        <w:t xml:space="preserve"> of the sensing beam.</w:t>
      </w:r>
    </w:p>
    <w:p w14:paraId="3E468FD4" w14:textId="77777777" w:rsidR="00E068E7" w:rsidRDefault="00EA24EB">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w:t>
      </w:r>
      <w:proofErr w:type="spellStart"/>
      <w:r>
        <w:t>beamwidth</w:t>
      </w:r>
      <w:proofErr w:type="spellEnd"/>
      <w:r>
        <w:t xml:space="preserve"> which at least contains all beam peak directions of transmission beams. </w:t>
      </w:r>
    </w:p>
    <w:p w14:paraId="3E468FD8" w14:textId="77777777" w:rsidR="00E068E7" w:rsidRDefault="00EA24EB">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ListParagraph"/>
        <w:numPr>
          <w:ilvl w:val="0"/>
          <w:numId w:val="45"/>
        </w:numPr>
        <w:snapToGrid w:val="0"/>
        <w:spacing w:after="0" w:line="256" w:lineRule="auto"/>
        <w:textAlignment w:val="auto"/>
        <w:rPr>
          <w:color w:val="FF0000"/>
          <w:szCs w:val="20"/>
        </w:rPr>
      </w:pPr>
      <w:r w:rsidRPr="004C689C">
        <w:rPr>
          <w:color w:val="FF0000"/>
          <w:szCs w:val="20"/>
        </w:rPr>
        <w:t xml:space="preserve">Note: Please provide your view for this discussion on </w:t>
      </w:r>
      <w:proofErr w:type="spellStart"/>
      <w:r w:rsidRPr="004C689C">
        <w:rPr>
          <w:color w:val="FF0000"/>
          <w:szCs w:val="20"/>
        </w:rPr>
        <w:t>gNB</w:t>
      </w:r>
      <w:proofErr w:type="spellEnd"/>
      <w:r w:rsidRPr="004C689C">
        <w:rPr>
          <w:color w:val="FF0000"/>
          <w:szCs w:val="20"/>
        </w:rPr>
        <w:t xml:space="preserve"> side and UE side separately</w:t>
      </w:r>
    </w:p>
    <w:p w14:paraId="3E468FDA" w14:textId="01B9DFB1" w:rsidR="00E068E7" w:rsidRDefault="004C689C">
      <w:r>
        <w:t>Support:</w:t>
      </w:r>
      <w:r w:rsidR="00AB6129">
        <w:t xml:space="preserve"> Lenovo, Xiaomi, ZTE</w:t>
      </w:r>
    </w:p>
    <w:p w14:paraId="45917F4E" w14:textId="5DD4A43D" w:rsidR="004C689C" w:rsidRDefault="004C689C">
      <w:r>
        <w:lastRenderedPageBreak/>
        <w:t>Not support: Intel</w:t>
      </w:r>
    </w:p>
    <w:p w14:paraId="3E468FDB"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w:t>
            </w:r>
            <w:proofErr w:type="spellStart"/>
            <w:r>
              <w:rPr>
                <w:lang w:eastAsia="en-US"/>
              </w:rPr>
              <w:t>gNB</w:t>
            </w:r>
            <w:proofErr w:type="spellEnd"/>
            <w:r>
              <w:rPr>
                <w:lang w:eastAsia="en-US"/>
              </w:rPr>
              <w:t xml:space="preserve">, and in this case it is preferable to leave the whole procedure up to </w:t>
            </w:r>
            <w:proofErr w:type="spellStart"/>
            <w:r>
              <w:rPr>
                <w:lang w:eastAsia="en-US"/>
              </w:rPr>
              <w:t>gNB’s</w:t>
            </w:r>
            <w:proofErr w:type="spellEnd"/>
            <w:r>
              <w:rPr>
                <w:lang w:eastAsia="en-US"/>
              </w:rPr>
              <w:t xml:space="preserve">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E9" w14:textId="77777777" w:rsidR="00E068E7" w:rsidRDefault="00EA24EB">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8E600A" w:rsidRPr="00E73B60" w14:paraId="63C1DAA4" w14:textId="77777777" w:rsidTr="008E600A">
        <w:trPr>
          <w:trHeight w:val="197"/>
        </w:trPr>
        <w:tc>
          <w:tcPr>
            <w:tcW w:w="1525" w:type="dxa"/>
          </w:tcPr>
          <w:p w14:paraId="2A08664E"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498D63" w14:textId="132508A3" w:rsidR="008E600A" w:rsidRPr="00FD49E9" w:rsidRDefault="008E600A" w:rsidP="001562C9">
            <w:pPr>
              <w:rPr>
                <w:rFonts w:eastAsiaTheme="minorEastAsia"/>
                <w:lang w:eastAsia="zh-CN"/>
              </w:rPr>
            </w:pPr>
            <w:r>
              <w:rPr>
                <w:rFonts w:eastAsiaTheme="minorEastAsia"/>
                <w:lang w:eastAsia="zh-CN"/>
              </w:rPr>
              <w:t xml:space="preserve">We </w:t>
            </w:r>
            <w:r>
              <w:rPr>
                <w:rFonts w:eastAsiaTheme="minorEastAsia"/>
                <w:lang w:eastAsia="zh-CN"/>
              </w:rPr>
              <w:t xml:space="preserve">support in principle and </w:t>
            </w:r>
            <w:r>
              <w:rPr>
                <w:rFonts w:eastAsiaTheme="minorEastAsia"/>
                <w:lang w:eastAsia="zh-CN"/>
              </w:rPr>
              <w:t>prefer Alt 1A.</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Heading2"/>
        <w:rPr>
          <w:rFonts w:ascii="Times New Roman" w:hAnsi="Times New Roman"/>
        </w:rPr>
      </w:pPr>
      <w:r>
        <w:rPr>
          <w:rFonts w:ascii="Times New Roman" w:hAnsi="Times New Roman"/>
        </w:rPr>
        <w:t>No LBT</w:t>
      </w:r>
    </w:p>
    <w:tbl>
      <w:tblPr>
        <w:tblStyle w:val="TableGrid"/>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3E468FEF" w14:textId="77777777" w:rsidR="00E068E7" w:rsidRDefault="00EA24EB">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17: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How to prevent long time continuous channel occupying for </w:t>
            </w:r>
            <w:proofErr w:type="spellStart"/>
            <w:r>
              <w:rPr>
                <w:rFonts w:eastAsia="Times New Roman"/>
                <w:snapToGrid/>
                <w:color w:val="000000"/>
                <w:kern w:val="0"/>
                <w:sz w:val="22"/>
                <w:lang w:val="en-US" w:eastAsia="en-US"/>
              </w:rPr>
              <w:t>Tx</w:t>
            </w:r>
            <w:proofErr w:type="spellEnd"/>
            <w:r>
              <w:rPr>
                <w:rFonts w:eastAsia="Times New Roman"/>
                <w:snapToGrid/>
                <w:color w:val="000000"/>
                <w:kern w:val="0"/>
                <w:sz w:val="22"/>
                <w:lang w:val="en-US" w:eastAsia="en-US"/>
              </w:rPr>
              <w:t xml:space="preserve">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0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and UE for a particular beam;</w:t>
            </w:r>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1: In EU, no-LBT mode cannot be operated at least under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 xml:space="preserve">-directional, directional, receiver assistance, no LBT) from the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Both </w:t>
                  </w:r>
                  <w:proofErr w:type="spellStart"/>
                  <w:r>
                    <w:rPr>
                      <w:rFonts w:eastAsia="Times New Roman"/>
                      <w:snapToGrid/>
                      <w:color w:val="000000"/>
                      <w:kern w:val="0"/>
                      <w:sz w:val="22"/>
                      <w:lang w:val="en-US" w:eastAsia="en-US"/>
                    </w:rPr>
                    <w:t>omni</w:t>
                  </w:r>
                  <w:proofErr w:type="spellEnd"/>
                  <w:r>
                    <w:rPr>
                      <w:rFonts w:eastAsia="Times New Roman"/>
                      <w:snapToGrid/>
                      <w:color w:val="000000"/>
                      <w:kern w:val="0"/>
                      <w:sz w:val="22"/>
                      <w:lang w:val="en-US" w:eastAsia="en-US"/>
                    </w:rPr>
                    <w:t>-directional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Heading3"/>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3E469051" w14:textId="77777777" w:rsidR="00E068E7" w:rsidRDefault="00EA24EB">
      <w:pPr>
        <w:pStyle w:val="ListParagraph"/>
        <w:numPr>
          <w:ilvl w:val="0"/>
          <w:numId w:val="47"/>
        </w:numPr>
      </w:pPr>
      <w:r>
        <w:t>Support per beam indication of the decision on applying LBT mode or no-LBT mode</w:t>
      </w:r>
    </w:p>
    <w:p w14:paraId="3E469052" w14:textId="77777777" w:rsidR="00E068E7" w:rsidRDefault="00EA24EB">
      <w:pPr>
        <w:pStyle w:val="ListParagraph"/>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ListParagraph"/>
        <w:numPr>
          <w:ilvl w:val="0"/>
          <w:numId w:val="47"/>
        </w:numPr>
      </w:pPr>
      <w:r>
        <w:t>Support Per Beam indication:  InterDigital, Lenovo (for UE), Samsung (</w:t>
      </w:r>
      <w:proofErr w:type="spellStart"/>
      <w:r>
        <w:t>gNB</w:t>
      </w:r>
      <w:proofErr w:type="spellEnd"/>
      <w:r>
        <w:t xml:space="preserve"> and UE), OPPO, NEC, ZTE, </w:t>
      </w:r>
    </w:p>
    <w:p w14:paraId="3E469055" w14:textId="02FF7FAD" w:rsidR="00E068E7" w:rsidRDefault="00EA24EB">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rsidR="00AB6129">
        <w:t xml:space="preserve">, </w:t>
      </w:r>
      <w:proofErr w:type="spellStart"/>
      <w:r w:rsidR="00AB6129">
        <w:t>Xiaomo</w:t>
      </w:r>
      <w:proofErr w:type="spellEnd"/>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lastRenderedPageBreak/>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 xml:space="preserve">We are also ok to support per beam indication for </w:t>
            </w:r>
            <w:proofErr w:type="spellStart"/>
            <w:r>
              <w:rPr>
                <w:lang w:eastAsia="en-US"/>
              </w:rPr>
              <w:t>gNB</w:t>
            </w:r>
            <w:proofErr w:type="spellEnd"/>
            <w:r>
              <w:rPr>
                <w:lang w:eastAsia="en-US"/>
              </w:rPr>
              <w:t xml:space="preserve">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r w:rsidR="008E600A" w:rsidRPr="00E73B60" w14:paraId="0CAA1A00" w14:textId="77777777" w:rsidTr="008E600A">
        <w:tc>
          <w:tcPr>
            <w:tcW w:w="1525" w:type="dxa"/>
          </w:tcPr>
          <w:p w14:paraId="76922CC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0CBFCB2" w14:textId="77777777" w:rsidR="008E600A" w:rsidRDefault="008E600A" w:rsidP="001562C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ListParagraph"/>
        <w:numPr>
          <w:ilvl w:val="0"/>
          <w:numId w:val="47"/>
        </w:numPr>
      </w:pPr>
      <w:r>
        <w:t xml:space="preserve">L1 </w:t>
      </w:r>
      <w:proofErr w:type="spellStart"/>
      <w:r>
        <w:t>Signaling</w:t>
      </w:r>
      <w:proofErr w:type="spellEnd"/>
      <w:r>
        <w:t xml:space="preserve"> for No-LBT mode</w:t>
      </w:r>
      <w:r w:rsidR="00153779">
        <w:t xml:space="preserve"> </w:t>
      </w:r>
      <w:r w:rsidR="00153779" w:rsidRPr="00153779">
        <w:rPr>
          <w:color w:val="FF0000"/>
        </w:rPr>
        <w:t>or LBT mode</w:t>
      </w:r>
      <w:r>
        <w:t xml:space="preserve"> should be supported:  InterDigital, CATT, Apple, vivo (if there is benefit), </w:t>
      </w:r>
      <w:proofErr w:type="spellStart"/>
      <w:r>
        <w:t>Oppo</w:t>
      </w:r>
      <w:proofErr w:type="spellEnd"/>
      <w:r>
        <w:t>, Lenovo, ZTE, NEC</w:t>
      </w:r>
    </w:p>
    <w:p w14:paraId="3E46906E" w14:textId="06E02651" w:rsidR="00E068E7" w:rsidRDefault="00EA24EB">
      <w:pPr>
        <w:pStyle w:val="ListParagraph"/>
        <w:numPr>
          <w:ilvl w:val="0"/>
          <w:numId w:val="47"/>
        </w:numPr>
      </w:pPr>
      <w:r>
        <w:t xml:space="preserve">L1 </w:t>
      </w:r>
      <w:proofErr w:type="spellStart"/>
      <w:r>
        <w:t>Signaling</w:t>
      </w:r>
      <w:proofErr w:type="spellEnd"/>
      <w:r>
        <w:t xml:space="preserve"> for No-LBT mode</w:t>
      </w:r>
      <w:r w:rsidR="00153779">
        <w:t xml:space="preserve"> </w:t>
      </w:r>
      <w:r w:rsidR="00153779" w:rsidRPr="00153779">
        <w:rPr>
          <w:color w:val="FF0000"/>
        </w:rPr>
        <w:t>or LBT mode</w:t>
      </w:r>
      <w:r w:rsidRPr="00153779">
        <w:rPr>
          <w:color w:val="FF0000"/>
        </w:rPr>
        <w:t xml:space="preserve"> </w:t>
      </w:r>
      <w:r>
        <w:t xml:space="preserve">should not be supported: Huawei, Intel. Charter, LG, Nokia, DCM, Ericsson, WILUS, </w:t>
      </w:r>
      <w:proofErr w:type="spellStart"/>
      <w:r>
        <w:t>Spreadtrum</w:t>
      </w:r>
      <w:proofErr w:type="spellEnd"/>
      <w:r w:rsidR="0002662C">
        <w:t xml:space="preserve">, Xiaomi, </w:t>
      </w:r>
    </w:p>
    <w:p w14:paraId="3E46906F" w14:textId="77777777" w:rsidR="00E068E7" w:rsidRDefault="00E068E7"/>
    <w:p w14:paraId="3E469070" w14:textId="77777777" w:rsidR="00E068E7" w:rsidRDefault="00EA24EB">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 xml:space="preserve">L1 </w:t>
            </w:r>
            <w:proofErr w:type="spellStart"/>
            <w:r>
              <w:t>Signaling</w:t>
            </w:r>
            <w:proofErr w:type="spellEnd"/>
            <w:r>
              <w:t xml:space="preserve"> for No-LBT mode should not be 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07B" w14:textId="77777777" w:rsidR="00E068E7" w:rsidRDefault="00EA24EB">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3E46907C" w14:textId="77777777" w:rsidR="00E068E7" w:rsidRDefault="00EA24EB">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3E46907E" w14:textId="77777777" w:rsidR="00E068E7" w:rsidRDefault="00E068E7">
            <w:pPr>
              <w:rPr>
                <w:rFonts w:eastAsia="SimSun"/>
                <w:lang w:val="en-US" w:eastAsia="zh-CN"/>
              </w:rPr>
            </w:pPr>
          </w:p>
        </w:tc>
      </w:tr>
    </w:tbl>
    <w:p w14:paraId="3E469080" w14:textId="77777777" w:rsidR="00E068E7" w:rsidRDefault="00E068E7"/>
    <w:p w14:paraId="3E469081" w14:textId="77777777" w:rsidR="00E068E7" w:rsidRDefault="00EA24EB">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3E469082"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10" w:name="_Hlk70238535"/>
            <w:r>
              <w:rPr>
                <w:sz w:val="18"/>
                <w:szCs w:val="18"/>
                <w:highlight w:val="green"/>
                <w:lang w:eastAsia="zh-CN"/>
              </w:rPr>
              <w:lastRenderedPageBreak/>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w:t>
            </w:r>
            <w:proofErr w:type="spellStart"/>
            <w:r>
              <w:rPr>
                <w:sz w:val="18"/>
                <w:szCs w:val="18"/>
              </w:rPr>
              <w:t>etc</w:t>
            </w:r>
            <w:proofErr w:type="spellEnd"/>
          </w:p>
          <w:bookmarkEnd w:id="10"/>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ListParagraph"/>
              <w:numPr>
                <w:ilvl w:val="0"/>
                <w:numId w:val="19"/>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3E46909C" w14:textId="77777777" w:rsidR="00E068E7" w:rsidRDefault="00EA24EB">
            <w:pPr>
              <w:pStyle w:val="ListParagraph"/>
              <w:numPr>
                <w:ilvl w:val="1"/>
                <w:numId w:val="19"/>
              </w:numPr>
            </w:pPr>
            <w:r>
              <w:t>Note restriction for short control signalling transmissions apply (10% over any 100ms intervals)</w:t>
            </w:r>
          </w:p>
          <w:p w14:paraId="3E46909D" w14:textId="77777777" w:rsidR="00E068E7" w:rsidRDefault="00EA24EB">
            <w:pPr>
              <w:pStyle w:val="ListParagraph"/>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E46909E" w14:textId="77777777" w:rsidR="00E068E7" w:rsidRDefault="00EA24EB">
            <w:pPr>
              <w:pStyle w:val="ListParagraph"/>
              <w:numPr>
                <w:ilvl w:val="1"/>
                <w:numId w:val="19"/>
              </w:numPr>
            </w:pPr>
            <w:r>
              <w:t>Alt 2: The 10% over any 100ms interval restriction is applicable to the msg1/</w:t>
            </w:r>
            <w:proofErr w:type="spellStart"/>
            <w:r>
              <w:t>msgA</w:t>
            </w:r>
            <w:proofErr w:type="spellEnd"/>
            <w:r>
              <w:t xml:space="preserve"> transmission from one UE perspective</w:t>
            </w:r>
          </w:p>
          <w:p w14:paraId="3E46909F" w14:textId="77777777" w:rsidR="00E068E7" w:rsidRDefault="00EA24EB">
            <w:pPr>
              <w:pStyle w:val="ListParagraph"/>
              <w:numPr>
                <w:ilvl w:val="0"/>
                <w:numId w:val="19"/>
              </w:numPr>
            </w:pPr>
            <w:r>
              <w:t xml:space="preserve">FFS: Other UL signals/channels can be transmitted with Contention Exempt Short Control </w:t>
            </w:r>
            <w:proofErr w:type="spellStart"/>
            <w:r>
              <w:t>Signaling</w:t>
            </w:r>
            <w:proofErr w:type="spellEnd"/>
            <w:r>
              <w:t xml:space="preserve"> rule, such as msg3, SRS, PUCCH, PUSCH without user plain data, </w:t>
            </w:r>
            <w:proofErr w:type="spellStart"/>
            <w:r>
              <w:t>etc</w:t>
            </w:r>
            <w:proofErr w:type="spellEnd"/>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90A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3E4690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w:t>
            </w:r>
          </w:p>
          <w:p w14:paraId="3E4690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w:t>
            </w:r>
            <w:proofErr w:type="spellStart"/>
            <w:r>
              <w:rPr>
                <w:rFonts w:eastAsia="Times New Roman"/>
                <w:snapToGrid/>
                <w:color w:val="000000"/>
                <w:kern w:val="0"/>
                <w:szCs w:val="20"/>
                <w:lang w:val="en-US" w:eastAsia="en-US"/>
              </w:rPr>
              <w:t>Msg</w:t>
            </w:r>
            <w:proofErr w:type="spellEnd"/>
            <w:r>
              <w:rPr>
                <w:rFonts w:eastAsia="Times New Roman"/>
                <w:snapToGrid/>
                <w:color w:val="000000"/>
                <w:kern w:val="0"/>
                <w:szCs w:val="20"/>
                <w:lang w:val="en-US" w:eastAsia="en-US"/>
              </w:rPr>
              <w:t xml:space="preserve"> A/potential </w:t>
            </w:r>
            <w:proofErr w:type="spellStart"/>
            <w:r>
              <w:rPr>
                <w:rFonts w:eastAsia="Times New Roman"/>
                <w:snapToGrid/>
                <w:color w:val="000000"/>
                <w:kern w:val="0"/>
                <w:szCs w:val="20"/>
                <w:lang w:val="en-US" w:eastAsia="en-US"/>
              </w:rPr>
              <w:t>Msg</w:t>
            </w:r>
            <w:proofErr w:type="spellEnd"/>
            <w:r>
              <w:rPr>
                <w:rFonts w:eastAsia="Times New Roman"/>
                <w:snapToGrid/>
                <w:color w:val="000000"/>
                <w:kern w:val="0"/>
                <w:szCs w:val="20"/>
                <w:lang w:val="en-US" w:eastAsia="en-US"/>
              </w:rPr>
              <w:t xml:space="preserve">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77777777"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proofErr w:type="spellStart"/>
            <w:r>
              <w:rPr>
                <w:rFonts w:eastAsia="Times New Roman"/>
                <w:b/>
                <w:bCs/>
                <w:i/>
                <w:iCs/>
                <w:snapToGrid/>
                <w:color w:val="000000"/>
                <w:kern w:val="0"/>
                <w:szCs w:val="20"/>
                <w:lang w:val="en-US" w:eastAsia="en-US"/>
              </w:rPr>
              <w:t>signalling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Observation 1: When the periodicity of SS/PBCH block is 20 </w:t>
            </w:r>
            <w:proofErr w:type="spellStart"/>
            <w:r>
              <w:rPr>
                <w:rFonts w:eastAsia="Times New Roman"/>
                <w:b/>
                <w:bCs/>
                <w:i/>
                <w:iCs/>
                <w:snapToGrid/>
                <w:color w:val="000000"/>
                <w:kern w:val="0"/>
                <w:szCs w:val="20"/>
                <w:u w:val="single"/>
                <w:lang w:val="en-US" w:eastAsia="en-US"/>
              </w:rPr>
              <w:t>msec</w:t>
            </w:r>
            <w:proofErr w:type="spellEnd"/>
            <w:r>
              <w:rPr>
                <w:rFonts w:eastAsia="Times New Roman"/>
                <w:b/>
                <w:bCs/>
                <w:i/>
                <w:iCs/>
                <w:snapToGrid/>
                <w:color w:val="000000"/>
                <w:kern w:val="0"/>
                <w:szCs w:val="20"/>
                <w:u w:val="single"/>
                <w:lang w:val="en-US" w:eastAsia="en-US"/>
              </w:rPr>
              <w:t xml:space="preserve">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transmissions exemption to Discovery Burst.</w:t>
            </w:r>
          </w:p>
          <w:p w14:paraId="3E4690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E4690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UEs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3E4690E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duration of 10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for PRACH within a 100 </w:t>
            </w:r>
            <w:proofErr w:type="spellStart"/>
            <w:r>
              <w:rPr>
                <w:rFonts w:eastAsia="Times New Roman"/>
                <w:b/>
                <w:bCs/>
                <w:snapToGrid/>
                <w:color w:val="000000"/>
                <w:kern w:val="0"/>
                <w:szCs w:val="20"/>
                <w:lang w:val="en-US" w:eastAsia="en-US"/>
              </w:rPr>
              <w:t>msec</w:t>
            </w:r>
            <w:proofErr w:type="spellEnd"/>
            <w:r>
              <w:rPr>
                <w:rFonts w:eastAsia="Times New Roman"/>
                <w:b/>
                <w:bCs/>
                <w:snapToGrid/>
                <w:color w:val="000000"/>
                <w:kern w:val="0"/>
                <w:szCs w:val="20"/>
                <w:lang w:val="en-US" w:eastAsia="en-US"/>
              </w:rPr>
              <w:t xml:space="preserve"> observation period.</w:t>
            </w:r>
          </w:p>
          <w:p w14:paraId="3E4690F7"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w:t>
            </w:r>
            <w:proofErr w:type="spellStart"/>
            <w:r>
              <w:rPr>
                <w:rFonts w:eastAsia="Times New Roman"/>
                <w:b/>
                <w:bCs/>
                <w:snapToGrid/>
                <w:color w:val="000000"/>
                <w:kern w:val="0"/>
                <w:szCs w:val="20"/>
                <w:lang w:val="en-US" w:eastAsia="en-US"/>
              </w:rPr>
              <w:t>gNB</w:t>
            </w:r>
            <w:proofErr w:type="spellEnd"/>
            <w:r>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910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w:t>
            </w:r>
            <w:proofErr w:type="spellStart"/>
            <w:r>
              <w:rPr>
                <w:rFonts w:eastAsia="Times New Roman"/>
                <w:snapToGrid/>
                <w:color w:val="000000"/>
                <w:kern w:val="0"/>
                <w:szCs w:val="20"/>
                <w:lang w:val="en-US" w:eastAsia="en-US"/>
              </w:rPr>
              <w:t>gNB</w:t>
            </w:r>
            <w:proofErr w:type="spellEnd"/>
            <w:r>
              <w:rPr>
                <w:rFonts w:eastAsia="Times New Roman"/>
                <w:snapToGrid/>
                <w:color w:val="000000"/>
                <w:kern w:val="0"/>
                <w:szCs w:val="20"/>
                <w:lang w:val="en-US" w:eastAsia="en-US"/>
              </w:rPr>
              <w:t xml:space="preserve">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31:  PUSCH without user plane data, such as CSI or </w:t>
            </w:r>
            <w:proofErr w:type="spellStart"/>
            <w:r>
              <w:rPr>
                <w:rFonts w:eastAsia="Times New Roman"/>
                <w:snapToGrid/>
                <w:color w:val="000000"/>
                <w:kern w:val="0"/>
                <w:szCs w:val="20"/>
                <w:lang w:val="en-US" w:eastAsia="en-US"/>
              </w:rPr>
              <w:t>Ack</w:t>
            </w:r>
            <w:proofErr w:type="spellEnd"/>
            <w:r>
              <w:rPr>
                <w:rFonts w:eastAsia="Times New Roman"/>
                <w:snapToGrid/>
                <w:color w:val="000000"/>
                <w:kern w:val="0"/>
                <w:szCs w:val="20"/>
                <w:lang w:val="en-US" w:eastAsia="en-US"/>
              </w:rPr>
              <w:t>/Knack,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Heading3"/>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3E469116" w14:textId="77777777" w:rsidR="00E068E7" w:rsidRDefault="00EA24EB">
      <w:pPr>
        <w:pStyle w:val="ListParagraph"/>
        <w:numPr>
          <w:ilvl w:val="0"/>
          <w:numId w:val="19"/>
        </w:numPr>
      </w:pPr>
      <w:r>
        <w:t>Note restriction for short control signalling transmissions apply (10% over any 100ms intervals)</w:t>
      </w:r>
    </w:p>
    <w:p w14:paraId="3E469117"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E469118" w14:textId="77777777" w:rsidR="00E068E7" w:rsidRDefault="00EA24EB">
      <w:pPr>
        <w:pStyle w:val="ListParagraph"/>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ListParagraph"/>
        <w:numPr>
          <w:ilvl w:val="0"/>
          <w:numId w:val="19"/>
        </w:numPr>
      </w:pPr>
      <w:r>
        <w:t>Alt 2: The 10% over any 100ms interval restriction is applicable to the msg1/ /</w:t>
      </w:r>
      <w:proofErr w:type="spellStart"/>
      <w:r>
        <w:t>msgA</w:t>
      </w:r>
      <w:proofErr w:type="spellEnd"/>
      <w:r>
        <w:t xml:space="preserve"> transmission from one UE perspective</w:t>
      </w:r>
    </w:p>
    <w:p w14:paraId="3E46911A" w14:textId="77777777" w:rsidR="00E068E7" w:rsidRDefault="00EA24EB">
      <w:pPr>
        <w:pStyle w:val="ListParagraph"/>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ListParagraph"/>
        <w:numPr>
          <w:ilvl w:val="0"/>
          <w:numId w:val="19"/>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xml:space="preserve">, SRS, PUCCH, PUSCH without user plain data, </w:t>
      </w:r>
      <w:proofErr w:type="spellStart"/>
      <w:r>
        <w:rPr>
          <w:lang w:eastAsia="en-US"/>
        </w:rPr>
        <w:t>etc</w:t>
      </w:r>
      <w:proofErr w:type="spellEnd"/>
    </w:p>
    <w:p w14:paraId="3E46911C" w14:textId="77777777" w:rsidR="00E068E7" w:rsidRDefault="00E068E7">
      <w:pPr>
        <w:pStyle w:val="ListParagraph"/>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E469120"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E469121" w14:textId="0962E27B" w:rsidR="00E068E7" w:rsidRDefault="00EA24EB">
      <w:pPr>
        <w:pStyle w:val="ListParagraph"/>
        <w:numPr>
          <w:ilvl w:val="1"/>
          <w:numId w:val="19"/>
        </w:numPr>
        <w:rPr>
          <w:color w:val="000000" w:themeColor="text1"/>
          <w:lang w:eastAsia="en-US"/>
        </w:rPr>
      </w:pPr>
      <w:r>
        <w:rPr>
          <w:color w:val="000000" w:themeColor="text1"/>
          <w:lang w:eastAsia="en-US"/>
        </w:rPr>
        <w:t xml:space="preserve">Support: </w:t>
      </w:r>
      <w:proofErr w:type="spellStart"/>
      <w:r>
        <w:rPr>
          <w:color w:val="000000" w:themeColor="text1"/>
          <w:lang w:eastAsia="en-US"/>
        </w:rPr>
        <w:t>Oppo</w:t>
      </w:r>
      <w:proofErr w:type="spellEnd"/>
      <w:r>
        <w:rPr>
          <w:color w:val="000000" w:themeColor="text1"/>
          <w:lang w:eastAsia="en-US"/>
        </w:rPr>
        <w:t xml:space="preserve">, HW, LG, Nokia (though regulation allows Alt 2), ZTE, Futurewei, CATT, </w:t>
      </w:r>
      <w:proofErr w:type="spellStart"/>
      <w:r>
        <w:rPr>
          <w:color w:val="000000" w:themeColor="text1"/>
          <w:lang w:eastAsia="en-US"/>
        </w:rPr>
        <w:t>Spreadtrum</w:t>
      </w:r>
      <w:proofErr w:type="spellEnd"/>
      <w:r w:rsidR="00153779">
        <w:rPr>
          <w:color w:val="000000" w:themeColor="text1"/>
          <w:lang w:eastAsia="en-US"/>
        </w:rPr>
        <w:t>, Xiaomi</w:t>
      </w:r>
    </w:p>
    <w:p w14:paraId="3E469122" w14:textId="77777777" w:rsidR="00E068E7" w:rsidRDefault="00EA24EB">
      <w:pPr>
        <w:pStyle w:val="ListParagraph"/>
        <w:numPr>
          <w:ilvl w:val="0"/>
          <w:numId w:val="19"/>
        </w:numPr>
      </w:pPr>
      <w:r>
        <w:t>Alt 2: The 10% over any 100ms interval restriction is applicable to the msg1/</w:t>
      </w:r>
      <w:proofErr w:type="spellStart"/>
      <w:r>
        <w:t>msgA</w:t>
      </w:r>
      <w:proofErr w:type="spellEnd"/>
      <w:r>
        <w:t xml:space="preserve"> transmission from one UE perspective</w:t>
      </w:r>
    </w:p>
    <w:p w14:paraId="3E469123" w14:textId="18FA33D3" w:rsidR="00E068E7" w:rsidRDefault="00EA24EB">
      <w:pPr>
        <w:pStyle w:val="ListParagraph"/>
        <w:numPr>
          <w:ilvl w:val="1"/>
          <w:numId w:val="19"/>
        </w:numPr>
      </w:pPr>
      <w:r>
        <w:t xml:space="preserve">Support: vivo, Charter, Intel, Lenovo, DCM, InterDigital, Ericsson, Samsung, </w:t>
      </w:r>
      <w:proofErr w:type="spellStart"/>
      <w:r>
        <w:t>Convida</w:t>
      </w:r>
      <w:proofErr w:type="spellEnd"/>
      <w:r>
        <w:t>, Apple, Nokia</w:t>
      </w:r>
      <w:r w:rsidR="00D90377">
        <w:t>, Qualcomm</w:t>
      </w:r>
    </w:p>
    <w:p w14:paraId="3E469124" w14:textId="77777777" w:rsidR="00E068E7" w:rsidRDefault="00EA24EB">
      <w:pPr>
        <w:contextualSpacing/>
      </w:pPr>
      <w:r>
        <w:t>Please provide your view if not captured</w:t>
      </w:r>
    </w:p>
    <w:tbl>
      <w:tblPr>
        <w:tblStyle w:val="TableGrid"/>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We prefer alt-2, since this is more in line with the ETSI BRAN requirements, and gi</w:t>
            </w:r>
            <w:r>
              <w:rPr>
                <w:lang w:eastAsia="en-US"/>
              </w:rPr>
              <w:lastRenderedPageBreak/>
              <w:t>ven the infrequency of msg1/</w:t>
            </w:r>
            <w:proofErr w:type="spellStart"/>
            <w:r>
              <w:rPr>
                <w:lang w:eastAsia="en-US"/>
              </w:rPr>
              <w:t>msgA</w:t>
            </w:r>
            <w:proofErr w:type="spellEnd"/>
            <w:r>
              <w:rPr>
                <w:lang w:eastAsia="en-US"/>
              </w:rPr>
              <w:t>,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 xml:space="preserve">lt 1 is preferred to give </w:t>
            </w:r>
            <w:proofErr w:type="spellStart"/>
            <w:r>
              <w:rPr>
                <w:rFonts w:eastAsiaTheme="minorEastAsia"/>
                <w:lang w:eastAsia="zh-CN"/>
              </w:rPr>
              <w:t>gNB</w:t>
            </w:r>
            <w:proofErr w:type="spellEnd"/>
            <w:r>
              <w:rPr>
                <w:rFonts w:eastAsiaTheme="minorEastAsia"/>
                <w:lang w:eastAsia="zh-CN"/>
              </w:rPr>
              <w:t xml:space="preserve">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77777777" w:rsidR="008E600A" w:rsidRPr="00E73B60"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617D50C2" w14:textId="77777777" w:rsidR="008E600A" w:rsidRPr="00E73B60" w:rsidRDefault="008E600A" w:rsidP="001562C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77777777" w:rsidR="00E068E7" w:rsidRDefault="00EA24EB">
      <w:pPr>
        <w:widowControl/>
        <w:numPr>
          <w:ilvl w:val="1"/>
          <w:numId w:val="48"/>
        </w:numPr>
        <w:autoSpaceDE/>
        <w:autoSpaceDN/>
        <w:spacing w:line="256" w:lineRule="auto"/>
        <w:jc w:val="left"/>
        <w:rPr>
          <w:sz w:val="18"/>
          <w:szCs w:val="18"/>
        </w:rPr>
      </w:pPr>
      <w:r>
        <w:rPr>
          <w:sz w:val="18"/>
          <w:szCs w:val="18"/>
        </w:rPr>
        <w:t>Support: Qualcomm, Intel</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E469142"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 xml:space="preserve">Oppose: </w:t>
      </w:r>
      <w:proofErr w:type="spellStart"/>
      <w:r>
        <w:rPr>
          <w:sz w:val="18"/>
          <w:szCs w:val="18"/>
        </w:rPr>
        <w:t>Oppo</w:t>
      </w:r>
      <w:proofErr w:type="spellEnd"/>
    </w:p>
    <w:p w14:paraId="3E469144" w14:textId="77777777" w:rsidR="00E068E7" w:rsidRDefault="00EA24EB">
      <w:pPr>
        <w:pStyle w:val="ListParagraph"/>
        <w:numPr>
          <w:ilvl w:val="0"/>
          <w:numId w:val="48"/>
        </w:numPr>
        <w:spacing w:line="256" w:lineRule="auto"/>
        <w:rPr>
          <w:sz w:val="18"/>
          <w:szCs w:val="18"/>
        </w:rPr>
      </w:pPr>
      <w:r>
        <w:rPr>
          <w:lang w:eastAsia="en-US"/>
        </w:rPr>
        <w:t>No other Contention Exempt UL transmission should be permitted: Huawei</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TableGrid"/>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 xml:space="preserve">But we are still inclined to give </w:t>
            </w:r>
            <w:proofErr w:type="spellStart"/>
            <w:r>
              <w:rPr>
                <w:rFonts w:eastAsiaTheme="minorEastAsia"/>
                <w:lang w:eastAsia="zh-CN"/>
              </w:rPr>
              <w:t>gNB</w:t>
            </w:r>
            <w:proofErr w:type="spellEnd"/>
            <w:r>
              <w:rPr>
                <w:rFonts w:eastAsiaTheme="minorEastAsia"/>
                <w:lang w:eastAsia="zh-CN"/>
              </w:rPr>
              <w:t xml:space="preserve"> more control, so that a UL transmission can only be qualified as short control signalling when </w:t>
            </w:r>
            <w:proofErr w:type="spellStart"/>
            <w:r>
              <w:rPr>
                <w:rFonts w:eastAsiaTheme="minorEastAsia"/>
                <w:lang w:eastAsia="zh-CN"/>
              </w:rPr>
              <w:t>gNB</w:t>
            </w:r>
            <w:proofErr w:type="spellEnd"/>
            <w:r>
              <w:rPr>
                <w:rFonts w:eastAsiaTheme="minorEastAsia"/>
                <w:lang w:eastAsia="zh-CN"/>
              </w:rPr>
              <w:t xml:space="preserve">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lastRenderedPageBreak/>
        <w:t xml:space="preserve">For contention exemption short control signalling based UL transmission, further introduce RRC configuration to allow </w:t>
      </w:r>
      <w:proofErr w:type="spellStart"/>
      <w:r>
        <w:rPr>
          <w:sz w:val="18"/>
          <w:szCs w:val="18"/>
        </w:rPr>
        <w:t>gNB</w:t>
      </w:r>
      <w:proofErr w:type="spellEnd"/>
      <w:r>
        <w:rPr>
          <w:sz w:val="18"/>
          <w:szCs w:val="18"/>
        </w:rPr>
        <w:t xml:space="preserve">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TableGrid"/>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77777777"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further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 xml:space="preserve">We don’t see the need for </w:t>
            </w:r>
            <w:proofErr w:type="spellStart"/>
            <w:r>
              <w:rPr>
                <w:rFonts w:eastAsiaTheme="minorEastAsia"/>
                <w:lang w:eastAsia="zh-CN"/>
              </w:rPr>
              <w:t>gNB</w:t>
            </w:r>
            <w:proofErr w:type="spellEnd"/>
            <w:r>
              <w:rPr>
                <w:rFonts w:eastAsiaTheme="minorEastAsia"/>
                <w:lang w:eastAsia="zh-CN"/>
              </w:rPr>
              <w:t xml:space="preserve">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1562C9">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Heading2"/>
        <w:rPr>
          <w:rFonts w:ascii="Times New Roman" w:hAnsi="Times New Roman"/>
        </w:rPr>
      </w:pPr>
      <w:r>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Heading3"/>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t>Regarding introduction of CWS Adjustment, down select from the following alternatives</w:t>
      </w:r>
    </w:p>
    <w:p w14:paraId="3E4691B3" w14:textId="77777777" w:rsidR="00E068E7" w:rsidRDefault="00EA24EB">
      <w:pPr>
        <w:pStyle w:val="ListParagraph"/>
        <w:numPr>
          <w:ilvl w:val="0"/>
          <w:numId w:val="49"/>
        </w:numPr>
        <w:rPr>
          <w:lang w:eastAsia="en-US"/>
        </w:rPr>
      </w:pPr>
      <w:r>
        <w:rPr>
          <w:lang w:eastAsia="en-US"/>
        </w:rPr>
        <w:t>Alt 1: Support the introduction of CWS adjustment</w:t>
      </w:r>
    </w:p>
    <w:p w14:paraId="3E4691B4" w14:textId="77777777" w:rsidR="00E068E7" w:rsidRDefault="00EA24EB">
      <w:pPr>
        <w:pStyle w:val="ListParagraph"/>
        <w:numPr>
          <w:ilvl w:val="0"/>
          <w:numId w:val="49"/>
        </w:numPr>
        <w:rPr>
          <w:lang w:eastAsia="en-US"/>
        </w:rPr>
      </w:pPr>
      <w:r>
        <w:rPr>
          <w:lang w:eastAsia="en-US"/>
        </w:rPr>
        <w:t>Alt 2: Do not introduce CWS adjustment</w:t>
      </w:r>
    </w:p>
    <w:p w14:paraId="3E4691B5" w14:textId="77777777" w:rsidR="00E068E7" w:rsidRDefault="00E068E7">
      <w:pPr>
        <w:pStyle w:val="ListParagraph"/>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ListParagraph"/>
        <w:numPr>
          <w:ilvl w:val="0"/>
          <w:numId w:val="16"/>
        </w:numPr>
      </w:pPr>
      <w:r>
        <w:t xml:space="preserve">Alt 1: </w:t>
      </w:r>
      <w:r>
        <w:tab/>
      </w:r>
      <w:r>
        <w:rPr>
          <w:color w:val="FF0000"/>
        </w:rPr>
        <w:t>Lenovo</w:t>
      </w:r>
      <w:r>
        <w:t xml:space="preserve">, Motorola, ZTE, LG, Intel </w:t>
      </w:r>
      <w:r>
        <w:rPr>
          <w:strike/>
        </w:rPr>
        <w:t>(</w:t>
      </w:r>
      <w:r>
        <w:t>ITRI (per beam</w:t>
      </w:r>
      <w:proofErr w:type="gramStart"/>
      <w:r>
        <w:t>) ,</w:t>
      </w:r>
      <w:proofErr w:type="gramEnd"/>
      <w:r>
        <w:t xml:space="preserve"> WILUS</w:t>
      </w:r>
    </w:p>
    <w:p w14:paraId="3E4691B8" w14:textId="0D840884" w:rsidR="00E068E7" w:rsidRDefault="00EA24EB">
      <w:pPr>
        <w:pStyle w:val="ListParagraph"/>
        <w:numPr>
          <w:ilvl w:val="0"/>
          <w:numId w:val="16"/>
        </w:numPr>
      </w:pPr>
      <w:r>
        <w:t xml:space="preserve">Alt 2:  </w:t>
      </w:r>
      <w:r>
        <w:tab/>
        <w:t xml:space="preserve">Sony, Samsung, CATT, Nokia, Qualcomm, Ericsson, Futurewei, </w:t>
      </w:r>
      <w:proofErr w:type="spellStart"/>
      <w:r>
        <w:t>Spreadtrum</w:t>
      </w:r>
      <w:proofErr w:type="spellEnd"/>
      <w:r>
        <w:t>, Xiaomi</w:t>
      </w:r>
      <w:r w:rsidR="008E600A">
        <w:t>, vivo</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w:t>
            </w:r>
            <w:r>
              <w:lastRenderedPageBreak/>
              <w:t xml:space="preserve">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8E600A" w:rsidRPr="00E73B60" w14:paraId="72252D69" w14:textId="77777777" w:rsidTr="008E600A">
        <w:tc>
          <w:tcPr>
            <w:tcW w:w="2425" w:type="dxa"/>
          </w:tcPr>
          <w:p w14:paraId="5BF499E6" w14:textId="77777777" w:rsidR="008E600A" w:rsidRPr="00E73B60"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51C0F288" w14:textId="77777777" w:rsidR="008E600A" w:rsidRPr="00E73B60" w:rsidRDefault="008E600A" w:rsidP="001562C9">
            <w:pPr>
              <w:rPr>
                <w:lang w:eastAsia="en-US"/>
              </w:rPr>
            </w:pPr>
            <w:r>
              <w:rPr>
                <w:rFonts w:eastAsiaTheme="minorEastAsia"/>
                <w:lang w:eastAsia="zh-CN"/>
              </w:rPr>
              <w:t>We see no strong motivation to introduce CWS adjustment. We added our position to the summary.</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ListParagraph"/>
        <w:numPr>
          <w:ilvl w:val="0"/>
          <w:numId w:val="49"/>
        </w:numPr>
        <w:rPr>
          <w:lang w:eastAsia="en-US"/>
        </w:rPr>
      </w:pPr>
      <w:r>
        <w:rPr>
          <w:lang w:eastAsia="en-US"/>
        </w:rPr>
        <w:t xml:space="preserve">Alt 1: Support the introduction of CAPC </w:t>
      </w:r>
    </w:p>
    <w:p w14:paraId="3E4691CB" w14:textId="77777777" w:rsidR="00E068E7" w:rsidRDefault="00EA24EB">
      <w:pPr>
        <w:pStyle w:val="ListParagraph"/>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77777777" w:rsidR="00E068E7" w:rsidRDefault="00EA24EB">
      <w:pPr>
        <w:pStyle w:val="ListParagraph"/>
        <w:numPr>
          <w:ilvl w:val="0"/>
          <w:numId w:val="50"/>
        </w:numPr>
      </w:pPr>
      <w:r>
        <w:t xml:space="preserve">Alt 1: </w:t>
      </w:r>
      <w:r>
        <w:tab/>
      </w:r>
      <w:r>
        <w:rPr>
          <w:color w:val="FF0000"/>
        </w:rPr>
        <w:t>Lenovo</w:t>
      </w:r>
      <w:r>
        <w:t>, Motorola, ZTE, LG, Intel, ITRI, WILUS</w:t>
      </w:r>
    </w:p>
    <w:p w14:paraId="3E4691CF" w14:textId="5FB138A7" w:rsidR="00E068E7" w:rsidRDefault="00EA24EB">
      <w:pPr>
        <w:pStyle w:val="ListParagraph"/>
        <w:numPr>
          <w:ilvl w:val="0"/>
          <w:numId w:val="50"/>
        </w:numPr>
      </w:pPr>
      <w:r>
        <w:t xml:space="preserve">Alt 2:  </w:t>
      </w:r>
      <w:r>
        <w:tab/>
        <w:t>Sony, Samsung, CATT, Nokia, Qualcomm, Ericsson, Futurewei, Xiaomi</w:t>
      </w:r>
      <w:r w:rsidR="008E600A">
        <w:t>, vivo</w:t>
      </w:r>
      <w:bookmarkStart w:id="11" w:name="_GoBack"/>
      <w:bookmarkEnd w:id="11"/>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1562C9">
            <w:pPr>
              <w:rPr>
                <w:lang w:eastAsia="en-US"/>
              </w:rPr>
            </w:pPr>
            <w:r>
              <w:rPr>
                <w:rFonts w:eastAsiaTheme="minorEastAsia" w:hint="eastAsia"/>
                <w:lang w:eastAsia="zh-CN"/>
              </w:rPr>
              <w:t>v</w:t>
            </w:r>
            <w:r>
              <w:rPr>
                <w:rFonts w:eastAsiaTheme="minorEastAsia"/>
                <w:lang w:eastAsia="zh-CN"/>
              </w:rPr>
              <w:t>ivo</w:t>
            </w:r>
          </w:p>
        </w:tc>
        <w:tc>
          <w:tcPr>
            <w:tcW w:w="6937" w:type="dxa"/>
          </w:tcPr>
          <w:p w14:paraId="42A4BDD1" w14:textId="77777777" w:rsidR="008E600A" w:rsidRDefault="008E600A" w:rsidP="001562C9">
            <w:pPr>
              <w:rPr>
                <w:lang w:eastAsia="en-US"/>
              </w:rPr>
            </w:pPr>
            <w:r>
              <w:rPr>
                <w:rFonts w:eastAsiaTheme="minorEastAsia"/>
                <w:lang w:eastAsia="zh-CN"/>
              </w:rPr>
              <w:t>We see no strong motivation to introduce CAPC. We added our position to the summary.</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Heading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22: Study the benefits of sharing the ED measurements results at </w:t>
            </w:r>
            <w:proofErr w:type="spellStart"/>
            <w:r>
              <w:rPr>
                <w:rFonts w:eastAsia="Times New Roman"/>
                <w:snapToGrid/>
                <w:color w:val="000000"/>
                <w:kern w:val="0"/>
                <w:sz w:val="22"/>
                <w:lang w:val="en-US" w:eastAsia="en-US"/>
              </w:rPr>
              <w:t>gNB</w:t>
            </w:r>
            <w:proofErr w:type="spellEnd"/>
            <w:r>
              <w:rPr>
                <w:rFonts w:eastAsia="Times New Roman"/>
                <w:snapToGrid/>
                <w:color w:val="000000"/>
                <w:kern w:val="0"/>
                <w:sz w:val="22"/>
                <w:lang w:val="en-US" w:eastAsia="en-US"/>
              </w:rPr>
              <w:t xml:space="preserve">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 xml:space="preserve">Proposal 14: If a UE is going to transmit a set of consecutive PUSCH transmissions including both dynamically scheduled PUSCH transmissions and CG-PUSCH transmissions, the UE can select the latest indicated UL </w:t>
            </w:r>
            <w:proofErr w:type="spellStart"/>
            <w:r>
              <w:rPr>
                <w:rFonts w:eastAsia="Times New Roman"/>
                <w:i/>
                <w:iCs/>
                <w:snapToGrid/>
                <w:color w:val="000000"/>
                <w:kern w:val="0"/>
                <w:sz w:val="22"/>
                <w:lang w:val="en-US" w:eastAsia="en-US"/>
              </w:rPr>
              <w:t>Tx</w:t>
            </w:r>
            <w:proofErr w:type="spellEnd"/>
            <w:r>
              <w:rPr>
                <w:rFonts w:eastAsia="Times New Roman"/>
                <w:i/>
                <w:iCs/>
                <w:snapToGrid/>
                <w:color w:val="000000"/>
                <w:kern w:val="0"/>
                <w:sz w:val="22"/>
                <w:lang w:val="en-US" w:eastAsia="en-US"/>
              </w:rPr>
              <w:t xml:space="preserve">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22: For NR operation in unlicensed bands between 52.6 GHz and 71 GHz, UE assistance information to indicate whether and which UL </w:t>
            </w:r>
            <w:proofErr w:type="spellStart"/>
            <w:r>
              <w:rPr>
                <w:rFonts w:eastAsia="Times New Roman"/>
                <w:i/>
                <w:iCs/>
                <w:snapToGrid/>
                <w:color w:val="000000"/>
                <w:kern w:val="0"/>
                <w:sz w:val="22"/>
                <w:u w:val="single"/>
                <w:lang w:val="en-US" w:eastAsia="en-US"/>
              </w:rPr>
              <w:t>Tx</w:t>
            </w:r>
            <w:proofErr w:type="spellEnd"/>
            <w:r>
              <w:rPr>
                <w:rFonts w:eastAsia="Times New Roman"/>
                <w:i/>
                <w:iCs/>
                <w:snapToGrid/>
                <w:color w:val="000000"/>
                <w:kern w:val="0"/>
                <w:sz w:val="22"/>
                <w:u w:val="single"/>
                <w:lang w:val="en-US" w:eastAsia="en-US"/>
              </w:rPr>
              <w:t xml:space="preserve">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Heading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3E46921D" w14:textId="77777777" w:rsidR="00E068E7" w:rsidRDefault="00EA24EB">
      <w:pPr>
        <w:pStyle w:val="ListParagraph"/>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3E46921F" w14:textId="77777777" w:rsidR="00E068E7" w:rsidRDefault="00EA24EB">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E469220" w14:textId="77777777" w:rsidR="00E068E7" w:rsidRDefault="00EA24EB">
      <w:pPr>
        <w:pStyle w:val="ListParagraph"/>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3E469222" w14:textId="77777777" w:rsidR="00E068E7" w:rsidRDefault="00EA24EB">
      <w:pPr>
        <w:pStyle w:val="ListParagraph"/>
        <w:numPr>
          <w:ilvl w:val="0"/>
          <w:numId w:val="51"/>
        </w:numPr>
        <w:rPr>
          <w:lang w:eastAsia="en-US"/>
        </w:rPr>
      </w:pPr>
      <w:r>
        <w:rPr>
          <w:lang w:eastAsia="en-US"/>
        </w:rPr>
        <w:t>R1-2109075, Discussion on channel access mechanism, OPPO</w:t>
      </w:r>
    </w:p>
    <w:p w14:paraId="3E469223" w14:textId="77777777" w:rsidR="00E068E7" w:rsidRDefault="00EA24EB">
      <w:pPr>
        <w:pStyle w:val="ListParagraph"/>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ListParagraph"/>
        <w:numPr>
          <w:ilvl w:val="0"/>
          <w:numId w:val="51"/>
        </w:numPr>
        <w:rPr>
          <w:lang w:eastAsia="en-US"/>
        </w:rPr>
      </w:pPr>
      <w:r>
        <w:rPr>
          <w:lang w:eastAsia="en-US"/>
        </w:rPr>
        <w:t>R1-2109213, Channel access mechanism for up to 71GHz operation, CATT</w:t>
      </w:r>
    </w:p>
    <w:p w14:paraId="3E469225" w14:textId="77777777" w:rsidR="00E068E7" w:rsidRDefault="00EA24EB">
      <w:pPr>
        <w:pStyle w:val="ListParagraph"/>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ListParagraph"/>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ListParagraph"/>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ListParagraph"/>
        <w:numPr>
          <w:ilvl w:val="0"/>
          <w:numId w:val="51"/>
        </w:numPr>
        <w:rPr>
          <w:lang w:eastAsia="en-US"/>
        </w:rPr>
      </w:pPr>
      <w:r>
        <w:rPr>
          <w:lang w:eastAsia="en-US"/>
        </w:rPr>
        <w:t>R1-2109439, Channel Access Mechanisms, Ericsson</w:t>
      </w:r>
    </w:p>
    <w:p w14:paraId="3E469229" w14:textId="77777777" w:rsidR="00E068E7" w:rsidRDefault="00EA24EB">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3E46922A" w14:textId="77777777" w:rsidR="00E068E7" w:rsidRDefault="00EA24EB">
      <w:pPr>
        <w:pStyle w:val="ListParagraph"/>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ListParagraph"/>
        <w:numPr>
          <w:ilvl w:val="0"/>
          <w:numId w:val="51"/>
        </w:numPr>
        <w:rPr>
          <w:lang w:eastAsia="en-US"/>
        </w:rPr>
      </w:pPr>
      <w:r>
        <w:rPr>
          <w:lang w:eastAsia="en-US"/>
        </w:rPr>
        <w:t xml:space="preserve">R1-2109558, On the channel access mechanisms for 52.6-71 GHz NR operation, </w:t>
      </w:r>
      <w:proofErr w:type="spellStart"/>
      <w:r>
        <w:rPr>
          <w:lang w:eastAsia="en-US"/>
        </w:rPr>
        <w:t>MediaTek</w:t>
      </w:r>
      <w:proofErr w:type="spellEnd"/>
      <w:r>
        <w:rPr>
          <w:lang w:eastAsia="en-US"/>
        </w:rPr>
        <w:t xml:space="preserve"> </w:t>
      </w:r>
      <w:proofErr w:type="spellStart"/>
      <w:r>
        <w:rPr>
          <w:lang w:eastAsia="en-US"/>
        </w:rPr>
        <w:t>Inc</w:t>
      </w:r>
      <w:proofErr w:type="spellEnd"/>
    </w:p>
    <w:p w14:paraId="3E46922C" w14:textId="77777777" w:rsidR="00E068E7" w:rsidRDefault="00EA24EB">
      <w:pPr>
        <w:pStyle w:val="ListParagraph"/>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ListParagraph"/>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ListParagraph"/>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ListParagraph"/>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ListParagraph"/>
        <w:numPr>
          <w:ilvl w:val="0"/>
          <w:numId w:val="51"/>
        </w:numPr>
        <w:rPr>
          <w:lang w:eastAsia="en-US"/>
        </w:rPr>
      </w:pPr>
      <w:r>
        <w:rPr>
          <w:lang w:eastAsia="en-US"/>
        </w:rPr>
        <w:t>R1-2109909, Discussion on channel access mechanisms, InterDigital Inc.</w:t>
      </w:r>
    </w:p>
    <w:p w14:paraId="3E469231" w14:textId="77777777" w:rsidR="00E068E7" w:rsidRDefault="00EA24EB">
      <w:pPr>
        <w:pStyle w:val="ListParagraph"/>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ListParagraph"/>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3E469234" w14:textId="77777777" w:rsidR="00E068E7" w:rsidRDefault="00EA24EB">
      <w:pPr>
        <w:pStyle w:val="ListParagraph"/>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ListParagraph"/>
        <w:numPr>
          <w:ilvl w:val="0"/>
          <w:numId w:val="51"/>
        </w:numPr>
        <w:rPr>
          <w:lang w:eastAsia="en-US"/>
        </w:rPr>
      </w:pPr>
      <w:r>
        <w:rPr>
          <w:lang w:eastAsia="en-US"/>
        </w:rPr>
        <w:t>R1-2110243, Discussion on multi-beam operation, ITRI</w:t>
      </w:r>
    </w:p>
    <w:p w14:paraId="3E469236" w14:textId="77777777" w:rsidR="00E068E7" w:rsidRDefault="00EA24EB">
      <w:pPr>
        <w:pStyle w:val="ListParagraph"/>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E469238" w14:textId="77777777" w:rsidR="00E068E7" w:rsidRDefault="00EA24EB">
      <w:pPr>
        <w:pStyle w:val="ListParagraph"/>
        <w:numPr>
          <w:ilvl w:val="0"/>
          <w:numId w:val="51"/>
        </w:numPr>
        <w:rPr>
          <w:rFonts w:eastAsia="Times New Roman"/>
        </w:rPr>
      </w:pPr>
      <w:r>
        <w:rPr>
          <w:lang w:eastAsia="en-US"/>
        </w:rPr>
        <w:t xml:space="preserve">R1-2110322, Discussion on channel access mechanism for NR from 52.6GHz to 71GHz, WILUS </w:t>
      </w:r>
      <w:proofErr w:type="spellStart"/>
      <w:r>
        <w:rPr>
          <w:lang w:eastAsia="en-US"/>
        </w:rPr>
        <w:t>Inc</w:t>
      </w:r>
      <w:proofErr w:type="spellEnd"/>
    </w:p>
    <w:sectPr w:rsidR="00E068E7">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5CBF" w14:textId="77777777" w:rsidR="0034563D" w:rsidRDefault="0034563D">
      <w:pPr>
        <w:spacing w:after="0" w:line="240" w:lineRule="auto"/>
      </w:pPr>
      <w:r>
        <w:separator/>
      </w:r>
    </w:p>
  </w:endnote>
  <w:endnote w:type="continuationSeparator" w:id="0">
    <w:p w14:paraId="6109CB89" w14:textId="77777777" w:rsidR="0034563D" w:rsidRDefault="0034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924D" w14:textId="77777777"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46924E" w14:textId="77777777" w:rsidR="00E068E7" w:rsidRDefault="00E068E7">
    <w:pPr>
      <w:pStyle w:val="Footer"/>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9251" w14:textId="7BBE9DB5"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600A">
      <w:rPr>
        <w:rStyle w:val="PageNumber"/>
        <w:noProof/>
      </w:rPr>
      <w:t>61</w:t>
    </w:r>
    <w:r>
      <w:rPr>
        <w:rStyle w:val="PageNumber"/>
      </w:rPr>
      <w:fldChar w:fldCharType="end"/>
    </w:r>
  </w:p>
  <w:p w14:paraId="3E469252" w14:textId="77777777" w:rsidR="00E068E7" w:rsidRDefault="00E068E7">
    <w:pPr>
      <w:pStyle w:val="Footer"/>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EFDF5" w14:textId="77777777" w:rsidR="0034563D" w:rsidRDefault="0034563D">
      <w:pPr>
        <w:spacing w:after="0" w:line="240" w:lineRule="auto"/>
      </w:pPr>
      <w:r>
        <w:separator/>
      </w:r>
    </w:p>
  </w:footnote>
  <w:footnote w:type="continuationSeparator" w:id="0">
    <w:p w14:paraId="1E5FCE03" w14:textId="77777777" w:rsidR="0034563D" w:rsidRDefault="00345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8"/>
  </w:num>
  <w:num w:numId="4">
    <w:abstractNumId w:val="0"/>
  </w:num>
  <w:num w:numId="5">
    <w:abstractNumId w:val="16"/>
  </w:num>
  <w:num w:numId="6">
    <w:abstractNumId w:val="46"/>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1"/>
  </w:num>
  <w:num w:numId="14">
    <w:abstractNumId w:val="47"/>
  </w:num>
  <w:num w:numId="15">
    <w:abstractNumId w:val="37"/>
  </w:num>
  <w:num w:numId="16">
    <w:abstractNumId w:val="43"/>
  </w:num>
  <w:num w:numId="17">
    <w:abstractNumId w:val="12"/>
  </w:num>
  <w:num w:numId="18">
    <w:abstractNumId w:val="28"/>
  </w:num>
  <w:num w:numId="19">
    <w:abstractNumId w:val="10"/>
  </w:num>
  <w:num w:numId="20">
    <w:abstractNumId w:val="1"/>
  </w:num>
  <w:num w:numId="21">
    <w:abstractNumId w:val="23"/>
  </w:num>
  <w:num w:numId="22">
    <w:abstractNumId w:val="40"/>
  </w:num>
  <w:num w:numId="23">
    <w:abstractNumId w:val="20"/>
  </w:num>
  <w:num w:numId="24">
    <w:abstractNumId w:val="2"/>
  </w:num>
  <w:num w:numId="25">
    <w:abstractNumId w:val="19"/>
  </w:num>
  <w:num w:numId="26">
    <w:abstractNumId w:val="45"/>
  </w:num>
  <w:num w:numId="27">
    <w:abstractNumId w:val="50"/>
  </w:num>
  <w:num w:numId="28">
    <w:abstractNumId w:val="7"/>
  </w:num>
  <w:num w:numId="29">
    <w:abstractNumId w:val="24"/>
  </w:num>
  <w:num w:numId="30">
    <w:abstractNumId w:val="36"/>
  </w:num>
  <w:num w:numId="31">
    <w:abstractNumId w:val="4"/>
  </w:num>
  <w:num w:numId="32">
    <w:abstractNumId w:val="29"/>
  </w:num>
  <w:num w:numId="33">
    <w:abstractNumId w:val="32"/>
  </w:num>
  <w:num w:numId="34">
    <w:abstractNumId w:val="42"/>
  </w:num>
  <w:num w:numId="35">
    <w:abstractNumId w:val="5"/>
  </w:num>
  <w:num w:numId="36">
    <w:abstractNumId w:val="35"/>
  </w:num>
  <w:num w:numId="37">
    <w:abstractNumId w:val="8"/>
  </w:num>
  <w:num w:numId="38">
    <w:abstractNumId w:val="13"/>
  </w:num>
  <w:num w:numId="39">
    <w:abstractNumId w:val="14"/>
  </w:num>
  <w:num w:numId="40">
    <w:abstractNumId w:val="49"/>
  </w:num>
  <w:num w:numId="41">
    <w:abstractNumId w:val="30"/>
  </w:num>
  <w:num w:numId="42">
    <w:abstractNumId w:val="39"/>
  </w:num>
  <w:num w:numId="43">
    <w:abstractNumId w:val="41"/>
  </w:num>
  <w:num w:numId="44">
    <w:abstractNumId w:val="11"/>
  </w:num>
  <w:num w:numId="45">
    <w:abstractNumId w:val="3"/>
  </w:num>
  <w:num w:numId="46">
    <w:abstractNumId w:val="17"/>
  </w:num>
  <w:num w:numId="47">
    <w:abstractNumId w:val="9"/>
  </w:num>
  <w:num w:numId="48">
    <w:abstractNumId w:val="38"/>
  </w:num>
  <w:num w:numId="49">
    <w:abstractNumId w:val="44"/>
  </w:num>
  <w:num w:numId="50">
    <w:abstractNumId w:val="33"/>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43A0C-AC03-4BA6-A5A2-7FDDB9883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E3CA49-5625-4399-A18B-144C81137436}">
  <ds:schemaRefs>
    <ds:schemaRef ds:uri="http://schemas.openxmlformats.org/officeDocument/2006/bibliography"/>
  </ds:schemaRefs>
</ds:datastoreItem>
</file>

<file path=customXml/itemProps6.xml><?xml version="1.0" encoding="utf-8"?>
<ds:datastoreItem xmlns:ds="http://schemas.openxmlformats.org/officeDocument/2006/customXml" ds:itemID="{DFF0A7EB-E628-4A36-82C9-C0720158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22799</Words>
  <Characters>129958</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3</cp:revision>
  <cp:lastPrinted>2019-01-10T09:30:00Z</cp:lastPrinted>
  <dcterms:created xsi:type="dcterms:W3CDTF">2021-10-12T17:43:00Z</dcterms:created>
  <dcterms:modified xsi:type="dcterms:W3CDTF">2021-10-12T17:53:00Z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0x010100E0B0DDEA5689E843A77FF07E023D2573</vt:lpwstr>
  </property>
</Properties>
</file>