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7.vsd" ContentType="application/vnd.visio"/>
  <Override PartName="/word/embeddings/Microsoft_Visio___10.vsdx" ContentType="application/vnd.ms-visio.drawing"/>
  <Override PartName="/word/embeddings/Microsoft_Visio___11.vsdx" ContentType="application/vnd.ms-visio.drawing"/>
  <Override PartName="/word/embeddings/Microsoft_Visio___12.vsdx" ContentType="application/vnd.ms-visio.drawing"/>
  <Override PartName="/word/embeddings/Microsoft_Visio___13.vsdx" ContentType="application/vnd.ms-visio.drawing"/>
  <Override PartName="/word/embeddings/Microsoft_Visio___14.vsdx" ContentType="application/vnd.ms-visio.drawing"/>
  <Override PartName="/word/embeddings/Microsoft_Visio___15.vsdx" ContentType="application/vnd.ms-visio.drawing"/>
  <Override PartName="/word/embeddings/Microsoft_Visio___16.vsdx" ContentType="application/vnd.ms-visio.drawing"/>
  <Override PartName="/word/embeddings/Microsoft_Visio___3.vsdx" ContentType="application/vnd.ms-visio.drawing"/>
  <Override PartName="/word/embeddings/Microsoft_Visio___4.vsdx" ContentType="application/vnd.ms-visio.drawing"/>
  <Override PartName="/word/embeddings/Microsoft_Visio___5.vsdx" ContentType="application/vnd.ms-visio.drawing"/>
  <Override PartName="/word/embeddings/Microsoft_Visio___6.vsdx" ContentType="application/vnd.ms-visio.drawing"/>
  <Override PartName="/word/embeddings/Microsoft_Visio___8.vsdx" ContentType="application/vnd.ms-visio.drawing"/>
  <Override PartName="/word/embeddings/Microsoft_Visio___9.vsdx" ContentType="application/vnd.ms-visio.drawing"/>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8"/>
        <w:widowControl w:val="0"/>
        <w:tabs>
          <w:tab w:val="right" w:pos="13892"/>
          <w:tab w:val="clear" w:pos="9360"/>
        </w:tabs>
        <w:rPr>
          <w:rFonts w:ascii="Arial" w:hAnsi="Arial" w:cs="Arial"/>
          <w:b/>
          <w:bCs/>
          <w:lang w:val="de-DE"/>
        </w:rPr>
      </w:pPr>
      <w:r>
        <w:rPr>
          <w:rFonts w:ascii="Arial" w:hAnsi="Arial" w:cs="Arial"/>
          <w:b/>
          <w:bCs/>
          <w:lang w:val="de-DE"/>
        </w:rPr>
        <w:t>3GPP TSG RAN WG1#106bis-e</w:t>
      </w:r>
      <w:r>
        <w:rPr>
          <w:rFonts w:ascii="Arial" w:hAnsi="Arial" w:cs="Arial"/>
          <w:b/>
          <w:bCs/>
          <w:lang w:val="de-DE"/>
        </w:rPr>
        <w:tab/>
      </w:r>
      <w:r>
        <w:rPr>
          <w:rFonts w:ascii="Arial" w:hAnsi="Arial" w:cs="Arial"/>
          <w:b/>
          <w:bCs/>
          <w:lang w:val="de-DE" w:eastAsia="zh-CN"/>
        </w:rPr>
        <w:tab/>
      </w:r>
      <w:r>
        <w:rPr>
          <w:rFonts w:ascii="Arial" w:hAnsi="Arial" w:cs="Arial"/>
          <w:b/>
          <w:bCs/>
          <w:lang w:val="de-DE"/>
        </w:rPr>
        <w:t>R1-21nnnnn</w:t>
      </w:r>
    </w:p>
    <w:p>
      <w:pPr>
        <w:pStyle w:val="38"/>
        <w:widowControl w:val="0"/>
        <w:rPr>
          <w:rFonts w:ascii="Arial" w:hAnsi="Arial" w:cs="Arial"/>
          <w:b/>
          <w:bCs/>
          <w:lang w:val="en-GB"/>
        </w:rPr>
      </w:pPr>
      <w:r>
        <w:rPr>
          <w:rFonts w:ascii="Arial" w:hAnsi="Arial" w:cs="Arial"/>
          <w:b/>
          <w:bCs/>
          <w:lang w:val="en-GB"/>
        </w:rPr>
        <w:t>e-Meeting, October 11th – 19th, 2021</w:t>
      </w:r>
    </w:p>
    <w:p>
      <w:pPr>
        <w:pBdr>
          <w:top w:val="single" w:color="auto" w:sz="4" w:space="2"/>
        </w:pBdr>
        <w:spacing w:after="0"/>
        <w:rPr>
          <w:rFonts w:ascii="Arial" w:hAnsi="Arial" w:cs="Arial"/>
          <w:b/>
          <w:kern w:val="2"/>
          <w:sz w:val="24"/>
          <w:highlight w:val="yellow"/>
          <w:lang w:val="en-GB" w:eastAsia="zh-CN"/>
        </w:rPr>
      </w:pPr>
    </w:p>
    <w:p>
      <w:pPr>
        <w:tabs>
          <w:tab w:val="left" w:pos="1985"/>
        </w:tabs>
        <w:overflowPunct w:val="0"/>
        <w:snapToGrid/>
        <w:ind w:left="1985" w:hanging="1985"/>
        <w:textAlignment w:val="baseline"/>
        <w:rPr>
          <w:rFonts w:ascii="Arial" w:hAnsi="Arial" w:cs="Arial"/>
          <w:b/>
          <w:bCs/>
          <w:szCs w:val="20"/>
          <w:lang w:val="en-GB" w:eastAsia="zh-CN"/>
        </w:rPr>
      </w:pPr>
      <w:r>
        <w:rPr>
          <w:rFonts w:ascii="Arial" w:hAnsi="Arial" w:cs="Arial"/>
          <w:b/>
          <w:bCs/>
          <w:szCs w:val="20"/>
          <w:lang w:val="en-GB" w:eastAsia="zh-CN"/>
        </w:rPr>
        <w:t>Agenda Item:</w:t>
      </w:r>
      <w:r>
        <w:rPr>
          <w:rFonts w:ascii="Arial" w:hAnsi="Arial" w:cs="Arial"/>
          <w:b/>
          <w:bCs/>
          <w:szCs w:val="20"/>
          <w:lang w:val="en-GB" w:eastAsia="zh-CN"/>
        </w:rPr>
        <w:tab/>
      </w:r>
      <w:r>
        <w:rPr>
          <w:rFonts w:ascii="Arial" w:hAnsi="Arial" w:cs="Arial"/>
          <w:b/>
          <w:bCs/>
          <w:szCs w:val="20"/>
          <w:lang w:val="en-GB" w:eastAsia="zh-CN"/>
        </w:rPr>
        <w:t>8.2.2</w:t>
      </w:r>
    </w:p>
    <w:p>
      <w:pPr>
        <w:tabs>
          <w:tab w:val="left" w:pos="1985"/>
        </w:tabs>
        <w:overflowPunct w:val="0"/>
        <w:snapToGrid/>
        <w:ind w:left="1985" w:hanging="1985"/>
        <w:textAlignment w:val="baseline"/>
        <w:rPr>
          <w:rFonts w:ascii="Arial" w:hAnsi="Arial" w:cs="Arial"/>
          <w:b/>
          <w:bCs/>
          <w:szCs w:val="20"/>
          <w:lang w:val="en-GB" w:eastAsia="zh-CN"/>
        </w:rPr>
      </w:pPr>
      <w:r>
        <w:rPr>
          <w:rFonts w:ascii="Arial" w:hAnsi="Arial" w:cs="Arial"/>
          <w:b/>
          <w:bCs/>
          <w:szCs w:val="20"/>
          <w:lang w:val="en-GB" w:eastAsia="zh-CN"/>
        </w:rPr>
        <w:t>Source:</w:t>
      </w:r>
      <w:r>
        <w:rPr>
          <w:rFonts w:ascii="Arial" w:hAnsi="Arial" w:cs="Arial"/>
          <w:b/>
          <w:bCs/>
          <w:szCs w:val="20"/>
          <w:lang w:val="en-GB" w:eastAsia="zh-CN"/>
        </w:rPr>
        <w:tab/>
      </w:r>
      <w:r>
        <w:rPr>
          <w:rFonts w:ascii="Arial" w:hAnsi="Arial" w:cs="Arial"/>
          <w:b/>
          <w:bCs/>
          <w:szCs w:val="20"/>
          <w:lang w:val="en-GB" w:eastAsia="zh-CN"/>
        </w:rPr>
        <w:t>Moderator (Lenovo)</w:t>
      </w:r>
    </w:p>
    <w:p>
      <w:pPr>
        <w:tabs>
          <w:tab w:val="left" w:pos="1985"/>
        </w:tabs>
        <w:overflowPunct w:val="0"/>
        <w:snapToGrid/>
        <w:ind w:left="1985" w:hanging="1985"/>
        <w:textAlignment w:val="baseline"/>
        <w:rPr>
          <w:rFonts w:ascii="Arial" w:hAnsi="Arial" w:cs="Arial"/>
          <w:b/>
          <w:bCs/>
          <w:szCs w:val="20"/>
          <w:lang w:val="en-GB" w:eastAsia="zh-CN"/>
        </w:rPr>
      </w:pPr>
      <w:r>
        <w:rPr>
          <w:rFonts w:ascii="Arial" w:hAnsi="Arial" w:cs="Arial"/>
          <w:b/>
          <w:bCs/>
          <w:szCs w:val="20"/>
          <w:lang w:val="en-GB" w:eastAsia="zh-CN"/>
        </w:rPr>
        <w:t>Title:</w:t>
      </w:r>
      <w:r>
        <w:rPr>
          <w:rFonts w:ascii="Arial" w:hAnsi="Arial" w:cs="Arial"/>
          <w:b/>
          <w:bCs/>
          <w:szCs w:val="20"/>
          <w:lang w:val="en-GB" w:eastAsia="zh-CN"/>
        </w:rPr>
        <w:tab/>
      </w:r>
      <w:r>
        <w:rPr>
          <w:rFonts w:ascii="Arial" w:hAnsi="Arial" w:cs="Arial"/>
          <w:b/>
          <w:bCs/>
          <w:szCs w:val="20"/>
          <w:lang w:val="en-GB" w:eastAsia="zh-CN"/>
        </w:rPr>
        <w:t xml:space="preserve">Draft discussion [106bis-e-NR-52-71GHz-02] on PDCCH monitoring enhancements </w:t>
      </w:r>
    </w:p>
    <w:p>
      <w:pPr>
        <w:tabs>
          <w:tab w:val="left" w:pos="1985"/>
        </w:tabs>
        <w:overflowPunct w:val="0"/>
        <w:snapToGrid/>
        <w:ind w:left="1985" w:hanging="1985"/>
        <w:textAlignment w:val="baseline"/>
        <w:rPr>
          <w:rFonts w:ascii="Arial" w:hAnsi="Arial" w:cs="Arial"/>
          <w:b/>
          <w:bCs/>
          <w:szCs w:val="20"/>
          <w:lang w:val="en-GB" w:eastAsia="zh-CN"/>
        </w:rPr>
      </w:pPr>
      <w:r>
        <w:rPr>
          <w:rFonts w:ascii="Arial" w:hAnsi="Arial" w:cs="Arial"/>
          <w:b/>
          <w:bCs/>
          <w:szCs w:val="20"/>
          <w:lang w:val="en-GB" w:eastAsia="zh-CN"/>
        </w:rPr>
        <w:t>Document for:</w:t>
      </w:r>
      <w:r>
        <w:rPr>
          <w:rFonts w:ascii="Arial" w:hAnsi="Arial" w:cs="Arial"/>
          <w:b/>
          <w:bCs/>
          <w:szCs w:val="20"/>
          <w:lang w:val="en-GB" w:eastAsia="zh-CN"/>
        </w:rPr>
        <w:tab/>
      </w:r>
      <w:r>
        <w:rPr>
          <w:rFonts w:ascii="Arial" w:hAnsi="Arial" w:cs="Arial"/>
          <w:b/>
          <w:bCs/>
          <w:szCs w:val="20"/>
          <w:lang w:val="en-GB" w:eastAsia="zh-CN"/>
        </w:rPr>
        <w:t>Discussion, Decision</w:t>
      </w:r>
    </w:p>
    <w:p>
      <w:pPr>
        <w:pStyle w:val="2"/>
      </w:pPr>
      <w:r>
        <w:t>Introduction</w:t>
      </w:r>
    </w:p>
    <w:p>
      <w:pPr>
        <w:rPr>
          <w:lang w:val="en-GB" w:eastAsia="zh-CN"/>
        </w:rPr>
      </w:pPr>
      <w:r>
        <w:rPr>
          <w:lang w:val="en-GB" w:eastAsia="zh-CN"/>
        </w:rPr>
        <w:t>Among other items, the WID "Extending current NR operation to 71 GHz" includes the following RAN1 objective:</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5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1" w:type="dxa"/>
            <w:vAlign w:val="center"/>
          </w:tcPr>
          <w:p>
            <w:pPr>
              <w:pStyle w:val="94"/>
              <w:widowControl w:val="0"/>
              <w:spacing w:before="180"/>
              <w:ind w:left="284" w:firstLine="0"/>
              <w:rPr>
                <w:sz w:val="24"/>
                <w:szCs w:val="24"/>
                <w:lang w:eastAsia="zh-CN"/>
              </w:rPr>
            </w:pPr>
            <w:r>
              <w:rPr>
                <w:sz w:val="24"/>
                <w:szCs w:val="24"/>
                <w:lang w:eastAsia="zh-CN"/>
              </w:rPr>
              <w:t>Support enhancement to PDCCH monitoring, including blind detection/CCE budget, and multi-slot span monitoring, potential limitation to UE PDCCH configuration and capability related to PDCCH monitoring.</w:t>
            </w:r>
          </w:p>
        </w:tc>
      </w:tr>
    </w:tbl>
    <w:p>
      <w:pPr>
        <w:rPr>
          <w:lang w:val="en-GB" w:eastAsia="zh-CN"/>
        </w:rPr>
      </w:pPr>
    </w:p>
    <w:p>
      <w:pPr>
        <w:rPr>
          <w:lang w:val="en-GB" w:eastAsia="zh-CN"/>
        </w:rPr>
      </w:pPr>
      <w:r>
        <w:rPr>
          <w:lang w:val="en-GB" w:eastAsia="zh-CN"/>
        </w:rPr>
        <w:t xml:space="preserve">As stated by the chairman: </w:t>
      </w:r>
    </w:p>
    <w:p>
      <w:pPr>
        <w:rPr>
          <w:lang w:eastAsia="zh-CN"/>
        </w:rPr>
      </w:pPr>
      <w:r>
        <w:rPr>
          <w:highlight w:val="cyan"/>
          <w:lang w:eastAsia="zh-CN"/>
        </w:rPr>
        <w:t>[106bis-e-NR-52-71GHz-02] Email discussion/approval on PDCCH monitoring enhancements with checkpoints for agreements on October 14 and 19 – Alex (Lenovo)</w:t>
      </w:r>
    </w:p>
    <w:p>
      <w:pPr>
        <w:rPr>
          <w:lang w:eastAsia="zh-CN"/>
        </w:rPr>
      </w:pPr>
      <w:r>
        <w:rPr>
          <w:lang w:eastAsia="zh-CN"/>
        </w:rPr>
        <w:t>Depending on the progress, new questions or proposal may be added after the defined checkpoints.</w:t>
      </w:r>
    </w:p>
    <w:p>
      <w:pPr>
        <w:pStyle w:val="2"/>
      </w:pPr>
      <w:r>
        <w:t>Discussion</w:t>
      </w:r>
    </w:p>
    <w:p>
      <w:pPr>
        <w:rPr>
          <w:lang w:val="en-GB" w:eastAsia="zh-CN"/>
        </w:rPr>
      </w:pPr>
      <w:r>
        <w:rPr>
          <w:highlight w:val="cyan"/>
          <w:lang w:val="en-GB" w:eastAsia="zh-CN"/>
        </w:rPr>
        <w:t>FL NOTE: Excerpts from submitted documents are listed in Section 3.</w:t>
      </w:r>
    </w:p>
    <w:p>
      <w:pPr>
        <w:pStyle w:val="3"/>
      </w:pPr>
      <w:r>
        <w:t>Topic A1: Blind Decoding Capability, Multi-slot monitoring</w:t>
      </w:r>
    </w:p>
    <w:p>
      <w:pPr>
        <w:pStyle w:val="4"/>
        <w:rPr>
          <w:lang w:val="en-GB" w:eastAsia="zh-CN"/>
        </w:rPr>
      </w:pPr>
      <w:r>
        <w:rPr>
          <w:lang w:eastAsia="zh-CN"/>
        </w:rPr>
        <w:t>Issue A1-1:</w:t>
      </w:r>
    </w:p>
    <w:p>
      <w:pPr>
        <w:pStyle w:val="4"/>
        <w:rPr>
          <w:lang w:val="en-GB" w:eastAsia="zh-CN"/>
        </w:rPr>
      </w:pPr>
      <w:r>
        <w:rPr>
          <w:lang w:val="en-GB" w:eastAsia="zh-CN"/>
        </w:rPr>
        <w:t xml:space="preserve"> Multi-slot PDCCH monitoring capability definition</w:t>
      </w:r>
    </w:p>
    <w:p>
      <w:pPr>
        <w:rPr>
          <w:lang w:val="en-GB" w:eastAsia="zh-CN"/>
        </w:rPr>
      </w:pPr>
      <w:r>
        <w:rPr>
          <w:lang w:val="en-GB" w:eastAsia="zh-CN"/>
        </w:rPr>
        <w:t>After RAN1#106-e, the following alternatives are the basis for discussion and final down-selection:</w:t>
      </w:r>
    </w:p>
    <w:tbl>
      <w:tblPr>
        <w:tblStyle w:val="5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9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944" w:type="dxa"/>
            <w:vAlign w:val="center"/>
          </w:tcPr>
          <w:p>
            <w:pPr>
              <w:pStyle w:val="73"/>
              <w:widowControl w:val="0"/>
              <w:numPr>
                <w:ilvl w:val="0"/>
                <w:numId w:val="16"/>
              </w:numPr>
            </w:pPr>
            <w:r>
              <w:t xml:space="preserve">Alt. 1: Use a fixed pattern of slot groups as the baseline to define the new capability. </w:t>
            </w:r>
          </w:p>
          <w:p>
            <w:pPr>
              <w:pStyle w:val="73"/>
              <w:widowControl w:val="0"/>
              <w:numPr>
                <w:ilvl w:val="1"/>
                <w:numId w:val="16"/>
              </w:numPr>
            </w:pPr>
            <w:r>
              <w:t>Each slot group consists of X slots</w:t>
            </w:r>
          </w:p>
          <w:p>
            <w:pPr>
              <w:pStyle w:val="73"/>
              <w:widowControl w:val="0"/>
              <w:numPr>
                <w:ilvl w:val="1"/>
                <w:numId w:val="16"/>
              </w:numPr>
            </w:pPr>
            <w:r>
              <w:t>Slot groups are consecutive and non-overlapping</w:t>
            </w:r>
          </w:p>
          <w:p>
            <w:pPr>
              <w:pStyle w:val="73"/>
              <w:widowControl w:val="0"/>
              <w:numPr>
                <w:ilvl w:val="1"/>
                <w:numId w:val="16"/>
              </w:numPr>
            </w:pPr>
            <w:r>
              <w:t>The capability indicates the BD/CCE budget</w:t>
            </w:r>
            <w:r>
              <w:rPr>
                <w:color w:val="FF0000"/>
              </w:rPr>
              <w:t xml:space="preserve"> </w:t>
            </w:r>
            <w:r>
              <w:t>within Y consecutive slots in each slot group</w:t>
            </w:r>
          </w:p>
          <w:p>
            <w:pPr>
              <w:pStyle w:val="73"/>
              <w:widowControl w:val="0"/>
              <w:numPr>
                <w:ilvl w:val="2"/>
                <w:numId w:val="16"/>
              </w:numPr>
            </w:pPr>
            <w:r>
              <w:t>The location of the Y slots within the X slots is maintained across different slot groups</w:t>
            </w:r>
          </w:p>
          <w:p>
            <w:pPr>
              <w:pStyle w:val="73"/>
              <w:widowControl w:val="0"/>
              <w:numPr>
                <w:ilvl w:val="1"/>
                <w:numId w:val="16"/>
              </w:numPr>
            </w:pPr>
            <w:r>
              <w:t>Further discuss down-selection of Y within 1&lt;=Y&lt;=X/2 (both in units of slot) when X&gt;1</w:t>
            </w:r>
          </w:p>
          <w:p>
            <w:pPr>
              <w:pStyle w:val="73"/>
              <w:widowControl w:val="0"/>
              <w:numPr>
                <w:ilvl w:val="1"/>
                <w:numId w:val="16"/>
              </w:numPr>
            </w:pPr>
            <w:r>
              <w:t>FFS: Further definition of capabilities</w:t>
            </w:r>
          </w:p>
          <w:p>
            <w:pPr>
              <w:pStyle w:val="73"/>
              <w:widowControl w:val="0"/>
              <w:numPr>
                <w:ilvl w:val="0"/>
                <w:numId w:val="16"/>
              </w:numPr>
            </w:pPr>
            <w:r>
              <w:t>FFS: The following issues for the search space configuration discussion</w:t>
            </w:r>
          </w:p>
          <w:p>
            <w:pPr>
              <w:pStyle w:val="73"/>
              <w:widowControl w:val="0"/>
              <w:numPr>
                <w:ilvl w:val="1"/>
                <w:numId w:val="16"/>
              </w:numPr>
            </w:pPr>
            <w:r>
              <w:t>Whether a slot group is aligned with a slot boundary</w:t>
            </w:r>
          </w:p>
          <w:p>
            <w:pPr>
              <w:pStyle w:val="73"/>
              <w:widowControl w:val="0"/>
              <w:numPr>
                <w:ilvl w:val="1"/>
                <w:numId w:val="16"/>
              </w:numPr>
            </w:pPr>
            <w:r>
              <w:t>Restrictions on location of the Y slots within a slot group, e.g. whether to restrict the location of a SS to be within the first Y slots within a slot group</w:t>
            </w:r>
          </w:p>
          <w:p>
            <w:pPr>
              <w:pStyle w:val="73"/>
              <w:widowControl/>
              <w:numPr>
                <w:ilvl w:val="0"/>
                <w:numId w:val="16"/>
              </w:numPr>
            </w:pPr>
            <w:r>
              <w:t>FFS: What the UE capability defines for monitoring within the Y slots</w:t>
            </w:r>
          </w:p>
          <w:p>
            <w:pPr>
              <w:pStyle w:val="73"/>
              <w:widowControl/>
              <w:numPr>
                <w:ilvl w:val="0"/>
                <w:numId w:val="16"/>
              </w:numPr>
            </w:pPr>
            <w:r>
              <w:t>Alt 2: Use an (X, Y) span as the baseline to define the new capability</w:t>
            </w:r>
          </w:p>
          <w:p>
            <w:pPr>
              <w:pStyle w:val="73"/>
              <w:widowControl/>
              <w:numPr>
                <w:ilvl w:val="1"/>
                <w:numId w:val="16"/>
              </w:numPr>
            </w:pPr>
            <w:r>
              <w:t xml:space="preserve">X is the minimum </w:t>
            </w:r>
            <w:r>
              <w:rPr>
                <w:rFonts w:eastAsia="Times New Roman"/>
              </w:rPr>
              <w:t>time separation between the start of two consecutive spans</w:t>
            </w:r>
          </w:p>
          <w:p>
            <w:pPr>
              <w:pStyle w:val="73"/>
              <w:widowControl/>
              <w:numPr>
                <w:ilvl w:val="1"/>
                <w:numId w:val="16"/>
              </w:numPr>
            </w:pPr>
            <w:r>
              <w:t xml:space="preserve">The capability indicates the BD/CCE budget within a span of at most Y consecutive [symbols or slots] </w:t>
            </w:r>
          </w:p>
          <w:p>
            <w:pPr>
              <w:pStyle w:val="73"/>
              <w:widowControl/>
              <w:numPr>
                <w:ilvl w:val="1"/>
                <w:numId w:val="16"/>
              </w:numPr>
            </w:pPr>
            <w:r>
              <w:t>Y &lt;= X</w:t>
            </w:r>
          </w:p>
          <w:p>
            <w:pPr>
              <w:pStyle w:val="73"/>
              <w:widowControl/>
              <w:numPr>
                <w:ilvl w:val="1"/>
                <w:numId w:val="16"/>
              </w:numPr>
            </w:pPr>
            <w:r>
              <w:t xml:space="preserve">FFS: Exact values of X and Y and units in which they are defined (e.g., symbols, slots), including cases where a span is longer than one slot or crosses a slot boundary. </w:t>
            </w:r>
          </w:p>
          <w:p>
            <w:pPr>
              <w:pStyle w:val="73"/>
              <w:widowControl/>
              <w:numPr>
                <w:ilvl w:val="1"/>
                <w:numId w:val="16"/>
              </w:numPr>
            </w:pPr>
            <w:r>
              <w:t xml:space="preserve">FFS: What is a span pattern, how it is defined and whether it is supported. If it is supported, whether number of slots within which the span pattern is repeated is needed, and if needed, the value of the number of slots. </w:t>
            </w:r>
          </w:p>
          <w:p>
            <w:pPr>
              <w:pStyle w:val="73"/>
              <w:widowControl/>
              <w:numPr>
                <w:ilvl w:val="1"/>
                <w:numId w:val="16"/>
              </w:numPr>
            </w:pPr>
            <w:r>
              <w:t>FFS: Further definition of capabilities</w:t>
            </w:r>
          </w:p>
          <w:p>
            <w:pPr>
              <w:pStyle w:val="73"/>
              <w:widowControl/>
              <w:numPr>
                <w:ilvl w:val="0"/>
                <w:numId w:val="16"/>
              </w:numPr>
            </w:pPr>
            <w:r>
              <w:t xml:space="preserve">Alt 3: Use a sliding window of X slots as the baseline to define the new capability. </w:t>
            </w:r>
          </w:p>
          <w:p>
            <w:pPr>
              <w:pStyle w:val="73"/>
              <w:widowControl/>
              <w:numPr>
                <w:ilvl w:val="1"/>
                <w:numId w:val="16"/>
              </w:numPr>
            </w:pPr>
            <w:r>
              <w:t>The capability indicates the BD/CCE budget within the sliding window</w:t>
            </w:r>
          </w:p>
          <w:p>
            <w:pPr>
              <w:pStyle w:val="73"/>
              <w:widowControl/>
              <w:numPr>
                <w:ilvl w:val="1"/>
                <w:numId w:val="16"/>
              </w:numPr>
            </w:pPr>
            <w:r>
              <w:t xml:space="preserve"> The sliding unit of the sliding window is [1] slot.</w:t>
            </w:r>
          </w:p>
          <w:p>
            <w:pPr>
              <w:pStyle w:val="73"/>
              <w:widowControl/>
              <w:numPr>
                <w:ilvl w:val="1"/>
                <w:numId w:val="16"/>
              </w:numPr>
            </w:pPr>
            <w:r>
              <w:t>FFS: Further definition of capabilities</w:t>
            </w:r>
          </w:p>
          <w:p>
            <w:pPr>
              <w:widowControl w:val="0"/>
            </w:pPr>
          </w:p>
        </w:tc>
      </w:tr>
    </w:tbl>
    <w:p>
      <w:pPr>
        <w:rPr>
          <w:lang w:val="en-GB" w:eastAsia="zh-CN"/>
        </w:rPr>
      </w:pPr>
    </w:p>
    <w:p>
      <w:pPr>
        <w:pStyle w:val="5"/>
        <w:rPr>
          <w:sz w:val="22"/>
          <w:szCs w:val="22"/>
        </w:rPr>
      </w:pPr>
      <w:r>
        <w:rPr>
          <w:sz w:val="22"/>
          <w:szCs w:val="22"/>
        </w:rPr>
        <w:t>First round discussion</w:t>
      </w:r>
    </w:p>
    <w:p>
      <w:pPr>
        <w:rPr>
          <w:b/>
          <w:bCs/>
          <w:highlight w:val="cyan"/>
          <w:lang w:val="en-GB" w:eastAsia="zh-CN"/>
        </w:rPr>
      </w:pPr>
      <w:r>
        <w:rPr>
          <w:b/>
          <w:bCs/>
          <w:highlight w:val="cyan"/>
          <w:lang w:val="en-GB" w:eastAsia="zh-CN"/>
        </w:rPr>
        <w:t>FL Summary:</w:t>
      </w:r>
    </w:p>
    <w:p>
      <w:pPr>
        <w:rPr>
          <w:lang w:val="en-GB" w:eastAsia="zh-CN"/>
        </w:rPr>
      </w:pPr>
      <w:r>
        <w:rPr>
          <w:lang w:val="en-GB" w:eastAsia="zh-CN"/>
        </w:rPr>
        <w:t>The benefits and drawbacks have been discussed for several rounds of contributions and in GTW sessions, which should provide sufficient mutual understanding. Many companies express a preference for Alt 1, with the understanding that several points have been identified as needing further decisions in the course of the work item, e.g. regarding SS restrictions on the Y slots locations within a slot group. In order not to spend even more time with this general aspect and allow suffiicent time for other open items, it is highly desirable to agree on an alternative in this meeting.</w:t>
      </w:r>
    </w:p>
    <w:p>
      <w:pPr>
        <w:rPr>
          <w:b/>
          <w:bCs/>
          <w:highlight w:val="cyan"/>
          <w:lang w:val="en-GB" w:eastAsia="zh-CN"/>
        </w:rPr>
      </w:pPr>
      <w:r>
        <w:rPr>
          <w:b/>
          <w:bCs/>
          <w:highlight w:val="cyan"/>
          <w:lang w:val="en-GB" w:eastAsia="zh-CN"/>
        </w:rPr>
        <w:t>FL Suggestion:</w:t>
      </w:r>
    </w:p>
    <w:p>
      <w:pPr>
        <w:rPr>
          <w:lang w:val="en-GB" w:eastAsia="zh-CN"/>
        </w:rPr>
      </w:pPr>
      <w:r>
        <w:rPr>
          <w:lang w:val="en-GB" w:eastAsia="zh-CN"/>
        </w:rPr>
        <w:t>Select Alt 1 (including applicable FFS) for defining the multi-slot PDCCH monitoring capability. Can proponents of Alt 2 accept this for the sake of progress and work on addressing their concerns when defining the more detailed aspects?</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rPr>
                <w:lang w:eastAsia="zh-CN"/>
              </w:rPr>
            </w:pPr>
            <w:r>
              <w:rPr>
                <w:lang w:eastAsia="zh-CN"/>
              </w:rPr>
              <w:t>We support Alt-1.</w:t>
            </w:r>
          </w:p>
          <w:p>
            <w:pPr>
              <w:widowControl w:val="0"/>
              <w:rPr>
                <w:lang w:eastAsia="zh-CN"/>
              </w:rPr>
            </w:pPr>
            <w:r>
              <w:rPr>
                <w:lang w:eastAsia="zh-CN"/>
              </w:rPr>
              <w:t>We think this a pragmatic way forward due to its simplicity and that it avoids changes to the CSS monitoring procedures defined in Rel-15/16 (see comments in Issue A1-2a below).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Futurewei</w:t>
            </w:r>
          </w:p>
        </w:tc>
        <w:tc>
          <w:tcPr>
            <w:tcW w:w="12176" w:type="dxa"/>
            <w:vAlign w:val="center"/>
          </w:tcPr>
          <w:p>
            <w:pPr>
              <w:widowControl w:val="0"/>
              <w:rPr>
                <w:sz w:val="20"/>
                <w:lang w:eastAsia="zh-CN"/>
              </w:rPr>
            </w:pPr>
            <w:r>
              <w:rPr>
                <w:sz w:val="20"/>
                <w:lang w:eastAsia="zh-CN"/>
              </w:rPr>
              <w:t>We support Alt-1 and agree with Ericsson that preferring simplicity to flexibility  is a more pragmatic way to move 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Lenovo, Motorola Mobility</w:t>
            </w:r>
          </w:p>
        </w:tc>
        <w:tc>
          <w:tcPr>
            <w:tcW w:w="12176" w:type="dxa"/>
            <w:vAlign w:val="center"/>
          </w:tcPr>
          <w:p>
            <w:pPr>
              <w:widowControl w:val="0"/>
              <w:rPr>
                <w:sz w:val="20"/>
                <w:lang w:eastAsia="zh-CN"/>
              </w:rPr>
            </w:pPr>
            <w:r>
              <w:rPr>
                <w:lang w:eastAsia="zh-CN"/>
              </w:rPr>
              <w:t xml:space="preserve">Although our first preference is Alt 2. However, if majority is in favor of Alt 1, then for the sake of progress and considering limited remaining time, we are </w:t>
            </w:r>
            <w:r>
              <w:rPr>
                <w:b/>
                <w:bCs/>
                <w:u w:val="single"/>
                <w:lang w:eastAsia="zh-CN"/>
              </w:rPr>
              <w:t>okay to support Alt 1</w:t>
            </w:r>
            <w:r>
              <w:rPr>
                <w:lang w:eastAsia="zh-CN"/>
              </w:rPr>
              <w:t xml:space="preserve"> and work on further details taking Alt 1 forward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Qualcomm</w:t>
            </w:r>
          </w:p>
        </w:tc>
        <w:tc>
          <w:tcPr>
            <w:tcW w:w="12176" w:type="dxa"/>
            <w:vAlign w:val="center"/>
          </w:tcPr>
          <w:p>
            <w:pPr>
              <w:widowControl w:val="0"/>
              <w:rPr>
                <w:lang w:eastAsia="zh-CN"/>
              </w:rPr>
            </w:pPr>
            <w:r>
              <w:rPr>
                <w:lang w:eastAsia="zh-CN"/>
              </w:rPr>
              <w:t>Although we are willing to compromise, we think a detailed points to compromise should be identified first, to make a decision acceptable to both parties. In our view, as we discussed in our contribution, we are fine with Alt 1if we can keep Y no larger than 1 slot.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InterDigital</w:t>
            </w:r>
          </w:p>
        </w:tc>
        <w:tc>
          <w:tcPr>
            <w:tcW w:w="12176" w:type="dxa"/>
            <w:vAlign w:val="center"/>
          </w:tcPr>
          <w:p>
            <w:pPr>
              <w:widowControl w:val="0"/>
              <w:rPr>
                <w:lang w:eastAsia="zh-CN"/>
              </w:rPr>
            </w:pPr>
            <w:r>
              <w:rPr>
                <w:lang w:eastAsia="zh-CN"/>
              </w:rPr>
              <w:t>We support Alt-1.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MediaTek</w:t>
            </w:r>
          </w:p>
        </w:tc>
        <w:tc>
          <w:tcPr>
            <w:tcW w:w="12176" w:type="dxa"/>
            <w:vAlign w:val="center"/>
          </w:tcPr>
          <w:p>
            <w:pPr>
              <w:widowControl w:val="0"/>
              <w:rPr>
                <w:lang w:eastAsia="zh-CN"/>
              </w:rPr>
            </w:pPr>
            <w:r>
              <w:rPr>
                <w:lang w:eastAsia="zh-CN"/>
              </w:rPr>
              <w:t>We suppor Alt-1. Regarding Qualcomm’s concern, if we can have a consensus on singaling of supported Y is a UE capability, then maybe the concern from Qualcomm can be addressed?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rPr>
                <w:lang w:eastAsia="zh-CN"/>
              </w:rPr>
            </w:pPr>
            <w:r>
              <w:rPr>
                <w:lang w:eastAsia="zh-CN"/>
              </w:rPr>
              <w:t xml:space="preserve">We support Alt-1. </w:t>
            </w:r>
            <w:r>
              <w:rPr>
                <w:sz w:val="20"/>
                <w:lang w:eastAsia="zh-CN"/>
              </w:rPr>
              <w:t>We do think that some changes may still be needed to monitoring for Type 1 (without dedicated RRC configuration) and Type 0/0A/2 CSS but think that a decision on Alt-1 would be a good step forward.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Samsung</w:t>
            </w:r>
          </w:p>
        </w:tc>
        <w:tc>
          <w:tcPr>
            <w:tcW w:w="12176" w:type="dxa"/>
            <w:vAlign w:val="center"/>
          </w:tcPr>
          <w:p>
            <w:pPr>
              <w:widowControl w:val="0"/>
              <w:rPr>
                <w:lang w:eastAsia="zh-CN"/>
              </w:rPr>
            </w:pPr>
            <w:r>
              <w:rPr>
                <w:lang w:eastAsia="zh-CN"/>
              </w:rPr>
              <w:t xml:space="preserve">We still have strong concern on the flexibility that Alt 1 can provide if limiting the location of Y slots within the X-slot group. Based on companies’ comments so far, the only concern on Alt 2 is non-aligned span in multi-carrier scenario. However, span is defined per cell in a carrier, and we didn’t see an implementation need to always align spans across multiple carriers, especially for non-synchronized scenario, such alignment is not even possible. Both aligned span and non-aligned span are supported in Rel-16, so we don’t understand what’s the concern on supporting it for Rel-17. The discussion on span pattern can be a UE capability by following Rel-16 principle. If there is indeed a strong concern from implementation point of view, we are happy to be aware of the details and make certain compromise – e.g. only support aligned span in Rel-17, but this doesn’t imply any need to restrict the location of Y slots within the X-slot group.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rPr>
              <w:t>Huawei, HiSilicon</w:t>
            </w:r>
          </w:p>
        </w:tc>
        <w:tc>
          <w:tcPr>
            <w:tcW w:w="12176" w:type="dxa"/>
            <w:vAlign w:val="center"/>
          </w:tcPr>
          <w:p>
            <w:pPr>
              <w:widowControl w:val="0"/>
              <w:rPr>
                <w:lang w:eastAsia="zh-CN"/>
              </w:rPr>
            </w:pPr>
            <w:r>
              <w:rPr>
                <w:lang w:eastAsia="zh-CN"/>
              </w:rPr>
              <w:t>We support Alt-1. We are open to considering defining multiple values of Y as UE capability to address Qualcomm’s concern.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eastAsia="MS Mincho"/>
                <w:lang w:eastAsia="ja-JP"/>
              </w:rPr>
              <w:t>S</w:t>
            </w:r>
            <w:r>
              <w:rPr>
                <w:rFonts w:eastAsia="MS Mincho"/>
                <w:lang w:eastAsia="ja-JP"/>
              </w:rPr>
              <w:t>harp</w:t>
            </w:r>
          </w:p>
        </w:tc>
        <w:tc>
          <w:tcPr>
            <w:tcW w:w="12176" w:type="dxa"/>
            <w:vAlign w:val="center"/>
          </w:tcPr>
          <w:p>
            <w:pPr>
              <w:widowControl w:val="0"/>
              <w:rPr>
                <w:lang w:eastAsia="zh-CN"/>
              </w:rPr>
            </w:pPr>
            <w:r>
              <w:rPr>
                <w:rFonts w:hint="eastAsia" w:eastAsia="MS Mincho"/>
                <w:lang w:eastAsia="ja-JP"/>
              </w:rPr>
              <w:t>We support Alt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eastAsia="MS Mincho"/>
                <w:lang w:eastAsia="ja-JP"/>
              </w:rPr>
            </w:pPr>
            <w:r>
              <w:rPr>
                <w:rFonts w:hint="eastAsia" w:eastAsia="MS Mincho"/>
                <w:lang w:eastAsia="ja-JP"/>
              </w:rPr>
              <w:t>N</w:t>
            </w:r>
            <w:r>
              <w:rPr>
                <w:rFonts w:eastAsia="MS Mincho"/>
                <w:lang w:eastAsia="ja-JP"/>
              </w:rPr>
              <w:t>TT DOCOMO</w:t>
            </w:r>
          </w:p>
        </w:tc>
        <w:tc>
          <w:tcPr>
            <w:tcW w:w="12176" w:type="dxa"/>
            <w:vAlign w:val="center"/>
          </w:tcPr>
          <w:p>
            <w:pPr>
              <w:widowControl w:val="0"/>
              <w:rPr>
                <w:rFonts w:eastAsia="MS Mincho"/>
                <w:lang w:eastAsia="ja-JP"/>
              </w:rPr>
            </w:pPr>
            <w:r>
              <w:rPr>
                <w:rFonts w:eastAsia="MS Mincho"/>
                <w:lang w:eastAsia="ja-JP"/>
              </w:rPr>
              <w:t>Our 1</w:t>
            </w:r>
            <w:r>
              <w:rPr>
                <w:rFonts w:eastAsia="MS Mincho"/>
                <w:vertAlign w:val="superscript"/>
                <w:lang w:eastAsia="ja-JP"/>
              </w:rPr>
              <w:t>st</w:t>
            </w:r>
            <w:r>
              <w:rPr>
                <w:rFonts w:eastAsia="MS Mincho"/>
                <w:lang w:eastAsia="ja-JP"/>
              </w:rPr>
              <w:t xml:space="preserve"> preference is Alt-2 from the scheduling flexibility perspective, however, if majority supports Alt-1, we are OK to support Alt-1 to make a progress considering the limited time.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 xml:space="preserve">Support Alt-1. </w:t>
            </w:r>
          </w:p>
          <w:p>
            <w:pPr>
              <w:widowControl w:val="0"/>
              <w:rPr>
                <w:lang w:eastAsia="zh-CN"/>
              </w:rPr>
            </w:pPr>
            <w:r>
              <w:rPr>
                <w:lang w:eastAsia="zh-CN"/>
              </w:rPr>
              <w:t>Regarding comments from Qualcomm and MediaTek, we are fine that the supported Y is a UE capability including Y=1.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lang w:eastAsia="zh-CN"/>
              </w:rPr>
            </w:pPr>
            <w:r>
              <w:rPr>
                <w:rFonts w:hint="eastAsia"/>
                <w:lang w:eastAsia="zh-CN"/>
              </w:rPr>
              <w:t>v</w:t>
            </w:r>
            <w:r>
              <w:rPr>
                <w:lang w:eastAsia="zh-CN"/>
              </w:rPr>
              <w:t>ivo</w:t>
            </w:r>
          </w:p>
        </w:tc>
        <w:tc>
          <w:tcPr>
            <w:tcW w:w="12176" w:type="dxa"/>
            <w:vAlign w:val="center"/>
          </w:tcPr>
          <w:p>
            <w:pPr>
              <w:widowControl w:val="0"/>
              <w:jc w:val="both"/>
              <w:rPr>
                <w:lang w:eastAsia="zh-CN"/>
              </w:rPr>
            </w:pPr>
            <w:r>
              <w:rPr>
                <w:rFonts w:hint="eastAsia"/>
                <w:lang w:eastAsia="zh-CN"/>
              </w:rPr>
              <w:t>W</w:t>
            </w:r>
            <w:r>
              <w:rPr>
                <w:lang w:eastAsia="zh-CN"/>
              </w:rPr>
              <w:t xml:space="preserve">e have a strong concern on Alt-1 especially considering the CSS part. CSS configuration is an important issue to be considered for the definition of multi-slot-based capability. In NR Rel-15&amp;16, different PDCCH monitoring occasions in one CSS is always associated with different SSBs. In this sense, different UEs under different SSBs may have different PDCCH monitoring occasions that may be located in different slots. </w:t>
            </w:r>
            <w:r>
              <w:rPr>
                <w:rFonts w:hint="eastAsia"/>
                <w:lang w:eastAsia="zh-CN"/>
              </w:rPr>
              <w:t>The</w:t>
            </w:r>
            <w:r>
              <w:rPr>
                <w:lang w:eastAsia="zh-CN"/>
              </w:rPr>
              <w:t xml:space="preserve"> following alternatives could be considered as candidate for handling CSS issue:</w:t>
            </w:r>
          </w:p>
          <w:p>
            <w:pPr>
              <w:pStyle w:val="73"/>
              <w:widowControl/>
              <w:numPr>
                <w:ilvl w:val="0"/>
                <w:numId w:val="17"/>
              </w:numPr>
              <w:jc w:val="both"/>
              <w:rPr>
                <w:rFonts w:ascii="Times New Roman" w:hAnsi="Times New Roman"/>
                <w:lang w:eastAsia="zh-CN"/>
              </w:rPr>
            </w:pPr>
            <w:r>
              <w:rPr>
                <w:rFonts w:ascii="Times New Roman" w:hAnsi="Times New Roman"/>
                <w:lang w:eastAsia="zh-CN"/>
              </w:rPr>
              <w:t>Alt. A: Alt. 1 with fixed location of Y slots and separate capability for CSS and USS</w:t>
            </w:r>
          </w:p>
          <w:p>
            <w:pPr>
              <w:pStyle w:val="73"/>
              <w:widowControl/>
              <w:numPr>
                <w:ilvl w:val="0"/>
                <w:numId w:val="17"/>
              </w:numPr>
              <w:jc w:val="both"/>
              <w:rPr>
                <w:rFonts w:ascii="Times New Roman" w:hAnsi="Times New Roman"/>
                <w:lang w:eastAsia="zh-CN"/>
              </w:rPr>
            </w:pPr>
            <w:r>
              <w:rPr>
                <w:rFonts w:ascii="Times New Roman" w:hAnsi="Times New Roman"/>
                <w:lang w:eastAsia="zh-CN"/>
              </w:rPr>
              <w:t>Al.t B: Alt. 1 with CSS configuration-based location of flexible Y slots</w:t>
            </w:r>
          </w:p>
          <w:p>
            <w:pPr>
              <w:pStyle w:val="73"/>
              <w:widowControl/>
              <w:numPr>
                <w:ilvl w:val="0"/>
                <w:numId w:val="17"/>
              </w:numPr>
              <w:jc w:val="both"/>
              <w:rPr>
                <w:rFonts w:ascii="Times New Roman" w:hAnsi="Times New Roman"/>
                <w:lang w:eastAsia="zh-CN"/>
              </w:rPr>
            </w:pPr>
            <w:r>
              <w:rPr>
                <w:rFonts w:ascii="Times New Roman" w:hAnsi="Times New Roman"/>
                <w:lang w:eastAsia="zh-CN"/>
              </w:rPr>
              <w:t>Alt. C: Alt. 2 without any enhancement</w:t>
            </w:r>
          </w:p>
          <w:p>
            <w:pPr>
              <w:widowControl w:val="0"/>
              <w:jc w:val="both"/>
              <w:rPr>
                <w:rFonts w:hint="eastAsia"/>
                <w:lang w:eastAsia="zh-CN"/>
              </w:rPr>
            </w:pPr>
            <w:r>
              <w:rPr>
                <w:rFonts w:hint="eastAsia"/>
                <w:lang w:eastAsia="zh-CN"/>
              </w:rPr>
              <w:t>F</w:t>
            </w:r>
            <w:r>
              <w:rPr>
                <w:lang w:eastAsia="zh-CN"/>
              </w:rPr>
              <w:t xml:space="preserve">rom the response to Issue A1-2a, several companies supporting Alt. 1 are not OK with separate capability for CSS and USS. We are not sure how to solve CSS problem if Alt. 1 is adopted.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ascii="Times New Roman" w:hAnsi="Times New Roman" w:cs="Times New Roman" w:eastAsiaTheme="minorEastAsia"/>
                <w:sz w:val="22"/>
                <w:szCs w:val="22"/>
                <w:lang w:val="en-US" w:eastAsia="zh-CN" w:bidi="ar-SA"/>
              </w:rPr>
            </w:pPr>
            <w:r>
              <w:rPr>
                <w:rFonts w:hint="eastAsia"/>
                <w:sz w:val="22"/>
                <w:szCs w:val="22"/>
                <w:lang w:eastAsia="zh-CN"/>
              </w:rPr>
              <w:t>ZTE, Sanechips</w:t>
            </w:r>
          </w:p>
        </w:tc>
        <w:tc>
          <w:tcPr>
            <w:tcW w:w="12176" w:type="dxa"/>
            <w:vAlign w:val="center"/>
          </w:tcPr>
          <w:p>
            <w:pPr>
              <w:widowControl w:val="0"/>
              <w:rPr>
                <w:rFonts w:hint="eastAsia" w:ascii="Times New Roman" w:hAnsi="Times New Roman" w:cs="Times New Roman" w:eastAsiaTheme="minorEastAsia"/>
                <w:sz w:val="22"/>
                <w:szCs w:val="22"/>
                <w:lang w:val="en-US" w:eastAsia="zh-CN" w:bidi="ar-SA"/>
              </w:rPr>
            </w:pPr>
            <w:r>
              <w:rPr>
                <w:rFonts w:hint="eastAsia"/>
                <w:lang w:val="en-US" w:eastAsia="zh-CN"/>
              </w:rPr>
              <w:t>We support Alt 1.</w:t>
            </w:r>
          </w:p>
        </w:tc>
      </w:tr>
    </w:tbl>
    <w:p>
      <w:pPr>
        <w:rPr>
          <w:b/>
          <w:bCs/>
          <w:lang w:eastAsia="zh-CN"/>
        </w:rPr>
      </w:pPr>
    </w:p>
    <w:p>
      <w:pPr>
        <w:pStyle w:val="4"/>
        <w:rPr>
          <w:lang w:val="en-GB" w:eastAsia="zh-CN"/>
        </w:rPr>
      </w:pPr>
      <w:r>
        <w:rPr>
          <w:lang w:val="en-GB" w:eastAsia="zh-CN"/>
        </w:rPr>
        <w:t>Issue A1-2: Definition of monitoring capability</w:t>
      </w:r>
    </w:p>
    <w:p>
      <w:pPr>
        <w:pStyle w:val="5"/>
        <w:rPr>
          <w:sz w:val="22"/>
          <w:szCs w:val="22"/>
          <w:lang w:val="en-GB" w:eastAsia="zh-CN"/>
        </w:rPr>
      </w:pPr>
      <w:r>
        <w:rPr>
          <w:sz w:val="22"/>
          <w:szCs w:val="22"/>
          <w:lang w:val="en-GB" w:eastAsia="zh-CN"/>
        </w:rPr>
        <w:t>Issue A1-2a: General definition</w:t>
      </w:r>
    </w:p>
    <w:p>
      <w:pPr>
        <w:pStyle w:val="6"/>
        <w:rPr>
          <w:sz w:val="18"/>
          <w:szCs w:val="18"/>
        </w:rPr>
      </w:pPr>
      <w:r>
        <w:rPr>
          <w:sz w:val="18"/>
          <w:szCs w:val="18"/>
        </w:rPr>
        <w:t>First round discussion</w:t>
      </w:r>
    </w:p>
    <w:p>
      <w:pPr>
        <w:rPr>
          <w:b/>
        </w:rPr>
      </w:pPr>
      <w:r>
        <w:rPr>
          <w:b/>
          <w:highlight w:val="cyan"/>
        </w:rPr>
        <w:t>Please provide your comments on the following proposal:</w:t>
      </w:r>
    </w:p>
    <w:p>
      <w:pPr>
        <w:rPr>
          <w:rFonts w:eastAsia="宋体"/>
          <w:b/>
          <w:lang w:eastAsia="zh-CN"/>
        </w:rPr>
      </w:pPr>
      <w:r>
        <w:rPr>
          <w:b/>
          <w:bCs/>
          <w:lang w:val="en-GB" w:eastAsia="zh-CN"/>
        </w:rPr>
        <w:t>R1-2108935 (ZTE):</w:t>
      </w:r>
      <w:r>
        <w:rPr>
          <w:b/>
          <w:bCs/>
          <w:lang w:val="en-GB" w:eastAsia="zh-CN"/>
        </w:rPr>
        <w:br w:type="textWrapping"/>
      </w:r>
      <w:r>
        <w:rPr>
          <w:rFonts w:hint="eastAsia" w:eastAsia="宋体"/>
          <w:b/>
          <w:lang w:eastAsia="zh-CN"/>
        </w:rPr>
        <w:t xml:space="preserve">The capability indicates the BD/CCE budget within each slot group </w:t>
      </w:r>
      <w:r>
        <w:rPr>
          <w:rFonts w:hint="eastAsia" w:eastAsia="宋体"/>
          <w:b/>
          <w:bCs/>
          <w:lang w:eastAsia="zh-CN"/>
        </w:rPr>
        <w:t>and at least Type 1</w:t>
      </w:r>
      <w:r>
        <w:rPr>
          <w:b/>
          <w:bCs/>
          <w:lang w:eastAsia="zh-CN"/>
        </w:rPr>
        <w:t>(with</w:t>
      </w:r>
      <w:r>
        <w:rPr>
          <w:rFonts w:hint="eastAsia"/>
          <w:b/>
          <w:bCs/>
          <w:lang w:eastAsia="zh-CN"/>
        </w:rPr>
        <w:t xml:space="preserve"> </w:t>
      </w:r>
      <w:r>
        <w:rPr>
          <w:b/>
          <w:bCs/>
          <w:lang w:eastAsia="zh-CN"/>
        </w:rPr>
        <w:t>dedicated RRC configuration)</w:t>
      </w:r>
      <w:r>
        <w:rPr>
          <w:rFonts w:hint="eastAsia" w:eastAsia="宋体"/>
          <w:b/>
          <w:bCs/>
          <w:lang w:eastAsia="zh-CN"/>
        </w:rPr>
        <w:t>/3 CSS and USS locate within Y consecutive slots</w:t>
      </w:r>
    </w:p>
    <w:p>
      <w:pPr>
        <w:rPr>
          <w:b/>
        </w:rPr>
      </w:pPr>
      <w:r>
        <w:rPr>
          <w:b/>
          <w:bCs/>
          <w:lang w:val="en-GB" w:eastAsia="zh-CN"/>
        </w:rPr>
        <w:t>R1-2109434 (Ericsson):</w:t>
      </w:r>
      <w:r>
        <w:rPr>
          <w:b/>
          <w:bCs/>
          <w:lang w:val="en-GB" w:eastAsia="zh-CN"/>
        </w:rPr>
        <w:br w:type="textWrapping"/>
      </w:r>
      <w:r>
        <w:rPr>
          <w:b/>
        </w:rPr>
        <w:t>The BD/CCE budget per X-slot window is the default PDCCH monitoring budget per X=4 slots for a UE operating with 480 kHz SCS and per X=8 slots for a UE operating with 960 kHz SCS. That is, the PDCCH monitoring budget per X slots is the shared resource for monitoring both (1) type 1 CSS with dedicated RRC configuration, type 3 CSS, and UE-SS; and (2) type 1 CSS without dedicated RRC configuration and for type 0, 0A, and 2 CSS.</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lang w:eastAsia="zh-CN"/>
              </w:rPr>
              <w:t>Ericsson</w:t>
            </w:r>
          </w:p>
        </w:tc>
        <w:tc>
          <w:tcPr>
            <w:tcW w:w="12176" w:type="dxa"/>
            <w:vAlign w:val="center"/>
          </w:tcPr>
          <w:p>
            <w:pPr>
              <w:widowControl w:val="0"/>
              <w:spacing w:after="0"/>
              <w:rPr>
                <w:lang w:eastAsia="zh-CN"/>
              </w:rPr>
            </w:pPr>
            <w:r>
              <w:rPr>
                <w:lang w:eastAsia="zh-CN"/>
              </w:rPr>
              <w:t>As proponent, we agree that a distinction should be made between the following two types of SS:</w:t>
            </w:r>
          </w:p>
          <w:p>
            <w:pPr>
              <w:pStyle w:val="73"/>
              <w:widowControl w:val="0"/>
              <w:numPr>
                <w:ilvl w:val="0"/>
                <w:numId w:val="18"/>
              </w:numPr>
              <w:rPr>
                <w:rFonts w:ascii="Times New Roman" w:hAnsi="Times New Roman"/>
                <w:lang w:eastAsia="zh-CN"/>
              </w:rPr>
            </w:pPr>
            <w:r>
              <w:rPr>
                <w:rFonts w:ascii="Times New Roman" w:hAnsi="Times New Roman"/>
                <w:lang w:eastAsia="zh-CN"/>
              </w:rPr>
              <w:t>Type 1 CSS (with dedicated RRC configuration), Type3 CSS, and USS</w:t>
            </w:r>
          </w:p>
          <w:p>
            <w:pPr>
              <w:pStyle w:val="73"/>
              <w:widowControl w:val="0"/>
              <w:numPr>
                <w:ilvl w:val="0"/>
                <w:numId w:val="18"/>
              </w:numPr>
              <w:rPr>
                <w:rFonts w:ascii="Times New Roman" w:hAnsi="Times New Roman"/>
                <w:lang w:eastAsia="zh-CN"/>
              </w:rPr>
            </w:pPr>
            <w:r>
              <w:rPr>
                <w:rFonts w:ascii="Times New Roman" w:hAnsi="Times New Roman"/>
                <w:lang w:eastAsia="zh-CN"/>
              </w:rPr>
              <w:t>Type 1 (without dedicated RRC configuration) and Type 0/0A/2 CSS</w:t>
            </w:r>
          </w:p>
          <w:p>
            <w:pPr>
              <w:widowControl w:val="0"/>
              <w:rPr>
                <w:lang w:eastAsia="zh-CN"/>
              </w:rPr>
            </w:pPr>
            <w:r>
              <w:rPr>
                <w:lang w:eastAsia="zh-CN"/>
              </w:rPr>
              <w:t>We think that the bullet in Alt-1 that says "</w:t>
            </w:r>
            <w:r>
              <w:rPr>
                <w:i/>
                <w:iCs/>
                <w:lang w:eastAsia="zh-CN"/>
              </w:rPr>
              <w:t>The capability indicates the BD/CCE budget within Y consecutive slots in each slot group</w:t>
            </w:r>
            <w:r>
              <w:rPr>
                <w:lang w:eastAsia="zh-CN"/>
              </w:rPr>
              <w:t>" naturally applies to (1). Regarding (2), we think that the monitoring procedures defined in Rel-15 can be reused, and that analogous to Rel-15, an overall BD/CCE budget per X-slot group is defined and this "pooled" budget is shared between (1) and (2). This is analogous to FG 3-1 in Rel-15, hence this per-X slot BD/CCE budget should be the default for 480/960 kHz SCS.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lang w:eastAsia="zh-CN"/>
              </w:rPr>
              <w:t>Futurewei</w:t>
            </w:r>
          </w:p>
        </w:tc>
        <w:tc>
          <w:tcPr>
            <w:tcW w:w="12176" w:type="dxa"/>
            <w:vAlign w:val="center"/>
          </w:tcPr>
          <w:p>
            <w:pPr>
              <w:widowControl w:val="0"/>
            </w:pPr>
            <w:r>
              <w:t xml:space="preserve">We support the indication of the supported BD/CCE budget for Type 1 </w:t>
            </w:r>
            <w:r>
              <w:rPr>
                <w:lang w:eastAsia="zh-CN"/>
              </w:rPr>
              <w:t>CSS (with dedicated RRC configuration), Type3 CSS, and USS</w:t>
            </w:r>
            <w:r>
              <w:t xml:space="preserve"> within Y span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lang w:eastAsia="zh-CN"/>
              </w:rPr>
              <w:t>Lenovo, Motorola Mobility</w:t>
            </w:r>
          </w:p>
        </w:tc>
        <w:tc>
          <w:tcPr>
            <w:tcW w:w="12176" w:type="dxa"/>
            <w:vAlign w:val="center"/>
          </w:tcPr>
          <w:p>
            <w:pPr>
              <w:widowControl w:val="0"/>
              <w:rPr>
                <w:lang w:eastAsia="zh-CN"/>
              </w:rPr>
            </w:pPr>
            <w:r>
              <w:rPr>
                <w:lang w:eastAsia="zh-CN"/>
              </w:rPr>
              <w:t>In principle, the proposed definition for default PDCCH monitoring budget by Ericsson can be acceptable to us. Not sure, if under this agreement, we need to specifically indicates values for X. Therefore, we propose following update to the proposal from Ericsson:</w:t>
            </w:r>
          </w:p>
          <w:p>
            <w:pPr>
              <w:widowControl w:val="0"/>
            </w:pPr>
            <w:r>
              <w:rPr>
                <w:b/>
              </w:rPr>
              <w:t xml:space="preserve">The BD/CCE budget per X-slot window is the default PDCCH monitoring budget per </w:t>
            </w:r>
            <w:r>
              <w:rPr>
                <w:b/>
                <w:strike/>
                <w:highlight w:val="yellow"/>
              </w:rPr>
              <w:t>X=4 slots for a UE operating with 480 kHz SCS and per X=8 slots for a UE operating with 960 kHz SCS. That is, the PDCCH monitoring budget per</w:t>
            </w:r>
            <w:r>
              <w:rPr>
                <w:b/>
              </w:rPr>
              <w:t xml:space="preserve"> X slots, </w:t>
            </w:r>
            <w:r>
              <w:rPr>
                <w:b/>
                <w:highlight w:val="yellow"/>
              </w:rPr>
              <w:t>which</w:t>
            </w:r>
            <w:r>
              <w:rPr>
                <w:b/>
              </w:rPr>
              <w:t xml:space="preserve"> is the shared resource for monitoring both (1) type 1 CSS with dedicated RRC configuration, type 3 CSS, and UE-SS; and (2) type 1 CSS without dedicated RRC configuration and for type 0, 0A, and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lang w:eastAsia="zh-CN"/>
              </w:rPr>
              <w:t>Qualcomm</w:t>
            </w:r>
          </w:p>
        </w:tc>
        <w:tc>
          <w:tcPr>
            <w:tcW w:w="12176" w:type="dxa"/>
            <w:vAlign w:val="center"/>
          </w:tcPr>
          <w:p>
            <w:pPr>
              <w:widowControl w:val="0"/>
              <w:rPr>
                <w:lang w:eastAsia="zh-CN"/>
              </w:rPr>
            </w:pPr>
            <w:r>
              <w:rPr>
                <w:lang w:eastAsia="zh-CN"/>
              </w:rPr>
              <w:t>To simplify the design and implementation, we believe that all USS(s) and CSS(s), including Type 0, 0A, 1 (with or without dedicated config), and 2 CSS, should be contained within the same span of Y slot(s). Within the Y slot(s), the position of PDCCH MOs can follow the legacy capability, e.g., Case 1-1/1-2/2 for USS and any symbols for CSS.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lang w:eastAsia="zh-CN"/>
              </w:rPr>
              <w:t>MediaTek</w:t>
            </w:r>
          </w:p>
        </w:tc>
        <w:tc>
          <w:tcPr>
            <w:tcW w:w="12176" w:type="dxa"/>
            <w:vAlign w:val="center"/>
          </w:tcPr>
          <w:p>
            <w:pPr>
              <w:widowControl w:val="0"/>
              <w:rPr>
                <w:lang w:eastAsia="zh-CN"/>
              </w:rPr>
            </w:pPr>
            <w:r>
              <w:rPr>
                <w:lang w:eastAsia="zh-CN"/>
              </w:rPr>
              <w:t xml:space="preserve">We also agree with Qualcomm that all SS sets should have PDCCH monitoring within the Y slots.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lang w:eastAsia="zh-CN"/>
              </w:rPr>
              <w:t>Apple</w:t>
            </w:r>
          </w:p>
        </w:tc>
        <w:tc>
          <w:tcPr>
            <w:tcW w:w="12176" w:type="dxa"/>
            <w:vAlign w:val="center"/>
          </w:tcPr>
          <w:p>
            <w:pPr>
              <w:widowControl w:val="0"/>
              <w:rPr>
                <w:b/>
                <w:lang w:eastAsia="zh-CN"/>
              </w:rPr>
            </w:pPr>
            <w:r>
              <w:rPr>
                <w:lang w:eastAsia="zh-CN"/>
              </w:rPr>
              <w:t xml:space="preserve">We are fine with </w:t>
            </w:r>
            <w:r>
              <w:rPr>
                <w:bCs/>
                <w:lang w:eastAsia="zh-CN"/>
              </w:rPr>
              <w:t>the PDCCH monitoring budget per X slots is the shared resource for monitoring all SSs.</w:t>
            </w:r>
          </w:p>
          <w:p>
            <w:pPr>
              <w:widowControl w:val="0"/>
              <w:rPr>
                <w:lang w:eastAsia="zh-CN"/>
              </w:rPr>
            </w:pPr>
            <w:r>
              <w:rPr>
                <w:lang w:eastAsia="zh-CN"/>
              </w:rPr>
              <w:t>Our preference is that all the PDCCH monitoring slots should be within the same Y slots as mentioned by QC and MTK. This could require a change in CORESET0 SSs from slots n and n+1 to slots n and n+X.</w:t>
            </w:r>
          </w:p>
          <w:p>
            <w:pPr>
              <w:widowControl w:val="0"/>
              <w:rPr>
                <w:lang w:eastAsia="zh-CN"/>
              </w:rPr>
            </w:pPr>
            <w:r>
              <w:rPr>
                <w:lang w:eastAsia="zh-CN"/>
              </w:rPr>
              <w:t xml:space="preserve">Our second preference would be to have the same value of X but different values of Y for (1) Type 1 CSS (with dedicated RRC configuration), Type3 CSS, and USS i.e. Y1 and (2) Type 1 (without dedicated RRC configuration) and Type 0/0A/2 CSS i.e. Y2. </w:t>
            </w:r>
          </w:p>
          <w:p>
            <w:pPr>
              <w:widowControl w:val="0"/>
              <w:rPr>
                <w:lang w:eastAsia="zh-CN"/>
              </w:rPr>
            </w:pPr>
            <w:r>
              <w:rPr>
                <w:lang w:eastAsia="zh-CN"/>
              </w:rPr>
              <w:t xml:space="preserve">For (1), Y1 = 1 and the position of PDCCH MOs can follow the legacy capability, e.g., Case 1-1/1-2/2 for USS and any symbols for CSS. </w:t>
            </w:r>
          </w:p>
          <w:p>
            <w:pPr>
              <w:widowControl w:val="0"/>
              <w:rPr>
                <w:lang w:eastAsia="zh-CN"/>
              </w:rPr>
            </w:pPr>
            <w:r>
              <w:rPr>
                <w:lang w:eastAsia="zh-CN"/>
              </w:rPr>
              <w:t>For (2), the value of Y2 can be discussed and could follow its FG 3-1 behavior i.e. within any single span of three consecutive OFDM symbols within any slot of Y2.</w:t>
            </w:r>
          </w:p>
          <w:p>
            <w:pPr>
              <w:widowControl w:val="0"/>
              <w:rPr>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lang w:eastAsia="zh-CN"/>
              </w:rPr>
              <w:t>Samsung</w:t>
            </w:r>
          </w:p>
        </w:tc>
        <w:tc>
          <w:tcPr>
            <w:tcW w:w="12176" w:type="dxa"/>
            <w:vAlign w:val="center"/>
          </w:tcPr>
          <w:p>
            <w:pPr>
              <w:widowControl w:val="0"/>
              <w:rPr>
                <w:lang w:eastAsia="zh-CN"/>
              </w:rPr>
            </w:pPr>
            <w:r>
              <w:rPr>
                <w:lang w:eastAsia="zh-CN"/>
              </w:rPr>
              <w:t xml:space="preserve">We support a general multi-slot based PDCCH monitoring capability, and no need to distinguish type of SS. Also, we believe this proposal is against current agreement on Alt 1, since it requires UE to count BD/CCE outside the Y slots within the X-slot group.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rPr>
              <w:t>Huawei, HiSilicon</w:t>
            </w:r>
          </w:p>
        </w:tc>
        <w:tc>
          <w:tcPr>
            <w:tcW w:w="12176" w:type="dxa"/>
            <w:vAlign w:val="center"/>
          </w:tcPr>
          <w:p>
            <w:pPr>
              <w:widowControl w:val="0"/>
              <w:rPr>
                <w:lang w:eastAsia="zh-CN"/>
              </w:rPr>
            </w:pPr>
            <w:r>
              <w:rPr>
                <w:lang w:eastAsia="zh-CN"/>
              </w:rPr>
              <w:t>With</w:t>
            </w:r>
            <w:r>
              <w:rPr>
                <w:rFonts w:hint="eastAsia"/>
                <w:lang w:eastAsia="zh-CN"/>
              </w:rPr>
              <w:t xml:space="preserve"> </w:t>
            </w:r>
            <w:r>
              <w:rPr>
                <w:lang w:eastAsia="zh-CN"/>
              </w:rPr>
              <w:t>agree with Ericsson’s proposal, which we summarize below.</w:t>
            </w:r>
          </w:p>
          <w:p>
            <w:pPr>
              <w:widowControl w:val="0"/>
              <w:rPr>
                <w:lang w:eastAsia="zh-CN"/>
              </w:rPr>
            </w:pPr>
            <w:r>
              <w:rPr>
                <w:lang w:eastAsia="zh-CN"/>
              </w:rPr>
              <w:t>The BD/CCE capability defined over X slots is shared among all those search spaces:</w:t>
            </w:r>
          </w:p>
          <w:p>
            <w:pPr>
              <w:widowControl w:val="0"/>
              <w:rPr>
                <w:lang w:eastAsia="zh-CN"/>
              </w:rPr>
            </w:pPr>
            <w:r>
              <w:rPr>
                <w:lang w:eastAsia="zh-CN"/>
              </w:rPr>
              <w:t>•</w:t>
            </w:r>
            <w:r>
              <w:rPr>
                <w:lang w:eastAsia="zh-CN"/>
              </w:rPr>
              <w:tab/>
            </w:r>
            <w:r>
              <w:rPr>
                <w:lang w:eastAsia="zh-CN"/>
              </w:rPr>
              <w:t>type 1 CSS with dedicated RRC configuration, type 3 CSS, and UE-SS: monitored in Y slots out of X slots, based on FG3-1</w:t>
            </w:r>
          </w:p>
          <w:p>
            <w:pPr>
              <w:widowControl w:val="0"/>
              <w:rPr>
                <w:lang w:eastAsia="zh-CN"/>
              </w:rPr>
            </w:pPr>
            <w:r>
              <w:rPr>
                <w:lang w:eastAsia="zh-CN"/>
              </w:rPr>
              <w:t>•</w:t>
            </w:r>
            <w:r>
              <w:rPr>
                <w:lang w:eastAsia="zh-CN"/>
              </w:rPr>
              <w:tab/>
            </w:r>
            <w:r>
              <w:rPr>
                <w:lang w:eastAsia="zh-CN"/>
              </w:rPr>
              <w:t>type 1 CSS without dedicated RRC configuration and for type 0, 0A, and 2 CSS: monitored in any of the X slots, based on FG3-1</w:t>
            </w:r>
          </w:p>
          <w:p>
            <w:pPr>
              <w:widowControl w:val="0"/>
              <w:rPr>
                <w:lang w:eastAsia="zh-CN"/>
              </w:rPr>
            </w:pPr>
            <w:r>
              <w:rPr>
                <w:lang w:eastAsia="zh-CN"/>
              </w:rPr>
              <w:t>We also support an optional capability based on FG3-5a for type 1 CSS with dedicated RRC configuration, type 3 CSS, and UE-SS.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eastAsia="MS Mincho"/>
                <w:lang w:eastAsia="ja-JP"/>
              </w:rPr>
              <w:t>Sharp</w:t>
            </w:r>
          </w:p>
        </w:tc>
        <w:tc>
          <w:tcPr>
            <w:tcW w:w="12176" w:type="dxa"/>
            <w:vAlign w:val="center"/>
          </w:tcPr>
          <w:p>
            <w:pPr>
              <w:widowControl w:val="0"/>
              <w:rPr>
                <w:lang w:eastAsia="zh-CN"/>
              </w:rPr>
            </w:pPr>
            <w:r>
              <w:rPr>
                <w:rFonts w:hint="eastAsia" w:eastAsia="MS Mincho"/>
                <w:lang w:eastAsia="ja-JP"/>
              </w:rPr>
              <w:t>We agree with the Lenovo</w:t>
            </w:r>
            <w:r>
              <w:rPr>
                <w:rFonts w:eastAsia="MS Mincho"/>
                <w:lang w:eastAsia="ja-JP"/>
              </w:rPr>
              <w:t>’s update.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eastAsia="MS Mincho"/>
                <w:lang w:eastAsia="ja-JP"/>
              </w:rPr>
            </w:pPr>
            <w:r>
              <w:rPr>
                <w:rFonts w:hint="eastAsia" w:eastAsia="MS Mincho"/>
                <w:lang w:eastAsia="ja-JP"/>
              </w:rPr>
              <w:t>N</w:t>
            </w:r>
            <w:r>
              <w:rPr>
                <w:rFonts w:eastAsia="MS Mincho"/>
                <w:lang w:eastAsia="ja-JP"/>
              </w:rPr>
              <w:t>TT DOCOMO</w:t>
            </w:r>
          </w:p>
        </w:tc>
        <w:tc>
          <w:tcPr>
            <w:tcW w:w="12176" w:type="dxa"/>
            <w:vAlign w:val="center"/>
          </w:tcPr>
          <w:p>
            <w:pPr>
              <w:widowControl w:val="0"/>
              <w:rPr>
                <w:rFonts w:eastAsia="MS Mincho"/>
                <w:lang w:eastAsia="ja-JP"/>
              </w:rPr>
            </w:pPr>
            <w:r>
              <w:rPr>
                <w:rFonts w:eastAsia="MS Mincho"/>
                <w:lang w:eastAsia="ja-JP"/>
              </w:rPr>
              <w:t xml:space="preserve">We support the proposal from Ericsson if Alt-1 is supported in Issue A1-1 that BD/CCE budget are shred among all types of SS, but the location restriction can be different depending on the type of SS, i.e., </w:t>
            </w:r>
            <w:r>
              <w:rPr>
                <w:lang w:eastAsia="zh-CN"/>
              </w:rPr>
              <w:t>Type 1 CSS (with dedicated RRC configuration), Type3 CSS, and USS are restricted within Y slot but Type 1 (without dedicated RRC configuration) and Type 0/0A/2 CSS can be configured any symbol/slot within X slots</w:t>
            </w:r>
            <w:r>
              <w:rPr>
                <w:rFonts w:eastAsia="MS Mincho"/>
                <w:lang w:eastAsia="ja-JP"/>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We agree with Qualcomm and MediaTek that all SS sets should have PDCCH monitoring within Y slots.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lang w:eastAsia="zh-CN"/>
              </w:rPr>
            </w:pPr>
            <w:r>
              <w:rPr>
                <w:rFonts w:hint="eastAsia"/>
                <w:lang w:eastAsia="zh-CN"/>
              </w:rPr>
              <w:t>v</w:t>
            </w:r>
            <w:r>
              <w:rPr>
                <w:lang w:eastAsia="zh-CN"/>
              </w:rPr>
              <w:t>ivo</w:t>
            </w:r>
          </w:p>
        </w:tc>
        <w:tc>
          <w:tcPr>
            <w:tcW w:w="12176" w:type="dxa"/>
            <w:vAlign w:val="center"/>
          </w:tcPr>
          <w:p>
            <w:pPr>
              <w:widowControl w:val="0"/>
              <w:rPr>
                <w:lang w:eastAsia="zh-CN"/>
              </w:rPr>
            </w:pPr>
            <w:r>
              <w:rPr>
                <w:rFonts w:hint="eastAsia"/>
                <w:lang w:eastAsia="zh-CN"/>
              </w:rPr>
              <w:t>W</w:t>
            </w:r>
            <w:r>
              <w:rPr>
                <w:lang w:eastAsia="zh-CN"/>
              </w:rPr>
              <w:t>e have concern on this proposal. The motivation to introduce multi-slot capability is to reduce complexity and save UE power. However, when per slot monitoring is applied to CSS, UE amy also need to monitor PDCCH for each slot since C-RNTI is needed to be monitored in CSS as well.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ascii="Times New Roman" w:hAnsi="Times New Roman" w:cs="Times New Roman" w:eastAsiaTheme="minorEastAsia"/>
                <w:sz w:val="22"/>
                <w:szCs w:val="22"/>
                <w:lang w:val="en-US" w:eastAsia="zh-CN" w:bidi="ar-SA"/>
              </w:rPr>
            </w:pPr>
            <w:r>
              <w:rPr>
                <w:rFonts w:hint="eastAsia"/>
                <w:sz w:val="22"/>
                <w:szCs w:val="22"/>
                <w:lang w:eastAsia="zh-CN"/>
              </w:rPr>
              <w:t>ZTE, Sanechips</w:t>
            </w:r>
          </w:p>
        </w:tc>
        <w:tc>
          <w:tcPr>
            <w:tcW w:w="12176" w:type="dxa"/>
            <w:vAlign w:val="center"/>
          </w:tcPr>
          <w:p>
            <w:pPr>
              <w:widowControl w:val="0"/>
              <w:rPr>
                <w:rFonts w:hint="default"/>
                <w:lang w:val="en-US" w:eastAsia="zh-CN"/>
              </w:rPr>
            </w:pPr>
            <w:r>
              <w:rPr>
                <w:rFonts w:hint="eastAsia"/>
                <w:lang w:val="en-US" w:eastAsia="zh-CN"/>
              </w:rPr>
              <w:t xml:space="preserve">Basically, we are trying to reach a similar agreement with Ericsson. </w:t>
            </w:r>
            <w:r>
              <w:rPr>
                <w:rFonts w:hint="eastAsia"/>
                <w:lang w:eastAsia="zh-CN"/>
              </w:rPr>
              <w:t xml:space="preserve">According to Rel-15/16, Type 0/0A/1(without dedicated RRC configuration)/2 CSS sets are not restricted in Y slots, in other words, they can locate in anywhere within a slot group. Other type of CSS/USS sets should fit in the fixed multi-slot PDCCH monitoring pattern and </w:t>
            </w:r>
            <w:r>
              <w:rPr>
                <w:rFonts w:hint="eastAsia"/>
                <w:b/>
                <w:bCs/>
                <w:lang w:eastAsia="zh-CN"/>
              </w:rPr>
              <w:t>the BD/CCE budget calculation should be joint for all the SSs</w:t>
            </w:r>
            <w:r>
              <w:rPr>
                <w:rFonts w:hint="eastAsia"/>
                <w:lang w:eastAsia="zh-CN"/>
              </w:rPr>
              <w:t xml:space="preserve">. </w:t>
            </w:r>
          </w:p>
          <w:p>
            <w:pPr>
              <w:widowControl w:val="0"/>
              <w:rPr>
                <w:rFonts w:hint="eastAsia" w:ascii="Times New Roman" w:hAnsi="Times New Roman" w:cs="Times New Roman" w:eastAsiaTheme="minorEastAsia"/>
                <w:sz w:val="22"/>
                <w:szCs w:val="22"/>
                <w:lang w:val="en-US" w:eastAsia="zh-CN" w:bidi="ar-SA"/>
              </w:rPr>
            </w:pPr>
            <w:r>
              <w:rPr>
                <w:rFonts w:hint="eastAsia"/>
                <w:lang w:val="en-US" w:eastAsia="zh-CN"/>
              </w:rPr>
              <w:t>Thus, t</w:t>
            </w:r>
            <w:r>
              <w:rPr>
                <w:rFonts w:hint="eastAsia"/>
                <w:lang w:eastAsia="zh-CN"/>
              </w:rPr>
              <w:t xml:space="preserve">he definition  “the capability indicates the BD/CCE budget within the first Y slot(s) in each slot group” in Alt1 can be replaced by “the capability indicates the BD/CCE budget within each slot group and </w:t>
            </w:r>
            <w:r>
              <w:rPr>
                <w:rFonts w:hint="eastAsia"/>
                <w:lang w:val="en-US" w:eastAsia="zh-CN"/>
              </w:rPr>
              <w:t xml:space="preserve"> </w:t>
            </w:r>
            <w:r>
              <w:rPr>
                <w:rFonts w:hint="eastAsia"/>
                <w:lang w:eastAsia="zh-CN"/>
              </w:rPr>
              <w:t>at least Type 1(with dedicated RRC configuration)/3 CSS and USS locate within Y consecutive slots”</w:t>
            </w:r>
            <w:r>
              <w:rPr>
                <w:rFonts w:hint="eastAsia"/>
                <w:lang w:val="en-US" w:eastAsia="zh-CN"/>
              </w:rPr>
              <w:t>. We are also fine with the update proposal from Lenovo.</w:t>
            </w:r>
          </w:p>
        </w:tc>
      </w:tr>
    </w:tbl>
    <w:p>
      <w:pPr>
        <w:pStyle w:val="5"/>
        <w:rPr>
          <w:sz w:val="22"/>
          <w:szCs w:val="22"/>
          <w:lang w:val="en-GB" w:eastAsia="zh-CN"/>
        </w:rPr>
      </w:pPr>
      <w:r>
        <w:rPr>
          <w:sz w:val="22"/>
          <w:szCs w:val="22"/>
          <w:lang w:val="en-GB" w:eastAsia="zh-CN"/>
        </w:rPr>
        <w:t>Issue A1-2b: Multi-slot monitoring restriction applicability.</w:t>
      </w:r>
    </w:p>
    <w:p>
      <w:pPr>
        <w:pStyle w:val="6"/>
        <w:rPr>
          <w:sz w:val="18"/>
          <w:szCs w:val="18"/>
        </w:rPr>
      </w:pPr>
      <w:r>
        <w:rPr>
          <w:sz w:val="18"/>
          <w:szCs w:val="18"/>
        </w:rPr>
        <w:t>First round discussion</w:t>
      </w:r>
    </w:p>
    <w:p>
      <w:pPr>
        <w:rPr>
          <w:b/>
        </w:rPr>
      </w:pPr>
      <w:r>
        <w:rPr>
          <w:b/>
          <w:highlight w:val="cyan"/>
        </w:rPr>
        <w:t>Please provide your comments on the following proposals:</w:t>
      </w:r>
    </w:p>
    <w:p>
      <w:pPr>
        <w:rPr>
          <w:b/>
          <w:bCs/>
          <w:lang w:eastAsia="zh-CN"/>
        </w:rPr>
      </w:pPr>
      <w:r>
        <w:rPr>
          <w:b/>
          <w:bCs/>
          <w:lang w:val="en-GB" w:eastAsia="zh-CN"/>
        </w:rPr>
        <w:t>R1-2109434 (Ericsson):</w:t>
      </w:r>
      <w:r>
        <w:rPr>
          <w:b/>
          <w:bCs/>
          <w:lang w:val="en-GB" w:eastAsia="zh-CN"/>
        </w:rPr>
        <w:br w:type="textWrapping"/>
      </w:r>
      <w:r>
        <w:rPr>
          <w:b/>
          <w:bCs/>
          <w:lang w:eastAsia="zh-CN"/>
        </w:rPr>
        <w:t>For operation with 480/960 kHz SCS, the restriction of monitoring occasions within Y slots/symbols per X-slot window is applicable to type 1 CSS with dedicated RRC configuration, type 3 CSS, and UE-SS.</w:t>
      </w:r>
    </w:p>
    <w:p>
      <w:pPr>
        <w:rPr>
          <w:b/>
          <w:bCs/>
          <w:lang w:eastAsia="zh-CN"/>
        </w:rPr>
      </w:pP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 xml:space="preserve">Ericsson </w:t>
            </w:r>
          </w:p>
        </w:tc>
        <w:tc>
          <w:tcPr>
            <w:tcW w:w="12176" w:type="dxa"/>
            <w:vAlign w:val="center"/>
          </w:tcPr>
          <w:p>
            <w:pPr>
              <w:widowControl w:val="0"/>
              <w:rPr>
                <w:lang w:eastAsia="zh-CN"/>
              </w:rPr>
            </w:pPr>
            <w:r>
              <w:rPr>
                <w:lang w:eastAsia="zh-CN"/>
              </w:rPr>
              <w:t>As proponent, we agree (see comment in Issue A1-2a).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Futurewei</w:t>
            </w:r>
          </w:p>
        </w:tc>
        <w:tc>
          <w:tcPr>
            <w:tcW w:w="12176" w:type="dxa"/>
            <w:vAlign w:val="center"/>
          </w:tcPr>
          <w:p>
            <w:pPr>
              <w:widowControl w:val="0"/>
              <w:rPr>
                <w:sz w:val="20"/>
                <w:lang w:eastAsia="zh-CN"/>
              </w:rPr>
            </w:pPr>
            <w:r>
              <w:rPr>
                <w:sz w:val="20"/>
                <w:lang w:eastAsia="zh-CN"/>
              </w:rPr>
              <w:t>We agree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Qualcomm</w:t>
            </w:r>
          </w:p>
        </w:tc>
        <w:tc>
          <w:tcPr>
            <w:tcW w:w="12176" w:type="dxa"/>
            <w:vAlign w:val="center"/>
          </w:tcPr>
          <w:p>
            <w:pPr>
              <w:widowControl w:val="0"/>
              <w:rPr>
                <w:sz w:val="20"/>
                <w:lang w:eastAsia="zh-CN"/>
              </w:rPr>
            </w:pPr>
            <w:r>
              <w:rPr>
                <w:lang w:eastAsia="zh-CN"/>
              </w:rPr>
              <w:t>We share the same view. However, as we commented in A1-2a, the same Y slot restriction should also be applied to Type0/0A/1 (w/o dedicated config)/2 CSS(s).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InterDigital</w:t>
            </w:r>
          </w:p>
        </w:tc>
        <w:tc>
          <w:tcPr>
            <w:tcW w:w="12176" w:type="dxa"/>
            <w:vAlign w:val="center"/>
          </w:tcPr>
          <w:p>
            <w:pPr>
              <w:widowControl w:val="0"/>
              <w:rPr>
                <w:lang w:eastAsia="zh-CN"/>
              </w:rPr>
            </w:pPr>
            <w:r>
              <w:rPr>
                <w:lang w:eastAsia="zh-CN"/>
              </w:rPr>
              <w:t>As mentioned in our contribution, we support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lang w:eastAsia="zh-CN"/>
              </w:rPr>
              <w:t>Samsung</w:t>
            </w:r>
          </w:p>
        </w:tc>
        <w:tc>
          <w:tcPr>
            <w:tcW w:w="12176" w:type="dxa"/>
            <w:vAlign w:val="center"/>
          </w:tcPr>
          <w:p>
            <w:pPr>
              <w:widowControl w:val="0"/>
              <w:rPr>
                <w:lang w:eastAsia="zh-CN"/>
              </w:rPr>
            </w:pPr>
            <w:r>
              <w:rPr>
                <w:lang w:eastAsia="zh-CN"/>
              </w:rPr>
              <w:t xml:space="preserve">We support a general multi-slot based PDCCH monitoring capability, and no need to distinguish type of SS, and believe this discussion is not needed.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rPr>
              <w:t>Huawei, HiSilicon</w:t>
            </w:r>
          </w:p>
        </w:tc>
        <w:tc>
          <w:tcPr>
            <w:tcW w:w="12176" w:type="dxa"/>
            <w:vAlign w:val="center"/>
          </w:tcPr>
          <w:p>
            <w:pPr>
              <w:widowControl w:val="0"/>
              <w:rPr>
                <w:lang w:eastAsia="zh-CN"/>
              </w:rPr>
            </w:pPr>
            <w:r>
              <w:rPr>
                <w:lang w:eastAsia="zh-CN"/>
              </w:rPr>
              <w:t>Agree, same response as A1-2a:</w:t>
            </w:r>
          </w:p>
          <w:p>
            <w:pPr>
              <w:widowControl w:val="0"/>
              <w:rPr>
                <w:lang w:eastAsia="zh-CN"/>
              </w:rPr>
            </w:pPr>
            <w:r>
              <w:rPr>
                <w:lang w:eastAsia="zh-CN"/>
              </w:rPr>
              <w:t>The BD/CCE capability defined over X slots is shared among all those search spaces:</w:t>
            </w:r>
          </w:p>
          <w:p>
            <w:pPr>
              <w:widowControl w:val="0"/>
              <w:rPr>
                <w:lang w:eastAsia="zh-CN"/>
              </w:rPr>
            </w:pPr>
            <w:r>
              <w:rPr>
                <w:lang w:eastAsia="zh-CN"/>
              </w:rPr>
              <w:t>•</w:t>
            </w:r>
            <w:r>
              <w:rPr>
                <w:lang w:eastAsia="zh-CN"/>
              </w:rPr>
              <w:tab/>
            </w:r>
            <w:r>
              <w:rPr>
                <w:lang w:eastAsia="zh-CN"/>
              </w:rPr>
              <w:t>type 1 CSS with dedicated RRC configuration, type 3 CSS, and UE-SS: monitored in Y slots out of X slots, based on FG3-1</w:t>
            </w:r>
          </w:p>
          <w:p>
            <w:pPr>
              <w:widowControl w:val="0"/>
              <w:rPr>
                <w:lang w:eastAsia="zh-CN"/>
              </w:rPr>
            </w:pPr>
            <w:r>
              <w:rPr>
                <w:lang w:eastAsia="zh-CN"/>
              </w:rPr>
              <w:t>•</w:t>
            </w:r>
            <w:r>
              <w:rPr>
                <w:lang w:eastAsia="zh-CN"/>
              </w:rPr>
              <w:tab/>
            </w:r>
            <w:r>
              <w:rPr>
                <w:lang w:eastAsia="zh-CN"/>
              </w:rPr>
              <w:t>type 1 CSS without dedicated RRC configuration and for type 0, 0A, and 2 CSS: monitored in any of the X slots, based on FG3-1</w:t>
            </w:r>
          </w:p>
          <w:p>
            <w:pPr>
              <w:widowControl w:val="0"/>
              <w:rPr>
                <w:lang w:eastAsia="zh-CN"/>
              </w:rPr>
            </w:pPr>
            <w:r>
              <w:rPr>
                <w:lang w:eastAsia="zh-CN"/>
              </w:rPr>
              <w:t>We also support an optional capability based on FG3-5a for type 1 CSS with dedicated RRC configuration, type 3 CSS, and UE-SS.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eastAsia="MS Mincho"/>
                <w:lang w:eastAsia="ja-JP"/>
              </w:rPr>
              <w:t>Sharp</w:t>
            </w:r>
          </w:p>
        </w:tc>
        <w:tc>
          <w:tcPr>
            <w:tcW w:w="12176" w:type="dxa"/>
            <w:vAlign w:val="center"/>
          </w:tcPr>
          <w:p>
            <w:pPr>
              <w:widowControl w:val="0"/>
              <w:rPr>
                <w:lang w:eastAsia="zh-CN"/>
              </w:rPr>
            </w:pPr>
            <w:r>
              <w:rPr>
                <w:rFonts w:hint="eastAsia" w:eastAsia="MS Mincho"/>
                <w:lang w:eastAsia="ja-JP"/>
              </w:rPr>
              <w:t>We agree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eastAsia="MS Mincho"/>
                <w:lang w:eastAsia="ja-JP"/>
              </w:rPr>
            </w:pPr>
            <w:r>
              <w:rPr>
                <w:rFonts w:eastAsia="MS Mincho"/>
                <w:lang w:eastAsia="ja-JP"/>
              </w:rPr>
              <w:t>NTT DOCOMO</w:t>
            </w:r>
          </w:p>
        </w:tc>
        <w:tc>
          <w:tcPr>
            <w:tcW w:w="12176" w:type="dxa"/>
            <w:vAlign w:val="center"/>
          </w:tcPr>
          <w:p>
            <w:pPr>
              <w:widowControl w:val="0"/>
              <w:rPr>
                <w:rFonts w:eastAsia="MS Mincho"/>
                <w:lang w:eastAsia="ja-JP"/>
              </w:rPr>
            </w:pPr>
            <w:r>
              <w:rPr>
                <w:rFonts w:eastAsia="MS Mincho"/>
                <w:lang w:eastAsia="ja-JP"/>
              </w:rPr>
              <w:t>As commented in Issue A1-2a, we support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We share the same view with Qualcomm.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lang w:eastAsia="zh-CN"/>
              </w:rPr>
            </w:pPr>
            <w:r>
              <w:rPr>
                <w:rFonts w:hint="eastAsia"/>
                <w:lang w:eastAsia="zh-CN"/>
              </w:rPr>
              <w:t>v</w:t>
            </w:r>
            <w:r>
              <w:rPr>
                <w:lang w:eastAsia="zh-CN"/>
              </w:rPr>
              <w:t>ivo</w:t>
            </w:r>
          </w:p>
        </w:tc>
        <w:tc>
          <w:tcPr>
            <w:tcW w:w="12176" w:type="dxa"/>
            <w:vAlign w:val="center"/>
          </w:tcPr>
          <w:p>
            <w:pPr>
              <w:widowControl w:val="0"/>
              <w:rPr>
                <w:lang w:eastAsia="zh-CN"/>
              </w:rPr>
            </w:pPr>
            <w:r>
              <w:rPr>
                <w:rFonts w:hint="eastAsia"/>
                <w:lang w:eastAsia="zh-CN"/>
              </w:rPr>
              <w:t>S</w:t>
            </w:r>
            <w:r>
              <w:rPr>
                <w:lang w:eastAsia="zh-CN"/>
              </w:rPr>
              <w:t>ame as A1-2a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ascii="Times New Roman" w:hAnsi="Times New Roman" w:cs="Times New Roman" w:eastAsiaTheme="minorEastAsia"/>
                <w:sz w:val="22"/>
                <w:szCs w:val="22"/>
                <w:lang w:val="en-US" w:eastAsia="zh-CN" w:bidi="ar-SA"/>
              </w:rPr>
            </w:pPr>
            <w:r>
              <w:rPr>
                <w:rFonts w:hint="eastAsia"/>
                <w:sz w:val="22"/>
                <w:szCs w:val="22"/>
                <w:lang w:eastAsia="zh-CN"/>
              </w:rPr>
              <w:t>ZTE, Sanechips</w:t>
            </w:r>
          </w:p>
        </w:tc>
        <w:tc>
          <w:tcPr>
            <w:tcW w:w="12176" w:type="dxa"/>
            <w:vAlign w:val="center"/>
          </w:tcPr>
          <w:p>
            <w:pPr>
              <w:widowControl w:val="0"/>
              <w:rPr>
                <w:rFonts w:hint="eastAsia" w:ascii="Times New Roman" w:hAnsi="Times New Roman" w:cs="Times New Roman" w:eastAsiaTheme="minorEastAsia"/>
                <w:sz w:val="22"/>
                <w:szCs w:val="22"/>
                <w:lang w:val="en-US" w:eastAsia="zh-CN" w:bidi="ar-SA"/>
              </w:rPr>
            </w:pPr>
            <w:r>
              <w:rPr>
                <w:rFonts w:hint="eastAsia"/>
                <w:lang w:val="en-US" w:eastAsia="zh-CN"/>
              </w:rPr>
              <w:t>We agree with the proposal.</w:t>
            </w:r>
          </w:p>
        </w:tc>
      </w:tr>
    </w:tbl>
    <w:p>
      <w:pPr>
        <w:rPr>
          <w:lang w:eastAsia="zh-CN"/>
        </w:rPr>
      </w:pPr>
    </w:p>
    <w:p>
      <w:pPr>
        <w:rPr>
          <w:b/>
          <w:bCs/>
          <w:lang w:eastAsia="zh-CN"/>
        </w:rPr>
      </w:pPr>
      <w:r>
        <w:rPr>
          <w:b/>
          <w:bCs/>
          <w:lang w:val="en-GB" w:eastAsia="zh-CN"/>
        </w:rPr>
        <w:t>R1-2109434 (Ericsson):</w:t>
      </w:r>
      <w:r>
        <w:rPr>
          <w:b/>
          <w:bCs/>
          <w:lang w:val="en-GB" w:eastAsia="zh-CN"/>
        </w:rPr>
        <w:br w:type="textWrapping"/>
      </w:r>
      <w:r>
        <w:rPr>
          <w:b/>
          <w:bCs/>
          <w:lang w:eastAsia="zh-CN"/>
        </w:rPr>
        <w:t>For operation with 480/960 kHz SCS, the restriction of monitoring occasions within Y slots/symbols per X-slot window is not applicable to type 1 CSS without dedicated RRC configuration and for type 0, 0A, and 2 CSS. That is, for type 1 CSS without dedicated RRC configuration and for type 0, 0A, and 2 CSS, the monitoring occasion can be within any single span of three consecutive OFDM symbols within any slot (same as Rel-15 FG 3-1).</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 xml:space="preserve">Ericsson </w:t>
            </w:r>
          </w:p>
        </w:tc>
        <w:tc>
          <w:tcPr>
            <w:tcW w:w="12176" w:type="dxa"/>
            <w:vAlign w:val="center"/>
          </w:tcPr>
          <w:p>
            <w:pPr>
              <w:widowControl w:val="0"/>
              <w:rPr>
                <w:lang w:eastAsia="zh-CN"/>
              </w:rPr>
            </w:pPr>
            <w:r>
              <w:rPr>
                <w:lang w:eastAsia="zh-CN"/>
              </w:rPr>
              <w:t>As proponent, we agree (see comment in Issue A1-2a).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Lenovo, Motorola Mobility</w:t>
            </w:r>
          </w:p>
        </w:tc>
        <w:tc>
          <w:tcPr>
            <w:tcW w:w="12176" w:type="dxa"/>
            <w:vAlign w:val="center"/>
          </w:tcPr>
          <w:p>
            <w:pPr>
              <w:widowControl w:val="0"/>
              <w:rPr>
                <w:lang w:eastAsia="zh-CN"/>
              </w:rPr>
            </w:pPr>
            <w:r>
              <w:rPr>
                <w:lang w:eastAsia="zh-CN"/>
              </w:rPr>
              <w:t>Is the intention of this proposal to have the possibility of non-contiguous monitoring spans within Y slots/symbols? Or Alternatively spreading these Y slots/symbols across X-slot window?</w:t>
            </w:r>
          </w:p>
          <w:p>
            <w:pPr>
              <w:widowControl w:val="0"/>
              <w:rPr>
                <w:sz w:val="20"/>
                <w:lang w:eastAsia="zh-CN"/>
              </w:rPr>
            </w:pPr>
            <w:r>
              <w:rPr>
                <w:lang w:eastAsia="zh-CN"/>
              </w:rPr>
              <w:t>In our view, the restriction of monitoring occasions within Y slots/symbols per X-slot window should be applicable for all types of CSS and USS. Then further discussion could be done on how to ensure that CSS MO’s are not dropped.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Qualcomm</w:t>
            </w:r>
          </w:p>
        </w:tc>
        <w:tc>
          <w:tcPr>
            <w:tcW w:w="12176" w:type="dxa"/>
            <w:vAlign w:val="center"/>
          </w:tcPr>
          <w:p>
            <w:pPr>
              <w:widowControl w:val="0"/>
              <w:rPr>
                <w:lang w:eastAsia="zh-CN"/>
              </w:rPr>
            </w:pPr>
            <w:r>
              <w:rPr>
                <w:lang w:eastAsia="zh-CN"/>
              </w:rPr>
              <w:t>As we commented in A1-2a, we think that the same Y slot restriction should also be applied to Type0/0A/1 (w/o dedicated config)/2 CSS(s). Within the Y slot(s), the position of PDCCH MOs for USS and CSS can follow the legacy capability, e.g., Case 1-1/1-2/2 for USS and any symbols for CSS.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InterDigital</w:t>
            </w:r>
          </w:p>
        </w:tc>
        <w:tc>
          <w:tcPr>
            <w:tcW w:w="12176" w:type="dxa"/>
            <w:vAlign w:val="center"/>
          </w:tcPr>
          <w:p>
            <w:pPr>
              <w:widowControl w:val="0"/>
              <w:rPr>
                <w:lang w:eastAsia="zh-CN"/>
              </w:rPr>
            </w:pPr>
            <w:r>
              <w:rPr>
                <w:lang w:eastAsia="zh-CN"/>
              </w:rPr>
              <w:t>As mentioned in our contribution, we support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rPr>
                <w:lang w:eastAsia="zh-CN"/>
              </w:rPr>
            </w:pPr>
            <w:r>
              <w:rPr>
                <w:lang w:eastAsia="zh-CN"/>
              </w:rPr>
              <w:t>As mentioned previously, we would like Y to be applicable to all SSs. As a second preference, we would like to be able to define a separate value of Y for type 1 CSS without dedicated RRC configuration and for type 0, 0A, and 2 CSS.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lang w:eastAsia="zh-CN"/>
              </w:rPr>
              <w:t>Samsung</w:t>
            </w:r>
          </w:p>
        </w:tc>
        <w:tc>
          <w:tcPr>
            <w:tcW w:w="12176" w:type="dxa"/>
            <w:vAlign w:val="center"/>
          </w:tcPr>
          <w:p>
            <w:pPr>
              <w:widowControl w:val="0"/>
              <w:rPr>
                <w:lang w:eastAsia="zh-CN"/>
              </w:rPr>
            </w:pPr>
            <w:r>
              <w:rPr>
                <w:lang w:eastAsia="zh-CN"/>
              </w:rPr>
              <w:t xml:space="preserve">We support a general multi-slot based PDCCH monitoring capability, and no need to distinguish type of SS, and believe this discussion is not needed.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rPr>
              <w:t>Huawei, HiSilicon</w:t>
            </w:r>
          </w:p>
        </w:tc>
        <w:tc>
          <w:tcPr>
            <w:tcW w:w="12176" w:type="dxa"/>
            <w:vAlign w:val="center"/>
          </w:tcPr>
          <w:p>
            <w:pPr>
              <w:widowControl w:val="0"/>
              <w:rPr>
                <w:lang w:eastAsia="zh-CN"/>
              </w:rPr>
            </w:pPr>
            <w:r>
              <w:rPr>
                <w:lang w:eastAsia="zh-CN"/>
              </w:rPr>
              <w:t>Agree, same response as A1-2a:</w:t>
            </w:r>
          </w:p>
          <w:p>
            <w:pPr>
              <w:widowControl w:val="0"/>
              <w:rPr>
                <w:lang w:eastAsia="zh-CN"/>
              </w:rPr>
            </w:pPr>
            <w:r>
              <w:rPr>
                <w:lang w:eastAsia="zh-CN"/>
              </w:rPr>
              <w:t>The BD/CCE capability defined over X slots is shared among all those search spaces:</w:t>
            </w:r>
          </w:p>
          <w:p>
            <w:pPr>
              <w:widowControl w:val="0"/>
              <w:rPr>
                <w:lang w:eastAsia="zh-CN"/>
              </w:rPr>
            </w:pPr>
            <w:r>
              <w:rPr>
                <w:lang w:eastAsia="zh-CN"/>
              </w:rPr>
              <w:t>•</w:t>
            </w:r>
            <w:r>
              <w:rPr>
                <w:lang w:eastAsia="zh-CN"/>
              </w:rPr>
              <w:tab/>
            </w:r>
            <w:r>
              <w:rPr>
                <w:lang w:eastAsia="zh-CN"/>
              </w:rPr>
              <w:t>type 1 CSS with dedicated RRC configuration, type 3 CSS, and UE-SS: monitored in Y slots out of X slots, based on FG3-1</w:t>
            </w:r>
          </w:p>
          <w:p>
            <w:pPr>
              <w:widowControl w:val="0"/>
              <w:rPr>
                <w:lang w:eastAsia="zh-CN"/>
              </w:rPr>
            </w:pPr>
            <w:r>
              <w:rPr>
                <w:lang w:eastAsia="zh-CN"/>
              </w:rPr>
              <w:t>•</w:t>
            </w:r>
            <w:r>
              <w:rPr>
                <w:lang w:eastAsia="zh-CN"/>
              </w:rPr>
              <w:tab/>
            </w:r>
            <w:r>
              <w:rPr>
                <w:lang w:eastAsia="zh-CN"/>
              </w:rPr>
              <w:t>type 1 CSS without dedicated RRC configuration and for type 0, 0A, and 2 CSS: monitored in any of the X slots, based on FG3-1</w:t>
            </w:r>
          </w:p>
          <w:p>
            <w:pPr>
              <w:widowControl w:val="0"/>
              <w:rPr>
                <w:lang w:eastAsia="zh-CN"/>
              </w:rPr>
            </w:pPr>
            <w:r>
              <w:rPr>
                <w:lang w:eastAsia="zh-CN"/>
              </w:rPr>
              <w:t>We also support an optional capability based on FG3-5a for type 1 CSS with dedicated RRC configuration, type 3 CSS, and UE-SS.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eastAsia="MS Mincho"/>
                <w:lang w:eastAsia="ja-JP"/>
              </w:rPr>
              <w:t>Sharp</w:t>
            </w:r>
          </w:p>
        </w:tc>
        <w:tc>
          <w:tcPr>
            <w:tcW w:w="12176" w:type="dxa"/>
            <w:vAlign w:val="center"/>
          </w:tcPr>
          <w:p>
            <w:pPr>
              <w:widowControl w:val="0"/>
              <w:rPr>
                <w:lang w:eastAsia="zh-CN"/>
              </w:rPr>
            </w:pPr>
            <w:r>
              <w:rPr>
                <w:rFonts w:hint="eastAsia" w:eastAsia="MS Mincho"/>
                <w:lang w:eastAsia="ja-JP"/>
              </w:rPr>
              <w:t>Y slot restriction should be applied to all types of CSS and USS.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eastAsia="MS Mincho"/>
                <w:lang w:eastAsia="ja-JP"/>
              </w:rPr>
              <w:t>N</w:t>
            </w:r>
            <w:r>
              <w:rPr>
                <w:rFonts w:eastAsia="MS Mincho"/>
                <w:lang w:eastAsia="ja-JP"/>
              </w:rPr>
              <w:t>TT DOCOMO</w:t>
            </w:r>
          </w:p>
        </w:tc>
        <w:tc>
          <w:tcPr>
            <w:tcW w:w="12176" w:type="dxa"/>
            <w:vAlign w:val="center"/>
          </w:tcPr>
          <w:p>
            <w:pPr>
              <w:widowControl w:val="0"/>
              <w:rPr>
                <w:lang w:eastAsia="zh-CN"/>
              </w:rPr>
            </w:pPr>
            <w:r>
              <w:rPr>
                <w:rFonts w:eastAsia="MS Mincho"/>
                <w:lang w:eastAsia="ja-JP"/>
              </w:rPr>
              <w:t>As commented in Issue A1-2a, we support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We share the same view with Lenovo and Qualcomm. The restriction of MOs within Y slots per X-slot window should also be applicable to all SS sets and the position of MOs for those can follow the legacy rule.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lang w:eastAsia="zh-CN"/>
              </w:rPr>
            </w:pPr>
            <w:r>
              <w:rPr>
                <w:rFonts w:hint="eastAsia"/>
                <w:lang w:eastAsia="zh-CN"/>
              </w:rPr>
              <w:t>v</w:t>
            </w:r>
            <w:r>
              <w:rPr>
                <w:lang w:eastAsia="zh-CN"/>
              </w:rPr>
              <w:t>ivo</w:t>
            </w:r>
          </w:p>
        </w:tc>
        <w:tc>
          <w:tcPr>
            <w:tcW w:w="12176" w:type="dxa"/>
            <w:vAlign w:val="center"/>
          </w:tcPr>
          <w:p>
            <w:pPr>
              <w:widowControl w:val="0"/>
              <w:rPr>
                <w:lang w:eastAsia="zh-CN"/>
              </w:rPr>
            </w:pPr>
            <w:r>
              <w:rPr>
                <w:rFonts w:hint="eastAsia"/>
                <w:lang w:eastAsia="zh-CN"/>
              </w:rPr>
              <w:t>S</w:t>
            </w:r>
            <w:r>
              <w:rPr>
                <w:lang w:eastAsia="zh-CN"/>
              </w:rPr>
              <w:t>ame as Issue A1-2a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ascii="Times New Roman" w:hAnsi="Times New Roman" w:cs="Times New Roman" w:eastAsiaTheme="minorEastAsia"/>
                <w:sz w:val="22"/>
                <w:szCs w:val="22"/>
                <w:lang w:val="en-US" w:eastAsia="zh-CN" w:bidi="ar-SA"/>
              </w:rPr>
            </w:pPr>
            <w:r>
              <w:rPr>
                <w:rFonts w:hint="eastAsia"/>
                <w:sz w:val="22"/>
                <w:szCs w:val="22"/>
                <w:lang w:eastAsia="zh-CN"/>
              </w:rPr>
              <w:t>ZTE, Sanechips</w:t>
            </w:r>
          </w:p>
        </w:tc>
        <w:tc>
          <w:tcPr>
            <w:tcW w:w="12176" w:type="dxa"/>
            <w:vAlign w:val="center"/>
          </w:tcPr>
          <w:p>
            <w:pPr>
              <w:widowControl w:val="0"/>
              <w:rPr>
                <w:rFonts w:hint="eastAsia"/>
                <w:lang w:val="en-US" w:eastAsia="zh-CN"/>
              </w:rPr>
            </w:pPr>
            <w:r>
              <w:rPr>
                <w:rFonts w:hint="eastAsia"/>
                <w:lang w:eastAsia="zh-CN"/>
              </w:rPr>
              <w:t xml:space="preserve">In term of the configuration of </w:t>
            </w:r>
            <w:r>
              <w:rPr>
                <w:rFonts w:hint="eastAsia"/>
                <w:lang w:val="en-US" w:eastAsia="zh-CN"/>
              </w:rPr>
              <w:t xml:space="preserve"> type 1 CSS without dedicated RRC configuration and for type 0, 0A, and 2 CSS, we suggest considering two solutions:</w:t>
            </w:r>
          </w:p>
          <w:p>
            <w:pPr>
              <w:widowControl w:val="0"/>
              <w:rPr>
                <w:rFonts w:hint="default"/>
                <w:lang w:val="en-US" w:eastAsia="zh-CN"/>
              </w:rPr>
            </w:pPr>
            <w:r>
              <w:rPr>
                <w:rFonts w:hint="eastAsia"/>
                <w:lang w:val="en-US" w:eastAsia="zh-CN"/>
              </w:rPr>
              <w:t>(1)Differentiate PDCCH monitoring capability for different type of CSS as Ericsson proposed to.</w:t>
            </w:r>
          </w:p>
          <w:p>
            <w:pPr>
              <w:widowControl w:val="0"/>
              <w:rPr>
                <w:rFonts w:hint="eastAsia" w:ascii="Times New Roman" w:hAnsi="Times New Roman" w:cs="Times New Roman" w:eastAsiaTheme="minorEastAsia"/>
                <w:sz w:val="22"/>
                <w:szCs w:val="22"/>
                <w:lang w:val="en-US" w:eastAsia="zh-CN" w:bidi="ar-SA"/>
              </w:rPr>
            </w:pPr>
            <w:r>
              <w:rPr>
                <w:rFonts w:hint="eastAsia"/>
                <w:lang w:val="en-US" w:eastAsia="zh-CN"/>
              </w:rPr>
              <w:t>(2)Change default CSS configuration</w:t>
            </w:r>
          </w:p>
        </w:tc>
      </w:tr>
    </w:tbl>
    <w:p>
      <w:pPr>
        <w:rPr>
          <w:lang w:eastAsia="zh-CN"/>
        </w:rPr>
      </w:pPr>
    </w:p>
    <w:p>
      <w:pPr>
        <w:pStyle w:val="4"/>
        <w:rPr>
          <w:bCs/>
        </w:rPr>
      </w:pPr>
      <w:r>
        <w:rPr>
          <w:lang w:eastAsia="zh-CN"/>
        </w:rPr>
        <w:t xml:space="preserve">Issue A1-3: </w:t>
      </w:r>
      <w:r>
        <w:rPr>
          <w:bCs/>
        </w:rPr>
        <w:t xml:space="preserve">Supported PDCCH </w:t>
      </w:r>
      <w:r>
        <w:rPr>
          <w:rFonts w:eastAsia="Times New Roman"/>
          <w:lang w:eastAsia="ja-JP"/>
        </w:rPr>
        <w:t>multi-slot</w:t>
      </w:r>
      <w:r>
        <w:rPr>
          <w:bCs/>
        </w:rPr>
        <w:t xml:space="preserve"> monitoring durations for reporting capability 480/960 kHz (i.e. additional supported values for X)</w:t>
      </w:r>
    </w:p>
    <w:p>
      <w:pPr>
        <w:rPr>
          <w:b/>
        </w:rPr>
      </w:pPr>
      <w:r>
        <w:rPr>
          <w:b/>
          <w:bCs/>
          <w:highlight w:val="cyan"/>
          <w:lang w:val="en-GB" w:eastAsia="zh-CN"/>
        </w:rPr>
        <w:t>FL Suggestions: Considering discussion during RAN1#106e, it is suggested to deprioritize the issue for the time being.</w:t>
      </w:r>
    </w:p>
    <w:p/>
    <w:p>
      <w:pPr>
        <w:pStyle w:val="3"/>
      </w:pPr>
      <w:r>
        <w:t>Topic A2: Search Space Configuration/Enhancement</w:t>
      </w:r>
    </w:p>
    <w:p>
      <w:pPr>
        <w:pStyle w:val="4"/>
        <w:rPr>
          <w:lang w:val="en-GB" w:eastAsia="zh-CN"/>
        </w:rPr>
      </w:pPr>
      <w:r>
        <w:rPr>
          <w:lang w:val="en-GB" w:eastAsia="zh-CN"/>
        </w:rPr>
        <w:t>Issue A2-1: Slot group alignment</w:t>
      </w:r>
    </w:p>
    <w:p>
      <w:pPr>
        <w:rPr>
          <w:b/>
          <w:bCs/>
          <w:lang w:val="en-GB" w:eastAsia="zh-CN"/>
        </w:rPr>
      </w:pPr>
      <w:r>
        <w:rPr>
          <w:b/>
          <w:bCs/>
          <w:highlight w:val="cyan"/>
          <w:lang w:val="en-GB" w:eastAsia="zh-CN"/>
        </w:rPr>
        <w:t>FL Suggestions: To be discussed after progress on Topic A1.</w:t>
      </w:r>
    </w:p>
    <w:p>
      <w:pPr>
        <w:pStyle w:val="4"/>
        <w:rPr>
          <w:lang w:val="en-GB" w:eastAsia="zh-CN"/>
        </w:rPr>
      </w:pPr>
      <w:r>
        <w:rPr>
          <w:lang w:val="en-GB" w:eastAsia="zh-CN"/>
        </w:rPr>
        <w:t>Issue A2-2: Location of Y slots within a slot group (e.g. floating within a slot group, fixed to start of slot group)</w:t>
      </w:r>
    </w:p>
    <w:p>
      <w:pPr>
        <w:rPr>
          <w:b/>
          <w:bCs/>
          <w:lang w:val="en-GB" w:eastAsia="zh-CN"/>
        </w:rPr>
      </w:pPr>
      <w:r>
        <w:rPr>
          <w:b/>
          <w:bCs/>
          <w:highlight w:val="cyan"/>
          <w:lang w:val="en-GB" w:eastAsia="zh-CN"/>
        </w:rPr>
        <w:t>FL Suggestions: To be discussed after progress on Topic A1.</w:t>
      </w:r>
    </w:p>
    <w:p>
      <w:pPr>
        <w:pStyle w:val="4"/>
        <w:rPr>
          <w:lang w:val="en-GB" w:eastAsia="zh-CN"/>
        </w:rPr>
      </w:pPr>
      <w:r>
        <w:rPr>
          <w:lang w:val="en-GB" w:eastAsia="zh-CN"/>
        </w:rPr>
        <w:t>Issue A2-3: CSS enhancements/modifications</w:t>
      </w:r>
    </w:p>
    <w:p>
      <w:pPr>
        <w:rPr>
          <w:b/>
          <w:bCs/>
        </w:rPr>
      </w:pPr>
      <w:r>
        <w:rPr>
          <w:b/>
          <w:bCs/>
          <w:highlight w:val="cyan"/>
        </w:rPr>
        <w:t>FL Summary:</w:t>
      </w:r>
    </w:p>
    <w:p>
      <w:pPr>
        <w:rPr>
          <w:lang w:eastAsia="zh-CN"/>
        </w:rPr>
      </w:pPr>
      <w:r>
        <w:rPr>
          <w:lang w:val="en-GB" w:eastAsia="zh-CN"/>
        </w:rPr>
        <w:t xml:space="preserve">Companies point out that the current Type0 PDCCH CSS </w:t>
      </w:r>
      <w:r>
        <w:rPr>
          <w:lang w:eastAsia="zh-CN"/>
        </w:rPr>
        <w:t xml:space="preserve">requires the UE to monitor PDCCH over two </w:t>
      </w:r>
      <w:r>
        <w:rPr>
          <w:i/>
          <w:iCs/>
          <w:lang w:eastAsia="zh-CN"/>
        </w:rPr>
        <w:t>consecutive</w:t>
      </w:r>
      <w:r>
        <w:rPr>
          <w:lang w:eastAsia="zh-CN"/>
        </w:rPr>
        <w:t xml:space="preserve"> slots, which is not compliant with the multi-slot PDCCH monitoring capability. Another potential issue is pointed out for Type 0/0A/1/2 PDCCH CSS. </w:t>
      </w:r>
    </w:p>
    <w:p>
      <w:pPr>
        <w:rPr>
          <w:b/>
        </w:rPr>
      </w:pPr>
      <w:r>
        <w:rPr>
          <w:b/>
          <w:bCs/>
          <w:highlight w:val="cyan"/>
          <w:lang w:val="en-GB" w:eastAsia="zh-CN"/>
        </w:rPr>
        <w:t>FL Suggestions: Considering discussion during RAN1#106e, it is suggested to come back to this issue after progress on Topic A1.</w:t>
      </w:r>
    </w:p>
    <w:p>
      <w:pPr>
        <w:pStyle w:val="4"/>
        <w:rPr>
          <w:lang w:val="en-GB" w:eastAsia="zh-CN"/>
        </w:rPr>
      </w:pPr>
      <w:r>
        <w:rPr>
          <w:lang w:val="en-GB" w:eastAsia="zh-CN"/>
        </w:rPr>
        <w:t>Issue A2-4: SS set group switching</w:t>
      </w:r>
    </w:p>
    <w:p>
      <w:pPr>
        <w:rPr>
          <w:b/>
          <w:bCs/>
        </w:rPr>
      </w:pPr>
      <w:r>
        <w:rPr>
          <w:b/>
          <w:bCs/>
          <w:highlight w:val="cyan"/>
        </w:rPr>
        <w:t>FL Summary:</w:t>
      </w:r>
    </w:p>
    <w:p>
      <w:r>
        <w:t>Many companies support SSSG switching for 480/960 kHz, which seems to be a natural extension of the Rel-16 functionality, so it may not need explicit agreement. However, without agreeing corresponding minimum switching times the switching feature would not be available for SCS greater than 60 kHz kHz.</w:t>
      </w:r>
    </w:p>
    <w:p>
      <w:r>
        <w:t>An open item is whether SSSG switching can support switching between PDCCH multi-slot monitoring periodicities (and per-slot monitoing, if supported).</w:t>
      </w:r>
    </w:p>
    <w:p>
      <w:pPr>
        <w:rPr>
          <w:b/>
          <w:bCs/>
          <w:lang w:val="en-GB" w:eastAsia="zh-CN"/>
        </w:rPr>
      </w:pPr>
      <w:r>
        <w:rPr>
          <w:b/>
          <w:bCs/>
          <w:highlight w:val="cyan"/>
          <w:lang w:val="en-GB" w:eastAsia="zh-CN"/>
        </w:rPr>
        <w:t>FL Suggestions: To be discussed after progress on Topic A1 and N1 timeline.</w:t>
      </w:r>
    </w:p>
    <w:p>
      <w:pPr>
        <w:rPr>
          <w:lang w:val="en-GB" w:eastAsia="zh-CN"/>
        </w:rPr>
      </w:pPr>
    </w:p>
    <w:p>
      <w:pPr>
        <w:pStyle w:val="3"/>
      </w:pPr>
      <w:r>
        <w:t>Topic A3: BD Budget/Dropping</w:t>
      </w:r>
    </w:p>
    <w:p>
      <w:pPr>
        <w:pStyle w:val="4"/>
        <w:rPr>
          <w:lang w:val="en-GB" w:eastAsia="zh-CN"/>
        </w:rPr>
      </w:pPr>
      <w:r>
        <w:rPr>
          <w:lang w:val="en-GB" w:eastAsia="zh-CN"/>
        </w:rPr>
        <w:t>Issue A3-1: PDCCH candidates and non-overlapped CCEs for 480/960 kHz</w:t>
      </w:r>
    </w:p>
    <w:p>
      <w:pPr>
        <w:pStyle w:val="5"/>
        <w:rPr>
          <w:sz w:val="22"/>
          <w:szCs w:val="22"/>
        </w:rPr>
      </w:pPr>
      <w:r>
        <w:rPr>
          <w:sz w:val="22"/>
          <w:szCs w:val="22"/>
        </w:rPr>
        <w:t>First round discussion</w:t>
      </w:r>
    </w:p>
    <w:p>
      <w:pPr>
        <w:rPr>
          <w:lang w:val="en-GB" w:eastAsia="zh-CN"/>
        </w:rPr>
      </w:pPr>
      <w:r>
        <w:rPr>
          <w:lang w:val="en-GB" w:eastAsia="zh-CN"/>
        </w:rPr>
        <w:t>Many companies suggest to take the numbers for 120 kHz as the reference for multi-slot monitoring.</w:t>
      </w:r>
    </w:p>
    <w:p>
      <w:pPr>
        <w:rPr>
          <w:lang w:val="en-GB" w:eastAsia="zh-CN"/>
        </w:rPr>
      </w:pPr>
      <w:r>
        <w:rPr>
          <w:highlight w:val="cyan"/>
          <w:lang w:val="en-GB" w:eastAsia="zh-CN"/>
        </w:rPr>
        <w:t>FL Suggestion:</w:t>
      </w:r>
    </w:p>
    <w:p>
      <w:pPr>
        <w:pStyle w:val="73"/>
        <w:numPr>
          <w:ilvl w:val="0"/>
          <w:numId w:val="19"/>
        </w:numPr>
        <w:rPr>
          <w:lang w:val="en-GB" w:eastAsia="zh-CN"/>
        </w:rPr>
      </w:pPr>
      <w:r>
        <w:rPr>
          <w:b/>
          <w:bCs/>
        </w:rPr>
        <w:t>The maximum number of monitored PDCCH candidates per X=4 slots for a DL BWP with 480 kHz SCS configuration</w:t>
      </w:r>
      <w:r>
        <w:rPr>
          <w:rFonts w:hint="eastAsia"/>
          <w:b/>
          <w:bCs/>
          <w:lang w:eastAsia="zh-CN"/>
        </w:rPr>
        <w:t xml:space="preserve"> </w:t>
      </w:r>
      <w:r>
        <w:rPr>
          <w:b/>
          <w:bCs/>
        </w:rPr>
        <w:t>for a single serving cell is 20.</w:t>
      </w:r>
    </w:p>
    <w:p>
      <w:pPr>
        <w:pStyle w:val="73"/>
        <w:numPr>
          <w:ilvl w:val="0"/>
          <w:numId w:val="19"/>
        </w:numPr>
        <w:rPr>
          <w:lang w:val="en-GB" w:eastAsia="zh-CN"/>
        </w:rPr>
      </w:pPr>
      <w:r>
        <w:rPr>
          <w:b/>
          <w:bCs/>
        </w:rPr>
        <w:t>The maximum number of monitored PDCCH candidates per</w:t>
      </w:r>
      <w:r>
        <w:rPr>
          <w:b/>
          <w:bCs/>
          <w:color w:val="FF0000"/>
        </w:rPr>
        <w:t xml:space="preserve"> </w:t>
      </w:r>
      <w:r>
        <w:rPr>
          <w:b/>
          <w:bCs/>
        </w:rPr>
        <w:t>X=8 slots for a DL BWP with 960 kHz SCS configuration</w:t>
      </w:r>
      <w:r>
        <w:rPr>
          <w:rFonts w:hint="eastAsia"/>
          <w:b/>
          <w:bCs/>
          <w:lang w:eastAsia="zh-CN"/>
        </w:rPr>
        <w:t xml:space="preserve"> </w:t>
      </w:r>
      <w:r>
        <w:rPr>
          <w:b/>
          <w:bCs/>
        </w:rPr>
        <w:t>for a single serving cell is 20.</w:t>
      </w:r>
    </w:p>
    <w:p>
      <w:pPr>
        <w:pStyle w:val="73"/>
        <w:numPr>
          <w:ilvl w:val="0"/>
          <w:numId w:val="19"/>
        </w:numPr>
        <w:rPr>
          <w:lang w:val="en-GB" w:eastAsia="zh-CN"/>
        </w:rPr>
      </w:pPr>
      <w:r>
        <w:rPr>
          <w:b/>
          <w:bCs/>
        </w:rPr>
        <w:t>The maximum number of of non-overlapped CCEs per</w:t>
      </w:r>
      <w:r>
        <w:rPr>
          <w:b/>
          <w:bCs/>
          <w:color w:val="FF0000"/>
        </w:rPr>
        <w:t xml:space="preserve"> </w:t>
      </w:r>
      <w:r>
        <w:rPr>
          <w:b/>
          <w:bCs/>
        </w:rPr>
        <w:t>X=4 slots for a DL BWP with 480 kHz SCS configuration</w:t>
      </w:r>
      <w:r>
        <w:rPr>
          <w:rFonts w:hint="eastAsia"/>
          <w:b/>
          <w:bCs/>
          <w:lang w:eastAsia="zh-CN"/>
        </w:rPr>
        <w:t xml:space="preserve"> </w:t>
      </w:r>
      <w:r>
        <w:rPr>
          <w:b/>
          <w:bCs/>
        </w:rPr>
        <w:t>for a single serving cell is 32.</w:t>
      </w:r>
    </w:p>
    <w:p>
      <w:pPr>
        <w:pStyle w:val="73"/>
        <w:numPr>
          <w:ilvl w:val="0"/>
          <w:numId w:val="19"/>
        </w:numPr>
        <w:rPr>
          <w:lang w:val="en-GB" w:eastAsia="zh-CN"/>
        </w:rPr>
      </w:pPr>
      <w:r>
        <w:rPr>
          <w:b/>
          <w:bCs/>
        </w:rPr>
        <w:t>The maximum number of of non-overlapped CCEs per</w:t>
      </w:r>
      <w:r>
        <w:rPr>
          <w:b/>
          <w:bCs/>
          <w:color w:val="FF0000"/>
        </w:rPr>
        <w:t xml:space="preserve"> </w:t>
      </w:r>
      <w:r>
        <w:rPr>
          <w:b/>
          <w:bCs/>
        </w:rPr>
        <w:t>X=8 slots for a DL BWP with 960 kHz SCS configuration</w:t>
      </w:r>
      <w:r>
        <w:rPr>
          <w:rFonts w:hint="eastAsia"/>
          <w:b/>
          <w:bCs/>
          <w:lang w:eastAsia="zh-CN"/>
        </w:rPr>
        <w:t xml:space="preserve"> </w:t>
      </w:r>
      <w:r>
        <w:rPr>
          <w:b/>
          <w:bCs/>
        </w:rPr>
        <w:t>for a single serving cell is 32.</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rPr>
                <w:lang w:eastAsia="zh-CN"/>
              </w:rPr>
            </w:pPr>
            <w:r>
              <w:rPr>
                <w:lang w:eastAsia="zh-CN"/>
              </w:rPr>
              <w:t>Support the FL suggestion for issue A3-1.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Futurewei</w:t>
            </w:r>
          </w:p>
        </w:tc>
        <w:tc>
          <w:tcPr>
            <w:tcW w:w="12176" w:type="dxa"/>
            <w:vAlign w:val="center"/>
          </w:tcPr>
          <w:p>
            <w:pPr>
              <w:widowControl w:val="0"/>
              <w:rPr>
                <w:sz w:val="20"/>
                <w:lang w:eastAsia="zh-CN"/>
              </w:rPr>
            </w:pPr>
            <w:r>
              <w:rPr>
                <w:sz w:val="20"/>
                <w:lang w:eastAsia="zh-CN"/>
              </w:rPr>
              <w:t>Support the FL proposal for A3-1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Lenovo, Motorola Mobility</w:t>
            </w:r>
          </w:p>
        </w:tc>
        <w:tc>
          <w:tcPr>
            <w:tcW w:w="12176" w:type="dxa"/>
            <w:vAlign w:val="center"/>
          </w:tcPr>
          <w:p>
            <w:pPr>
              <w:widowControl w:val="0"/>
              <w:rPr>
                <w:sz w:val="20"/>
                <w:lang w:eastAsia="zh-CN"/>
              </w:rPr>
            </w:pPr>
            <w:r>
              <w:rPr>
                <w:lang w:eastAsia="zh-CN"/>
              </w:rPr>
              <w:t>We support the FL suggestion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Qualcomm</w:t>
            </w:r>
          </w:p>
        </w:tc>
        <w:tc>
          <w:tcPr>
            <w:tcW w:w="12176" w:type="dxa"/>
            <w:vAlign w:val="center"/>
          </w:tcPr>
          <w:p>
            <w:pPr>
              <w:widowControl w:val="0"/>
              <w:rPr>
                <w:lang w:eastAsia="zh-CN"/>
              </w:rPr>
            </w:pPr>
            <w:r>
              <w:rPr>
                <w:lang w:eastAsia="zh-CN"/>
              </w:rPr>
              <w:t>We support the suggestion. To simplify design and considering the limited time budget, we think the existing numbers for 12- kHz can be good references.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InterDigital</w:t>
            </w:r>
          </w:p>
        </w:tc>
        <w:tc>
          <w:tcPr>
            <w:tcW w:w="12176" w:type="dxa"/>
            <w:vAlign w:val="center"/>
          </w:tcPr>
          <w:p>
            <w:pPr>
              <w:widowControl w:val="0"/>
              <w:rPr>
                <w:lang w:eastAsia="zh-CN"/>
              </w:rPr>
            </w:pPr>
            <w:r>
              <w:rPr>
                <w:lang w:eastAsia="zh-CN"/>
              </w:rPr>
              <w:t xml:space="preserve">We are fine with the FL suggestion.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rPr>
                <w:lang w:eastAsia="zh-CN"/>
              </w:rPr>
            </w:pPr>
            <w:r>
              <w:rPr>
                <w:lang w:eastAsia="zh-CN"/>
              </w:rPr>
              <w:t>We are fine with the FL’s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Samsung</w:t>
            </w:r>
          </w:p>
        </w:tc>
        <w:tc>
          <w:tcPr>
            <w:tcW w:w="12176" w:type="dxa"/>
            <w:vAlign w:val="center"/>
          </w:tcPr>
          <w:p>
            <w:pPr>
              <w:widowControl w:val="0"/>
              <w:rPr>
                <w:lang w:eastAsia="zh-CN"/>
              </w:rPr>
            </w:pPr>
            <w:r>
              <w:rPr>
                <w:lang w:eastAsia="zh-CN"/>
              </w:rPr>
              <w:t xml:space="preserve">We believe the BD/CCE limits should be determined by both X and Y. What’s the value of Y in the proposals, or they apply to all the supported value of Y?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rPr>
              <w:t>Huawei, HiSilicon</w:t>
            </w:r>
          </w:p>
        </w:tc>
        <w:tc>
          <w:tcPr>
            <w:tcW w:w="12176" w:type="dxa"/>
            <w:vAlign w:val="center"/>
          </w:tcPr>
          <w:p>
            <w:pPr>
              <w:widowControl w:val="0"/>
              <w:rPr>
                <w:lang w:eastAsia="zh-CN"/>
              </w:rPr>
            </w:pPr>
            <w:r>
              <w:rPr>
                <w:rFonts w:hint="eastAsia"/>
                <w:lang w:eastAsia="zh-CN"/>
              </w:rPr>
              <w:t xml:space="preserve">We support the </w:t>
            </w:r>
            <w:r>
              <w:rPr>
                <w:lang w:eastAsia="zh-CN"/>
              </w:rPr>
              <w:t xml:space="preserve">FL suggestion. The BD/CCE limits apply for X slots, with monitoring constraints for some search spaces are based on Y slots.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eastAsia="MS Mincho"/>
                <w:lang w:eastAsia="ja-JP"/>
              </w:rPr>
              <w:t>Sharp</w:t>
            </w:r>
          </w:p>
        </w:tc>
        <w:tc>
          <w:tcPr>
            <w:tcW w:w="12176" w:type="dxa"/>
            <w:vAlign w:val="center"/>
          </w:tcPr>
          <w:p>
            <w:pPr>
              <w:widowControl w:val="0"/>
              <w:rPr>
                <w:lang w:eastAsia="zh-CN"/>
              </w:rPr>
            </w:pPr>
            <w:r>
              <w:rPr>
                <w:rFonts w:hint="eastAsia" w:eastAsia="MS Mincho"/>
                <w:lang w:eastAsia="ja-JP"/>
              </w:rPr>
              <w:t>We support the FL suggestion.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eastAsia="MS Mincho"/>
                <w:lang w:eastAsia="ja-JP"/>
              </w:rPr>
            </w:pPr>
            <w:r>
              <w:rPr>
                <w:rFonts w:hint="eastAsia" w:eastAsia="MS Mincho"/>
                <w:lang w:eastAsia="ja-JP"/>
              </w:rPr>
              <w:t>N</w:t>
            </w:r>
            <w:r>
              <w:rPr>
                <w:rFonts w:eastAsia="MS Mincho"/>
                <w:lang w:eastAsia="ja-JP"/>
              </w:rPr>
              <w:t>TT DOCOMO</w:t>
            </w:r>
          </w:p>
        </w:tc>
        <w:tc>
          <w:tcPr>
            <w:tcW w:w="12176" w:type="dxa"/>
            <w:vAlign w:val="center"/>
          </w:tcPr>
          <w:p>
            <w:pPr>
              <w:widowControl w:val="0"/>
              <w:rPr>
                <w:rFonts w:eastAsia="MS Mincho"/>
                <w:lang w:eastAsia="ja-JP"/>
              </w:rPr>
            </w:pPr>
            <w:r>
              <w:rPr>
                <w:rFonts w:eastAsia="MS Mincho"/>
                <w:lang w:eastAsia="ja-JP"/>
              </w:rPr>
              <w:t>We support the FL suggestion.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One clarification is needed, as Samsung already commented, that the above suggestion means fixing the BD/CCE budget for X=4/8 regardless of Y duration within X?</w:t>
            </w:r>
            <w:r>
              <w:t xml:space="preserve"> </w:t>
            </w:r>
            <w:r>
              <w:rPr>
                <w:lang w:eastAsia="zh-CN"/>
              </w:rPr>
              <w:t>We think that even for the same X, support different BD/CCE budget depending on Y can be beneficial. For example, when Y=1, it may be helpful to take a value smaller than the above budget in order to reduce the UE burden. Therefore, it would be good to define the BD/CCE budget for each supportable (X,Y).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lang w:eastAsia="zh-CN"/>
              </w:rPr>
            </w:pPr>
            <w:r>
              <w:rPr>
                <w:rFonts w:hint="eastAsia"/>
                <w:lang w:eastAsia="zh-CN"/>
              </w:rPr>
              <w:t>v</w:t>
            </w:r>
            <w:r>
              <w:rPr>
                <w:lang w:eastAsia="zh-CN"/>
              </w:rPr>
              <w:t>ivo</w:t>
            </w:r>
          </w:p>
        </w:tc>
        <w:tc>
          <w:tcPr>
            <w:tcW w:w="12176" w:type="dxa"/>
            <w:vAlign w:val="center"/>
          </w:tcPr>
          <w:p>
            <w:pPr>
              <w:widowControl w:val="0"/>
              <w:rPr>
                <w:lang w:eastAsia="zh-CN"/>
              </w:rPr>
            </w:pPr>
            <w:r>
              <w:rPr>
                <w:rFonts w:hint="eastAsia"/>
                <w:lang w:eastAsia="zh-CN"/>
              </w:rPr>
              <w:t>S</w:t>
            </w:r>
            <w:r>
              <w:rPr>
                <w:lang w:eastAsia="zh-CN"/>
              </w:rPr>
              <w:t>upport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hint="eastAsia" w:ascii="Times New Roman" w:hAnsi="Times New Roman" w:cs="Times New Roman" w:eastAsiaTheme="minorEastAsia"/>
                <w:sz w:val="22"/>
                <w:szCs w:val="22"/>
                <w:lang w:val="en-US" w:eastAsia="zh-CN" w:bidi="ar-SA"/>
              </w:rPr>
            </w:pPr>
            <w:r>
              <w:rPr>
                <w:rFonts w:hint="eastAsia"/>
                <w:sz w:val="22"/>
                <w:szCs w:val="22"/>
                <w:lang w:eastAsia="zh-CN"/>
              </w:rPr>
              <w:t>ZTE, Sanechips</w:t>
            </w:r>
          </w:p>
        </w:tc>
        <w:tc>
          <w:tcPr>
            <w:tcW w:w="12176" w:type="dxa"/>
            <w:vAlign w:val="center"/>
          </w:tcPr>
          <w:p>
            <w:pPr>
              <w:widowControl w:val="0"/>
              <w:rPr>
                <w:rFonts w:hint="eastAsia" w:ascii="Times New Roman" w:hAnsi="Times New Roman" w:cs="Times New Roman" w:eastAsiaTheme="minorEastAsia"/>
                <w:sz w:val="22"/>
                <w:szCs w:val="22"/>
                <w:lang w:val="en-US" w:eastAsia="zh-CN" w:bidi="ar-SA"/>
              </w:rPr>
            </w:pPr>
            <w:r>
              <w:rPr>
                <w:lang w:eastAsia="zh-CN"/>
              </w:rPr>
              <w:t>We support the FL suggestion</w:t>
            </w:r>
            <w:r>
              <w:rPr>
                <w:rFonts w:hint="eastAsia"/>
                <w:lang w:val="en-US" w:eastAsia="zh-CN"/>
              </w:rPr>
              <w:t>.</w:t>
            </w:r>
          </w:p>
        </w:tc>
      </w:tr>
    </w:tbl>
    <w:p>
      <w:pPr>
        <w:rPr>
          <w:lang w:eastAsia="zh-CN"/>
        </w:rPr>
      </w:pPr>
    </w:p>
    <w:p>
      <w:pPr>
        <w:pStyle w:val="4"/>
        <w:rPr>
          <w:lang w:val="en-GB" w:eastAsia="zh-CN"/>
        </w:rPr>
      </w:pPr>
      <w:r>
        <w:rPr>
          <w:lang w:val="en-GB" w:eastAsia="zh-CN"/>
        </w:rPr>
        <w:t>Issue A3-2: PDCCH candidate dropping for 480/960 kHz</w:t>
      </w:r>
    </w:p>
    <w:p>
      <w:pPr>
        <w:pStyle w:val="5"/>
        <w:rPr>
          <w:sz w:val="22"/>
          <w:szCs w:val="22"/>
        </w:rPr>
      </w:pPr>
      <w:r>
        <w:rPr>
          <w:sz w:val="22"/>
          <w:szCs w:val="22"/>
        </w:rPr>
        <w:t>First round discussion</w:t>
      </w:r>
    </w:p>
    <w:p>
      <w:pPr>
        <w:rPr>
          <w:lang w:val="en-GB" w:eastAsia="zh-CN"/>
        </w:rPr>
      </w:pPr>
      <w:r>
        <w:rPr>
          <w:highlight w:val="cyan"/>
          <w:lang w:val="en-GB" w:eastAsia="zh-CN"/>
        </w:rPr>
        <w:t>FL Suggestion:</w:t>
      </w:r>
      <w:r>
        <w:rPr>
          <w:lang w:val="en-GB" w:eastAsia="zh-CN"/>
        </w:rPr>
        <w:t xml:space="preserve"> Please comment on the following proposals:</w:t>
      </w:r>
    </w:p>
    <w:p>
      <w:pPr>
        <w:rPr>
          <w:bCs/>
          <w:iCs/>
          <w:color w:val="000000"/>
        </w:rPr>
      </w:pPr>
      <w:r>
        <w:rPr>
          <w:lang w:val="en-GB" w:eastAsia="zh-CN"/>
        </w:rPr>
        <w:t>R1-2108768 (Huawei, HiSilicon):</w:t>
      </w:r>
      <w:r>
        <w:rPr>
          <w:lang w:val="en-GB" w:eastAsia="zh-CN"/>
        </w:rPr>
        <w:br w:type="textWrapping"/>
      </w:r>
      <w:r>
        <w:rPr>
          <w:bCs/>
          <w:iCs/>
          <w:color w:val="000000"/>
        </w:rPr>
        <w:t>All PDCCH candidates for UE-SS k with k&gt;=j across the Y slots will be dropped if the number of monitored PDCCH candidates and non-overlapped CCE exceeding the maximum numbers per X-slot after SS j is added.</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rPr>
                <w:lang w:eastAsia="zh-CN"/>
              </w:rPr>
            </w:pPr>
            <w:r>
              <w:rPr>
                <w:lang w:eastAsia="zh-CN"/>
              </w:rPr>
              <w:t>We agree with the above proposal in principle, but we want to clarify two points:</w:t>
            </w:r>
          </w:p>
          <w:p>
            <w:pPr>
              <w:pStyle w:val="73"/>
              <w:widowControl w:val="0"/>
              <w:numPr>
                <w:ilvl w:val="0"/>
                <w:numId w:val="20"/>
              </w:numPr>
              <w:rPr>
                <w:lang w:eastAsia="zh-CN"/>
              </w:rPr>
            </w:pPr>
            <w:r>
              <w:rPr>
                <w:lang w:eastAsia="zh-CN"/>
              </w:rPr>
              <w:t>Shouldn't it be k &gt; j (instead of k &gt;= j)?</w:t>
            </w:r>
          </w:p>
          <w:p>
            <w:pPr>
              <w:pStyle w:val="73"/>
              <w:widowControl w:val="0"/>
              <w:numPr>
                <w:ilvl w:val="1"/>
                <w:numId w:val="20"/>
              </w:numPr>
              <w:rPr>
                <w:lang w:eastAsia="zh-CN"/>
              </w:rPr>
            </w:pPr>
            <w:r>
              <w:rPr>
                <w:lang w:eastAsia="zh-CN"/>
              </w:rPr>
              <w:t>We assume that the BD/CCE budget is checked in order of increasing SS index (as in in Rel-15) and that the budget is not exceeded for SS's up to (and including) SS index j. Is this correct understanding?</w:t>
            </w:r>
          </w:p>
          <w:p>
            <w:pPr>
              <w:pStyle w:val="73"/>
              <w:widowControl w:val="0"/>
              <w:numPr>
                <w:ilvl w:val="0"/>
                <w:numId w:val="20"/>
              </w:numPr>
              <w:rPr>
                <w:lang w:eastAsia="zh-CN"/>
              </w:rPr>
            </w:pPr>
            <w:r>
              <w:rPr>
                <w:lang w:eastAsia="zh-CN"/>
              </w:rPr>
              <w:t xml:space="preserve">Is the wording "after SS j is added" meant to convey the idea that SS j is </w:t>
            </w:r>
            <w:r>
              <w:rPr>
                <w:u w:val="single"/>
                <w:lang w:eastAsia="zh-CN"/>
              </w:rPr>
              <w:t>configured?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Futurewei</w:t>
            </w:r>
          </w:p>
        </w:tc>
        <w:tc>
          <w:tcPr>
            <w:tcW w:w="12176" w:type="dxa"/>
            <w:vAlign w:val="center"/>
          </w:tcPr>
          <w:p>
            <w:pPr>
              <w:widowControl w:val="0"/>
              <w:rPr>
                <w:sz w:val="20"/>
                <w:lang w:eastAsia="zh-CN"/>
              </w:rPr>
            </w:pPr>
            <w:r>
              <w:rPr>
                <w:sz w:val="20"/>
                <w:lang w:eastAsia="zh-CN"/>
              </w:rPr>
              <w:t>We agree with the proposal. Our understanding of the text indicates that Ericcson suggestions are not necessary, i.e. the first SS index to  exceed the maximum number is SS j, and so all the next SS k, therefore SSj and SSk will be dropped , which equivalent to drop SSk with k&gt;=j</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Qualcomm</w:t>
            </w:r>
          </w:p>
        </w:tc>
        <w:tc>
          <w:tcPr>
            <w:tcW w:w="12176" w:type="dxa"/>
            <w:vAlign w:val="center"/>
          </w:tcPr>
          <w:p>
            <w:pPr>
              <w:widowControl w:val="0"/>
              <w:rPr>
                <w:sz w:val="20"/>
                <w:lang w:eastAsia="zh-CN"/>
              </w:rPr>
            </w:pPr>
            <w:r>
              <w:rPr>
                <w:lang w:eastAsia="zh-CN"/>
              </w:rPr>
              <w:t>The proposal is acceptable if we decide to select Alt 1 in A1-1. The proposal is a direct extension of the overbooking rule for Rel-15 slot-based PDCCH monitoring, and levering the existing design will reduce the burden of the discussion.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rPr>
                <w:lang w:eastAsia="zh-CN"/>
              </w:rPr>
            </w:pPr>
            <w:r>
              <w:rPr>
                <w:lang w:eastAsia="zh-CN"/>
              </w:rPr>
              <w:t>We are fine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Samsung</w:t>
            </w:r>
          </w:p>
        </w:tc>
        <w:tc>
          <w:tcPr>
            <w:tcW w:w="12176" w:type="dxa"/>
            <w:vAlign w:val="center"/>
          </w:tcPr>
          <w:p>
            <w:pPr>
              <w:widowControl w:val="0"/>
              <w:rPr>
                <w:lang w:eastAsia="zh-CN"/>
              </w:rPr>
            </w:pPr>
            <w:r>
              <w:rPr>
                <w:lang w:eastAsia="zh-CN"/>
              </w:rPr>
              <w:t xml:space="preserve">Firstly, we think PDCCH candidates dropping is performed on configured PDCCH monitoring occasions or span, limited by Y/X, but not across the Y slots. The actual configured PDCCH MOs can be less than Y slots. In addition, the PDCCH candidates is configured per slot based on current SS set configuration. So it makes sense to consider PDCCH candidate dropping per slot within a span &lt;=Y slots.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rPr>
              <w:t>Huawei, HiSilicon</w:t>
            </w:r>
          </w:p>
        </w:tc>
        <w:tc>
          <w:tcPr>
            <w:tcW w:w="12176" w:type="dxa"/>
            <w:vAlign w:val="center"/>
          </w:tcPr>
          <w:p>
            <w:pPr>
              <w:widowControl w:val="0"/>
              <w:rPr>
                <w:lang w:eastAsia="zh-CN"/>
              </w:rPr>
            </w:pPr>
            <w:r>
              <w:rPr>
                <w:lang w:eastAsia="zh-CN"/>
              </w:rPr>
              <w:t>W</w:t>
            </w:r>
            <w:r>
              <w:rPr>
                <w:rFonts w:hint="eastAsia"/>
                <w:lang w:eastAsia="zh-CN"/>
              </w:rPr>
              <w:t xml:space="preserve">e </w:t>
            </w:r>
            <w:r>
              <w:rPr>
                <w:lang w:eastAsia="zh-CN"/>
              </w:rPr>
              <w:t>agree that the description in our proposal could be made clearer, as provided below:</w:t>
            </w:r>
          </w:p>
          <w:p>
            <w:pPr>
              <w:widowControl w:val="0"/>
              <w:rPr>
                <w:lang w:eastAsia="zh-CN"/>
              </w:rPr>
            </w:pPr>
          </w:p>
          <w:p>
            <w:pPr>
              <w:widowControl w:val="0"/>
              <w:rPr>
                <w:lang w:eastAsia="zh-CN"/>
              </w:rPr>
            </w:pPr>
            <w:r>
              <w:rPr>
                <w:lang w:eastAsia="zh-CN"/>
              </w:rPr>
              <w:t>All PDCCH candidates for UE-SS k with k&gt;=j across the Y slots will be dropped if the number of monitored PDCCH candidates and non-overlapped CCE exceeds the maximum numbers per X-slot after SS j is added (assuming that the BD/CCE budget is checked in order of increasing SS index (as in in Rel-15)) but doesn’t exceed the budget before SS j is added.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eastAsia="MS Mincho"/>
                <w:lang w:eastAsia="ja-JP"/>
              </w:rPr>
              <w:t>Sharp</w:t>
            </w:r>
          </w:p>
        </w:tc>
        <w:tc>
          <w:tcPr>
            <w:tcW w:w="12176" w:type="dxa"/>
            <w:vAlign w:val="center"/>
          </w:tcPr>
          <w:p>
            <w:pPr>
              <w:widowControl w:val="0"/>
              <w:rPr>
                <w:lang w:eastAsia="zh-CN"/>
              </w:rPr>
            </w:pPr>
            <w:r>
              <w:rPr>
                <w:rFonts w:hint="eastAsia" w:eastAsia="MS Mincho"/>
                <w:lang w:eastAsia="ja-JP"/>
              </w:rPr>
              <w:t xml:space="preserve">We agree with the proposal. </w:t>
            </w:r>
            <w:r>
              <w:rPr>
                <w:rFonts w:eastAsia="MS Mincho"/>
                <w:lang w:eastAsia="ja-JP"/>
              </w:rPr>
              <w:t>The existing design should be utilized due to limited time for discussion.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eastAsia="MS Mincho"/>
                <w:lang w:eastAsia="ja-JP"/>
              </w:rPr>
            </w:pPr>
            <w:r>
              <w:rPr>
                <w:rFonts w:hint="eastAsia" w:eastAsia="MS Mincho"/>
                <w:lang w:eastAsia="ja-JP"/>
              </w:rPr>
              <w:t>N</w:t>
            </w:r>
            <w:r>
              <w:rPr>
                <w:rFonts w:eastAsia="MS Mincho"/>
                <w:lang w:eastAsia="ja-JP"/>
              </w:rPr>
              <w:t>TT DOCOMO</w:t>
            </w:r>
          </w:p>
        </w:tc>
        <w:tc>
          <w:tcPr>
            <w:tcW w:w="12176" w:type="dxa"/>
            <w:vAlign w:val="center"/>
          </w:tcPr>
          <w:p>
            <w:pPr>
              <w:widowControl w:val="0"/>
              <w:rPr>
                <w:rFonts w:eastAsia="MS Mincho"/>
                <w:lang w:eastAsia="ja-JP"/>
              </w:rPr>
            </w:pPr>
            <w:r>
              <w:rPr>
                <w:rFonts w:eastAsia="MS Mincho"/>
                <w:lang w:eastAsia="ja-JP"/>
              </w:rPr>
              <w:t>We agree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We agree with the proposal based on the same interpretation as Futurewei for the wording “after SS j is added”.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ascii="Times New Roman" w:hAnsi="Times New Roman" w:cs="Times New Roman" w:eastAsiaTheme="minorEastAsia"/>
                <w:sz w:val="22"/>
                <w:szCs w:val="22"/>
                <w:lang w:val="en-US" w:eastAsia="en-US" w:bidi="ar-SA"/>
              </w:rPr>
            </w:pPr>
            <w:r>
              <w:rPr>
                <w:rFonts w:hint="eastAsia"/>
                <w:sz w:val="22"/>
                <w:szCs w:val="22"/>
                <w:lang w:eastAsia="zh-CN"/>
              </w:rPr>
              <w:t>ZTE, Sanechips</w:t>
            </w:r>
          </w:p>
        </w:tc>
        <w:tc>
          <w:tcPr>
            <w:tcW w:w="12176" w:type="dxa"/>
            <w:vAlign w:val="center"/>
          </w:tcPr>
          <w:p>
            <w:pPr>
              <w:widowControl w:val="0"/>
              <w:rPr>
                <w:rFonts w:hint="default" w:ascii="Times New Roman" w:hAnsi="Times New Roman" w:cs="Times New Roman" w:eastAsiaTheme="minorEastAsia"/>
                <w:sz w:val="22"/>
                <w:szCs w:val="22"/>
                <w:lang w:val="en-US" w:eastAsia="zh-CN" w:bidi="ar-SA"/>
              </w:rPr>
            </w:pPr>
            <w:r>
              <w:rPr>
                <w:rFonts w:hint="eastAsia"/>
                <w:lang w:val="en-US" w:eastAsia="zh-CN"/>
              </w:rPr>
              <w:t>We are fine with the propoosal.</w:t>
            </w:r>
          </w:p>
        </w:tc>
      </w:tr>
    </w:tbl>
    <w:p>
      <w:pPr>
        <w:rPr>
          <w:lang w:eastAsia="zh-CN"/>
        </w:rPr>
      </w:pPr>
    </w:p>
    <w:p>
      <w:pPr>
        <w:rPr>
          <w:lang w:val="en-GB" w:eastAsia="zh-CN"/>
        </w:rPr>
      </w:pPr>
      <w:r>
        <w:rPr>
          <w:lang w:val="en-GB" w:eastAsia="zh-CN"/>
        </w:rPr>
        <w:t>R1-2108935 (ZTE, Sanechips):</w:t>
      </w:r>
    </w:p>
    <w:p>
      <w:pPr>
        <w:numPr>
          <w:ilvl w:val="1"/>
          <w:numId w:val="0"/>
        </w:numPr>
        <w:spacing w:after="240" w:line="260" w:lineRule="auto"/>
        <w:jc w:val="both"/>
        <w:rPr>
          <w:rFonts w:eastAsia="宋体"/>
          <w:b/>
          <w:bCs/>
          <w:lang w:eastAsia="zh-CN"/>
        </w:rPr>
      </w:pPr>
      <w:r>
        <w:rPr>
          <w:rFonts w:hint="eastAsia" w:eastAsia="宋体"/>
          <w:b/>
          <w:bCs/>
          <w:lang w:eastAsia="zh-CN"/>
        </w:rPr>
        <w:t>For multi-slot PDCCH monitoring capability, the similar dropping rule as Rel-15 can be used.</w:t>
      </w:r>
    </w:p>
    <w:p>
      <w:pPr>
        <w:numPr>
          <w:ilvl w:val="0"/>
          <w:numId w:val="21"/>
        </w:numPr>
        <w:autoSpaceDE/>
        <w:autoSpaceDN/>
        <w:adjustRightInd/>
        <w:spacing w:after="40" w:line="240" w:lineRule="auto"/>
        <w:ind w:left="1260"/>
        <w:jc w:val="both"/>
        <w:rPr>
          <w:rFonts w:eastAsia="宋体"/>
          <w:b/>
          <w:bCs/>
          <w:lang w:eastAsia="zh-CN"/>
        </w:rPr>
      </w:pPr>
      <w:r>
        <w:rPr>
          <w:rFonts w:hint="eastAsia" w:eastAsia="宋体"/>
          <w:b/>
          <w:bCs/>
          <w:lang w:eastAsia="zh-CN"/>
        </w:rPr>
        <w:t>The SS set dropping rule is only allowed for PCell or PSCell</w:t>
      </w:r>
    </w:p>
    <w:p>
      <w:pPr>
        <w:numPr>
          <w:ilvl w:val="0"/>
          <w:numId w:val="21"/>
        </w:numPr>
        <w:autoSpaceDE/>
        <w:autoSpaceDN/>
        <w:adjustRightInd/>
        <w:spacing w:after="40" w:line="240" w:lineRule="auto"/>
        <w:ind w:left="1260"/>
        <w:jc w:val="both"/>
        <w:rPr>
          <w:rFonts w:eastAsia="宋体"/>
          <w:b/>
          <w:bCs/>
          <w:lang w:eastAsia="zh-CN"/>
        </w:rPr>
      </w:pPr>
      <w:r>
        <w:rPr>
          <w:rFonts w:hint="eastAsia" w:eastAsia="宋体"/>
          <w:b/>
          <w:bCs/>
          <w:lang w:eastAsia="zh-CN"/>
        </w:rPr>
        <w:t>The gNB should guarantee that the configured CSS sets do not exceed a UE</w:t>
      </w:r>
      <w:r>
        <w:rPr>
          <w:rFonts w:eastAsia="宋体"/>
          <w:b/>
          <w:bCs/>
          <w:lang w:eastAsia="zh-CN"/>
        </w:rPr>
        <w:t>’</w:t>
      </w:r>
      <w:r>
        <w:rPr>
          <w:rFonts w:hint="eastAsia" w:eastAsia="宋体"/>
          <w:b/>
          <w:bCs/>
          <w:lang w:eastAsia="zh-CN"/>
        </w:rPr>
        <w:t>s capability</w:t>
      </w:r>
    </w:p>
    <w:p>
      <w:pPr>
        <w:numPr>
          <w:ilvl w:val="0"/>
          <w:numId w:val="21"/>
        </w:numPr>
        <w:autoSpaceDE/>
        <w:autoSpaceDN/>
        <w:adjustRightInd/>
        <w:spacing w:after="40" w:line="240" w:lineRule="auto"/>
        <w:ind w:left="1260"/>
        <w:jc w:val="both"/>
        <w:rPr>
          <w:rFonts w:eastAsia="宋体"/>
          <w:b/>
          <w:bCs/>
          <w:lang w:eastAsia="zh-CN"/>
        </w:rPr>
      </w:pPr>
      <w:r>
        <w:rPr>
          <w:rFonts w:hint="eastAsia" w:eastAsia="宋体"/>
          <w:b/>
          <w:bCs/>
          <w:lang w:eastAsia="zh-CN"/>
        </w:rPr>
        <w:t>The whole USS set in multiple slots with higher SS set index is dropped when overbooking happens.</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rPr>
                <w:lang w:eastAsia="zh-CN"/>
              </w:rPr>
            </w:pPr>
            <w:r>
              <w:rPr>
                <w:lang w:eastAsia="zh-CN"/>
              </w:rPr>
              <w:t>Agree in principle, but the wording can probably be a bit more precise. Our understanding is that the 3</w:t>
            </w:r>
            <w:r>
              <w:rPr>
                <w:vertAlign w:val="superscript"/>
                <w:lang w:eastAsia="zh-CN"/>
              </w:rPr>
              <w:t>rd</w:t>
            </w:r>
            <w:r>
              <w:rPr>
                <w:lang w:eastAsia="zh-CN"/>
              </w:rPr>
              <w:t xml:space="preserve"> bullet is equivalent to Huawei's proposal above.</w:t>
            </w:r>
          </w:p>
          <w:p>
            <w:pPr>
              <w:widowControl w:val="0"/>
              <w:rPr>
                <w:lang w:eastAsia="zh-CN"/>
              </w:rPr>
            </w:pPr>
            <w:r>
              <w:rPr>
                <w:lang w:eastAsia="zh-CN"/>
              </w:rPr>
              <w:t>We think "The whole USS set in multiple slots" should be changed to say "The USS in X-slots"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Futurewei</w:t>
            </w:r>
          </w:p>
        </w:tc>
        <w:tc>
          <w:tcPr>
            <w:tcW w:w="12176" w:type="dxa"/>
            <w:vAlign w:val="center"/>
          </w:tcPr>
          <w:p>
            <w:pPr>
              <w:widowControl w:val="0"/>
              <w:rPr>
                <w:sz w:val="20"/>
                <w:lang w:eastAsia="zh-CN"/>
              </w:rPr>
            </w:pPr>
            <w:r>
              <w:rPr>
                <w:sz w:val="20"/>
                <w:lang w:eastAsia="zh-CN"/>
              </w:rPr>
              <w:t xml:space="preserve">Support the proposal. We have the same understanding as Ericsson regarding the third bullet.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Lenovo, Motorola Mobility</w:t>
            </w:r>
          </w:p>
        </w:tc>
        <w:tc>
          <w:tcPr>
            <w:tcW w:w="12176" w:type="dxa"/>
            <w:vAlign w:val="center"/>
          </w:tcPr>
          <w:p>
            <w:pPr>
              <w:widowControl w:val="0"/>
              <w:rPr>
                <w:sz w:val="20"/>
                <w:lang w:eastAsia="zh-CN"/>
              </w:rPr>
            </w:pPr>
            <w:r>
              <w:rPr>
                <w:lang w:eastAsia="zh-CN"/>
              </w:rPr>
              <w:t>We agree with the proposal from ZTE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Qualcomm</w:t>
            </w:r>
          </w:p>
        </w:tc>
        <w:tc>
          <w:tcPr>
            <w:tcW w:w="12176" w:type="dxa"/>
            <w:vAlign w:val="center"/>
          </w:tcPr>
          <w:p>
            <w:pPr>
              <w:widowControl w:val="0"/>
              <w:rPr>
                <w:lang w:eastAsia="zh-CN"/>
              </w:rPr>
            </w:pPr>
            <w:r>
              <w:rPr>
                <w:lang w:eastAsia="zh-CN"/>
              </w:rPr>
              <w:t xml:space="preserve">As a package with the previous proposal (R1-2108768), we are fine with the proposal, if we decide to select Alt 1 in A1-1.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rPr>
                <w:lang w:eastAsia="zh-CN"/>
              </w:rPr>
            </w:pPr>
            <w:r>
              <w:rPr>
                <w:lang w:eastAsia="zh-CN"/>
              </w:rPr>
              <w:t>We are fine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Samsung</w:t>
            </w:r>
          </w:p>
        </w:tc>
        <w:tc>
          <w:tcPr>
            <w:tcW w:w="12176" w:type="dxa"/>
            <w:vAlign w:val="center"/>
          </w:tcPr>
          <w:p>
            <w:pPr>
              <w:widowControl w:val="0"/>
              <w:rPr>
                <w:lang w:eastAsia="zh-CN"/>
              </w:rPr>
            </w:pPr>
            <w:r>
              <w:rPr>
                <w:lang w:eastAsia="zh-CN"/>
              </w:rPr>
              <w:t xml:space="preserve">We should also consider PDCCH dropping rule for CA case by following Rel-15/16 principle.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rPr>
              <w:t>Huawei, HiSilicon</w:t>
            </w:r>
          </w:p>
        </w:tc>
        <w:tc>
          <w:tcPr>
            <w:tcW w:w="12176" w:type="dxa"/>
            <w:vAlign w:val="center"/>
          </w:tcPr>
          <w:p>
            <w:pPr>
              <w:widowControl w:val="0"/>
              <w:rPr>
                <w:lang w:eastAsia="zh-CN"/>
              </w:rPr>
            </w:pPr>
            <w:r>
              <w:rPr>
                <w:rFonts w:hint="eastAsia"/>
                <w:lang w:eastAsia="zh-CN"/>
              </w:rPr>
              <w:t xml:space="preserve">We agree </w:t>
            </w:r>
            <w:r>
              <w:rPr>
                <w:lang w:eastAsia="zh-CN"/>
              </w:rPr>
              <w:t>with</w:t>
            </w:r>
            <w:r>
              <w:rPr>
                <w:rFonts w:hint="eastAsia"/>
                <w:lang w:eastAsia="zh-CN"/>
              </w:rPr>
              <w:t xml:space="preserve"> </w:t>
            </w:r>
            <w:r>
              <w:rPr>
                <w:lang w:eastAsia="zh-CN"/>
              </w:rPr>
              <w:t>the proposal and agree with Ericsson’s remarks and suggestions.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eastAsia="MS Mincho"/>
                <w:lang w:eastAsia="ja-JP"/>
              </w:rPr>
              <w:t>Sharp</w:t>
            </w:r>
          </w:p>
        </w:tc>
        <w:tc>
          <w:tcPr>
            <w:tcW w:w="12176" w:type="dxa"/>
            <w:vAlign w:val="center"/>
          </w:tcPr>
          <w:p>
            <w:pPr>
              <w:widowControl w:val="0"/>
              <w:rPr>
                <w:lang w:eastAsia="zh-CN"/>
              </w:rPr>
            </w:pPr>
            <w:r>
              <w:rPr>
                <w:rFonts w:hint="eastAsia" w:eastAsia="MS Mincho"/>
                <w:lang w:eastAsia="ja-JP"/>
              </w:rPr>
              <w:t xml:space="preserve">We support the </w:t>
            </w:r>
            <w:r>
              <w:rPr>
                <w:rFonts w:eastAsia="MS Mincho"/>
                <w:lang w:eastAsia="ja-JP"/>
              </w:rPr>
              <w:t>proposal with Ericsson’s modification.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eastAsia="MS Mincho"/>
                <w:lang w:eastAsia="ja-JP"/>
              </w:rPr>
            </w:pPr>
            <w:r>
              <w:rPr>
                <w:rFonts w:hint="eastAsia" w:eastAsia="MS Mincho"/>
                <w:lang w:eastAsia="ja-JP"/>
              </w:rPr>
              <w:t>N</w:t>
            </w:r>
            <w:r>
              <w:rPr>
                <w:rFonts w:eastAsia="MS Mincho"/>
                <w:lang w:eastAsia="ja-JP"/>
              </w:rPr>
              <w:t>TT DOCOMO</w:t>
            </w:r>
          </w:p>
        </w:tc>
        <w:tc>
          <w:tcPr>
            <w:tcW w:w="12176" w:type="dxa"/>
            <w:vAlign w:val="center"/>
          </w:tcPr>
          <w:p>
            <w:pPr>
              <w:widowControl w:val="0"/>
              <w:rPr>
                <w:rFonts w:eastAsia="MS Mincho"/>
                <w:lang w:eastAsia="ja-JP"/>
              </w:rPr>
            </w:pPr>
            <w:r>
              <w:rPr>
                <w:rFonts w:eastAsia="MS Mincho"/>
                <w:lang w:eastAsia="ja-JP"/>
              </w:rPr>
              <w:t>We agree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We agree with the first and second bullets. Is the third bullet the same proposal as R1-2108768 above? If so, our view is the same as above.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ascii="Times New Roman" w:hAnsi="Times New Roman" w:cs="Times New Roman" w:eastAsiaTheme="minorEastAsia"/>
                <w:sz w:val="22"/>
                <w:szCs w:val="22"/>
                <w:lang w:val="en-US" w:eastAsia="en-US" w:bidi="ar-SA"/>
              </w:rPr>
            </w:pPr>
            <w:r>
              <w:rPr>
                <w:rFonts w:hint="eastAsia"/>
                <w:sz w:val="22"/>
                <w:szCs w:val="22"/>
                <w:lang w:eastAsia="zh-CN"/>
              </w:rPr>
              <w:t>ZTE, Sanechips</w:t>
            </w:r>
          </w:p>
        </w:tc>
        <w:tc>
          <w:tcPr>
            <w:tcW w:w="12176" w:type="dxa"/>
            <w:vAlign w:val="center"/>
          </w:tcPr>
          <w:p>
            <w:pPr>
              <w:widowControl w:val="0"/>
              <w:rPr>
                <w:rFonts w:hint="default" w:ascii="Times New Roman" w:hAnsi="Times New Roman" w:cs="Times New Roman" w:eastAsiaTheme="minorEastAsia"/>
                <w:sz w:val="22"/>
                <w:szCs w:val="22"/>
                <w:lang w:val="en-US" w:eastAsia="zh-CN" w:bidi="ar-SA"/>
              </w:rPr>
            </w:pPr>
            <w:r>
              <w:rPr>
                <w:rFonts w:hint="eastAsia"/>
                <w:lang w:val="en-US" w:eastAsia="zh-CN"/>
              </w:rPr>
              <w:t>It is our proposal, if the USS set is configured in multiple slots in a slot group, we should drop the whole USS set with higher SS set index when overbooking happens. But if the wording is confusing to other companies, we are fine to change</w:t>
            </w:r>
            <w:r>
              <w:rPr>
                <w:lang w:eastAsia="zh-CN"/>
              </w:rPr>
              <w:t xml:space="preserve"> "The whole USS set in multiple slots" to "The USS</w:t>
            </w:r>
            <w:r>
              <w:rPr>
                <w:rFonts w:hint="eastAsia"/>
                <w:lang w:val="en-US" w:eastAsia="zh-CN"/>
              </w:rPr>
              <w:t xml:space="preserve"> set</w:t>
            </w:r>
            <w:r>
              <w:rPr>
                <w:lang w:eastAsia="zh-CN"/>
              </w:rPr>
              <w:t xml:space="preserve"> in X-slots"</w:t>
            </w:r>
            <w:r>
              <w:rPr>
                <w:rFonts w:hint="eastAsia"/>
                <w:lang w:val="en-US" w:eastAsia="zh-CN"/>
              </w:rPr>
              <w:t>.</w:t>
            </w:r>
          </w:p>
        </w:tc>
      </w:tr>
    </w:tbl>
    <w:p>
      <w:pPr>
        <w:rPr>
          <w:lang w:eastAsia="zh-CN"/>
        </w:rPr>
      </w:pPr>
    </w:p>
    <w:p>
      <w:pPr>
        <w:rPr>
          <w:lang w:val="en-GB" w:eastAsia="zh-CN"/>
        </w:rPr>
      </w:pPr>
      <w:r>
        <w:rPr>
          <w:lang w:val="en-GB" w:eastAsia="zh-CN"/>
        </w:rPr>
        <w:t>R1-2109599 (Intel):</w:t>
      </w:r>
    </w:p>
    <w:p>
      <w:pPr>
        <w:pStyle w:val="94"/>
        <w:numPr>
          <w:ilvl w:val="0"/>
          <w:numId w:val="22"/>
        </w:numPr>
        <w:spacing w:before="60" w:after="0" w:line="240" w:lineRule="auto"/>
        <w:rPr>
          <w:lang w:eastAsia="zh-CN"/>
        </w:rPr>
      </w:pPr>
      <w:r>
        <w:rPr>
          <w:lang w:eastAsia="zh-CN"/>
        </w:rPr>
        <w:t xml:space="preserve">To handling USS dropping in PDCCH overbooking </w:t>
      </w:r>
    </w:p>
    <w:p>
      <w:pPr>
        <w:pStyle w:val="94"/>
        <w:numPr>
          <w:ilvl w:val="1"/>
          <w:numId w:val="22"/>
        </w:numPr>
        <w:spacing w:before="60" w:after="0" w:line="240" w:lineRule="auto"/>
        <w:rPr>
          <w:lang w:eastAsia="zh-CN"/>
        </w:rPr>
      </w:pPr>
      <w:r>
        <w:rPr>
          <w:lang w:eastAsia="zh-CN"/>
        </w:rPr>
        <w:t>A USS set with largest SS set index is dropped</w:t>
      </w:r>
    </w:p>
    <w:p>
      <w:pPr>
        <w:pStyle w:val="94"/>
        <w:numPr>
          <w:ilvl w:val="1"/>
          <w:numId w:val="22"/>
        </w:numPr>
        <w:spacing w:before="60" w:after="0" w:line="240" w:lineRule="auto"/>
        <w:rPr>
          <w:lang w:eastAsia="zh-CN"/>
        </w:rPr>
      </w:pPr>
      <w:r>
        <w:rPr>
          <w:lang w:eastAsia="zh-CN"/>
        </w:rPr>
        <w:t>If the PDCCH MOs of a USS set are configured in multiple slots in the X slots, the USS set in the multiple slots is dropped slot by slot.</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rPr>
                <w:lang w:eastAsia="zh-CN"/>
              </w:rPr>
            </w:pPr>
            <w:r>
              <w:rPr>
                <w:lang w:eastAsia="zh-CN"/>
              </w:rPr>
              <w:t>We think the dropping should be for the whole X-slots to as proposed by Huawei and ZTE above. Also it is not just the USS with the largest index that may need to be dropped; it could be other SS's too. Generally the checking should be done in order of increasing SS index.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Futurewei</w:t>
            </w:r>
          </w:p>
        </w:tc>
        <w:tc>
          <w:tcPr>
            <w:tcW w:w="12176" w:type="dxa"/>
            <w:vAlign w:val="center"/>
          </w:tcPr>
          <w:p>
            <w:pPr>
              <w:widowControl w:val="0"/>
              <w:rPr>
                <w:sz w:val="20"/>
                <w:lang w:eastAsia="zh-CN"/>
              </w:rPr>
            </w:pPr>
            <w:r>
              <w:rPr>
                <w:sz w:val="20"/>
                <w:lang w:eastAsia="zh-CN"/>
              </w:rPr>
              <w:t>We have the same concern as Ericsson, that the dropping should follow the previous proposals, and the check done in order of increased SS index.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Lenovo, Motorola Mobility</w:t>
            </w:r>
          </w:p>
        </w:tc>
        <w:tc>
          <w:tcPr>
            <w:tcW w:w="12176" w:type="dxa"/>
            <w:vAlign w:val="center"/>
          </w:tcPr>
          <w:p>
            <w:pPr>
              <w:widowControl w:val="0"/>
              <w:rPr>
                <w:sz w:val="20"/>
                <w:lang w:eastAsia="zh-CN"/>
              </w:rPr>
            </w:pPr>
            <w:r>
              <w:rPr>
                <w:lang w:eastAsia="zh-CN"/>
              </w:rPr>
              <w:t>We are open to further considering slot-by-slot dropping in case of USS sets being monitored in multiple slots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Qualcomm</w:t>
            </w:r>
          </w:p>
        </w:tc>
        <w:tc>
          <w:tcPr>
            <w:tcW w:w="12176" w:type="dxa"/>
            <w:vAlign w:val="center"/>
          </w:tcPr>
          <w:p>
            <w:pPr>
              <w:widowControl w:val="0"/>
              <w:rPr>
                <w:lang w:eastAsia="zh-CN"/>
              </w:rPr>
            </w:pPr>
            <w:r>
              <w:rPr>
                <w:lang w:eastAsia="zh-CN"/>
              </w:rPr>
              <w:t>Compared to the above two proposals, the additional benefit of slot-by-slot dropping of USS is not clear, considering the increased complexity. Also, as we commented in A1-1, if we limit Y to 1 slot, the discussion is not needed.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MediaTek</w:t>
            </w:r>
          </w:p>
        </w:tc>
        <w:tc>
          <w:tcPr>
            <w:tcW w:w="12176" w:type="dxa"/>
            <w:vAlign w:val="center"/>
          </w:tcPr>
          <w:p>
            <w:pPr>
              <w:widowControl w:val="0"/>
              <w:rPr>
                <w:lang w:eastAsia="zh-CN"/>
              </w:rPr>
            </w:pPr>
            <w:r>
              <w:rPr>
                <w:lang w:eastAsia="zh-CN"/>
              </w:rPr>
              <w:t xml:space="preserve">We support dropping the whole SS in the slotgroup instead of slot-by-slot dropping.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rPr>
                <w:lang w:eastAsia="zh-CN"/>
              </w:rPr>
            </w:pPr>
            <w:r>
              <w:rPr>
                <w:lang w:eastAsia="zh-CN"/>
              </w:rPr>
              <w:t>We prefer a slot-group based dropping procedure.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Samsung</w:t>
            </w:r>
          </w:p>
        </w:tc>
        <w:tc>
          <w:tcPr>
            <w:tcW w:w="12176" w:type="dxa"/>
            <w:vAlign w:val="center"/>
          </w:tcPr>
          <w:p>
            <w:pPr>
              <w:widowControl w:val="0"/>
              <w:rPr>
                <w:lang w:eastAsia="zh-CN"/>
              </w:rPr>
            </w:pPr>
            <w:r>
              <w:rPr>
                <w:lang w:eastAsia="zh-CN"/>
              </w:rPr>
              <w:t>We are fine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rPr>
              <w:t>Huawei, HiSilicon</w:t>
            </w:r>
          </w:p>
        </w:tc>
        <w:tc>
          <w:tcPr>
            <w:tcW w:w="12176" w:type="dxa"/>
            <w:vAlign w:val="center"/>
          </w:tcPr>
          <w:p>
            <w:pPr>
              <w:widowControl w:val="0"/>
              <w:rPr>
                <w:lang w:eastAsia="zh-CN"/>
              </w:rPr>
            </w:pPr>
            <w:r>
              <w:rPr>
                <w:rFonts w:hint="eastAsia"/>
                <w:lang w:eastAsia="zh-CN"/>
              </w:rPr>
              <w:t>We think the whole X slots should be dropped.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eastAsia="MS Mincho"/>
                <w:lang w:eastAsia="ja-JP"/>
              </w:rPr>
              <w:t>Sharp</w:t>
            </w:r>
          </w:p>
        </w:tc>
        <w:tc>
          <w:tcPr>
            <w:tcW w:w="12176" w:type="dxa"/>
            <w:vAlign w:val="center"/>
          </w:tcPr>
          <w:p>
            <w:pPr>
              <w:widowControl w:val="0"/>
              <w:rPr>
                <w:lang w:eastAsia="zh-CN"/>
              </w:rPr>
            </w:pPr>
            <w:r>
              <w:rPr>
                <w:rFonts w:eastAsia="MS Mincho"/>
                <w:lang w:eastAsia="ja-JP"/>
              </w:rPr>
              <w:t>Since the advantage of the per-slot drop feature is not clear, we support the proposal of the above two companies to drop SS per X slots.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eastAsia="MS Mincho"/>
                <w:lang w:eastAsia="ja-JP"/>
              </w:rPr>
            </w:pPr>
            <w:r>
              <w:rPr>
                <w:rFonts w:hint="eastAsia" w:eastAsia="MS Mincho"/>
                <w:lang w:eastAsia="ja-JP"/>
              </w:rPr>
              <w:t>N</w:t>
            </w:r>
            <w:r>
              <w:rPr>
                <w:rFonts w:eastAsia="MS Mincho"/>
                <w:lang w:eastAsia="ja-JP"/>
              </w:rPr>
              <w:t>TT DOCOMO</w:t>
            </w:r>
          </w:p>
        </w:tc>
        <w:tc>
          <w:tcPr>
            <w:tcW w:w="12176" w:type="dxa"/>
            <w:vAlign w:val="center"/>
          </w:tcPr>
          <w:p>
            <w:pPr>
              <w:widowControl w:val="0"/>
              <w:rPr>
                <w:rFonts w:eastAsia="MS Mincho"/>
                <w:lang w:eastAsia="ja-JP"/>
              </w:rPr>
            </w:pPr>
            <w:r>
              <w:rPr>
                <w:rFonts w:eastAsia="MS Mincho"/>
                <w:lang w:eastAsia="ja-JP"/>
              </w:rPr>
              <w:t>We share the same view with Ericsson that dropping rule should be applied as a whole X slot.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We share the same view with Lenovo. The slot-by-slot dropping operation is a way to make good use of the slot index, which is an additional dimension given in multi-slot monitoring.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sz w:val="22"/>
                <w:szCs w:val="22"/>
                <w:lang w:eastAsia="zh-CN"/>
              </w:rPr>
              <w:t>ZTE, Sanechips</w:t>
            </w:r>
          </w:p>
        </w:tc>
        <w:tc>
          <w:tcPr>
            <w:tcW w:w="12176" w:type="dxa"/>
            <w:vAlign w:val="center"/>
          </w:tcPr>
          <w:p>
            <w:pPr>
              <w:widowControl w:val="0"/>
              <w:rPr>
                <w:lang w:eastAsia="zh-CN"/>
              </w:rPr>
            </w:pPr>
            <w:r>
              <w:rPr>
                <w:rFonts w:hint="eastAsia"/>
                <w:lang w:val="en-US" w:eastAsia="zh-CN"/>
              </w:rPr>
              <w:t>We don</w:t>
            </w:r>
            <w:r>
              <w:rPr>
                <w:rFonts w:hint="default"/>
                <w:lang w:val="en-US" w:eastAsia="zh-CN"/>
              </w:rPr>
              <w:t>’</w:t>
            </w:r>
            <w:r>
              <w:rPr>
                <w:rFonts w:hint="eastAsia"/>
                <w:lang w:val="en-US" w:eastAsia="zh-CN"/>
              </w:rPr>
              <w:t>t agree with this proposal. Considering configuration and standardization complexity, we prefer to drop the whole USS set instead of dropping it slot by slot.</w:t>
            </w:r>
          </w:p>
        </w:tc>
      </w:tr>
    </w:tbl>
    <w:p>
      <w:pPr>
        <w:rPr>
          <w:lang w:eastAsia="zh-CN"/>
        </w:rPr>
      </w:pPr>
    </w:p>
    <w:p>
      <w:pPr>
        <w:rPr>
          <w:lang w:val="en-GB" w:eastAsia="zh-CN"/>
        </w:rPr>
      </w:pPr>
      <w:r>
        <w:rPr>
          <w:lang w:val="en-GB" w:eastAsia="zh-CN"/>
        </w:rPr>
        <w:t>R1-2109666 (NTT DOCOMO):</w:t>
      </w:r>
    </w:p>
    <w:p>
      <w:pPr>
        <w:rPr>
          <w:i/>
          <w:iCs/>
          <w:szCs w:val="18"/>
        </w:rPr>
      </w:pPr>
      <w:r>
        <w:rPr>
          <w:b/>
          <w:bCs/>
          <w:i/>
          <w:iCs/>
          <w:szCs w:val="18"/>
        </w:rPr>
        <w:t>Proposal 4:</w:t>
      </w:r>
      <w:r>
        <w:rPr>
          <w:i/>
          <w:iCs/>
          <w:szCs w:val="18"/>
        </w:rPr>
        <w:t xml:space="preserve"> The SS set overbooking can be allowed with multi-slot PDCCH monitoring capability same as the current specification, i.e., SS set overbooking is allowed for USS in PCell and PSCell and UE expects no overbooking for CSS and CSS/USS in SCell.</w:t>
      </w:r>
    </w:p>
    <w:p>
      <w:pPr>
        <w:rPr>
          <w:i/>
          <w:iCs/>
          <w:szCs w:val="18"/>
        </w:rPr>
      </w:pPr>
      <w:r>
        <w:rPr>
          <w:b/>
          <w:bCs/>
          <w:i/>
          <w:iCs/>
          <w:szCs w:val="18"/>
        </w:rPr>
        <w:t>Proposal 5:</w:t>
      </w:r>
      <w:r>
        <w:rPr>
          <w:i/>
          <w:iCs/>
          <w:szCs w:val="18"/>
        </w:rPr>
        <w:t xml:space="preserve"> The dropping rule for multi-slot PDCCH monitoring capability can be the same as the current specification, i.e., a UE drops UE specific search space set(s) with higher index when SS sets are overbooked and expects there is no overbooking for CSS sets. In addition, if USS set is configured across multiple slots in a slot group, USS set should be checked and dropped as a whole.</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rPr>
                <w:lang w:eastAsia="zh-CN"/>
              </w:rPr>
            </w:pPr>
            <w:r>
              <w:rPr>
                <w:lang w:eastAsia="zh-CN"/>
              </w:rPr>
              <w:t>Agree with these proposals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Futurewei</w:t>
            </w:r>
          </w:p>
        </w:tc>
        <w:tc>
          <w:tcPr>
            <w:tcW w:w="12176" w:type="dxa"/>
            <w:vAlign w:val="center"/>
          </w:tcPr>
          <w:p>
            <w:pPr>
              <w:widowControl w:val="0"/>
              <w:rPr>
                <w:sz w:val="20"/>
                <w:lang w:eastAsia="zh-CN"/>
              </w:rPr>
            </w:pPr>
            <w:r>
              <w:rPr>
                <w:sz w:val="20"/>
                <w:lang w:eastAsia="zh-CN"/>
              </w:rPr>
              <w:t>Support the proposals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t>Qualcomm</w:t>
            </w:r>
          </w:p>
        </w:tc>
        <w:tc>
          <w:tcPr>
            <w:tcW w:w="12176" w:type="dxa"/>
            <w:vAlign w:val="center"/>
          </w:tcPr>
          <w:p>
            <w:pPr>
              <w:widowControl w:val="0"/>
              <w:rPr>
                <w:sz w:val="20"/>
                <w:lang w:eastAsia="zh-CN"/>
              </w:rPr>
            </w:pPr>
            <w:r>
              <w:rPr>
                <w:lang w:eastAsia="zh-CN"/>
              </w:rPr>
              <w:t>We are fine with the proposals. Same comments as above (R1-2108768 and R1-2108935) may apply.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rPr>
                <w:lang w:eastAsia="zh-CN"/>
              </w:rPr>
            </w:pPr>
            <w:r>
              <w:rPr>
                <w:lang w:eastAsia="zh-CN"/>
              </w:rPr>
              <w:t>We are fine with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Samsung</w:t>
            </w:r>
          </w:p>
        </w:tc>
        <w:tc>
          <w:tcPr>
            <w:tcW w:w="12176" w:type="dxa"/>
            <w:vAlign w:val="center"/>
          </w:tcPr>
          <w:p>
            <w:pPr>
              <w:widowControl w:val="0"/>
              <w:rPr>
                <w:lang w:eastAsia="zh-CN"/>
              </w:rPr>
            </w:pPr>
            <w:r>
              <w:rPr>
                <w:lang w:eastAsia="zh-CN"/>
              </w:rPr>
              <w:t xml:space="preserve">Fine with the high level ideas to reuse the principle in Rel-15/16, e.g. prioritize of CSS set, and drop in order of SS set index. But we think some enhancement for PDCCH dropping per slot within configured multi-slot span should be considered, as proposed by Intel.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rPr>
              <w:t>Huawei, HiSilicon</w:t>
            </w:r>
          </w:p>
        </w:tc>
        <w:tc>
          <w:tcPr>
            <w:tcW w:w="12176" w:type="dxa"/>
            <w:vAlign w:val="center"/>
          </w:tcPr>
          <w:p>
            <w:pPr>
              <w:widowControl w:val="0"/>
              <w:rPr>
                <w:lang w:eastAsia="zh-CN"/>
              </w:rPr>
            </w:pPr>
            <w:r>
              <w:rPr>
                <w:lang w:eastAsia="zh-CN"/>
              </w:rPr>
              <w:t>We agree with these proposals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eastAsia="MS Mincho"/>
                <w:lang w:eastAsia="ja-JP"/>
              </w:rPr>
              <w:t>Sharp</w:t>
            </w:r>
          </w:p>
        </w:tc>
        <w:tc>
          <w:tcPr>
            <w:tcW w:w="12176" w:type="dxa"/>
            <w:vAlign w:val="center"/>
          </w:tcPr>
          <w:p>
            <w:pPr>
              <w:widowControl w:val="0"/>
              <w:rPr>
                <w:lang w:eastAsia="zh-CN"/>
              </w:rPr>
            </w:pPr>
            <w:r>
              <w:rPr>
                <w:rFonts w:hint="eastAsia" w:eastAsia="MS Mincho"/>
                <w:lang w:eastAsia="ja-JP"/>
              </w:rPr>
              <w:t>We support the proposals.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rFonts w:ascii="Times New Roman" w:hAnsi="Times New Roman" w:cs="Times New Roman" w:eastAsiaTheme="minorEastAsia"/>
                <w:sz w:val="22"/>
                <w:szCs w:val="22"/>
                <w:lang w:val="en-US" w:eastAsia="ja-JP" w:bidi="ar-SA"/>
              </w:rPr>
            </w:pPr>
            <w:r>
              <w:rPr>
                <w:rFonts w:hint="eastAsia"/>
                <w:sz w:val="22"/>
                <w:szCs w:val="22"/>
                <w:lang w:eastAsia="zh-CN"/>
              </w:rPr>
              <w:t>ZTE, Sanechips</w:t>
            </w:r>
          </w:p>
        </w:tc>
        <w:tc>
          <w:tcPr>
            <w:tcW w:w="12176" w:type="dxa"/>
            <w:vAlign w:val="center"/>
          </w:tcPr>
          <w:p>
            <w:pPr>
              <w:widowControl w:val="0"/>
              <w:rPr>
                <w:rFonts w:hint="default" w:ascii="Times New Roman" w:hAnsi="Times New Roman" w:cs="Times New Roman" w:eastAsiaTheme="minorEastAsia"/>
                <w:sz w:val="22"/>
                <w:szCs w:val="22"/>
                <w:lang w:val="en-US" w:eastAsia="ja-JP" w:bidi="ar-SA"/>
              </w:rPr>
            </w:pPr>
            <w:r>
              <w:rPr>
                <w:rFonts w:hint="eastAsia"/>
                <w:lang w:val="en-US" w:eastAsia="zh-CN"/>
              </w:rPr>
              <w:t>We agree with the proposals.</w:t>
            </w:r>
          </w:p>
        </w:tc>
      </w:tr>
    </w:tbl>
    <w:p>
      <w:pPr>
        <w:rPr>
          <w:lang w:eastAsia="zh-CN"/>
        </w:rPr>
      </w:pPr>
    </w:p>
    <w:p>
      <w:pPr>
        <w:pStyle w:val="3"/>
      </w:pPr>
      <w:r>
        <w:t>Topic A4: PDCCH Extensions</w:t>
      </w:r>
    </w:p>
    <w:p>
      <w:pPr>
        <w:pStyle w:val="4"/>
        <w:rPr>
          <w:lang w:val="en-GB" w:eastAsia="zh-CN"/>
        </w:rPr>
      </w:pPr>
      <w:r>
        <w:rPr>
          <w:lang w:val="en-GB" w:eastAsia="zh-CN"/>
        </w:rPr>
        <w:t>Issue A4-1: CORESET duration longer than 3 symbols</w:t>
      </w:r>
    </w:p>
    <w:p>
      <w:pPr>
        <w:rPr>
          <w:b/>
          <w:lang w:val="en-GB"/>
        </w:rPr>
      </w:pPr>
      <w:r>
        <w:rPr>
          <w:b/>
          <w:bCs/>
          <w:highlight w:val="cyan"/>
          <w:lang w:val="en-GB" w:eastAsia="zh-CN"/>
        </w:rPr>
        <w:t>FL Suggestions: To be discussed after progress on Topic A1</w:t>
      </w:r>
    </w:p>
    <w:p>
      <w:pPr>
        <w:pStyle w:val="3"/>
      </w:pPr>
      <w:r>
        <w:t>Topic B: Multiple PDSCH/PUSCH by a single DCI</w:t>
      </w:r>
    </w:p>
    <w:p>
      <w:pPr>
        <w:pStyle w:val="4"/>
        <w:rPr>
          <w:lang w:val="en-GB" w:eastAsia="zh-CN"/>
        </w:rPr>
      </w:pPr>
      <w:r>
        <w:rPr>
          <w:lang w:val="en-GB" w:eastAsia="zh-CN"/>
        </w:rPr>
        <w:t>Issue B-1: DCI format monitoring restrictions</w:t>
      </w:r>
    </w:p>
    <w:p>
      <w:pPr>
        <w:rPr>
          <w:lang w:val="en-GB" w:eastAsia="zh-CN"/>
        </w:rPr>
      </w:pPr>
      <w:r>
        <w:rPr>
          <w:lang w:val="en-GB" w:eastAsia="zh-CN"/>
        </w:rPr>
        <w:t>R1-2109898 (Lenovo, Motorola Mobility):</w:t>
      </w:r>
      <w:r>
        <w:rPr>
          <w:lang w:val="en-GB" w:eastAsia="zh-CN"/>
        </w:rPr>
        <w:br w:type="textWrapping"/>
      </w:r>
      <w:r>
        <w:rPr>
          <w:lang w:val="en-GB" w:eastAsia="zh-CN"/>
        </w:rPr>
        <w:t>For supporting NR between 52.6 GHz and 71 GHz with high subcarrier spacing values including 480kHz and 960kHz, if a new DCI is agreed to schedule multiple PDSCH/PUSCH, then restrictions on monitoring of other DCI formats (such as DCI format 0_1/1_1) should be supported i.e., search space set configuration with restricted combination of DCI formats should be supported to not increase the number of blind decodes</w:t>
      </w:r>
    </w:p>
    <w:p>
      <w:pPr>
        <w:rPr>
          <w:b/>
          <w:bCs/>
          <w:lang w:val="en-GB" w:eastAsia="zh-CN"/>
        </w:rPr>
      </w:pPr>
      <w:r>
        <w:rPr>
          <w:b/>
          <w:bCs/>
          <w:highlight w:val="cyan"/>
          <w:lang w:val="en-GB" w:eastAsia="zh-CN"/>
        </w:rPr>
        <w:t>FL Suggestion: Do not discuss this proposal in RAN1#106bis-e</w:t>
      </w:r>
    </w:p>
    <w:p>
      <w:pPr>
        <w:pStyle w:val="3"/>
      </w:pPr>
      <w:r>
        <w:t>Topic C: Multi-Beam Aspects</w:t>
      </w:r>
    </w:p>
    <w:p>
      <w:pPr>
        <w:pStyle w:val="4"/>
        <w:rPr>
          <w:lang w:val="en-GB" w:eastAsia="zh-CN"/>
        </w:rPr>
      </w:pPr>
      <w:r>
        <w:rPr>
          <w:lang w:val="en-GB" w:eastAsia="zh-CN"/>
        </w:rPr>
        <w:t>Issue C-1: Beam-specific indication in DCI format 2_0</w:t>
      </w:r>
    </w:p>
    <w:p>
      <w:pPr>
        <w:rPr>
          <w:b/>
        </w:rPr>
      </w:pPr>
      <w:r>
        <w:rPr>
          <w:b/>
          <w:highlight w:val="cyan"/>
        </w:rPr>
        <w:t>FL Summary:</w:t>
      </w:r>
      <w:r>
        <w:rPr>
          <w:b/>
        </w:rPr>
        <w:t xml:space="preserve"> Contributions and discussion in earlier meetings show the following proposal has support by many companies; however several companies prefer to decide on the proposal after progress on directional LBT in channel access AI is achieved.</w:t>
      </w:r>
    </w:p>
    <w:p>
      <w:pPr>
        <w:rPr>
          <w:bCs/>
        </w:rPr>
      </w:pPr>
      <w:r>
        <w:rPr>
          <w:bCs/>
        </w:rPr>
        <w:t>Proposal: In DCI format 2_0, the following parameters can be indicated in a beam-specific manner</w:t>
      </w:r>
    </w:p>
    <w:p>
      <w:pPr>
        <w:pStyle w:val="73"/>
        <w:numPr>
          <w:ilvl w:val="0"/>
          <w:numId w:val="23"/>
        </w:numPr>
        <w:rPr>
          <w:bCs/>
        </w:rPr>
      </w:pPr>
      <w:r>
        <w:rPr>
          <w:bCs/>
        </w:rPr>
        <w:t>Remaining CO duration</w:t>
      </w:r>
    </w:p>
    <w:p>
      <w:pPr>
        <w:pStyle w:val="73"/>
        <w:numPr>
          <w:ilvl w:val="0"/>
          <w:numId w:val="23"/>
        </w:numPr>
        <w:rPr>
          <w:bCs/>
        </w:rPr>
      </w:pPr>
      <w:r>
        <w:rPr>
          <w:bCs/>
        </w:rPr>
        <w:t>Available RB set</w:t>
      </w:r>
    </w:p>
    <w:p>
      <w:pPr>
        <w:pStyle w:val="73"/>
        <w:numPr>
          <w:ilvl w:val="0"/>
          <w:numId w:val="23"/>
        </w:numPr>
        <w:rPr>
          <w:bCs/>
        </w:rPr>
      </w:pPr>
      <w:r>
        <w:rPr>
          <w:bCs/>
        </w:rPr>
        <w:t>Search space group switching</w:t>
      </w:r>
    </w:p>
    <w:p>
      <w:pPr>
        <w:rPr>
          <w:lang w:val="en-GB" w:eastAsia="zh-CN"/>
        </w:rPr>
      </w:pPr>
    </w:p>
    <w:p>
      <w:pPr>
        <w:rPr>
          <w:b/>
          <w:bCs/>
          <w:lang w:val="en-GB" w:eastAsia="zh-CN"/>
        </w:rPr>
      </w:pPr>
      <w:r>
        <w:rPr>
          <w:b/>
          <w:bCs/>
          <w:highlight w:val="cyan"/>
          <w:lang w:val="en-GB" w:eastAsia="zh-CN"/>
        </w:rPr>
        <w:t>FL Suggestion: Potentially come back to this issue in RAN1#106bis-e, pending progress on directional LBT</w:t>
      </w:r>
    </w:p>
    <w:p>
      <w:pPr>
        <w:rPr>
          <w:lang w:val="en-GB" w:eastAsia="zh-CN"/>
        </w:rPr>
      </w:pPr>
    </w:p>
    <w:p>
      <w:pPr>
        <w:pStyle w:val="3"/>
      </w:pPr>
      <w:r>
        <w:t>Topic D: Multi-Cell Operation, Cross-carrier scheduling</w:t>
      </w:r>
    </w:p>
    <w:p>
      <w:pPr>
        <w:pStyle w:val="4"/>
        <w:rPr>
          <w:lang w:val="en-GB" w:eastAsia="zh-CN"/>
        </w:rPr>
      </w:pPr>
      <w:r>
        <w:rPr>
          <w:lang w:val="en-GB" w:eastAsia="zh-CN"/>
        </w:rPr>
        <w:t xml:space="preserve">Issue D-1: </w:t>
      </w:r>
      <w:r>
        <w:rPr>
          <w:i/>
          <w:color w:val="000000"/>
          <w:sz w:val="20"/>
          <w:szCs w:val="20"/>
        </w:rPr>
        <w:t>N</w:t>
      </w:r>
      <w:r>
        <w:rPr>
          <w:i/>
          <w:color w:val="000000"/>
          <w:sz w:val="20"/>
          <w:szCs w:val="20"/>
          <w:vertAlign w:val="subscript"/>
        </w:rPr>
        <w:t>pdsch</w:t>
      </w:r>
      <w:r>
        <w:rPr>
          <w:lang w:eastAsia="zh-CN"/>
        </w:rPr>
        <w:t xml:space="preserve"> and </w:t>
      </w:r>
      <w:r>
        <w:rPr>
          <w:i/>
          <w:color w:val="000000"/>
          <w:sz w:val="20"/>
          <w:szCs w:val="20"/>
        </w:rPr>
        <w:t>N</w:t>
      </w:r>
      <w:r>
        <w:rPr>
          <w:i/>
          <w:color w:val="000000"/>
          <w:sz w:val="20"/>
          <w:szCs w:val="20"/>
          <w:vertAlign w:val="subscript"/>
        </w:rPr>
        <w:t>csirs</w:t>
      </w:r>
    </w:p>
    <w:p>
      <w:pPr>
        <w:rPr>
          <w:b/>
        </w:rPr>
      </w:pPr>
      <w:r>
        <w:rPr>
          <w:b/>
          <w:highlight w:val="cyan"/>
        </w:rPr>
        <w:t>FL Suggestion:</w:t>
      </w:r>
      <w:r>
        <w:rPr>
          <w:b/>
        </w:rPr>
        <w:t xml:space="preserve"> Few companies provided input to this issue; it is suggested to discuss this issue under AI 8.2.5.</w:t>
      </w:r>
    </w:p>
    <w:p>
      <w:pPr>
        <w:rPr>
          <w:b/>
          <w:bCs/>
          <w:lang w:val="en-GB" w:eastAsia="zh-CN"/>
        </w:rPr>
      </w:pP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r>
              <w:rPr>
                <w:rFonts w:hint="eastAsia"/>
                <w:lang w:eastAsia="zh-CN"/>
              </w:rPr>
              <w:t>Huawei, Hi</w:t>
            </w:r>
            <w:r>
              <w:rPr>
                <w:lang w:eastAsia="zh-CN"/>
              </w:rPr>
              <w:t>S</w:t>
            </w:r>
            <w:r>
              <w:rPr>
                <w:rFonts w:hint="eastAsia"/>
                <w:lang w:eastAsia="zh-CN"/>
              </w:rPr>
              <w:t>ilicon</w:t>
            </w:r>
          </w:p>
        </w:tc>
        <w:tc>
          <w:tcPr>
            <w:tcW w:w="12176" w:type="dxa"/>
            <w:vAlign w:val="center"/>
          </w:tcPr>
          <w:p>
            <w:pPr>
              <w:widowControl w:val="0"/>
              <w:rPr>
                <w:lang w:eastAsia="zh-CN"/>
              </w:rPr>
            </w:pPr>
            <w:r>
              <w:rPr>
                <w:rFonts w:hint="eastAsia"/>
                <w:lang w:eastAsia="zh-CN"/>
              </w:rPr>
              <w:t>Agree to discuss under 8.2.5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p>
        </w:tc>
        <w:tc>
          <w:tcPr>
            <w:tcW w:w="12176" w:type="dxa"/>
            <w:vAlign w:val="center"/>
          </w:tcPr>
          <w:p>
            <w:pPr>
              <w:widowControl w:val="0"/>
              <w:rPr>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lang w:eastAsia="zh-CN"/>
              </w:rPr>
            </w:pPr>
          </w:p>
        </w:tc>
        <w:tc>
          <w:tcPr>
            <w:tcW w:w="12176" w:type="dxa"/>
            <w:vAlign w:val="center"/>
          </w:tcPr>
          <w:p>
            <w:pPr>
              <w:widowControl w:val="0"/>
            </w:pPr>
          </w:p>
        </w:tc>
      </w:tr>
    </w:tbl>
    <w:p>
      <w:pPr>
        <w:rPr>
          <w:lang w:eastAsia="zh-CN"/>
        </w:rPr>
      </w:pPr>
    </w:p>
    <w:p>
      <w:pPr>
        <w:pStyle w:val="4"/>
        <w:rPr>
          <w:lang w:val="en-GB" w:eastAsia="zh-CN"/>
        </w:rPr>
      </w:pPr>
      <w:r>
        <w:rPr>
          <w:lang w:val="en-GB" w:eastAsia="zh-CN"/>
        </w:rPr>
        <w:t>Issue D-2: Cross-carrier scheduling and multi-cell operation limitations</w:t>
      </w:r>
    </w:p>
    <w:p>
      <w:pPr>
        <w:rPr>
          <w:b/>
        </w:rPr>
      </w:pPr>
      <w:r>
        <w:rPr>
          <w:b/>
          <w:highlight w:val="cyan"/>
        </w:rPr>
        <w:t>FL Suggestion:</w:t>
      </w:r>
      <w:r>
        <w:rPr>
          <w:b/>
        </w:rPr>
        <w:t xml:space="preserve"> Discussion in RAN1#106e seemed to show some support for a limitation along the following line:</w:t>
      </w:r>
    </w:p>
    <w:p>
      <w:pPr>
        <w:spacing w:before="120"/>
        <w:rPr>
          <w:lang w:val="en-GB"/>
        </w:rPr>
      </w:pPr>
      <w:r>
        <w:rPr>
          <w:lang w:val="en-GB"/>
        </w:rPr>
        <w:t>Cross-carrier scheduling of a cell within 52.6-71 GHz from/to a cell outside 52.6-71 GHz is supported, at least for |</w:t>
      </w:r>
      <w:r>
        <w:rPr>
          <w:i/>
          <w:lang w:val="en-GB"/>
        </w:rPr>
        <w:t>μ</w:t>
      </w:r>
      <w:r>
        <w:rPr>
          <w:i/>
          <w:vertAlign w:val="subscript"/>
          <w:lang w:val="en-GB"/>
        </w:rPr>
        <w:t>PDCCH</w:t>
      </w:r>
      <w:r>
        <w:rPr>
          <w:lang w:val="en-GB"/>
        </w:rPr>
        <w:t xml:space="preserve"> − </w:t>
      </w:r>
      <w:r>
        <w:rPr>
          <w:i/>
          <w:lang w:val="en-GB"/>
        </w:rPr>
        <w:t>μ</w:t>
      </w:r>
      <w:r>
        <w:rPr>
          <w:i/>
          <w:vertAlign w:val="subscript"/>
          <w:lang w:val="en-GB"/>
        </w:rPr>
        <w:t>PDSCH</w:t>
      </w:r>
      <w:r>
        <w:rPr>
          <w:lang w:val="en-GB"/>
        </w:rPr>
        <w:t xml:space="preserve"> | </w:t>
      </w:r>
      <w:r>
        <w:rPr>
          <w:rFonts w:hint="eastAsia"/>
          <w:lang w:val="en-GB"/>
        </w:rPr>
        <w:t>≤</w:t>
      </w:r>
      <w:r>
        <w:rPr>
          <w:lang w:val="en-GB"/>
        </w:rPr>
        <w:t xml:space="preserve"> k.</w:t>
      </w:r>
    </w:p>
    <w:p>
      <w:pPr>
        <w:pStyle w:val="5"/>
        <w:rPr>
          <w:sz w:val="22"/>
          <w:szCs w:val="22"/>
        </w:rPr>
      </w:pPr>
      <w:r>
        <w:rPr>
          <w:sz w:val="22"/>
          <w:szCs w:val="22"/>
        </w:rPr>
        <w:t>First round discussion</w:t>
      </w:r>
    </w:p>
    <w:p>
      <w:pPr>
        <w:rPr>
          <w:b/>
        </w:rPr>
      </w:pPr>
      <w:r>
        <w:rPr>
          <w:b/>
          <w:highlight w:val="cyan"/>
        </w:rPr>
        <w:t>Please provide your comments on the following proposal:</w:t>
      </w:r>
    </w:p>
    <w:p>
      <w:pPr>
        <w:pStyle w:val="73"/>
        <w:numPr>
          <w:ilvl w:val="0"/>
          <w:numId w:val="24"/>
        </w:numPr>
        <w:spacing w:before="120"/>
        <w:rPr>
          <w:lang w:val="en-GB"/>
        </w:rPr>
      </w:pPr>
      <w:r>
        <w:rPr>
          <w:lang w:val="en-GB"/>
        </w:rPr>
        <w:t>Cross-carrier scheduling of a cell within 52.6-71 GHz from/to a cell outside 52.6-71 GHz is supported, at least for |</w:t>
      </w:r>
      <w:r>
        <w:rPr>
          <w:i/>
          <w:lang w:val="en-GB"/>
        </w:rPr>
        <w:t>μ</w:t>
      </w:r>
      <w:r>
        <w:rPr>
          <w:i/>
          <w:vertAlign w:val="subscript"/>
          <w:lang w:val="en-GB"/>
        </w:rPr>
        <w:t>PDCCH</w:t>
      </w:r>
      <w:r>
        <w:rPr>
          <w:lang w:val="en-GB"/>
        </w:rPr>
        <w:t xml:space="preserve"> − </w:t>
      </w:r>
      <w:r>
        <w:rPr>
          <w:i/>
          <w:lang w:val="en-GB"/>
        </w:rPr>
        <w:t>μ</w:t>
      </w:r>
      <w:r>
        <w:rPr>
          <w:i/>
          <w:vertAlign w:val="subscript"/>
          <w:lang w:val="en-GB"/>
        </w:rPr>
        <w:t>PDSCH</w:t>
      </w:r>
      <w:r>
        <w:rPr>
          <w:lang w:val="en-GB"/>
        </w:rPr>
        <w:t xml:space="preserve"> | </w:t>
      </w:r>
      <w:r>
        <w:rPr>
          <w:rFonts w:hint="eastAsia"/>
          <w:lang w:val="en-GB"/>
        </w:rPr>
        <w:t>≤</w:t>
      </w:r>
      <w:r>
        <w:rPr>
          <w:lang w:val="en-GB"/>
        </w:rPr>
        <w:t xml:space="preserve"> k, value of k to be determined from</w:t>
      </w:r>
    </w:p>
    <w:p>
      <w:pPr>
        <w:pStyle w:val="73"/>
        <w:numPr>
          <w:ilvl w:val="1"/>
          <w:numId w:val="24"/>
        </w:numPr>
        <w:spacing w:before="120"/>
        <w:rPr>
          <w:lang w:val="en-GB"/>
        </w:rPr>
      </w:pPr>
      <w:r>
        <w:rPr>
          <w:lang w:val="en-GB"/>
        </w:rPr>
        <w:t>Alt 1: k=3</w:t>
      </w:r>
    </w:p>
    <w:p>
      <w:pPr>
        <w:pStyle w:val="73"/>
        <w:numPr>
          <w:ilvl w:val="1"/>
          <w:numId w:val="24"/>
        </w:numPr>
        <w:spacing w:before="120"/>
        <w:rPr>
          <w:lang w:val="en-GB"/>
        </w:rPr>
      </w:pPr>
      <w:r>
        <w:rPr>
          <w:lang w:val="en-GB"/>
        </w:rPr>
        <w:t>Alt 2: k=4</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pPr>
            <w:r>
              <w:t>In the most recent RAN plenary (RAN#93-e), the WID was updated with the following FR1 + FR2-2 band combinations:</w:t>
            </w:r>
          </w:p>
          <w:p>
            <w:pPr>
              <w:widowControl w:val="0"/>
              <w:numPr>
                <w:ilvl w:val="1"/>
                <w:numId w:val="25"/>
              </w:numPr>
              <w:overflowPunct w:val="0"/>
              <w:snapToGrid/>
              <w:spacing w:after="0" w:line="240" w:lineRule="auto"/>
              <w:rPr>
                <w:rFonts w:eastAsia="宋体"/>
                <w:sz w:val="20"/>
                <w:szCs w:val="20"/>
                <w:lang w:eastAsia="en-GB"/>
              </w:rPr>
            </w:pPr>
            <w:r>
              <w:rPr>
                <w:rFonts w:eastAsia="宋体"/>
                <w:sz w:val="20"/>
                <w:szCs w:val="20"/>
                <w:lang w:val="en-GB" w:eastAsia="ja-JP"/>
              </w:rPr>
              <w:t xml:space="preserve">Specify </w:t>
            </w:r>
            <w:r>
              <w:rPr>
                <w:rFonts w:eastAsia="宋体"/>
                <w:sz w:val="20"/>
                <w:szCs w:val="20"/>
                <w:lang w:val="en-GB" w:eastAsia="zh-CN"/>
              </w:rPr>
              <w:t xml:space="preserve">gNB and UE RF core requirements for the band(s) in the above frequency range, including </w:t>
            </w:r>
            <w:r>
              <w:rPr>
                <w:rFonts w:eastAsia="宋体"/>
                <w:sz w:val="20"/>
                <w:szCs w:val="20"/>
                <w:lang w:eastAsia="en-GB"/>
              </w:rPr>
              <w:t xml:space="preserve">a limited set of example band combinations (see Note 1). </w:t>
            </w:r>
          </w:p>
          <w:p>
            <w:pPr>
              <w:widowControl w:val="0"/>
              <w:numPr>
                <w:ilvl w:val="2"/>
                <w:numId w:val="25"/>
              </w:numPr>
              <w:overflowPunct w:val="0"/>
              <w:snapToGrid/>
              <w:spacing w:after="0" w:line="240" w:lineRule="auto"/>
              <w:rPr>
                <w:rFonts w:eastAsia="等线"/>
                <w:sz w:val="20"/>
                <w:szCs w:val="20"/>
                <w:lang w:val="en-GB" w:eastAsia="ja-JP"/>
              </w:rPr>
            </w:pPr>
            <w:r>
              <w:rPr>
                <w:rFonts w:eastAsia="等线"/>
                <w:sz w:val="20"/>
                <w:szCs w:val="20"/>
                <w:lang w:val="en-GB" w:eastAsia="ja-JP"/>
              </w:rPr>
              <w:t>For the case of FR2-2 DC or CA with an anchor in FR1 the following three example band combinations shall be considered:</w:t>
            </w:r>
          </w:p>
          <w:p>
            <w:pPr>
              <w:widowControl w:val="0"/>
              <w:numPr>
                <w:ilvl w:val="3"/>
                <w:numId w:val="25"/>
              </w:numPr>
              <w:overflowPunct w:val="0"/>
              <w:snapToGrid/>
              <w:spacing w:after="0" w:line="240" w:lineRule="auto"/>
              <w:rPr>
                <w:rFonts w:eastAsia="等线"/>
                <w:sz w:val="20"/>
                <w:szCs w:val="20"/>
                <w:highlight w:val="yellow"/>
                <w:lang w:val="en-GB" w:eastAsia="ja-JP"/>
              </w:rPr>
            </w:pPr>
            <w:r>
              <w:rPr>
                <w:rFonts w:eastAsia="等线"/>
                <w:sz w:val="20"/>
                <w:szCs w:val="20"/>
                <w:highlight w:val="yellow"/>
                <w:lang w:val="en-GB" w:eastAsia="ja-JP"/>
              </w:rPr>
              <w:t xml:space="preserve">n79 + Nx </w:t>
            </w:r>
          </w:p>
          <w:p>
            <w:pPr>
              <w:widowControl w:val="0"/>
              <w:numPr>
                <w:ilvl w:val="3"/>
                <w:numId w:val="25"/>
              </w:numPr>
              <w:overflowPunct w:val="0"/>
              <w:snapToGrid/>
              <w:spacing w:after="0" w:line="240" w:lineRule="auto"/>
              <w:rPr>
                <w:rFonts w:eastAsia="等线"/>
                <w:sz w:val="20"/>
                <w:szCs w:val="20"/>
                <w:highlight w:val="yellow"/>
                <w:lang w:val="en-GB" w:eastAsia="ja-JP"/>
              </w:rPr>
            </w:pPr>
            <w:r>
              <w:rPr>
                <w:rFonts w:eastAsia="等线"/>
                <w:sz w:val="20"/>
                <w:szCs w:val="20"/>
                <w:highlight w:val="yellow"/>
                <w:lang w:val="en-GB" w:eastAsia="ja-JP"/>
              </w:rPr>
              <w:t xml:space="preserve">n77 + Nx </w:t>
            </w:r>
          </w:p>
          <w:p>
            <w:pPr>
              <w:widowControl w:val="0"/>
              <w:numPr>
                <w:ilvl w:val="3"/>
                <w:numId w:val="25"/>
              </w:numPr>
              <w:overflowPunct w:val="0"/>
              <w:snapToGrid/>
              <w:spacing w:after="0" w:line="240" w:lineRule="auto"/>
              <w:rPr>
                <w:rFonts w:eastAsia="等线"/>
                <w:sz w:val="20"/>
                <w:szCs w:val="20"/>
                <w:highlight w:val="yellow"/>
                <w:lang w:val="en-GB" w:eastAsia="ja-JP"/>
              </w:rPr>
            </w:pPr>
            <w:r>
              <w:rPr>
                <w:rFonts w:eastAsia="等线"/>
                <w:sz w:val="20"/>
                <w:szCs w:val="20"/>
                <w:highlight w:val="yellow"/>
                <w:lang w:val="en-GB" w:eastAsia="ja-JP"/>
              </w:rPr>
              <w:t xml:space="preserve">n41 + Nx </w:t>
            </w:r>
          </w:p>
          <w:p>
            <w:pPr>
              <w:widowControl w:val="0"/>
              <w:numPr>
                <w:ilvl w:val="2"/>
                <w:numId w:val="25"/>
              </w:numPr>
              <w:overflowPunct w:val="0"/>
              <w:snapToGrid/>
              <w:spacing w:after="0" w:line="240" w:lineRule="auto"/>
              <w:rPr>
                <w:rFonts w:eastAsia="等线"/>
                <w:sz w:val="20"/>
                <w:szCs w:val="20"/>
                <w:lang w:val="en-GB" w:eastAsia="ja-JP"/>
              </w:rPr>
            </w:pPr>
            <w:r>
              <w:rPr>
                <w:rFonts w:eastAsia="等线"/>
                <w:sz w:val="20"/>
                <w:szCs w:val="20"/>
                <w:lang w:val="en-GB" w:eastAsia="ja-JP"/>
              </w:rPr>
              <w:t xml:space="preserve">where Nx is the 57-71 GHz band for unlicensed operation and the [66-71] GHz for licensed operation. </w:t>
            </w:r>
          </w:p>
          <w:p>
            <w:pPr>
              <w:widowControl w:val="0"/>
              <w:numPr>
                <w:ilvl w:val="2"/>
                <w:numId w:val="25"/>
              </w:numPr>
              <w:overflowPunct w:val="0"/>
              <w:snapToGrid/>
              <w:spacing w:after="0" w:line="240" w:lineRule="auto"/>
              <w:rPr>
                <w:rFonts w:eastAsia="宋体"/>
                <w:sz w:val="20"/>
                <w:szCs w:val="20"/>
                <w:lang w:eastAsia="en-GB"/>
              </w:rPr>
            </w:pPr>
            <w:r>
              <w:rPr>
                <w:rFonts w:eastAsia="宋体"/>
                <w:sz w:val="20"/>
                <w:szCs w:val="20"/>
                <w:lang w:val="en-GB" w:eastAsia="ja-JP"/>
              </w:rPr>
              <w:t>RAN4 to further discuss the need for single or multiple bands relevant for FR2-2 licensed/unlicensed operation.</w:t>
            </w:r>
          </w:p>
          <w:p>
            <w:pPr>
              <w:widowControl w:val="0"/>
            </w:pPr>
          </w:p>
          <w:p>
            <w:pPr>
              <w:widowControl w:val="0"/>
              <w:rPr>
                <w:iCs/>
              </w:rPr>
            </w:pPr>
            <w:r>
              <w:t xml:space="preserve">Given that bands n41, n78, and n79 in FR1 are defined in 38.101-1 for both 15 and 30 kHz, it seems that for cross-carrier scheduling from FR1 to FR2-2, </w:t>
            </w:r>
            <w:r>
              <w:rPr>
                <w:lang w:val="en-GB"/>
              </w:rPr>
              <w:t>|</w:t>
            </w:r>
            <w:r>
              <w:rPr>
                <w:i/>
                <w:lang w:val="en-GB"/>
              </w:rPr>
              <w:t>μ</w:t>
            </w:r>
            <w:r>
              <w:rPr>
                <w:i/>
                <w:vertAlign w:val="subscript"/>
                <w:lang w:val="en-GB"/>
              </w:rPr>
              <w:t>PDCCH</w:t>
            </w:r>
            <w:r>
              <w:rPr>
                <w:lang w:val="en-GB"/>
              </w:rPr>
              <w:t xml:space="preserve"> − </w:t>
            </w:r>
            <w:r>
              <w:rPr>
                <w:i/>
                <w:lang w:val="en-GB"/>
              </w:rPr>
              <w:t>μ</w:t>
            </w:r>
            <w:r>
              <w:rPr>
                <w:i/>
                <w:vertAlign w:val="subscript"/>
                <w:lang w:val="en-GB"/>
              </w:rPr>
              <w:t>PDSCH</w:t>
            </w:r>
            <w:r>
              <w:rPr>
                <w:lang w:val="en-GB"/>
              </w:rPr>
              <w:t xml:space="preserve"> | </w:t>
            </w:r>
            <w:r>
              <w:rPr>
                <w:iCs/>
                <w:lang w:val="en-GB"/>
              </w:rPr>
              <w:t>can take values as large as 5/6 for 480/960 kHz SCS, respectively. Hence, limiting to k = 4 would mean that cross-carrier scheduling would at least be supported from FR1 with 30 kHz SCS to FR2-2 with 480 kHz. If k is limited to 3, then cross carrier scheduling from FR1 to FR2-2 would not be supported at all, which seems contrary to the sprirt of the WID. Hence we think that k should be no less than 4, and that we should also discuss k = 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Futurewei</w:t>
            </w:r>
          </w:p>
        </w:tc>
        <w:tc>
          <w:tcPr>
            <w:tcW w:w="12176" w:type="dxa"/>
            <w:vAlign w:val="center"/>
          </w:tcPr>
          <w:p>
            <w:pPr>
              <w:widowControl w:val="0"/>
            </w:pPr>
            <w:r>
              <w:t>We are OK with the proposal and the extension of the proposal with an Alt 3 k=6 as per Ericsson suggestion.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Lenovo, Motorola Mobility</w:t>
            </w:r>
          </w:p>
        </w:tc>
        <w:tc>
          <w:tcPr>
            <w:tcW w:w="12176" w:type="dxa"/>
            <w:vAlign w:val="center"/>
          </w:tcPr>
          <w:p>
            <w:pPr>
              <w:widowControl w:val="0"/>
            </w:pPr>
            <w:r>
              <w:t>We support the FL proposal and prefer K=3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Qualcomm</w:t>
            </w:r>
          </w:p>
        </w:tc>
        <w:tc>
          <w:tcPr>
            <w:tcW w:w="12176" w:type="dxa"/>
            <w:vAlign w:val="center"/>
          </w:tcPr>
          <w:p>
            <w:pPr>
              <w:widowControl w:val="0"/>
            </w:pPr>
            <w:r>
              <w:t>We support Alt 1, k = 3. In terms of processing timeline and memory requirement, k = 3 has a less impact compared to the legacy FR1 and FR2-1 designs.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Apple</w:t>
            </w:r>
          </w:p>
        </w:tc>
        <w:tc>
          <w:tcPr>
            <w:tcW w:w="12176" w:type="dxa"/>
            <w:vAlign w:val="center"/>
          </w:tcPr>
          <w:p>
            <w:pPr>
              <w:widowControl w:val="0"/>
            </w:pPr>
            <w:r>
              <w:t>We prefer k = 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Samsung</w:t>
            </w:r>
          </w:p>
        </w:tc>
        <w:tc>
          <w:tcPr>
            <w:tcW w:w="12176" w:type="dxa"/>
            <w:vAlign w:val="center"/>
          </w:tcPr>
          <w:p>
            <w:pPr>
              <w:widowControl w:val="0"/>
            </w:pPr>
            <w:r>
              <w:t xml:space="preserve">We are ok with the first part of the proposal, but the selection of the value of k may need RAN4 work.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eastAsia="MS Mincho"/>
                <w:lang w:eastAsia="ja-JP"/>
              </w:rPr>
              <w:t>N</w:t>
            </w:r>
            <w:r>
              <w:rPr>
                <w:rFonts w:eastAsia="MS Mincho"/>
                <w:lang w:eastAsia="ja-JP"/>
              </w:rPr>
              <w:t>TT DOCOMO</w:t>
            </w:r>
          </w:p>
        </w:tc>
        <w:tc>
          <w:tcPr>
            <w:tcW w:w="12176" w:type="dxa"/>
            <w:vAlign w:val="center"/>
          </w:tcPr>
          <w:p>
            <w:pPr>
              <w:widowControl w:val="0"/>
            </w:pPr>
            <w:r>
              <w:rPr>
                <w:rFonts w:eastAsia="MS Mincho"/>
                <w:lang w:eastAsia="ja-JP"/>
              </w:rPr>
              <w:t xml:space="preserve">We support the proposal that the restriction between </w:t>
            </w:r>
            <w:r>
              <w:rPr>
                <w:i/>
                <w:lang w:val="en-GB"/>
              </w:rPr>
              <w:t>μ</w:t>
            </w:r>
            <w:r>
              <w:rPr>
                <w:i/>
                <w:vertAlign w:val="subscript"/>
                <w:lang w:val="en-GB"/>
              </w:rPr>
              <w:t>PDCCH</w:t>
            </w:r>
            <w:r>
              <w:rPr>
                <w:rFonts w:eastAsia="MS Mincho"/>
                <w:lang w:eastAsia="ja-JP"/>
              </w:rPr>
              <w:t xml:space="preserve"> and </w:t>
            </w:r>
            <w:r>
              <w:rPr>
                <w:i/>
                <w:lang w:val="en-GB"/>
              </w:rPr>
              <w:t>μ</w:t>
            </w:r>
            <w:r>
              <w:rPr>
                <w:i/>
                <w:vertAlign w:val="subscript"/>
                <w:lang w:val="en-GB"/>
              </w:rPr>
              <w:t>PDSCH</w:t>
            </w:r>
            <w:r>
              <w:rPr>
                <w:rFonts w:eastAsia="MS Mincho"/>
                <w:lang w:eastAsia="ja-JP"/>
              </w:rPr>
              <w:t xml:space="preserve"> is specified, and k value above should be discussed further. In addition,  if this proposal is supported, the restriction on SCSs for the carrier included in a PUCCH group can be spesified same as the restriction between </w:t>
            </w:r>
            <w:r>
              <w:rPr>
                <w:i/>
                <w:lang w:val="en-GB"/>
              </w:rPr>
              <w:t>μ</w:t>
            </w:r>
            <w:r>
              <w:rPr>
                <w:i/>
                <w:vertAlign w:val="subscript"/>
                <w:lang w:val="en-GB"/>
              </w:rPr>
              <w:t>PDCCH</w:t>
            </w:r>
            <w:r>
              <w:rPr>
                <w:rFonts w:eastAsia="MS Mincho"/>
                <w:lang w:eastAsia="ja-JP"/>
              </w:rPr>
              <w:t xml:space="preserve"> and </w:t>
            </w:r>
            <w:r>
              <w:rPr>
                <w:i/>
                <w:lang w:val="en-GB"/>
              </w:rPr>
              <w:t>μ</w:t>
            </w:r>
            <w:r>
              <w:rPr>
                <w:i/>
                <w:vertAlign w:val="subscript"/>
                <w:lang w:val="en-GB"/>
              </w:rPr>
              <w:t>PDSCH.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LG Electronics</w:t>
            </w:r>
          </w:p>
        </w:tc>
        <w:tc>
          <w:tcPr>
            <w:tcW w:w="12176" w:type="dxa"/>
            <w:vAlign w:val="center"/>
          </w:tcPr>
          <w:p>
            <w:pPr>
              <w:widowControl w:val="0"/>
              <w:rPr>
                <w:lang w:eastAsia="zh-CN"/>
              </w:rPr>
            </w:pPr>
            <w:r>
              <w:rPr>
                <w:lang w:eastAsia="zh-CN"/>
              </w:rPr>
              <w:t xml:space="preserve">We have a similar view with Ericsson and Futurewei that it would be good to add an additional Alt with k &gt; 4,. We are not sure that if a restriction such as </w:t>
            </w:r>
            <w:r>
              <w:rPr>
                <w:lang w:val="en-GB"/>
              </w:rPr>
              <w:t>|</w:t>
            </w:r>
            <w:r>
              <w:rPr>
                <w:i/>
                <w:lang w:val="en-GB"/>
              </w:rPr>
              <w:t>μ</w:t>
            </w:r>
            <w:r>
              <w:rPr>
                <w:i/>
                <w:vertAlign w:val="subscript"/>
                <w:lang w:val="en-GB"/>
              </w:rPr>
              <w:t>PDCCH</w:t>
            </w:r>
            <w:r>
              <w:rPr>
                <w:lang w:val="en-GB"/>
              </w:rPr>
              <w:t xml:space="preserve"> − </w:t>
            </w:r>
            <w:r>
              <w:rPr>
                <w:i/>
                <w:lang w:val="en-GB"/>
              </w:rPr>
              <w:t>μ</w:t>
            </w:r>
            <w:r>
              <w:rPr>
                <w:i/>
                <w:vertAlign w:val="subscript"/>
                <w:lang w:val="en-GB"/>
              </w:rPr>
              <w:t>PDSCH</w:t>
            </w:r>
            <w:r>
              <w:rPr>
                <w:lang w:val="en-GB"/>
              </w:rPr>
              <w:t xml:space="preserve"> | </w:t>
            </w:r>
            <w:r>
              <w:rPr>
                <w:rFonts w:hint="eastAsia"/>
                <w:lang w:val="en-GB"/>
              </w:rPr>
              <w:t>≤</w:t>
            </w:r>
            <w:r>
              <w:rPr>
                <w:lang w:val="en-GB"/>
              </w:rPr>
              <w:t xml:space="preserve"> k</w:t>
            </w:r>
            <w:r>
              <w:rPr>
                <w:lang w:eastAsia="zh-CN"/>
              </w:rPr>
              <w:t xml:space="preserve"> is indeed necessary.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rPr>
                <w:rFonts w:hint="eastAsia"/>
                <w:sz w:val="22"/>
                <w:szCs w:val="22"/>
                <w:lang w:eastAsia="zh-CN"/>
              </w:rPr>
              <w:t>ZTE, Sanechips</w:t>
            </w:r>
          </w:p>
        </w:tc>
        <w:tc>
          <w:tcPr>
            <w:tcW w:w="12176" w:type="dxa"/>
            <w:vAlign w:val="center"/>
          </w:tcPr>
          <w:p>
            <w:pPr>
              <w:widowControl w:val="0"/>
              <w:rPr>
                <w:lang w:eastAsia="zh-CN"/>
              </w:rPr>
            </w:pPr>
            <w:r>
              <w:rPr>
                <w:rFonts w:hint="eastAsia"/>
                <w:lang w:val="en-US" w:eastAsia="zh-CN"/>
              </w:rPr>
              <w:t>We prefer k = 4.</w:t>
            </w:r>
          </w:p>
        </w:tc>
      </w:tr>
    </w:tbl>
    <w:p/>
    <w:p>
      <w:pPr>
        <w:pStyle w:val="4"/>
        <w:rPr>
          <w:lang w:val="en-GB" w:eastAsia="zh-CN"/>
        </w:rPr>
      </w:pPr>
      <w:r>
        <w:rPr>
          <w:lang w:val="en-GB" w:eastAsia="zh-CN"/>
        </w:rPr>
        <w:t>Issue D-3: Cross-carrier scheduling capability</w:t>
      </w:r>
    </w:p>
    <w:p>
      <w:pPr>
        <w:pStyle w:val="5"/>
        <w:rPr>
          <w:sz w:val="22"/>
          <w:szCs w:val="22"/>
        </w:rPr>
      </w:pPr>
      <w:r>
        <w:rPr>
          <w:sz w:val="22"/>
          <w:szCs w:val="22"/>
        </w:rPr>
        <w:t>First round discussion</w:t>
      </w:r>
    </w:p>
    <w:p>
      <w:pPr>
        <w:rPr>
          <w:lang w:val="en-GB" w:eastAsia="zh-CN"/>
        </w:rPr>
      </w:pPr>
      <w:r>
        <w:rPr>
          <w:highlight w:val="cyan"/>
          <w:lang w:val="en-GB" w:eastAsia="zh-CN"/>
        </w:rPr>
        <w:t>FL Suggestion:</w:t>
      </w:r>
      <w:r>
        <w:rPr>
          <w:lang w:val="en-GB" w:eastAsia="zh-CN"/>
        </w:rPr>
        <w:t xml:space="preserve"> Please comment on the following proposal:</w:t>
      </w:r>
    </w:p>
    <w:p>
      <w:pPr>
        <w:rPr>
          <w:bCs/>
          <w:iCs/>
          <w:color w:val="000000"/>
        </w:rPr>
      </w:pPr>
      <w:r>
        <w:rPr>
          <w:lang w:val="en-GB" w:eastAsia="zh-CN"/>
        </w:rPr>
        <w:t>R1-211022 (Apple):</w:t>
      </w:r>
      <w:r>
        <w:rPr>
          <w:lang w:val="en-GB" w:eastAsia="zh-CN"/>
        </w:rPr>
        <w:br w:type="textWrapping"/>
      </w:r>
      <w:r>
        <w:rPr>
          <w:bCs/>
          <w:iCs/>
          <w:color w:val="000000"/>
        </w:rPr>
        <w:t>For cross-carrier scheduling, the max number of CCs that can be scheduled from a single CC is reported as UE capability.</w:t>
      </w:r>
    </w:p>
    <w:tbl>
      <w:tblPr>
        <w:tblStyle w:val="52"/>
        <w:tblW w:w="145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gridCol w:w="1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shd w:val="clear" w:color="auto" w:fill="FFC000"/>
            <w:vAlign w:val="center"/>
          </w:tcPr>
          <w:p>
            <w:pPr>
              <w:widowControl w:val="0"/>
              <w:rPr>
                <w:b/>
                <w:bCs/>
              </w:rPr>
            </w:pPr>
            <w:r>
              <w:rPr>
                <w:b/>
                <w:bCs/>
              </w:rPr>
              <w:t>Company</w:t>
            </w:r>
          </w:p>
        </w:tc>
        <w:tc>
          <w:tcPr>
            <w:tcW w:w="12176" w:type="dxa"/>
            <w:shd w:val="clear" w:color="auto" w:fill="FFC000"/>
            <w:vAlign w:val="center"/>
          </w:tcPr>
          <w:p>
            <w:pPr>
              <w:widowControl w:val="0"/>
              <w:rPr>
                <w:b/>
                <w:bCs/>
              </w:rPr>
            </w:pPr>
            <w:r>
              <w:rPr>
                <w:b/>
                <w:bCs/>
              </w:rPr>
              <w:t>Comment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pPr>
            <w:r>
              <w:t>Ericsson</w:t>
            </w:r>
          </w:p>
        </w:tc>
        <w:tc>
          <w:tcPr>
            <w:tcW w:w="12176" w:type="dxa"/>
            <w:vAlign w:val="center"/>
          </w:tcPr>
          <w:p>
            <w:pPr>
              <w:widowControl w:val="0"/>
              <w:rPr>
                <w:lang w:eastAsia="zh-CN"/>
              </w:rPr>
            </w:pPr>
            <w:r>
              <w:rPr>
                <w:lang w:eastAsia="zh-CN"/>
              </w:rPr>
              <w:t>This can be discussed in the UE capability email thread.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Apple</w:t>
            </w:r>
          </w:p>
        </w:tc>
        <w:tc>
          <w:tcPr>
            <w:tcW w:w="12176" w:type="dxa"/>
            <w:vAlign w:val="center"/>
          </w:tcPr>
          <w:p>
            <w:pPr>
              <w:widowControl w:val="0"/>
              <w:rPr>
                <w:sz w:val="20"/>
                <w:lang w:eastAsia="zh-CN"/>
              </w:rPr>
            </w:pPr>
            <w:r>
              <w:rPr>
                <w:sz w:val="20"/>
                <w:lang w:eastAsia="zh-CN"/>
              </w:rPr>
              <w:t>As the proponent, we support the proposal.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sz w:val="20"/>
              </w:rPr>
              <w:t>Samsung</w:t>
            </w:r>
          </w:p>
        </w:tc>
        <w:tc>
          <w:tcPr>
            <w:tcW w:w="12176" w:type="dxa"/>
            <w:vAlign w:val="center"/>
          </w:tcPr>
          <w:p>
            <w:pPr>
              <w:widowControl w:val="0"/>
              <w:rPr>
                <w:sz w:val="20"/>
                <w:lang w:eastAsia="zh-CN"/>
              </w:rPr>
            </w:pPr>
            <w:r>
              <w:rPr>
                <w:sz w:val="20"/>
                <w:lang w:eastAsia="zh-CN"/>
              </w:rPr>
              <w:t xml:space="preserve">We are open to the discussion in UE feature session.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5" w:type="dxa"/>
            <w:vAlign w:val="center"/>
          </w:tcPr>
          <w:p>
            <w:pPr>
              <w:widowControl w:val="0"/>
              <w:rPr>
                <w:sz w:val="20"/>
              </w:rPr>
            </w:pPr>
            <w:r>
              <w:rPr>
                <w:rFonts w:hint="eastAsia"/>
                <w:sz w:val="22"/>
                <w:szCs w:val="22"/>
                <w:lang w:eastAsia="zh-CN"/>
              </w:rPr>
              <w:t>ZTE, Sanechips</w:t>
            </w:r>
          </w:p>
        </w:tc>
        <w:tc>
          <w:tcPr>
            <w:tcW w:w="12176" w:type="dxa"/>
            <w:vAlign w:val="center"/>
          </w:tcPr>
          <w:p>
            <w:pPr>
              <w:widowControl w:val="0"/>
              <w:rPr>
                <w:sz w:val="20"/>
                <w:lang w:eastAsia="zh-CN"/>
              </w:rPr>
            </w:pPr>
            <w:r>
              <w:rPr>
                <w:rFonts w:hint="eastAsia"/>
                <w:sz w:val="20"/>
                <w:lang w:val="en-US" w:eastAsia="zh-CN"/>
              </w:rPr>
              <w:t>We agree with Ericsson</w:t>
            </w:r>
            <w:r>
              <w:rPr>
                <w:rFonts w:hint="default"/>
                <w:sz w:val="20"/>
                <w:lang w:val="en-US" w:eastAsia="zh-CN"/>
              </w:rPr>
              <w:t>’</w:t>
            </w:r>
            <w:r>
              <w:rPr>
                <w:rFonts w:hint="eastAsia"/>
                <w:sz w:val="20"/>
                <w:lang w:val="en-US" w:eastAsia="zh-CN"/>
              </w:rPr>
              <w:t>s suggestion and the issue should be discussed in AI 8.17.2.</w:t>
            </w:r>
          </w:p>
        </w:tc>
      </w:tr>
    </w:tbl>
    <w:p>
      <w:pPr>
        <w:rPr>
          <w:lang w:val="en-GB"/>
        </w:rPr>
      </w:pPr>
    </w:p>
    <w:p>
      <w:pPr>
        <w:pStyle w:val="2"/>
      </w:pPr>
      <w:r>
        <w:t>Contrib</w:t>
      </w:r>
      <w:bookmarkStart w:id="182" w:name="_GoBack"/>
      <w:bookmarkEnd w:id="182"/>
      <w:r>
        <w:t>ution Details</w:t>
      </w:r>
    </w:p>
    <w:p>
      <w:pPr>
        <w:rPr>
          <w:lang w:val="en-GB" w:eastAsia="zh-CN"/>
        </w:rPr>
      </w:pPr>
      <w:r>
        <w:rPr>
          <w:lang w:val="en-GB" w:eastAsia="zh-CN"/>
        </w:rPr>
        <w:t>The following sections show extracted discussion and proposals from the contributions submitted to this AI, by a pure subjective decision by the FL.</w:t>
      </w:r>
    </w:p>
    <w:p>
      <w:pPr>
        <w:pStyle w:val="3"/>
      </w:pPr>
      <w:r>
        <w:t>Topic A1: Blind Decoding Capability, Multi-slot monitoring</w:t>
      </w:r>
    </w:p>
    <w:p>
      <w:pPr>
        <w:rPr>
          <w:lang w:val="en-GB" w:eastAsia="zh-CN"/>
        </w:rPr>
      </w:pPr>
      <w:r>
        <w:rPr>
          <w:lang w:val="en-GB" w:eastAsia="zh-CN"/>
        </w:rPr>
        <w:t>List of issues, proposals, and suggestions for handling in the email discussion phase.</w:t>
      </w:r>
    </w:p>
    <w:p>
      <w:pPr>
        <w:pStyle w:val="4"/>
        <w:jc w:val="both"/>
        <w:rPr>
          <w:lang w:val="en-GB" w:eastAsia="zh-CN"/>
        </w:rPr>
      </w:pPr>
      <w:r>
        <w:rPr>
          <w:lang w:val="en-GB" w:eastAsia="zh-CN"/>
        </w:rPr>
        <w:t>R1-2108768 (Huawei, HiSilicon)</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pStyle w:val="73"/>
              <w:widowControl w:val="0"/>
              <w:numPr>
                <w:ilvl w:val="0"/>
                <w:numId w:val="26"/>
              </w:numPr>
              <w:autoSpaceDE w:val="0"/>
              <w:autoSpaceDN w:val="0"/>
              <w:adjustRightInd w:val="0"/>
              <w:spacing w:before="120" w:beforeLines="50" w:after="240" w:line="240" w:lineRule="auto"/>
              <w:contextualSpacing/>
              <w:jc w:val="both"/>
              <w:rPr>
                <w:b/>
                <w:bCs/>
                <w:i/>
                <w:sz w:val="20"/>
                <w:szCs w:val="20"/>
              </w:rPr>
            </w:pPr>
            <w:r>
              <w:rPr>
                <w:b/>
                <w:i/>
                <w:color w:val="000000"/>
              </w:rPr>
              <w:t>For 480 kHz SCS and 960 kHz SCS, Alt 1 is preferred for multi-slot PDCCH monitoring.</w:t>
            </w:r>
          </w:p>
          <w:p>
            <w:pPr>
              <w:widowControl/>
              <w:rPr>
                <w:rFonts w:eastAsia="宋体"/>
                <w:color w:val="000000"/>
              </w:rPr>
            </w:pPr>
            <w:r>
              <w:rPr>
                <w:rFonts w:hint="eastAsia" w:eastAsia="宋体"/>
                <w:color w:val="000000"/>
              </w:rPr>
              <w:t>I</w:t>
            </w:r>
            <w:r>
              <w:rPr>
                <w:rFonts w:eastAsia="宋体"/>
                <w:color w:val="000000"/>
              </w:rPr>
              <w:t>t is to be specified that whether a slot group is aligned with a slot boundary for Alt 1. Furthermore, although it is agreed that, for Alt 1, the location of the Y slots within the X slots is maintained across different slot groups, the location of the Y consecutive slots within the slot group is to be clarified. There are two alternatives:</w:t>
            </w:r>
          </w:p>
          <w:p>
            <w:pPr>
              <w:widowControl/>
              <w:rPr>
                <w:rFonts w:eastAsia="宋体"/>
                <w:color w:val="000000"/>
              </w:rPr>
            </w:pPr>
            <w:r>
              <w:rPr>
                <w:rFonts w:hint="eastAsia" w:eastAsia="宋体"/>
                <w:color w:val="000000"/>
              </w:rPr>
              <w:t>•</w:t>
            </w:r>
            <w:r>
              <w:rPr>
                <w:rFonts w:eastAsia="宋体"/>
                <w:color w:val="000000"/>
              </w:rPr>
              <w:tab/>
            </w:r>
            <w:r>
              <w:rPr>
                <w:rFonts w:eastAsia="宋体"/>
                <w:color w:val="000000"/>
              </w:rPr>
              <w:t>Alt 1-1: The Y slots always start at the first slot within a slot group;</w:t>
            </w:r>
          </w:p>
          <w:p>
            <w:pPr>
              <w:widowControl/>
              <w:rPr>
                <w:rFonts w:eastAsia="宋体"/>
                <w:color w:val="000000"/>
              </w:rPr>
            </w:pPr>
            <w:r>
              <w:rPr>
                <w:rFonts w:hint="eastAsia" w:eastAsia="宋体"/>
                <w:color w:val="000000"/>
              </w:rPr>
              <w:t>•</w:t>
            </w:r>
            <w:r>
              <w:rPr>
                <w:rFonts w:eastAsia="宋体"/>
                <w:color w:val="000000"/>
              </w:rPr>
              <w:tab/>
            </w:r>
            <w:r>
              <w:rPr>
                <w:rFonts w:eastAsia="宋体"/>
                <w:color w:val="000000"/>
              </w:rPr>
              <w:t>Alt 1-2: The Y slots can start at the any symbol within a slot group.</w:t>
            </w:r>
          </w:p>
          <w:p>
            <w:pPr>
              <w:widowControl/>
              <w:rPr>
                <w:rFonts w:eastAsia="宋体"/>
              </w:rPr>
            </w:pPr>
            <w:r>
              <w:rPr>
                <w:rFonts w:eastAsia="宋体"/>
                <w:color w:val="000000"/>
              </w:rPr>
              <w:t xml:space="preserve">If a slot group is aligned with a slot boundary, then, when X=4 for a 480 kHz SCS cell or X=8 for a 960 kHz SCS cell, the multi-slot PDCCH processing capability windows for Alt 1-1 are aligned with the slots of a 120 kHz SCS cell while otherwise is not. Hence, Alt 1-2 seems more flexible but at the cost of more complex gNB configuration. The main issue of Alt 1-1 is the configuration of CSS, which can be alleviated if Y&gt;1 is supported. Therefore, we prefer to restrict </w:t>
            </w:r>
            <w:r>
              <w:rPr>
                <w:rFonts w:eastAsia="宋体"/>
              </w:rPr>
              <w:t>fixed pattern to align with slot boundary and Y slots to start from the beginning of X slot.</w:t>
            </w: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Support fixed pattern aligned with slot boundary and Y slots always to start from beginning of X slot.</w:t>
            </w:r>
          </w:p>
          <w:p>
            <w:pPr>
              <w:widowControl/>
              <w:rPr>
                <w:rFonts w:eastAsia="宋体"/>
                <w:color w:val="000000"/>
              </w:rPr>
            </w:pPr>
            <w:r>
              <w:rPr>
                <w:rFonts w:hint="eastAsia" w:eastAsia="宋体"/>
                <w:color w:val="000000"/>
              </w:rPr>
              <w:t>I</w:t>
            </w:r>
            <w:r>
              <w:rPr>
                <w:rFonts w:eastAsia="宋体"/>
                <w:color w:val="000000"/>
              </w:rPr>
              <w:t>t is clear that a larger time duration of Y implies more flexibility but higher UE complexity due to the more frequency blind PDCCH detection. Thus, it is beneficial to determine the value of Y according to the actual UE capability. To this end, a corresponding UE capability feedback needs to be supported.</w:t>
            </w: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Support capability report on the value of Y (1&lt;=Y&lt;=X/2, both in units of slot).</w:t>
            </w:r>
          </w:p>
          <w:p>
            <w:pPr>
              <w:pStyle w:val="73"/>
              <w:widowControl w:val="0"/>
              <w:numPr>
                <w:ilvl w:val="0"/>
                <w:numId w:val="27"/>
              </w:numPr>
              <w:autoSpaceDE w:val="0"/>
              <w:autoSpaceDN w:val="0"/>
              <w:adjustRightInd w:val="0"/>
              <w:spacing w:before="120" w:beforeLines="50" w:after="120" w:line="240" w:lineRule="auto"/>
              <w:contextualSpacing/>
              <w:jc w:val="both"/>
              <w:rPr>
                <w:b/>
                <w:color w:val="000000"/>
              </w:rPr>
            </w:pPr>
            <w:r>
              <w:rPr>
                <w:b/>
                <w:color w:val="000000"/>
              </w:rPr>
              <w:t>Type 1 CSS with dedicated RRC configuration, type 3 CSS, and UE-SS</w:t>
            </w:r>
          </w:p>
          <w:p>
            <w:pPr>
              <w:widowControl w:val="0"/>
              <w:rPr>
                <w:rFonts w:eastAsia="宋体"/>
                <w:color w:val="000000"/>
              </w:rPr>
            </w:pPr>
            <w:r>
              <w:rPr>
                <w:rFonts w:eastAsia="宋体"/>
                <w:color w:val="000000"/>
              </w:rPr>
              <w:t xml:space="preserve">In Rel-15 </w:t>
            </w:r>
            <w:r>
              <w:rPr>
                <w:rFonts w:eastAsia="宋体"/>
                <w:color w:val="000000"/>
              </w:rPr>
              <w:fldChar w:fldCharType="begin"/>
            </w:r>
            <w:r>
              <w:rPr>
                <w:rFonts w:eastAsia="宋体"/>
                <w:color w:val="000000"/>
              </w:rPr>
              <w:instrText xml:space="preserve"> REF _Ref83397362 \w \h </w:instrText>
            </w:r>
            <w:r>
              <w:rPr>
                <w:rFonts w:eastAsia="宋体"/>
                <w:color w:val="000000"/>
              </w:rPr>
              <w:fldChar w:fldCharType="separate"/>
            </w:r>
            <w:r>
              <w:rPr>
                <w:rFonts w:eastAsia="宋体"/>
                <w:color w:val="000000"/>
              </w:rPr>
              <w:t>[3]</w:t>
            </w:r>
            <w:r>
              <w:rPr>
                <w:rFonts w:eastAsia="宋体"/>
                <w:color w:val="000000"/>
              </w:rPr>
              <w:fldChar w:fldCharType="end"/>
            </w:r>
            <w:r>
              <w:rPr>
                <w:rFonts w:eastAsia="宋体"/>
                <w:color w:val="000000"/>
              </w:rPr>
              <w:t xml:space="preserve">, it is mandatory without capability signaling to support the feature group 3-1 of DL control channel. In FG 3-1, the monitoring occasion for type 1 CSS with dedicated RRC configuration, type 3 CSS, and UE-SS is within the first 3 OFDM symbols of a slot. Considering multi-slot PDCCH monitoring capability will also supported as conditional mandatory for 480 kHz and 960 kHz SCS, FG3-1 could be directly extended that the monitoring occasion should be restricted within the first 3OS in each of Y slots in the X-slots group. It could be regarded as the basic feature for 480 kHz or 960 kHz SCS especially for UE with limited capability. </w:t>
            </w: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 xml:space="preserve">Corresponding to FG3-1 in Rel-15, PDCCH monitoring occasion restricted in the first 3 OS of each of the Y slots in the X-slot group should be supported as a basic feature for type 1 CSS with dedicated RRC configuration, type 3 CSS, and UE-SS. </w:t>
            </w:r>
          </w:p>
          <w:p>
            <w:pPr>
              <w:widowControl w:val="0"/>
              <w:rPr>
                <w:rFonts w:eastAsia="宋体"/>
                <w:color w:val="000000"/>
              </w:rPr>
            </w:pPr>
            <w:r>
              <w:rPr>
                <w:rFonts w:eastAsia="宋体"/>
                <w:color w:val="000000"/>
              </w:rPr>
              <w:t xml:space="preserve">For UE with higher capability, always restricting monitoring occasion only in the first 3 OS in each of Y slots in an X-slots group is not efficient to multiplex searching spaces across different UE, because gNB need to configure all CSS and UE-SS in the first 3 OS in each of Y slot per X-slots group in such case. In Rel-15, there are 3 feature groups allowing UE to monitoring PDCCH in any OS in a slot, i.e. FG3-5, FG3-5a and FG3-5b. For FG3-5, monitoring occasion can be any OFDM symbol(s) of a slot without gap, which results too frequent PDCCH monitoring in Y slots. Both FG3-5a and FG3-5b can achieve the balance between complexity and flexibility by modified the separation between two consecutive monitoring occasions or spans. However, considering the limited time in the meeting and standard effort, we prefer to work based on FG3-5a if Alt 1 in section 2.1.1 is adopted. </w:t>
            </w:r>
          </w:p>
          <w:p>
            <w:pPr>
              <w:widowControl w:val="0"/>
              <w:rPr>
                <w:rFonts w:eastAsia="宋体"/>
                <w:color w:val="000000"/>
              </w:rPr>
            </w:pPr>
            <w:r>
              <w:rPr>
                <w:rFonts w:eastAsia="宋体"/>
                <w:color w:val="000000"/>
              </w:rPr>
              <w:t xml:space="preserve">According to FG3-5a, monitoring occasion can be any OFDM symbol(s) of a slot with minimum time separation of 14 OFDM symbols for 120kHz between two consecutive transmissions of PDCCH scrambled with C-RNTI, MCS-C-RNTI, or CS-RNTI for Type 1-PDCCH common search space configured by dedicated RRC signaling, for a Type 3-PDCCH common search space, or for a UE-specific search space, with the capability of supporting at least 20 blind decodes in a slot for 120 kHz SCS. By scaling the time separation between two consecutive transmissions of PDCCH according to SCS and allowing monitoring occasion in any of Y slots in an X-slots group, we had following proposal for multi-slot PDCCH monitoring capability.    </w:t>
            </w:r>
          </w:p>
          <w:p>
            <w:pPr>
              <w:pStyle w:val="73"/>
              <w:widowControl w:val="0"/>
              <w:numPr>
                <w:ilvl w:val="0"/>
                <w:numId w:val="26"/>
              </w:numPr>
              <w:autoSpaceDE w:val="0"/>
              <w:autoSpaceDN w:val="0"/>
              <w:adjustRightInd w:val="0"/>
              <w:spacing w:before="120" w:beforeLines="50" w:after="240" w:line="240" w:lineRule="auto"/>
              <w:jc w:val="both"/>
              <w:rPr>
                <w:b/>
                <w:i/>
                <w:color w:val="000000"/>
              </w:rPr>
            </w:pPr>
            <w:r>
              <w:rPr>
                <w:b/>
                <w:i/>
                <w:color w:val="000000"/>
              </w:rPr>
              <w:t xml:space="preserve">Corresponding to FG3-5a in Rel-15, PDCCH monitoring occasion in any OFDM symbols of a slot with </w:t>
            </w:r>
          </w:p>
          <w:p>
            <w:pPr>
              <w:pStyle w:val="73"/>
              <w:widowControl w:val="0"/>
              <w:numPr>
                <w:ilvl w:val="0"/>
                <w:numId w:val="28"/>
              </w:numPr>
              <w:autoSpaceDE w:val="0"/>
              <w:autoSpaceDN w:val="0"/>
              <w:adjustRightInd w:val="0"/>
              <w:spacing w:before="120" w:beforeLines="50" w:after="240" w:line="240" w:lineRule="auto"/>
              <w:jc w:val="both"/>
              <w:rPr>
                <w:b/>
                <w:i/>
                <w:color w:val="000000"/>
              </w:rPr>
            </w:pPr>
            <w:r>
              <w:rPr>
                <w:b/>
                <w:i/>
                <w:color w:val="000000"/>
                <w:lang w:eastAsia="zh-CN"/>
              </w:rPr>
              <w:t>location of monitoring occasion maintained in the same symbols across different slots within a slot group, and</w:t>
            </w:r>
          </w:p>
          <w:p>
            <w:pPr>
              <w:pStyle w:val="73"/>
              <w:widowControl w:val="0"/>
              <w:numPr>
                <w:ilvl w:val="0"/>
                <w:numId w:val="28"/>
              </w:numPr>
              <w:autoSpaceDE w:val="0"/>
              <w:autoSpaceDN w:val="0"/>
              <w:adjustRightInd w:val="0"/>
              <w:spacing w:before="120" w:beforeLines="50" w:after="240" w:line="240" w:lineRule="auto"/>
              <w:jc w:val="both"/>
              <w:rPr>
                <w:b/>
                <w:i/>
                <w:color w:val="000000"/>
              </w:rPr>
            </w:pPr>
            <w:r>
              <w:rPr>
                <w:b/>
                <w:i/>
                <w:color w:val="000000"/>
              </w:rPr>
              <w:t>a minimum time separation of 56 OS for 480 kHz SCS or 112 OS for 960 kHz SCS between the first monitoring occasions of two consecutive slot groups,</w:t>
            </w:r>
          </w:p>
          <w:p>
            <w:pPr>
              <w:widowControl w:val="0"/>
              <w:spacing w:before="120" w:beforeLines="50" w:after="240"/>
              <w:rPr>
                <w:b/>
                <w:i/>
                <w:color w:val="000000"/>
              </w:rPr>
            </w:pPr>
            <w:r>
              <w:rPr>
                <w:b/>
                <w:i/>
                <w:color w:val="000000"/>
              </w:rPr>
              <w:t>should be supported as an optional feature for type 1 CSS with dedicated RRC configuration, type 3 CSS, and UE-SS.</w:t>
            </w:r>
          </w:p>
        </w:tc>
      </w:tr>
    </w:tbl>
    <w:p>
      <w:pPr>
        <w:rPr>
          <w:lang w:val="en-GB" w:eastAsia="zh-CN"/>
        </w:rPr>
      </w:pPr>
    </w:p>
    <w:p>
      <w:pPr>
        <w:pStyle w:val="4"/>
        <w:jc w:val="both"/>
        <w:rPr>
          <w:lang w:val="en-GB" w:eastAsia="zh-CN"/>
        </w:rPr>
      </w:pPr>
      <w:r>
        <w:rPr>
          <w:lang w:val="en-GB" w:eastAsia="zh-CN"/>
        </w:rPr>
        <w:t>R1-2108783 (Futurewei)</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pPr>
            <w:r>
              <w:t xml:space="preserve">During RAN1#106 discussions, most companies showed either direct support or ready to compromise for the Alt 1 [4, R1-2108559]. </w:t>
            </w:r>
          </w:p>
          <w:p>
            <w:pPr>
              <w:widowControl w:val="0"/>
            </w:pPr>
            <w:r>
              <w:t>The main reason for the support of Alt 1 is its simplicity, while the support of Alt 2 was mainly justified by its flexibility on the SS configuration. The argument against Alt 1 was the possible back-to-back configuration of SS, which would require Y &lt;&lt;X, which would limit the scheduling flexibility. However, it was noted that when Y length is about X/2 length the benefit of Alt 2 is marginal. Moreover, Alt 2 would require additional discussions for multi-cell BD/CCE calculation for aligned and non-align span. Another drawback of Alt 2 was that would require PDCCH processing load checking according to several different delineations of monitoring occasion groups, which practically lead to a sliding window approach as in Alt 3. The discussions around Alt-1 led to the multiple updates to Alt 1 as presented in the agreement above.</w:t>
            </w:r>
          </w:p>
          <w:p>
            <w:pPr>
              <w:widowControl w:val="0"/>
            </w:pPr>
            <w:r>
              <w:t>Given the pros and cons presented and the latest updates of Alt 1 and the fact the vast majority supports it, we propose that this alternative is selected, and group moves to solving the remaining dependent open issues.</w:t>
            </w:r>
          </w:p>
          <w:p>
            <w:pPr>
              <w:widowControl w:val="0"/>
              <w:rPr>
                <w:b/>
                <w:bCs/>
              </w:rPr>
            </w:pPr>
            <w:r>
              <w:rPr>
                <w:b/>
                <w:bCs/>
              </w:rPr>
              <w:t xml:space="preserve">Proposal 1:  For PDCCH monitoring enhancement adopt Alt-1. </w:t>
            </w:r>
          </w:p>
          <w:p>
            <w:pPr>
              <w:widowControl w:val="0"/>
            </w:pPr>
            <w:r>
              <w:t xml:space="preserve">One remaining issue to be decided is if the X slot group is aligned or not at the slot boundary.  We think that a natural extension of the existing slot based PDCCH monitoring is that the X group of slots is aligned with the slot boundary.  </w:t>
            </w:r>
          </w:p>
          <w:p>
            <w:pPr>
              <w:widowControl w:val="0"/>
              <w:rPr>
                <w:b/>
                <w:bCs/>
              </w:rPr>
            </w:pPr>
            <w:r>
              <w:rPr>
                <w:b/>
                <w:bCs/>
              </w:rPr>
              <w:t>Proposal 2: The X slot group for monitoring PDCCH is aligned with slot boundary.</w:t>
            </w:r>
          </w:p>
          <w:p>
            <w:pPr>
              <w:widowControl w:val="0"/>
            </w:pPr>
            <w:r>
              <w:t xml:space="preserve">If the Alt 1 is considered as an extension of slot-based monitoring it is preferred that slot-based monitoring (X=1 slot and Y = 3 symbols) be a particular case of Alt 1, and Alt 1 be just a scaled-up version of the slot based PDCCH monitoring. Therefore, we propose that Y span to be always at the beginning of X slot group. </w:t>
            </w:r>
          </w:p>
          <w:p>
            <w:pPr>
              <w:widowControl w:val="0"/>
              <w:rPr>
                <w:b/>
                <w:bCs/>
              </w:rPr>
            </w:pPr>
            <w:r>
              <w:rPr>
                <w:b/>
                <w:bCs/>
              </w:rPr>
              <w:t>Proposal 3: The Y span slots always start at the first slot within a X slot group.</w:t>
            </w:r>
          </w:p>
          <w:p>
            <w:pPr>
              <w:widowControl w:val="0"/>
            </w:pPr>
            <w:r>
              <w:t xml:space="preserve">During RAN1 discussions, it was proposed that UE should support multiple values for X such as for 480kHz SCS X = {1,2,4} slots, for 960kHz SCS X = {1,2,4,8} slots.   However, the consensus was not reached. One of the main objections was against the support of X=1 (per slot monitoring). We see the value X=1 just as another option for UE capability monitoring, which can be reported by UE and may or may not be used by gNB for configuration of PDCCH monitoring. Thus, it should be allowed. If X=1 slot, based on the Alt 1, Y =X and the SS location are not restricted and there is no power saving provided by this scheme.  Therefore, in our opinion, if X=1 is supported, Y length less than one slot should be supported. </w:t>
            </w:r>
          </w:p>
          <w:p>
            <w:pPr>
              <w:widowControl w:val="0"/>
              <w:rPr>
                <w:b/>
                <w:bCs/>
                <w:lang w:val="en-GB" w:eastAsia="zh-CN"/>
              </w:rPr>
            </w:pPr>
            <w:r>
              <w:rPr>
                <w:b/>
                <w:bCs/>
              </w:rPr>
              <w:t xml:space="preserve">Proposal 4: For UE </w:t>
            </w:r>
            <w:r>
              <w:rPr>
                <w:b/>
                <w:bCs/>
                <w:lang w:val="en-GB" w:eastAsia="zh-CN"/>
              </w:rPr>
              <w:t>reporting the multi-slot PDCCH monitoring capability the following values are supported:</w:t>
            </w:r>
          </w:p>
          <w:p>
            <w:pPr>
              <w:pStyle w:val="73"/>
              <w:widowControl w:val="0"/>
              <w:numPr>
                <w:ilvl w:val="0"/>
                <w:numId w:val="29"/>
              </w:numPr>
              <w:snapToGrid/>
              <w:spacing w:after="160"/>
              <w:contextualSpacing/>
              <w:rPr>
                <w:b/>
                <w:bCs/>
              </w:rPr>
            </w:pPr>
            <w:r>
              <w:rPr>
                <w:b/>
                <w:bCs/>
              </w:rPr>
              <w:t>For SCS 480 kHz, X= {1,2,4} slots</w:t>
            </w:r>
          </w:p>
          <w:p>
            <w:pPr>
              <w:pStyle w:val="73"/>
              <w:widowControl w:val="0"/>
              <w:numPr>
                <w:ilvl w:val="0"/>
                <w:numId w:val="29"/>
              </w:numPr>
              <w:snapToGrid/>
              <w:spacing w:after="160"/>
              <w:contextualSpacing/>
              <w:rPr>
                <w:b/>
                <w:bCs/>
              </w:rPr>
            </w:pPr>
            <w:r>
              <w:rPr>
                <w:b/>
                <w:bCs/>
              </w:rPr>
              <w:t>For SCS 960 kHz, X = {1,2,4,8} slots</w:t>
            </w:r>
          </w:p>
        </w:tc>
      </w:tr>
    </w:tbl>
    <w:p>
      <w:pPr>
        <w:rPr>
          <w:lang w:eastAsia="zh-CN"/>
        </w:rPr>
      </w:pPr>
    </w:p>
    <w:p>
      <w:pPr>
        <w:pStyle w:val="4"/>
        <w:jc w:val="both"/>
        <w:rPr>
          <w:lang w:val="en-GB" w:eastAsia="zh-CN"/>
        </w:rPr>
      </w:pPr>
      <w:r>
        <w:rPr>
          <w:lang w:val="en-GB" w:eastAsia="zh-CN"/>
        </w:rPr>
        <w:t>R1-2108887 (Transsion Holdings)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szCs w:val="20"/>
                <w:lang w:eastAsia="zh-CN"/>
              </w:rPr>
            </w:pPr>
            <w:r>
              <w:rPr>
                <w:rFonts w:hint="eastAsia"/>
                <w:szCs w:val="20"/>
                <w:lang w:eastAsia="zh-CN"/>
              </w:rPr>
              <w:t xml:space="preserve">In the revised WID, in addition to the 120kHz SCS, 480kHz and 960kHz SCS are also introduced for control and data channels. If UE is required to monitor PDCCH in every slot, then it is quite challenge for UE implementation to maintain the same BD/CCE budget as Rel-15 NR, because for 480kHz SCS and 960kHz SCS, the TTI of one slot is reduced to 31.25/15.625 us, which is 1/4 or 1/8 of the TTI for 120kHz SCS. Therefore, in order to relax the per-slot PDCCH monitoring capability, multi-slot PDCCH monitoring capability has been proposed. So far, three alternatives have been agreed, and down-selection will be done among these alternatives at a future RAN1 meeting. </w:t>
            </w:r>
          </w:p>
          <w:p>
            <w:pPr>
              <w:widowControl w:val="0"/>
              <w:rPr>
                <w:szCs w:val="20"/>
                <w:lang w:eastAsia="zh-CN"/>
              </w:rPr>
            </w:pPr>
            <w:r>
              <w:rPr>
                <w:rFonts w:hint="eastAsia"/>
                <w:szCs w:val="20"/>
                <w:lang w:eastAsia="zh-CN"/>
              </w:rPr>
              <w:t xml:space="preserve">For Alt 1, </w:t>
            </w:r>
            <w:bookmarkStart w:id="0" w:name="OLE_LINK7"/>
            <w:r>
              <w:rPr>
                <w:rFonts w:hint="eastAsia"/>
                <w:szCs w:val="20"/>
                <w:lang w:eastAsia="zh-CN"/>
              </w:rPr>
              <w:t>a multi-slot PDCCH monitoring capability is defined</w:t>
            </w:r>
            <w:bookmarkEnd w:id="0"/>
            <w:r>
              <w:rPr>
                <w:rFonts w:hint="eastAsia"/>
                <w:szCs w:val="20"/>
                <w:lang w:eastAsia="zh-CN"/>
              </w:rPr>
              <w:t xml:space="preserve"> as the BD/CCE budget per Y consecutive slots within a fixed pattern of X slots, where </w:t>
            </w:r>
            <w:r>
              <w:rPr>
                <w:rFonts w:ascii="Times" w:hAnsi="Times" w:eastAsia="Batang"/>
                <w:kern w:val="2"/>
                <w:sz w:val="21"/>
                <w:szCs w:val="24"/>
                <w:lang w:val="en-GB"/>
              </w:rPr>
              <w:t>1&lt;=Y&lt;=X/2</w:t>
            </w:r>
            <w:r>
              <w:rPr>
                <w:rFonts w:hint="eastAsia" w:ascii="Times" w:hAnsi="Times" w:eastAsia="宋体"/>
                <w:kern w:val="2"/>
                <w:sz w:val="21"/>
                <w:szCs w:val="24"/>
                <w:lang w:eastAsia="zh-CN"/>
              </w:rPr>
              <w:t xml:space="preserve">. </w:t>
            </w:r>
            <w:r>
              <w:rPr>
                <w:rFonts w:hint="eastAsia"/>
                <w:szCs w:val="20"/>
                <w:lang w:eastAsia="zh-CN"/>
              </w:rPr>
              <w:t xml:space="preserve">It had been agreed that at least X=4 for </w:t>
            </w:r>
            <w:bookmarkStart w:id="1" w:name="OLE_LINK1"/>
            <w:r>
              <w:rPr>
                <w:rFonts w:hint="eastAsia"/>
                <w:szCs w:val="20"/>
                <w:lang w:eastAsia="zh-CN"/>
              </w:rPr>
              <w:t>480kHz SCS</w:t>
            </w:r>
            <w:bookmarkEnd w:id="1"/>
            <w:r>
              <w:rPr>
                <w:rFonts w:hint="eastAsia"/>
                <w:szCs w:val="20"/>
                <w:lang w:eastAsia="zh-CN"/>
              </w:rPr>
              <w:t xml:space="preserve"> and X=8 for 960kHz SCS in RAN1#106-e meeting [2]. With these values, the duration of one slot group for 480kHz SCS and 960kHz SCS is equal to that of one slot for 120kHz SCS. In this case, the PDCCH processing overhead is maintained on the UE side. In addition, when the the value Y equals to X/2, the flexibility of PDCCH monitoring is consistent with that of 120kHz SCS.    </w:t>
            </w:r>
          </w:p>
          <w:p>
            <w:pPr>
              <w:widowControl w:val="0"/>
              <w:rPr>
                <w:szCs w:val="20"/>
                <w:lang w:eastAsia="zh-CN"/>
              </w:rPr>
            </w:pPr>
            <w:r>
              <w:rPr>
                <w:rFonts w:hint="eastAsia"/>
                <w:szCs w:val="20"/>
                <w:lang w:eastAsia="zh-CN"/>
              </w:rPr>
              <w:t xml:space="preserve">For Alt 2, a multi-slot PDCCH monitoring capability is defined based on Rel-16 PDCCH monitoring span with some extension. Although, Alt 2 provides more flexibility in PDCCH monitoring compared to Alt 1, considering that only three combinations (X,Y) for15kHz SCS and 30kHz SCS have been specified,  considerable standardization efforts may be required to extend the combinations (X, Y) to accommodate the multi-slot PDCCH monitoring. </w:t>
            </w:r>
          </w:p>
          <w:p>
            <w:pPr>
              <w:widowControl w:val="0"/>
              <w:rPr>
                <w:szCs w:val="20"/>
                <w:lang w:eastAsia="zh-CN"/>
              </w:rPr>
            </w:pPr>
            <w:r>
              <w:rPr>
                <w:rFonts w:hint="eastAsia"/>
                <w:szCs w:val="20"/>
                <w:lang w:eastAsia="zh-CN"/>
              </w:rPr>
              <w:t xml:space="preserve">For Alt 3, a sliding window of X slots is introduced to avoid a back-to-back issue [3]. However, it had been identified that the back-to back issues can be resolved by a fixed monitoring pattern for Alt 1 or restricting the (X, Y) values for Alt 2. Furthermore, Alt 3 may increase UE complexity due to iterative calculate the total number of PDCCH candidates within the sliding window.  </w:t>
            </w:r>
          </w:p>
          <w:p>
            <w:pPr>
              <w:widowControl w:val="0"/>
              <w:rPr>
                <w:szCs w:val="20"/>
                <w:lang w:eastAsia="zh-CN"/>
              </w:rPr>
            </w:pPr>
            <w:r>
              <w:rPr>
                <w:rFonts w:hint="eastAsia"/>
                <w:szCs w:val="20"/>
                <w:lang w:eastAsia="zh-CN"/>
              </w:rPr>
              <w:t>Given that Alt 1 is the most straightforward and simple of these three alternatives, it is better to adopt Alt 1 as the definition of multi-slot PDCCH monitoring capability.</w:t>
            </w:r>
          </w:p>
          <w:p>
            <w:pPr>
              <w:widowControl w:val="0"/>
              <w:rPr>
                <w:b/>
                <w:i/>
                <w:szCs w:val="20"/>
                <w:lang w:eastAsia="zh-CN"/>
              </w:rPr>
            </w:pPr>
            <w:r>
              <w:rPr>
                <w:b/>
                <w:i/>
                <w:szCs w:val="20"/>
                <w:lang w:eastAsia="zh-CN"/>
              </w:rPr>
              <w:t xml:space="preserve">Proposal 1:  </w:t>
            </w:r>
            <w:r>
              <w:rPr>
                <w:rFonts w:hint="eastAsia"/>
                <w:b/>
                <w:i/>
                <w:szCs w:val="20"/>
                <w:lang w:eastAsia="zh-CN"/>
              </w:rPr>
              <w:t>Adopt Alt1 as the definition of multi-slot PDCCH monitoring capability</w:t>
            </w:r>
            <w:r>
              <w:rPr>
                <w:b/>
                <w:i/>
                <w:szCs w:val="20"/>
                <w:lang w:eastAsia="zh-CN"/>
              </w:rPr>
              <w:t>.</w:t>
            </w:r>
          </w:p>
        </w:tc>
      </w:tr>
    </w:tbl>
    <w:p>
      <w:pPr>
        <w:rPr>
          <w:lang w:eastAsia="zh-CN"/>
        </w:rPr>
      </w:pPr>
    </w:p>
    <w:p>
      <w:pPr>
        <w:pStyle w:val="4"/>
        <w:jc w:val="both"/>
        <w:rPr>
          <w:lang w:val="en-GB" w:eastAsia="zh-CN"/>
        </w:rPr>
      </w:pPr>
      <w:r>
        <w:rPr>
          <w:lang w:val="en-GB" w:eastAsia="zh-CN"/>
        </w:rPr>
        <w:t>R1-2108935 (ZTE, Sanechips)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after="40" w:line="240" w:lineRule="auto"/>
              <w:jc w:val="both"/>
              <w:rPr>
                <w:b/>
                <w:lang w:eastAsia="zh-CN"/>
              </w:rPr>
            </w:pPr>
            <w:r>
              <w:rPr>
                <w:rFonts w:hint="eastAsia" w:eastAsia="宋体"/>
                <w:b/>
                <w:lang w:eastAsia="zh-CN"/>
              </w:rPr>
              <w:t xml:space="preserve">Proposal 1: </w:t>
            </w:r>
            <w:r>
              <w:rPr>
                <w:rFonts w:hint="eastAsia"/>
                <w:b/>
                <w:lang w:eastAsia="zh-CN"/>
              </w:rPr>
              <w:t xml:space="preserve">Alt 1 using a fixed pattern of slot groups </w:t>
            </w:r>
            <w:r>
              <w:rPr>
                <w:b/>
                <w:lang w:eastAsia="zh-CN"/>
              </w:rPr>
              <w:t xml:space="preserve">is preferred </w:t>
            </w:r>
            <w:r>
              <w:rPr>
                <w:rFonts w:hint="eastAsia"/>
                <w:b/>
                <w:lang w:eastAsia="zh-CN"/>
              </w:rPr>
              <w:t xml:space="preserve">as the baseline to define the new capability for </w:t>
            </w:r>
            <w:r>
              <w:rPr>
                <w:rFonts w:hint="eastAsia" w:eastAsia="宋体"/>
                <w:b/>
                <w:lang w:eastAsia="zh-CN"/>
              </w:rPr>
              <w:t>PDCCH monitoring with</w:t>
            </w:r>
            <w:r>
              <w:rPr>
                <w:rFonts w:eastAsia="宋体"/>
                <w:b/>
                <w:lang w:eastAsia="zh-CN"/>
              </w:rPr>
              <w:t xml:space="preserve"> the new SCS</w:t>
            </w:r>
            <w:r>
              <w:rPr>
                <w:rFonts w:hint="eastAsia" w:eastAsia="宋体"/>
                <w:b/>
                <w:lang w:eastAsia="zh-CN"/>
              </w:rPr>
              <w:t>s</w:t>
            </w:r>
            <w:r>
              <w:rPr>
                <w:rFonts w:eastAsia="宋体"/>
                <w:b/>
                <w:lang w:eastAsia="zh-CN"/>
              </w:rPr>
              <w:t xml:space="preserve"> 480</w:t>
            </w:r>
            <w:r>
              <w:rPr>
                <w:rFonts w:hint="eastAsia" w:eastAsia="宋体"/>
                <w:b/>
                <w:lang w:eastAsia="zh-CN"/>
              </w:rPr>
              <w:t>/</w:t>
            </w:r>
            <w:r>
              <w:rPr>
                <w:rFonts w:eastAsia="宋体"/>
                <w:b/>
                <w:lang w:eastAsia="zh-CN"/>
              </w:rPr>
              <w:t>960 kHz</w:t>
            </w:r>
            <w:r>
              <w:rPr>
                <w:rFonts w:hint="eastAsia" w:eastAsia="宋体"/>
                <w:b/>
                <w:lang w:eastAsia="zh-CN"/>
              </w:rPr>
              <w:t>:</w:t>
            </w:r>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lang w:eastAsia="zh-CN"/>
              </w:rPr>
              <w:t xml:space="preserve">Each slot group consists of X slots </w:t>
            </w:r>
          </w:p>
          <w:p>
            <w:pPr>
              <w:widowControl w:val="0"/>
              <w:numPr>
                <w:ilvl w:val="0"/>
                <w:numId w:val="30"/>
              </w:numPr>
              <w:autoSpaceDE/>
              <w:autoSpaceDN/>
              <w:adjustRightInd/>
              <w:snapToGrid/>
              <w:spacing w:after="40" w:line="240" w:lineRule="auto"/>
              <w:ind w:left="1680"/>
              <w:jc w:val="both"/>
              <w:rPr>
                <w:rFonts w:eastAsia="宋体"/>
                <w:b/>
                <w:lang w:eastAsia="zh-CN"/>
              </w:rPr>
            </w:pPr>
            <w:r>
              <w:rPr>
                <w:rFonts w:hint="eastAsia" w:eastAsia="宋体"/>
                <w:b/>
                <w:lang w:eastAsia="zh-CN"/>
              </w:rPr>
              <w:t>X={1, 2, 4} slots for 480 kHz SCS</w:t>
            </w:r>
          </w:p>
          <w:p>
            <w:pPr>
              <w:widowControl w:val="0"/>
              <w:numPr>
                <w:ilvl w:val="0"/>
                <w:numId w:val="30"/>
              </w:numPr>
              <w:autoSpaceDE/>
              <w:autoSpaceDN/>
              <w:adjustRightInd/>
              <w:snapToGrid/>
              <w:spacing w:after="40" w:line="240" w:lineRule="auto"/>
              <w:ind w:left="1680"/>
              <w:jc w:val="both"/>
              <w:rPr>
                <w:rFonts w:eastAsia="宋体"/>
                <w:b/>
                <w:lang w:eastAsia="zh-CN"/>
              </w:rPr>
            </w:pPr>
            <w:r>
              <w:rPr>
                <w:rFonts w:hint="eastAsia" w:eastAsia="宋体"/>
                <w:b/>
                <w:lang w:eastAsia="zh-CN"/>
              </w:rPr>
              <w:t>X= {1, 2, 4, 8} slots for 960 kHz SCS</w:t>
            </w:r>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sz w:val="20"/>
                <w:szCs w:val="20"/>
                <w:lang w:eastAsia="zh-CN"/>
              </w:rPr>
              <w:t xml:space="preserve">Slot </w:t>
            </w:r>
            <w:r>
              <w:rPr>
                <w:b/>
                <w:sz w:val="20"/>
                <w:szCs w:val="20"/>
              </w:rPr>
              <w:t>groups are consecutive and non-overlappin</w:t>
            </w:r>
            <w:r>
              <w:rPr>
                <w:rFonts w:hint="eastAsia" w:eastAsia="宋体"/>
                <w:b/>
                <w:sz w:val="20"/>
                <w:szCs w:val="20"/>
                <w:lang w:eastAsia="zh-CN"/>
              </w:rPr>
              <w:t>g</w:t>
            </w:r>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lang w:eastAsia="zh-CN"/>
              </w:rPr>
              <w:t>A slot group should be aligned with a slot boundary</w:t>
            </w:r>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lang w:eastAsia="zh-CN"/>
              </w:rPr>
              <w:t>The capability indicates the BD/CCE budget within each slot group</w:t>
            </w:r>
            <w:bookmarkStart w:id="2" w:name="OLE_LINK3"/>
            <w:r>
              <w:rPr>
                <w:rFonts w:hint="eastAsia" w:eastAsia="宋体"/>
                <w:b/>
                <w:lang w:eastAsia="zh-CN"/>
              </w:rPr>
              <w:t xml:space="preserve"> </w:t>
            </w:r>
            <w:r>
              <w:rPr>
                <w:rFonts w:hint="eastAsia" w:eastAsia="宋体"/>
                <w:b/>
                <w:bCs/>
                <w:lang w:eastAsia="zh-CN"/>
              </w:rPr>
              <w:t>and at least Type 1</w:t>
            </w:r>
            <w:r>
              <w:rPr>
                <w:b/>
                <w:bCs/>
                <w:lang w:eastAsia="zh-CN"/>
              </w:rPr>
              <w:t>(with</w:t>
            </w:r>
            <w:r>
              <w:rPr>
                <w:rFonts w:hint="eastAsia"/>
                <w:b/>
                <w:bCs/>
                <w:lang w:eastAsia="zh-CN"/>
              </w:rPr>
              <w:t xml:space="preserve"> </w:t>
            </w:r>
            <w:r>
              <w:rPr>
                <w:b/>
                <w:bCs/>
                <w:lang w:eastAsia="zh-CN"/>
              </w:rPr>
              <w:t>dedicated RRC configuration)</w:t>
            </w:r>
            <w:r>
              <w:rPr>
                <w:rFonts w:hint="eastAsia" w:eastAsia="宋体"/>
                <w:b/>
                <w:bCs/>
                <w:lang w:eastAsia="zh-CN"/>
              </w:rPr>
              <w:t>/3 CSS and USS locate within Y consecutive slots</w:t>
            </w:r>
            <w:bookmarkEnd w:id="2"/>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lang w:eastAsia="zh-CN"/>
              </w:rPr>
              <w:t xml:space="preserve">For multi-slot PDCCH monitoring, </w:t>
            </w:r>
            <w:r>
              <w:rPr>
                <w:rFonts w:hint="eastAsia" w:eastAsia="MS Mincho"/>
                <w:b/>
                <w:lang w:eastAsia="zh-CN"/>
              </w:rPr>
              <w:t>1</w:t>
            </w:r>
            <w:r>
              <w:rPr>
                <w:rFonts w:hint="eastAsia" w:ascii="宋体" w:hAnsi="宋体" w:eastAsia="宋体" w:cs="宋体"/>
                <w:b/>
                <w:lang w:eastAsia="zh-CN"/>
              </w:rPr>
              <w:t>≦</w:t>
            </w:r>
            <w:r>
              <w:rPr>
                <w:rFonts w:hint="eastAsia" w:eastAsia="MS Mincho"/>
                <w:b/>
                <w:lang w:eastAsia="zh-CN"/>
              </w:rPr>
              <w:t>Y</w:t>
            </w:r>
            <w:r>
              <w:rPr>
                <w:rFonts w:hint="eastAsia" w:ascii="宋体" w:hAnsi="宋体" w:eastAsia="宋体" w:cs="宋体"/>
                <w:b/>
                <w:lang w:eastAsia="zh-CN"/>
              </w:rPr>
              <w:t>≦</w:t>
            </w:r>
            <w:r>
              <w:rPr>
                <w:rFonts w:hint="eastAsia" w:eastAsia="MS Mincho"/>
                <w:b/>
                <w:lang w:eastAsia="zh-CN"/>
              </w:rPr>
              <w:t>X/2 when X&gt;1 and Y=X when X=1 (X and Y both in units of slot)</w:t>
            </w:r>
          </w:p>
          <w:p>
            <w:pPr>
              <w:widowControl w:val="0"/>
              <w:numPr>
                <w:ilvl w:val="0"/>
                <w:numId w:val="30"/>
              </w:numPr>
              <w:autoSpaceDE/>
              <w:autoSpaceDN/>
              <w:adjustRightInd/>
              <w:snapToGrid/>
              <w:spacing w:after="40" w:line="240" w:lineRule="auto"/>
              <w:ind w:left="1680"/>
              <w:jc w:val="both"/>
              <w:rPr>
                <w:rFonts w:eastAsia="宋体"/>
                <w:b/>
                <w:lang w:eastAsia="zh-CN"/>
              </w:rPr>
            </w:pPr>
            <w:r>
              <w:rPr>
                <w:rFonts w:hint="eastAsia" w:eastAsia="宋体"/>
                <w:b/>
                <w:lang w:eastAsia="zh-CN"/>
              </w:rPr>
              <w:t>Y is always the first Y slot(s) within each slot group</w:t>
            </w:r>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lang w:eastAsia="zh-CN"/>
              </w:rPr>
              <w:t>The locations of the PDCCH monitoring symbols should not be restricted</w:t>
            </w:r>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lang w:eastAsia="zh-CN"/>
              </w:rPr>
              <w:t>To solve the initial access related CSS sets monitoring issues, consider changing default CSS configuration or differentiating PDCCH monitoring capability</w:t>
            </w:r>
          </w:p>
        </w:tc>
      </w:tr>
    </w:tbl>
    <w:p>
      <w:pPr>
        <w:rPr>
          <w:lang w:eastAsia="zh-CN"/>
        </w:rPr>
      </w:pPr>
    </w:p>
    <w:p>
      <w:pPr>
        <w:pStyle w:val="4"/>
        <w:jc w:val="both"/>
        <w:rPr>
          <w:lang w:val="en-GB" w:eastAsia="zh-CN"/>
        </w:rPr>
      </w:pPr>
      <w:r>
        <w:rPr>
          <w:lang w:val="en-GB" w:eastAsia="zh-CN"/>
        </w:rPr>
        <w:t>R1-2108960 (vivo)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spacing w:before="120"/>
              <w:jc w:val="both"/>
              <w:rPr>
                <w:lang w:eastAsia="zh-CN"/>
              </w:rPr>
            </w:pPr>
            <w:bookmarkStart w:id="3" w:name="_Hlk62233360"/>
            <w:r>
              <w:rPr>
                <w:rFonts w:hint="eastAsia"/>
                <w:lang w:eastAsia="zh-CN"/>
              </w:rPr>
              <w:t>I</w:t>
            </w:r>
            <w:r>
              <w:rPr>
                <w:lang w:eastAsia="zh-CN"/>
              </w:rPr>
              <w:t xml:space="preserve">n RAN#90e </w:t>
            </w:r>
            <w:r>
              <w:rPr>
                <w:lang w:eastAsia="zh-CN"/>
              </w:rPr>
              <w:fldChar w:fldCharType="begin"/>
            </w:r>
            <w:r>
              <w:rPr>
                <w:lang w:eastAsia="zh-CN"/>
              </w:rPr>
              <w:instrText xml:space="preserve"> REF _Ref40113707 \r \h </w:instrText>
            </w:r>
            <w:r>
              <w:rPr>
                <w:lang w:eastAsia="zh-CN"/>
              </w:rPr>
              <w:fldChar w:fldCharType="separate"/>
            </w:r>
            <w:r>
              <w:rPr>
                <w:lang w:eastAsia="zh-CN"/>
              </w:rPr>
              <w:t>[1]</w:t>
            </w:r>
            <w:r>
              <w:rPr>
                <w:lang w:eastAsia="zh-CN"/>
              </w:rPr>
              <w:fldChar w:fldCharType="end"/>
            </w:r>
            <w:r>
              <w:rPr>
                <w:lang w:eastAsia="zh-CN"/>
              </w:rPr>
              <w:t xml:space="preserve">, it is agreed that (120, 480, 960) KHz SCS are all supported for data/control. When PDCCH is configured in one DL BWP with 480/960KHz SCS, UE needs to monitor PDCCH every slot (i.e. ~15/30 us) if following the mandatory capability defined in existing NR operation as described in Section </w:t>
            </w:r>
            <w:r>
              <w:rPr>
                <w:lang w:eastAsia="zh-CN"/>
              </w:rPr>
              <w:fldChar w:fldCharType="begin"/>
            </w:r>
            <w:r>
              <w:rPr>
                <w:lang w:eastAsia="zh-CN"/>
              </w:rPr>
              <w:instrText xml:space="preserve"> REF _Ref61344139 \r \h </w:instrText>
            </w:r>
            <w:r>
              <w:rPr>
                <w:lang w:eastAsia="zh-CN"/>
              </w:rPr>
              <w:fldChar w:fldCharType="separate"/>
            </w:r>
            <w:r>
              <w:rPr>
                <w:lang w:eastAsia="zh-CN"/>
              </w:rPr>
              <w:t>2.1.1</w:t>
            </w:r>
            <w:r>
              <w:rPr>
                <w:lang w:eastAsia="zh-CN"/>
              </w:rPr>
              <w:fldChar w:fldCharType="end"/>
            </w:r>
            <w:r>
              <w:rPr>
                <w:lang w:eastAsia="zh-CN"/>
              </w:rPr>
              <w:t>. This is quite challenging for UE implementation especially in such high frequency band. So, the mandatory capability on PDCCH monitoring in NR FR1&amp;FR2 should be relaxed for NR operation from 52.6-71GHz, e.g. UE only needs to monitor in certain slot group instead of each slot within one subframe.</w:t>
            </w:r>
          </w:p>
          <w:p>
            <w:pPr>
              <w:widowControl w:val="0"/>
              <w:spacing w:before="120"/>
              <w:jc w:val="both"/>
              <w:rPr>
                <w:b/>
              </w:rPr>
            </w:pPr>
            <w:bookmarkStart w:id="4" w:name="_Ref61441296"/>
            <w:r>
              <w:rPr>
                <w:b/>
              </w:rPr>
              <w:t xml:space="preserve">Proposal </w:t>
            </w:r>
            <w:r>
              <w:rPr>
                <w:b/>
              </w:rPr>
              <w:fldChar w:fldCharType="begin"/>
            </w:r>
            <w:r>
              <w:rPr>
                <w:b/>
              </w:rPr>
              <w:instrText xml:space="preserve"> SEQ Proposal \* ARABIC </w:instrText>
            </w:r>
            <w:r>
              <w:rPr>
                <w:b/>
              </w:rPr>
              <w:fldChar w:fldCharType="separate"/>
            </w:r>
            <w:r>
              <w:rPr>
                <w:b/>
              </w:rPr>
              <w:t>1</w:t>
            </w:r>
            <w:r>
              <w:rPr>
                <w:b/>
              </w:rPr>
              <w:fldChar w:fldCharType="end"/>
            </w:r>
            <w:r>
              <w:rPr>
                <w:b/>
              </w:rPr>
              <w:t>: For NR operation from 52.6-71GHz, PDCCH monitoring capability in FR1&amp;FR2 should be relaxed from slot level to multi-slot level granularity.</w:t>
            </w:r>
            <w:bookmarkEnd w:id="4"/>
          </w:p>
          <w:p>
            <w:pPr>
              <w:widowControl w:val="0"/>
              <w:rPr>
                <w:rFonts w:eastAsia="宋体"/>
                <w:szCs w:val="20"/>
                <w:lang w:eastAsia="zh-CN"/>
              </w:rPr>
            </w:pPr>
            <w:r>
              <w:rPr>
                <w:rFonts w:eastAsia="宋体"/>
                <w:szCs w:val="20"/>
                <w:lang w:eastAsia="zh-CN"/>
              </w:rPr>
              <w:t>For the purpose of down-selection, Alt. 1 and Alt. 2 are compared from the following aspect:</w:t>
            </w:r>
          </w:p>
          <w:p>
            <w:pPr>
              <w:pStyle w:val="73"/>
              <w:widowControl/>
              <w:numPr>
                <w:ilvl w:val="0"/>
                <w:numId w:val="17"/>
              </w:numPr>
              <w:jc w:val="both"/>
              <w:rPr>
                <w:rFonts w:ascii="Times New Roman" w:hAnsi="Times New Roman"/>
                <w:sz w:val="20"/>
                <w:szCs w:val="20"/>
              </w:rPr>
            </w:pPr>
            <w:r>
              <w:rPr>
                <w:rFonts w:hint="eastAsia" w:ascii="Times New Roman" w:hAnsi="Times New Roman"/>
                <w:sz w:val="20"/>
                <w:szCs w:val="20"/>
              </w:rPr>
              <w:t>I</w:t>
            </w:r>
            <w:r>
              <w:rPr>
                <w:rFonts w:ascii="Times New Roman" w:hAnsi="Times New Roman"/>
                <w:sz w:val="20"/>
                <w:szCs w:val="20"/>
              </w:rPr>
              <w:t>n terms of network simplicity, gNB has full flexibility to configure SS as a fixed pattern for simplicity even Alt .2 is adopted. As mentioned before, Alt. 1 is a subset of Alt. 2. So from network perspective, Alt. 2 indeed provide more network flexibility;</w:t>
            </w:r>
          </w:p>
          <w:p>
            <w:pPr>
              <w:pStyle w:val="73"/>
              <w:widowControl/>
              <w:numPr>
                <w:ilvl w:val="0"/>
                <w:numId w:val="17"/>
              </w:numPr>
              <w:jc w:val="both"/>
              <w:rPr>
                <w:rFonts w:ascii="Times New Roman" w:hAnsi="Times New Roman"/>
                <w:sz w:val="20"/>
                <w:szCs w:val="20"/>
              </w:rPr>
            </w:pPr>
            <w:r>
              <w:rPr>
                <w:rFonts w:hint="eastAsia" w:ascii="Times New Roman" w:hAnsi="Times New Roman"/>
                <w:sz w:val="20"/>
                <w:szCs w:val="20"/>
              </w:rPr>
              <w:t>I</w:t>
            </w:r>
            <w:r>
              <w:rPr>
                <w:rFonts w:ascii="Times New Roman" w:hAnsi="Times New Roman"/>
                <w:sz w:val="20"/>
                <w:szCs w:val="20"/>
              </w:rPr>
              <w:t>n terms of UE simplicity, both Alt. 1 and Alt. 2 can achieve monitoring Y slots and rest X-Y slots, which has the same UE complexity for PDCCH monitoring;</w:t>
            </w:r>
          </w:p>
          <w:p>
            <w:pPr>
              <w:pStyle w:val="73"/>
              <w:widowControl/>
              <w:numPr>
                <w:ilvl w:val="0"/>
                <w:numId w:val="17"/>
              </w:numPr>
              <w:spacing w:after="120" w:afterLines="50"/>
              <w:ind w:left="777"/>
              <w:jc w:val="both"/>
              <w:rPr>
                <w:rFonts w:ascii="Times New Roman" w:hAnsi="Times New Roman"/>
                <w:sz w:val="20"/>
                <w:szCs w:val="20"/>
              </w:rPr>
            </w:pPr>
            <w:r>
              <w:rPr>
                <w:rFonts w:hint="eastAsia" w:ascii="Times New Roman" w:hAnsi="Times New Roman"/>
                <w:sz w:val="20"/>
                <w:szCs w:val="20"/>
              </w:rPr>
              <w:t>I</w:t>
            </w:r>
            <w:r>
              <w:rPr>
                <w:rFonts w:ascii="Times New Roman" w:hAnsi="Times New Roman"/>
                <w:sz w:val="20"/>
                <w:szCs w:val="20"/>
              </w:rPr>
              <w:t>n terms of spec simplicity, Alt. 2 is a simple extension of symbol-based span defined in Rel-16 where the unit is changed from symbol to slot. All definition there could be simply reused including CA case. In this sense, Alt. 2 has less spec effort than Alt. 1.</w:t>
            </w:r>
          </w:p>
          <w:p>
            <w:pPr>
              <w:widowControl w:val="0"/>
              <w:jc w:val="both"/>
              <w:rPr>
                <w:rFonts w:eastAsia="宋体"/>
                <w:szCs w:val="20"/>
                <w:lang w:eastAsia="zh-CN"/>
              </w:rPr>
            </w:pPr>
            <w:r>
              <w:rPr>
                <w:rFonts w:hint="eastAsia"/>
                <w:lang w:eastAsia="zh-CN"/>
              </w:rPr>
              <w:t>B</w:t>
            </w:r>
            <w:r>
              <w:rPr>
                <w:lang w:eastAsia="zh-CN"/>
              </w:rPr>
              <w:t xml:space="preserve">esides, </w:t>
            </w:r>
            <w:r>
              <w:rPr>
                <w:rFonts w:eastAsia="宋体"/>
                <w:szCs w:val="20"/>
                <w:lang w:eastAsia="zh-CN"/>
              </w:rPr>
              <w:t xml:space="preserve">CSS configuration is an important issue to be considered for the definition of multi-slot-based capability. In NR Rel-15&amp;16, different PDCCH monitoring occasions in one CSS is always associated with different SSBs. In this sense, different UEs under different SSBs may have different PDCCH monitoring occasions that may be located in different slots. </w:t>
            </w:r>
            <w:r>
              <w:rPr>
                <w:rFonts w:hint="eastAsia" w:eastAsia="宋体"/>
                <w:szCs w:val="20"/>
                <w:lang w:eastAsia="zh-CN"/>
              </w:rPr>
              <w:t>The</w:t>
            </w:r>
            <w:r>
              <w:rPr>
                <w:rFonts w:eastAsia="宋体"/>
                <w:szCs w:val="20"/>
                <w:lang w:eastAsia="zh-CN"/>
              </w:rPr>
              <w:t xml:space="preserve"> following alternatives could be considered as candidate for handling CSS issue:</w:t>
            </w:r>
          </w:p>
          <w:p>
            <w:pPr>
              <w:pStyle w:val="73"/>
              <w:widowControl/>
              <w:numPr>
                <w:ilvl w:val="0"/>
                <w:numId w:val="17"/>
              </w:numPr>
              <w:jc w:val="both"/>
              <w:rPr>
                <w:rFonts w:ascii="Times New Roman" w:hAnsi="Times New Roman"/>
                <w:sz w:val="20"/>
                <w:szCs w:val="20"/>
              </w:rPr>
            </w:pPr>
            <w:r>
              <w:rPr>
                <w:rFonts w:ascii="Times New Roman" w:hAnsi="Times New Roman"/>
                <w:sz w:val="20"/>
                <w:szCs w:val="20"/>
              </w:rPr>
              <w:t>Alt. A: Alt. 1.1 together with separate capability for CSS and USS</w:t>
            </w:r>
          </w:p>
          <w:p>
            <w:pPr>
              <w:pStyle w:val="73"/>
              <w:widowControl/>
              <w:numPr>
                <w:ilvl w:val="0"/>
                <w:numId w:val="17"/>
              </w:numPr>
              <w:jc w:val="both"/>
              <w:rPr>
                <w:rFonts w:ascii="Times New Roman" w:hAnsi="Times New Roman"/>
                <w:sz w:val="20"/>
                <w:szCs w:val="20"/>
              </w:rPr>
            </w:pPr>
            <w:r>
              <w:rPr>
                <w:rFonts w:ascii="Times New Roman" w:hAnsi="Times New Roman"/>
                <w:sz w:val="20"/>
                <w:szCs w:val="20"/>
              </w:rPr>
              <w:t>Al.t B: Alt. 1.2 together with CSS configuration-based location of Y slots</w:t>
            </w:r>
          </w:p>
          <w:p>
            <w:pPr>
              <w:pStyle w:val="73"/>
              <w:widowControl/>
              <w:numPr>
                <w:ilvl w:val="0"/>
                <w:numId w:val="17"/>
              </w:numPr>
              <w:spacing w:after="120" w:afterLines="50"/>
              <w:ind w:left="777"/>
              <w:jc w:val="both"/>
              <w:rPr>
                <w:rFonts w:ascii="Times New Roman" w:hAnsi="Times New Roman"/>
                <w:szCs w:val="20"/>
              </w:rPr>
            </w:pPr>
            <w:r>
              <w:rPr>
                <w:rFonts w:ascii="Times New Roman" w:hAnsi="Times New Roman"/>
                <w:sz w:val="20"/>
                <w:szCs w:val="20"/>
              </w:rPr>
              <w:t>Alt. C: Alt. 2 without any enhancement</w:t>
            </w:r>
          </w:p>
          <w:p>
            <w:pPr>
              <w:widowControl w:val="0"/>
              <w:jc w:val="both"/>
              <w:rPr>
                <w:rFonts w:eastAsia="宋体"/>
                <w:szCs w:val="20"/>
                <w:lang w:eastAsia="zh-CN"/>
              </w:rPr>
            </w:pPr>
            <w:r>
              <w:rPr>
                <w:rFonts w:eastAsia="宋体"/>
                <w:szCs w:val="20"/>
                <w:lang w:eastAsia="zh-CN"/>
              </w:rPr>
              <w:t>It is obviously that Alt. 2 could solve CSS issue without any enhancement while Alt. 1 needs further design such as separate capability for CSS and USS, CSS configuration-based location of Y slots and etc.</w:t>
            </w:r>
          </w:p>
          <w:p>
            <w:pPr>
              <w:widowControl w:val="0"/>
              <w:spacing w:before="120"/>
              <w:jc w:val="both"/>
              <w:rPr>
                <w:b/>
              </w:rPr>
            </w:pPr>
            <w:bookmarkStart w:id="5" w:name="_Ref68103504"/>
            <w:r>
              <w:rPr>
                <w:b/>
              </w:rPr>
              <w:t xml:space="preserve">Proposal </w:t>
            </w:r>
            <w:r>
              <w:rPr>
                <w:b/>
              </w:rPr>
              <w:fldChar w:fldCharType="begin"/>
            </w:r>
            <w:r>
              <w:rPr>
                <w:b/>
              </w:rPr>
              <w:instrText xml:space="preserve"> SEQ Proposal \* ARABIC </w:instrText>
            </w:r>
            <w:r>
              <w:rPr>
                <w:b/>
              </w:rPr>
              <w:fldChar w:fldCharType="separate"/>
            </w:r>
            <w:r>
              <w:rPr>
                <w:b/>
              </w:rPr>
              <w:t>2</w:t>
            </w:r>
            <w:r>
              <w:rPr>
                <w:b/>
              </w:rPr>
              <w:fldChar w:fldCharType="end"/>
            </w:r>
            <w:r>
              <w:rPr>
                <w:b/>
              </w:rPr>
              <w:t>: Support Alt. 2 to define multi-slot based PDCCH monitoring capability, i.e. use (X, Y) span as baseline to define the capability.</w:t>
            </w:r>
            <w:bookmarkEnd w:id="5"/>
          </w:p>
        </w:tc>
      </w:tr>
      <w:bookmarkEnd w:id="3"/>
    </w:tbl>
    <w:p>
      <w:pPr>
        <w:rPr>
          <w:lang w:val="en-GB" w:eastAsia="zh-CN"/>
        </w:rPr>
      </w:pPr>
    </w:p>
    <w:p>
      <w:pPr>
        <w:pStyle w:val="4"/>
        <w:jc w:val="both"/>
        <w:rPr>
          <w:lang w:val="en-GB" w:eastAsia="zh-CN"/>
        </w:rPr>
      </w:pPr>
      <w:r>
        <w:rPr>
          <w:lang w:val="en-GB" w:eastAsia="zh-CN"/>
        </w:rPr>
        <w:t>R1-2109071 (OPPO)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30"/>
              <w:widowControl w:val="0"/>
              <w:rPr>
                <w:rFonts w:eastAsia="宋体"/>
                <w:b/>
                <w:lang w:val="en-GB" w:eastAsia="zh-CN"/>
              </w:rPr>
            </w:pPr>
            <w:r>
              <w:rPr>
                <w:rFonts w:hint="eastAsia" w:eastAsia="宋体"/>
                <w:b/>
                <w:lang w:val="en-GB" w:eastAsia="zh-CN"/>
              </w:rPr>
              <w:t>O</w:t>
            </w:r>
            <w:r>
              <w:rPr>
                <w:rFonts w:eastAsia="宋体"/>
                <w:b/>
                <w:lang w:val="en-GB" w:eastAsia="zh-CN"/>
              </w:rPr>
              <w:t>bservation 1: if Alt-1 is adopted, RAN1 should further discuss the followings:</w:t>
            </w:r>
          </w:p>
          <w:p>
            <w:pPr>
              <w:pStyle w:val="30"/>
              <w:widowControl w:val="0"/>
              <w:numPr>
                <w:ilvl w:val="0"/>
                <w:numId w:val="31"/>
              </w:numPr>
              <w:autoSpaceDE/>
              <w:autoSpaceDN/>
              <w:adjustRightInd/>
              <w:snapToGrid/>
              <w:spacing w:line="240" w:lineRule="auto"/>
              <w:jc w:val="both"/>
              <w:rPr>
                <w:rFonts w:eastAsia="宋体"/>
                <w:b/>
                <w:lang w:val="en-GB" w:eastAsia="zh-CN"/>
              </w:rPr>
            </w:pPr>
            <w:r>
              <w:rPr>
                <w:rFonts w:eastAsia="宋体"/>
                <w:b/>
                <w:lang w:val="en-GB" w:eastAsia="zh-CN"/>
              </w:rPr>
              <w:t>W</w:t>
            </w:r>
            <w:r>
              <w:rPr>
                <w:rFonts w:hint="eastAsia" w:eastAsia="宋体"/>
                <w:b/>
                <w:lang w:val="en-GB" w:eastAsia="zh-CN"/>
              </w:rPr>
              <w:t xml:space="preserve">hether </w:t>
            </w:r>
            <w:r>
              <w:rPr>
                <w:rFonts w:eastAsia="宋体"/>
                <w:b/>
                <w:lang w:val="en-GB" w:eastAsia="zh-CN"/>
              </w:rPr>
              <w:t>slot group is UE-specific or cell-specific</w:t>
            </w:r>
          </w:p>
          <w:p>
            <w:pPr>
              <w:pStyle w:val="30"/>
              <w:widowControl w:val="0"/>
              <w:numPr>
                <w:ilvl w:val="0"/>
                <w:numId w:val="31"/>
              </w:numPr>
              <w:autoSpaceDE/>
              <w:autoSpaceDN/>
              <w:adjustRightInd/>
              <w:snapToGrid/>
              <w:spacing w:line="240" w:lineRule="auto"/>
              <w:jc w:val="both"/>
              <w:rPr>
                <w:rFonts w:eastAsia="宋体"/>
                <w:b/>
                <w:lang w:val="en-GB" w:eastAsia="zh-CN"/>
              </w:rPr>
            </w:pPr>
            <w:r>
              <w:rPr>
                <w:rFonts w:eastAsia="宋体"/>
                <w:b/>
                <w:lang w:val="en-GB" w:eastAsia="zh-CN"/>
              </w:rPr>
              <w:t>If slot group is cell-specific, how to flexibly allow Y location within slot group</w:t>
            </w:r>
          </w:p>
          <w:p>
            <w:pPr>
              <w:pStyle w:val="30"/>
              <w:widowControl w:val="0"/>
              <w:numPr>
                <w:ilvl w:val="0"/>
                <w:numId w:val="31"/>
              </w:numPr>
              <w:autoSpaceDE/>
              <w:autoSpaceDN/>
              <w:adjustRightInd/>
              <w:snapToGrid/>
              <w:spacing w:line="240" w:lineRule="auto"/>
              <w:jc w:val="both"/>
              <w:rPr>
                <w:rFonts w:eastAsia="宋体"/>
                <w:b/>
                <w:lang w:val="en-GB" w:eastAsia="zh-CN"/>
              </w:rPr>
            </w:pPr>
            <w:r>
              <w:rPr>
                <w:rFonts w:eastAsia="宋体"/>
                <w:b/>
                <w:lang w:val="en-GB" w:eastAsia="zh-CN"/>
              </w:rPr>
              <w:t>Y length choices</w:t>
            </w:r>
          </w:p>
          <w:p>
            <w:pPr>
              <w:pStyle w:val="30"/>
              <w:widowControl w:val="0"/>
              <w:rPr>
                <w:rFonts w:eastAsia="宋体"/>
                <w:b/>
                <w:lang w:val="en-GB" w:eastAsia="zh-CN"/>
              </w:rPr>
            </w:pPr>
          </w:p>
          <w:p>
            <w:pPr>
              <w:pStyle w:val="30"/>
              <w:widowControl w:val="0"/>
              <w:rPr>
                <w:rFonts w:eastAsia="宋体"/>
                <w:b/>
                <w:lang w:val="en-GB" w:eastAsia="zh-CN"/>
              </w:rPr>
            </w:pPr>
            <w:r>
              <w:rPr>
                <w:rFonts w:eastAsia="宋体"/>
                <w:b/>
                <w:lang w:val="en-GB" w:eastAsia="zh-CN"/>
              </w:rPr>
              <w:t xml:space="preserve">Observation 2: if Alt-2 is adopted, RAN1 can reuse the R16 span framework and RAN1 does not need to further discuss the location of Y restriction. </w:t>
            </w:r>
          </w:p>
          <w:p>
            <w:pPr>
              <w:pStyle w:val="30"/>
              <w:widowControl w:val="0"/>
              <w:rPr>
                <w:rFonts w:eastAsia="宋体"/>
                <w:b/>
                <w:lang w:val="en-GB" w:eastAsia="zh-CN"/>
              </w:rPr>
            </w:pPr>
          </w:p>
          <w:p>
            <w:pPr>
              <w:pStyle w:val="30"/>
              <w:widowControl w:val="0"/>
              <w:rPr>
                <w:rFonts w:eastAsia="宋体"/>
                <w:b/>
                <w:lang w:val="en-GB" w:eastAsia="zh-CN"/>
              </w:rPr>
            </w:pPr>
          </w:p>
          <w:p>
            <w:pPr>
              <w:pStyle w:val="30"/>
              <w:widowControl w:val="0"/>
              <w:rPr>
                <w:rFonts w:eastAsia="宋体"/>
                <w:b/>
                <w:lang w:val="en-GB" w:eastAsia="zh-CN"/>
              </w:rPr>
            </w:pPr>
            <w:r>
              <w:rPr>
                <w:rFonts w:eastAsia="宋体"/>
                <w:b/>
                <w:lang w:val="en-GB" w:eastAsia="zh-CN"/>
              </w:rPr>
              <w:t>Observation 3: B</w:t>
            </w:r>
            <w:r>
              <w:rPr>
                <w:rFonts w:hint="eastAsia" w:eastAsia="宋体"/>
                <w:b/>
                <w:lang w:val="en-GB" w:eastAsia="zh-CN"/>
              </w:rPr>
              <w:t xml:space="preserve">oth Alt-1 and Alt-2 are workable alternatives. </w:t>
            </w:r>
            <w:r>
              <w:rPr>
                <w:rFonts w:eastAsia="宋体"/>
                <w:b/>
                <w:lang w:val="en-GB" w:eastAsia="zh-CN"/>
              </w:rPr>
              <w:t xml:space="preserve">But it seems that Alt-2 can save quite a lot of further discussions as it reuses R16 framework. Given the limited remaining time before R17 frozen deadline, we suggest that RAN1 can go with Alt-2. </w:t>
            </w:r>
          </w:p>
          <w:p>
            <w:pPr>
              <w:pStyle w:val="30"/>
              <w:widowControl w:val="0"/>
              <w:rPr>
                <w:rFonts w:eastAsia="宋体"/>
                <w:lang w:val="en-GB" w:eastAsia="zh-CN"/>
              </w:rPr>
            </w:pPr>
          </w:p>
          <w:p>
            <w:pPr>
              <w:pStyle w:val="30"/>
              <w:widowControl w:val="0"/>
              <w:rPr>
                <w:rFonts w:eastAsia="宋体"/>
                <w:b/>
                <w:lang w:val="en-GB" w:eastAsia="zh-CN"/>
              </w:rPr>
            </w:pPr>
            <w:r>
              <w:rPr>
                <w:rFonts w:eastAsia="宋体"/>
                <w:b/>
                <w:lang w:val="en-GB" w:eastAsia="zh-CN"/>
              </w:rPr>
              <w:t xml:space="preserve">Proposal 1: Adopt Alt-2 span framework to define multi-slot PDCCH monitoring capability. </w:t>
            </w:r>
          </w:p>
          <w:p>
            <w:pPr>
              <w:widowControl w:val="0"/>
              <w:autoSpaceDE/>
              <w:autoSpaceDN/>
              <w:adjustRightInd/>
              <w:snapToGrid/>
              <w:spacing w:after="60" w:line="260" w:lineRule="auto"/>
              <w:jc w:val="both"/>
              <w:rPr>
                <w:bCs/>
                <w:sz w:val="18"/>
                <w:szCs w:val="18"/>
                <w:lang w:val="en-GB"/>
              </w:rPr>
            </w:pPr>
          </w:p>
        </w:tc>
      </w:tr>
    </w:tbl>
    <w:p>
      <w:pPr>
        <w:rPr>
          <w:lang w:eastAsia="zh-CN"/>
        </w:rPr>
      </w:pPr>
    </w:p>
    <w:p>
      <w:pPr>
        <w:pStyle w:val="4"/>
        <w:jc w:val="both"/>
        <w:rPr>
          <w:lang w:val="en-GB" w:eastAsia="zh-CN"/>
        </w:rPr>
      </w:pPr>
      <w:r>
        <w:rPr>
          <w:lang w:val="en-GB" w:eastAsia="zh-CN"/>
        </w:rPr>
        <w:t>R1-2109117 (NEC)</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27"/>
              <w:widowControl w:val="0"/>
              <w:spacing w:after="0"/>
              <w:jc w:val="left"/>
              <w:rPr>
                <w:sz w:val="22"/>
                <w:szCs w:val="22"/>
              </w:rPr>
            </w:pPr>
            <w:bookmarkStart w:id="6" w:name="_Ref61526076"/>
            <w:r>
              <w:rPr>
                <w:sz w:val="22"/>
                <w:szCs w:val="22"/>
              </w:rPr>
              <w:t xml:space="preserve">For 480 kHz and 960 kHz SCS adopted beyond 52.6GHz, In the WID [3], PDCCH monitoring enhancement with multi-slot span is supported, it can maintain scheduling framework same as for smaller SCS (e.g. 120 kHz) when UE is configured to monitor the PDCCH every multiple slots. There are 3 alternatives for defining the multi-slot PDCCH monitoring capability. In previous meeting [1], there were many discussions on Alt1 (fixed pattern) due to its simplicity, but with fixed X and Y location, there may be some issues when monitoring Type 0/0A/1(without dedicated RRC configuration)/2 PDCCH CSS, how they could fit within the framework of </w:t>
            </w:r>
            <w:r>
              <w:rPr>
                <w:rFonts w:hint="eastAsia"/>
                <w:sz w:val="22"/>
                <w:szCs w:val="22"/>
              </w:rPr>
              <w:t>A</w:t>
            </w:r>
            <w:r>
              <w:rPr>
                <w:sz w:val="22"/>
                <w:szCs w:val="22"/>
              </w:rPr>
              <w:t>lt1? In our view, with fixed X and Y location, for example, Y slots always start at the first slot within a slot group, UE need to monitor the above CSS in extra slots other than Y if they don’t fall into Y slots, and in order to avoid the back-to-back overload issue, an extra window can be considered to calculate the PDCCH monitoring burden. In this extra window with size equivalent to X, the monitoring capability indicates the BD/CCE budget within the whole window.</w:t>
            </w:r>
          </w:p>
          <w:p>
            <w:pPr>
              <w:widowControl w:val="0"/>
              <w:rPr>
                <w:lang w:val="en-GB"/>
              </w:rPr>
            </w:pPr>
          </w:p>
          <w:p>
            <w:pPr>
              <w:pStyle w:val="27"/>
              <w:widowControl w:val="0"/>
              <w:spacing w:after="0"/>
              <w:jc w:val="left"/>
              <w:rPr>
                <w:sz w:val="22"/>
                <w:szCs w:val="22"/>
                <w:lang w:eastAsia="zh-CN"/>
              </w:rPr>
            </w:pPr>
            <w:r>
              <w:rPr>
                <w:rFonts w:hint="eastAsia"/>
                <w:sz w:val="22"/>
                <w:szCs w:val="22"/>
                <w:lang w:eastAsia="ko-KR"/>
              </w:rPr>
              <w:drawing>
                <wp:inline distT="0" distB="0" distL="0" distR="0">
                  <wp:extent cx="5759450" cy="14287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5759450" cy="1428750"/>
                          </a:xfrm>
                          <a:prstGeom prst="rect">
                            <a:avLst/>
                          </a:prstGeom>
                          <a:noFill/>
                          <a:ln>
                            <a:noFill/>
                          </a:ln>
                        </pic:spPr>
                      </pic:pic>
                    </a:graphicData>
                  </a:graphic>
                </wp:inline>
              </w:drawing>
            </w:r>
          </w:p>
          <w:p>
            <w:pPr>
              <w:pStyle w:val="27"/>
              <w:widowControl w:val="0"/>
              <w:spacing w:after="0"/>
              <w:jc w:val="left"/>
              <w:rPr>
                <w:b w:val="0"/>
                <w:sz w:val="22"/>
                <w:szCs w:val="22"/>
                <w:lang w:eastAsia="zh-CN"/>
              </w:rPr>
            </w:pPr>
            <w:r>
              <w:rPr>
                <w:sz w:val="22"/>
                <w:szCs w:val="22"/>
                <w:lang w:eastAsia="zh-CN"/>
              </w:rPr>
              <w:t>Figure 1</w:t>
            </w:r>
          </w:p>
          <w:p>
            <w:pPr>
              <w:widowControl w:val="0"/>
              <w:rPr>
                <w:b/>
              </w:rPr>
            </w:pPr>
            <w:r>
              <w:rPr>
                <w:b/>
              </w:rPr>
              <w:t>Proposal 1: For Alt1 with fixed Y location, an extra window can be considered to calculate the PDCCH monitoring burden if Type 0/0A/1(without dedicated RRC configuration)/2 PDCCH CSS don’t fall into Y monitoring slots.</w:t>
            </w:r>
          </w:p>
          <w:p>
            <w:pPr>
              <w:widowControl w:val="0"/>
              <w:rPr>
                <w:lang w:val="en-GB" w:eastAsia="zh-CN"/>
              </w:rPr>
            </w:pPr>
          </w:p>
          <w:p>
            <w:pPr>
              <w:pStyle w:val="27"/>
              <w:widowControl w:val="0"/>
              <w:spacing w:after="0"/>
              <w:jc w:val="left"/>
              <w:rPr>
                <w:sz w:val="22"/>
                <w:szCs w:val="22"/>
              </w:rPr>
            </w:pPr>
            <w:r>
              <w:rPr>
                <w:sz w:val="22"/>
                <w:lang w:eastAsia="zh-CN"/>
              </w:rPr>
              <w:t>In previous meeting [1], it was agreed that</w:t>
            </w:r>
            <w:r>
              <w:rPr>
                <w:sz w:val="22"/>
                <w:szCs w:val="22"/>
              </w:rPr>
              <w:t xml:space="preserve"> </w:t>
            </w:r>
            <w:r>
              <w:rPr>
                <w:sz w:val="22"/>
                <w:szCs w:val="22"/>
                <w:lang w:eastAsia="zh-CN"/>
              </w:rPr>
              <w:t>at least the following values are supported:</w:t>
            </w:r>
            <w:r>
              <w:rPr>
                <w:sz w:val="22"/>
                <w:szCs w:val="22"/>
              </w:rPr>
              <w:t xml:space="preserve"> 4 slots for 480 kHz SCS and 8 slots for 960 kHz SCS, and other specific number of the multiple slots is in discussion. For some use cases such as low-latency services which require more frequent PDCCH monitoring, the flexibility will be reduced with the multi-slot based monitoring. To handle those use cases with low-latency, denser PDCCH monitoring occasion should be considered to support, such as per-slot, per 2-slots based monitoring </w:t>
            </w:r>
            <w:r>
              <w:rPr>
                <w:rFonts w:hint="eastAsia"/>
                <w:sz w:val="22"/>
                <w:szCs w:val="22"/>
              </w:rPr>
              <w:t>for</w:t>
            </w:r>
            <w:r>
              <w:rPr>
                <w:sz w:val="22"/>
                <w:szCs w:val="22"/>
              </w:rPr>
              <w:t xml:space="preserve"> 480 kHz SCS and per 2-slots, per 4-slots based monitoring </w:t>
            </w:r>
            <w:r>
              <w:rPr>
                <w:rFonts w:hint="eastAsia"/>
                <w:sz w:val="22"/>
                <w:szCs w:val="22"/>
              </w:rPr>
              <w:t>for</w:t>
            </w:r>
            <w:r>
              <w:rPr>
                <w:sz w:val="22"/>
                <w:szCs w:val="22"/>
              </w:rPr>
              <w:t xml:space="preserve"> 960 kHz SCS, and accordingly the associated BD/CCEs limit number needs to further study.  </w:t>
            </w:r>
          </w:p>
          <w:p>
            <w:pPr>
              <w:pStyle w:val="27"/>
              <w:widowControl w:val="0"/>
              <w:spacing w:after="0"/>
              <w:jc w:val="left"/>
              <w:rPr>
                <w:b w:val="0"/>
                <w:sz w:val="22"/>
                <w:szCs w:val="22"/>
              </w:rPr>
            </w:pPr>
            <w:r>
              <w:rPr>
                <w:sz w:val="22"/>
                <w:szCs w:val="22"/>
              </w:rPr>
              <w:t xml:space="preserve">Proposal 2: </w:t>
            </w:r>
            <w:r>
              <w:rPr>
                <w:rFonts w:hint="eastAsia"/>
                <w:sz w:val="22"/>
                <w:szCs w:val="22"/>
              </w:rPr>
              <w:t>Ad</w:t>
            </w:r>
            <w:r>
              <w:rPr>
                <w:sz w:val="22"/>
                <w:szCs w:val="22"/>
              </w:rPr>
              <w:t>ditional PDCCH monitoring group sizes should be supported: 1 or 2 for 480 kHz SCS, 2 or 4 for 960 kHz SCS, and further study the associated BD/CCEs limit</w:t>
            </w:r>
            <w:bookmarkEnd w:id="6"/>
            <w:r>
              <w:rPr>
                <w:sz w:val="22"/>
                <w:szCs w:val="22"/>
              </w:rPr>
              <w:t xml:space="preserve"> number.</w:t>
            </w:r>
          </w:p>
          <w:p>
            <w:pPr>
              <w:widowControl w:val="0"/>
              <w:rPr>
                <w:bCs/>
              </w:rPr>
            </w:pPr>
          </w:p>
        </w:tc>
      </w:tr>
    </w:tbl>
    <w:p>
      <w:pPr>
        <w:rPr>
          <w:lang w:val="en-GB" w:eastAsia="zh-CN"/>
        </w:rPr>
      </w:pPr>
    </w:p>
    <w:p>
      <w:pPr>
        <w:pStyle w:val="4"/>
        <w:jc w:val="both"/>
        <w:rPr>
          <w:lang w:val="en-GB" w:eastAsia="zh-CN"/>
        </w:rPr>
      </w:pPr>
      <w:r>
        <w:rPr>
          <w:lang w:val="en-GB" w:eastAsia="zh-CN"/>
        </w:rPr>
        <w:t>R1-2109209 (CATT)</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b/>
                <w:lang w:eastAsia="zh-CN"/>
              </w:rPr>
            </w:pPr>
            <w:r>
              <w:rPr>
                <w:b/>
                <w:lang w:eastAsia="zh-CN"/>
              </w:rPr>
              <w:t xml:space="preserve">Alt 1: Use a fixed pattern of slot groups as the baseline to define the new capability. </w:t>
            </w:r>
          </w:p>
          <w:p>
            <w:pPr>
              <w:widowControl w:val="0"/>
              <w:jc w:val="both"/>
              <w:rPr>
                <w:lang w:eastAsia="zh-CN"/>
              </w:rPr>
            </w:pPr>
            <w:r>
              <w:rPr>
                <w:rFonts w:hint="eastAsia"/>
                <w:lang w:eastAsia="zh-CN"/>
              </w:rPr>
              <w:t>For Alt 1, a fixed pattern of slot group</w:t>
            </w:r>
            <w:r>
              <w:rPr>
                <w:lang w:eastAsia="zh-CN"/>
              </w:rPr>
              <w:t>s</w:t>
            </w:r>
            <w:r>
              <w:rPr>
                <w:rFonts w:hint="eastAsia"/>
                <w:lang w:eastAsia="zh-CN"/>
              </w:rPr>
              <w:t xml:space="preserve"> consists of X slots where the </w:t>
            </w:r>
            <w:r>
              <w:t>PDCCH monitoring occasions</w:t>
            </w:r>
            <w:r>
              <w:rPr>
                <w:rFonts w:hint="eastAsia"/>
                <w:lang w:eastAsia="zh-CN"/>
              </w:rPr>
              <w:t xml:space="preserve"> can be </w:t>
            </w:r>
            <w:r>
              <w:rPr>
                <w:lang w:eastAsia="zh-CN"/>
              </w:rPr>
              <w:t>configured</w:t>
            </w:r>
            <w:r>
              <w:rPr>
                <w:rFonts w:hint="eastAsia"/>
                <w:lang w:eastAsia="zh-CN"/>
              </w:rPr>
              <w:t xml:space="preserve"> within Y consecutive slots/symbols of slot group</w:t>
            </w:r>
            <w:r>
              <w:rPr>
                <w:lang w:eastAsia="zh-CN"/>
              </w:rPr>
              <w:t>s</w:t>
            </w:r>
            <w:r>
              <w:rPr>
                <w:rFonts w:hint="eastAsia"/>
                <w:lang w:eastAsia="zh-CN"/>
              </w:rPr>
              <w:t xml:space="preserve">. The </w:t>
            </w:r>
            <w:r>
              <w:rPr>
                <w:lang w:eastAsia="zh-CN"/>
              </w:rPr>
              <w:t>capability</w:t>
            </w:r>
            <w:r>
              <w:rPr>
                <w:rFonts w:hint="eastAsia"/>
                <w:lang w:eastAsia="zh-CN"/>
              </w:rPr>
              <w:t xml:space="preserve"> </w:t>
            </w:r>
            <w:r>
              <w:rPr>
                <w:lang w:eastAsia="zh-CN"/>
              </w:rPr>
              <w:t xml:space="preserve">can provide </w:t>
            </w:r>
            <w:r>
              <w:rPr>
                <w:rFonts w:hint="eastAsia"/>
                <w:lang w:eastAsia="zh-CN"/>
              </w:rPr>
              <w:t xml:space="preserve">the maximum number of BD/CCE within a fixed pattern of slot groups for a UE for </w:t>
            </w:r>
            <w:r>
              <w:rPr>
                <w:lang w:eastAsia="zh-CN"/>
              </w:rPr>
              <w:t>operation with a single serving cell</w:t>
            </w:r>
            <w:r>
              <w:rPr>
                <w:rFonts w:hint="eastAsia"/>
                <w:lang w:eastAsia="zh-CN"/>
              </w:rPr>
              <w:t xml:space="preserve">. </w:t>
            </w:r>
            <w:r>
              <w:rPr>
                <w:lang w:eastAsia="zh-CN"/>
              </w:rPr>
              <w:t>D</w:t>
            </w:r>
            <w:r>
              <w:rPr>
                <w:rFonts w:hint="eastAsia"/>
                <w:lang w:eastAsia="zh-CN"/>
              </w:rPr>
              <w:t xml:space="preserve">uring the previous discussion, it has been observed that Y=X may cause the number of back-to-back MOs in adjacent slot groups exceeds maximum number of BD/CCE </w:t>
            </w:r>
            <w:r>
              <w:rPr>
                <w:lang w:eastAsia="zh-CN"/>
              </w:rPr>
              <w:t>budget, and then it can’t</w:t>
            </w:r>
            <w:r>
              <w:rPr>
                <w:rFonts w:hint="eastAsia"/>
                <w:lang w:eastAsia="zh-CN"/>
              </w:rPr>
              <w:t xml:space="preserve"> be check</w:t>
            </w:r>
            <w:r>
              <w:rPr>
                <w:lang w:eastAsia="zh-CN"/>
              </w:rPr>
              <w:t>ed</w:t>
            </w:r>
            <w:r>
              <w:rPr>
                <w:rFonts w:hint="eastAsia"/>
                <w:lang w:eastAsia="zh-CN"/>
              </w:rPr>
              <w:t xml:space="preserve"> by UE. Thus, it is reasonable to assume the value of Y is </w:t>
            </w:r>
            <w:r>
              <w:rPr>
                <w:lang w:eastAsia="zh-CN"/>
              </w:rPr>
              <w:t xml:space="preserve">less than </w:t>
            </w:r>
            <w:r>
              <w:rPr>
                <w:rFonts w:hint="eastAsia"/>
                <w:lang w:eastAsia="zh-CN"/>
              </w:rPr>
              <w:t xml:space="preserve">X. </w:t>
            </w:r>
            <w:r>
              <w:rPr>
                <w:lang w:eastAsia="zh-CN"/>
              </w:rPr>
              <w:t>Furthermore</w:t>
            </w:r>
            <w:r>
              <w:rPr>
                <w:rFonts w:hint="eastAsia"/>
                <w:lang w:eastAsia="zh-CN"/>
              </w:rPr>
              <w:t>, the relationship between slot group</w:t>
            </w:r>
            <w:r>
              <w:rPr>
                <w:lang w:eastAsia="zh-CN"/>
              </w:rPr>
              <w:t xml:space="preserve">, </w:t>
            </w:r>
            <w:r>
              <w:rPr>
                <w:rFonts w:hint="eastAsia"/>
                <w:lang w:eastAsia="zh-CN"/>
              </w:rPr>
              <w:t>slot boundary and the location of the Y consecutive slots within the slot group should be further clarified.</w:t>
            </w:r>
          </w:p>
          <w:p>
            <w:pPr>
              <w:keepNext/>
              <w:widowControl w:val="0"/>
              <w:spacing w:afterLines="50"/>
              <w:jc w:val="center"/>
            </w:pPr>
            <w:r>
              <w:object>
                <v:shape id="_x0000_i1025" o:spt="75" type="#_x0000_t75" style="height:50.15pt;width:173.35pt;" o:ole="t" filled="f" o:preferrelative="t" stroked="f" coordsize="21600,21600">
                  <v:path/>
                  <v:fill on="f" focussize="0,0"/>
                  <v:stroke on="f" joinstyle="miter"/>
                  <v:imagedata r:id="rId6" o:title=""/>
                  <o:lock v:ext="edit" aspectratio="t"/>
                  <w10:wrap type="none"/>
                  <w10:anchorlock/>
                </v:shape>
                <o:OLEObject Type="Embed" ProgID="Visio.Drawing.11" ShapeID="_x0000_i1025" DrawAspect="Content" ObjectID="_1468075725" r:id="rId5">
                  <o:LockedField>false</o:LockedField>
                </o:OLEObject>
              </w:object>
            </w:r>
          </w:p>
          <w:p>
            <w:pPr>
              <w:pStyle w:val="27"/>
              <w:widowControl w:val="0"/>
              <w:rPr>
                <w:lang w:eastAsia="zh-CN"/>
              </w:rPr>
            </w:pPr>
            <w:bookmarkStart w:id="7" w:name="_Ref83814794"/>
            <w:r>
              <w:rPr>
                <w:b w:val="0"/>
              </w:rPr>
              <w:t xml:space="preserve">Figure </w:t>
            </w:r>
            <w:r>
              <w:rPr>
                <w:b w:val="0"/>
              </w:rPr>
              <w:fldChar w:fldCharType="begin"/>
            </w:r>
            <w:r>
              <w:rPr>
                <w:b w:val="0"/>
              </w:rPr>
              <w:instrText xml:space="preserve"> SEQ Figure \* ARABIC </w:instrText>
            </w:r>
            <w:r>
              <w:rPr>
                <w:b w:val="0"/>
              </w:rPr>
              <w:fldChar w:fldCharType="separate"/>
            </w:r>
            <w:r>
              <w:rPr>
                <w:b w:val="0"/>
              </w:rPr>
              <w:t>1</w:t>
            </w:r>
            <w:r>
              <w:rPr>
                <w:b w:val="0"/>
              </w:rPr>
              <w:fldChar w:fldCharType="end"/>
            </w:r>
            <w:bookmarkEnd w:id="7"/>
            <w:r>
              <w:rPr>
                <w:b w:val="0"/>
                <w:lang w:eastAsia="zh-CN"/>
              </w:rPr>
              <w:t>: The relationship between the start of slot group and the slot boundary</w:t>
            </w:r>
          </w:p>
          <w:p>
            <w:pPr>
              <w:widowControl w:val="0"/>
              <w:spacing w:afterLines="50"/>
              <w:jc w:val="both"/>
              <w:rPr>
                <w:lang w:eastAsia="zh-CN"/>
              </w:rPr>
            </w:pPr>
            <w:r>
              <w:rPr>
                <w:rFonts w:hint="eastAsia"/>
                <w:lang w:eastAsia="zh-CN"/>
              </w:rPr>
              <w:t xml:space="preserve">The slot group is used to define a PDCCH monitor </w:t>
            </w:r>
            <w:r>
              <w:rPr>
                <w:lang w:eastAsia="zh-CN"/>
              </w:rPr>
              <w:t>capability</w:t>
            </w:r>
            <w:r>
              <w:rPr>
                <w:rFonts w:hint="eastAsia"/>
                <w:lang w:eastAsia="zh-CN"/>
              </w:rPr>
              <w:t xml:space="preserve"> </w:t>
            </w:r>
            <w:r>
              <w:rPr>
                <w:lang w:eastAsia="zh-CN"/>
              </w:rPr>
              <w:t>that</w:t>
            </w:r>
            <w:r>
              <w:rPr>
                <w:rFonts w:hint="eastAsia"/>
                <w:lang w:eastAsia="zh-CN"/>
              </w:rPr>
              <w:t xml:space="preserve"> is the </w:t>
            </w:r>
            <w:r>
              <w:rPr>
                <w:lang w:eastAsia="zh-CN"/>
              </w:rPr>
              <w:t>maximum</w:t>
            </w:r>
            <w:r>
              <w:rPr>
                <w:rFonts w:hint="eastAsia"/>
                <w:lang w:eastAsia="zh-CN"/>
              </w:rPr>
              <w:t xml:space="preserve"> of BD</w:t>
            </w:r>
            <w:r>
              <w:rPr>
                <w:lang w:eastAsia="zh-CN"/>
              </w:rPr>
              <w:t>/CCE budget supported by the UE</w:t>
            </w:r>
            <w:r>
              <w:rPr>
                <w:rFonts w:hint="eastAsia"/>
                <w:lang w:eastAsia="zh-CN"/>
              </w:rPr>
              <w:t xml:space="preserve"> within a period of time. In our </w:t>
            </w:r>
            <w:r>
              <w:rPr>
                <w:lang w:eastAsia="zh-CN"/>
              </w:rPr>
              <w:t>opinion</w:t>
            </w:r>
            <w:r>
              <w:rPr>
                <w:rFonts w:hint="eastAsia"/>
                <w:lang w:eastAsia="zh-CN"/>
              </w:rPr>
              <w:t xml:space="preserve">, the </w:t>
            </w:r>
            <w:r>
              <w:rPr>
                <w:lang w:eastAsia="zh-CN"/>
              </w:rPr>
              <w:t xml:space="preserve">starting point of the slot group doesn’t need to </w:t>
            </w:r>
            <w:r>
              <w:rPr>
                <w:rFonts w:hint="eastAsia"/>
                <w:lang w:eastAsia="zh-CN"/>
              </w:rPr>
              <w:t xml:space="preserve">be restricted to </w:t>
            </w:r>
            <w:r>
              <w:rPr>
                <w:lang w:eastAsia="zh-CN"/>
              </w:rPr>
              <w:t xml:space="preserve">start from </w:t>
            </w:r>
            <w:r>
              <w:rPr>
                <w:rFonts w:hint="eastAsia"/>
                <w:lang w:eastAsia="zh-CN"/>
              </w:rPr>
              <w:t xml:space="preserve">the </w:t>
            </w:r>
            <w:r>
              <w:rPr>
                <w:lang w:eastAsia="zh-CN"/>
              </w:rPr>
              <w:t>slot boundary</w:t>
            </w:r>
            <w:r>
              <w:rPr>
                <w:rFonts w:hint="eastAsia"/>
                <w:lang w:eastAsia="zh-CN"/>
              </w:rPr>
              <w:t xml:space="preserve">. For </w:t>
            </w:r>
            <w:r>
              <w:rPr>
                <w:lang w:eastAsia="zh-CN"/>
              </w:rPr>
              <w:t>example</w:t>
            </w:r>
            <w:r>
              <w:rPr>
                <w:rFonts w:hint="eastAsia"/>
                <w:lang w:eastAsia="zh-CN"/>
              </w:rPr>
              <w:t xml:space="preserve">, </w:t>
            </w:r>
            <w:r>
              <w:rPr>
                <w:lang w:eastAsia="zh-CN"/>
              </w:rPr>
              <w:t xml:space="preserve">as is shown in Figure 1, </w:t>
            </w:r>
            <w:r>
              <w:rPr>
                <w:rFonts w:hint="eastAsia"/>
                <w:lang w:eastAsia="zh-CN"/>
              </w:rPr>
              <w:t xml:space="preserve">the slot group can start </w:t>
            </w:r>
            <w:r>
              <w:rPr>
                <w:lang w:eastAsia="zh-CN"/>
              </w:rPr>
              <w:t xml:space="preserve">from </w:t>
            </w:r>
            <w:r>
              <w:rPr>
                <w:rFonts w:hint="eastAsia"/>
                <w:lang w:eastAsia="zh-CN"/>
              </w:rPr>
              <w:t>a certain</w:t>
            </w:r>
            <w:r>
              <w:rPr>
                <w:lang w:eastAsia="zh-CN"/>
              </w:rPr>
              <w:t xml:space="preserve"> </w:t>
            </w:r>
            <w:r>
              <w:rPr>
                <w:rFonts w:hint="eastAsia"/>
                <w:lang w:eastAsia="zh-CN"/>
              </w:rPr>
              <w:t xml:space="preserve">symbol within the slot when the search space is configured at </w:t>
            </w:r>
            <w:r>
              <w:rPr>
                <w:lang w:eastAsia="zh-CN"/>
              </w:rPr>
              <w:t xml:space="preserve">this </w:t>
            </w:r>
            <w:r>
              <w:rPr>
                <w:rFonts w:hint="eastAsia"/>
                <w:lang w:eastAsia="zh-CN"/>
              </w:rPr>
              <w:t>symbol</w:t>
            </w:r>
            <w:r>
              <w:rPr>
                <w:lang w:eastAsia="zh-CN"/>
              </w:rPr>
              <w:t xml:space="preserve"> that may be not in the slot boundary</w:t>
            </w:r>
            <w:r>
              <w:rPr>
                <w:lang w:eastAsia="zh-CN"/>
              </w:rPr>
              <w:fldChar w:fldCharType="begin"/>
            </w:r>
            <w:r>
              <w:rPr>
                <w:lang w:eastAsia="zh-CN"/>
              </w:rPr>
              <w:instrText xml:space="preserve"> REF _Ref83301930 \h </w:instrText>
            </w:r>
            <w:r>
              <w:rPr>
                <w:lang w:eastAsia="zh-CN"/>
              </w:rPr>
              <w:fldChar w:fldCharType="end"/>
            </w:r>
            <w:r>
              <w:rPr>
                <w:rFonts w:hint="eastAsia"/>
                <w:lang w:eastAsia="zh-CN"/>
              </w:rPr>
              <w:t xml:space="preserve">. </w:t>
            </w:r>
            <w:r>
              <w:rPr>
                <w:lang w:eastAsia="zh-CN"/>
              </w:rPr>
              <w:t>W</w:t>
            </w:r>
            <w:r>
              <w:rPr>
                <w:rFonts w:hint="eastAsia"/>
                <w:lang w:eastAsia="zh-CN"/>
              </w:rPr>
              <w:t>hen</w:t>
            </w:r>
            <w:r>
              <w:rPr>
                <w:lang w:eastAsia="zh-CN"/>
              </w:rPr>
              <w:t xml:space="preserve"> </w:t>
            </w:r>
            <w:r>
              <w:rPr>
                <w:rFonts w:hint="eastAsia"/>
                <w:lang w:eastAsia="zh-CN"/>
              </w:rPr>
              <w:t xml:space="preserve">the start of </w:t>
            </w:r>
            <w:r>
              <w:rPr>
                <w:lang w:eastAsia="zh-CN"/>
              </w:rPr>
              <w:t>slot group</w:t>
            </w:r>
            <w:r>
              <w:rPr>
                <w:rFonts w:hint="eastAsia"/>
                <w:lang w:eastAsia="zh-CN"/>
              </w:rPr>
              <w:t xml:space="preserve"> can start </w:t>
            </w:r>
            <w:r>
              <w:rPr>
                <w:lang w:eastAsia="zh-CN"/>
              </w:rPr>
              <w:t xml:space="preserve">from </w:t>
            </w:r>
            <w:r>
              <w:rPr>
                <w:rFonts w:hint="eastAsia"/>
                <w:lang w:eastAsia="zh-CN"/>
              </w:rPr>
              <w:t>any symbol</w:t>
            </w:r>
            <w:r>
              <w:rPr>
                <w:lang w:eastAsia="zh-CN"/>
              </w:rPr>
              <w:t>s</w:t>
            </w:r>
            <w:r>
              <w:rPr>
                <w:rFonts w:hint="eastAsia"/>
                <w:lang w:eastAsia="zh-CN"/>
              </w:rPr>
              <w:t xml:space="preserve"> within the slot, </w:t>
            </w:r>
            <w:r>
              <w:rPr>
                <w:lang w:eastAsia="zh-CN"/>
              </w:rPr>
              <w:t xml:space="preserve">it enables more </w:t>
            </w:r>
            <w:r>
              <w:rPr>
                <w:rFonts w:hint="eastAsia"/>
                <w:lang w:eastAsia="zh-CN"/>
              </w:rPr>
              <w:t xml:space="preserve">flexible </w:t>
            </w:r>
            <w:r>
              <w:rPr>
                <w:lang w:eastAsia="zh-CN"/>
              </w:rPr>
              <w:t>symbol level configuration, which is aligned with that of the span definition of monitoring at least</w:t>
            </w:r>
            <w:r>
              <w:rPr>
                <w:rFonts w:hint="eastAsia"/>
                <w:lang w:eastAsia="zh-CN"/>
              </w:rPr>
              <w:t xml:space="preserve">. </w:t>
            </w:r>
          </w:p>
          <w:p>
            <w:pPr>
              <w:widowControl w:val="0"/>
              <w:jc w:val="both"/>
              <w:rPr>
                <w:b/>
                <w:bCs/>
                <w:i/>
                <w:lang w:eastAsia="zh-CN"/>
              </w:rPr>
            </w:pPr>
            <w:r>
              <w:rPr>
                <w:b/>
                <w:bCs/>
                <w:i/>
                <w:lang w:eastAsia="zh-CN"/>
              </w:rPr>
              <w:t xml:space="preserve">Proposal </w:t>
            </w:r>
            <w:r>
              <w:rPr>
                <w:rFonts w:hint="eastAsia"/>
                <w:b/>
                <w:bCs/>
                <w:i/>
                <w:lang w:eastAsia="zh-CN"/>
              </w:rPr>
              <w:t>1：For the fixed pattern of slot group definition, t</w:t>
            </w:r>
            <w:r>
              <w:rPr>
                <w:b/>
                <w:bCs/>
                <w:i/>
                <w:lang w:eastAsia="zh-CN"/>
              </w:rPr>
              <w:t xml:space="preserve">he starting point of the slot group doesn’t </w:t>
            </w:r>
            <w:r>
              <w:rPr>
                <w:rFonts w:hint="eastAsia"/>
                <w:b/>
                <w:bCs/>
                <w:i/>
                <w:lang w:eastAsia="zh-CN"/>
              </w:rPr>
              <w:t xml:space="preserve">need to be </w:t>
            </w:r>
            <w:r>
              <w:rPr>
                <w:b/>
                <w:bCs/>
                <w:i/>
                <w:lang w:eastAsia="zh-CN"/>
              </w:rPr>
              <w:t>restrict</w:t>
            </w:r>
            <w:r>
              <w:rPr>
                <w:rFonts w:hint="eastAsia"/>
                <w:b/>
                <w:bCs/>
                <w:i/>
                <w:lang w:eastAsia="zh-CN"/>
              </w:rPr>
              <w:t>ed</w:t>
            </w:r>
            <w:r>
              <w:rPr>
                <w:b/>
                <w:bCs/>
                <w:i/>
                <w:lang w:eastAsia="zh-CN"/>
              </w:rPr>
              <w:t xml:space="preserve"> to the slot boundary.</w:t>
            </w:r>
          </w:p>
          <w:p>
            <w:pPr>
              <w:widowControl w:val="0"/>
              <w:jc w:val="both"/>
              <w:rPr>
                <w:b/>
                <w:bCs/>
                <w:i/>
                <w:lang w:eastAsia="zh-CN"/>
              </w:rPr>
            </w:pPr>
          </w:p>
          <w:p>
            <w:pPr>
              <w:widowControl w:val="0"/>
              <w:jc w:val="both"/>
              <w:rPr>
                <w:lang w:eastAsia="zh-CN"/>
              </w:rPr>
            </w:pPr>
            <w:r>
              <w:rPr>
                <w:rFonts w:hint="eastAsia"/>
                <w:lang w:eastAsia="zh-CN"/>
              </w:rPr>
              <w:t xml:space="preserve">For the </w:t>
            </w:r>
            <w:r>
              <w:rPr>
                <w:lang w:eastAsia="zh-CN"/>
              </w:rPr>
              <w:t>location</w:t>
            </w:r>
            <w:r>
              <w:rPr>
                <w:rFonts w:hint="eastAsia"/>
                <w:lang w:eastAsia="zh-CN"/>
              </w:rPr>
              <w:t xml:space="preserve"> of Y consecutive slots within the slot group, there are two alternatives as follows.</w:t>
            </w:r>
          </w:p>
          <w:p>
            <w:pPr>
              <w:pStyle w:val="73"/>
              <w:widowControl w:val="0"/>
              <w:numPr>
                <w:ilvl w:val="0"/>
                <w:numId w:val="32"/>
              </w:numPr>
              <w:snapToGrid/>
              <w:spacing w:after="120" w:line="276" w:lineRule="auto"/>
              <w:ind w:hangingChars="210"/>
              <w:contextualSpacing/>
              <w:rPr>
                <w:rFonts w:ascii="Times New Roman" w:hAnsi="Times New Roman"/>
                <w:sz w:val="20"/>
                <w:szCs w:val="24"/>
                <w:lang w:eastAsia="zh-CN"/>
              </w:rPr>
            </w:pPr>
            <w:r>
              <w:rPr>
                <w:rFonts w:hint="eastAsia" w:ascii="Times New Roman" w:hAnsi="Times New Roman"/>
                <w:sz w:val="20"/>
                <w:szCs w:val="24"/>
                <w:lang w:eastAsia="zh-CN"/>
              </w:rPr>
              <w:t xml:space="preserve">Alt 1-1: </w:t>
            </w:r>
            <w:r>
              <w:rPr>
                <w:rFonts w:ascii="Times New Roman" w:hAnsi="Times New Roman"/>
                <w:sz w:val="20"/>
                <w:szCs w:val="24"/>
                <w:lang w:eastAsia="zh-CN"/>
              </w:rPr>
              <w:t xml:space="preserve">The Y [slots] always start from the first </w:t>
            </w:r>
            <w:r>
              <w:rPr>
                <w:rFonts w:hint="eastAsia" w:ascii="Times New Roman" w:hAnsi="Times New Roman"/>
                <w:sz w:val="20"/>
                <w:szCs w:val="24"/>
                <w:lang w:eastAsia="zh-CN"/>
              </w:rPr>
              <w:t>symbol</w:t>
            </w:r>
            <w:r>
              <w:rPr>
                <w:rFonts w:ascii="Times New Roman" w:hAnsi="Times New Roman"/>
                <w:sz w:val="20"/>
                <w:szCs w:val="24"/>
                <w:lang w:eastAsia="zh-CN"/>
              </w:rPr>
              <w:t xml:space="preserve"> within a slot group</w:t>
            </w:r>
          </w:p>
          <w:p>
            <w:pPr>
              <w:pStyle w:val="73"/>
              <w:widowControl w:val="0"/>
              <w:numPr>
                <w:ilvl w:val="0"/>
                <w:numId w:val="32"/>
              </w:numPr>
              <w:snapToGrid/>
              <w:spacing w:after="120" w:line="276" w:lineRule="auto"/>
              <w:ind w:hangingChars="210"/>
              <w:contextualSpacing/>
              <w:rPr>
                <w:rFonts w:ascii="Times New Roman" w:hAnsi="Times New Roman"/>
                <w:sz w:val="20"/>
                <w:szCs w:val="24"/>
                <w:lang w:eastAsia="zh-CN"/>
              </w:rPr>
            </w:pPr>
            <w:r>
              <w:rPr>
                <w:rFonts w:hint="eastAsia" w:ascii="Times New Roman" w:hAnsi="Times New Roman"/>
                <w:sz w:val="20"/>
                <w:szCs w:val="24"/>
                <w:lang w:eastAsia="zh-CN"/>
              </w:rPr>
              <w:t>Alt 1-</w:t>
            </w:r>
            <w:r>
              <w:rPr>
                <w:rFonts w:ascii="Times New Roman" w:hAnsi="Times New Roman"/>
                <w:sz w:val="20"/>
                <w:szCs w:val="24"/>
                <w:lang w:eastAsia="zh-CN"/>
              </w:rPr>
              <w:t>2</w:t>
            </w:r>
            <w:r>
              <w:rPr>
                <w:rFonts w:hint="eastAsia" w:ascii="Times New Roman" w:hAnsi="Times New Roman"/>
                <w:sz w:val="20"/>
                <w:szCs w:val="24"/>
                <w:lang w:eastAsia="zh-CN"/>
              </w:rPr>
              <w:t xml:space="preserve">: </w:t>
            </w:r>
            <w:r>
              <w:rPr>
                <w:rFonts w:ascii="Times New Roman" w:hAnsi="Times New Roman"/>
                <w:sz w:val="20"/>
                <w:szCs w:val="24"/>
                <w:lang w:eastAsia="zh-CN"/>
              </w:rPr>
              <w:t>T</w:t>
            </w:r>
            <w:r>
              <w:rPr>
                <w:rFonts w:hint="eastAsia" w:ascii="Times New Roman" w:hAnsi="Times New Roman"/>
                <w:sz w:val="20"/>
                <w:szCs w:val="24"/>
                <w:lang w:eastAsia="zh-CN"/>
              </w:rPr>
              <w:t xml:space="preserve">he </w:t>
            </w:r>
            <w:r>
              <w:rPr>
                <w:rFonts w:ascii="Times New Roman" w:hAnsi="Times New Roman"/>
                <w:sz w:val="20"/>
                <w:szCs w:val="24"/>
                <w:lang w:eastAsia="zh-CN"/>
              </w:rPr>
              <w:t xml:space="preserve">Y [slots] </w:t>
            </w:r>
            <w:r>
              <w:rPr>
                <w:rFonts w:hint="eastAsia" w:ascii="Times New Roman" w:hAnsi="Times New Roman"/>
                <w:sz w:val="20"/>
                <w:szCs w:val="24"/>
                <w:lang w:eastAsia="zh-CN"/>
              </w:rPr>
              <w:t>can</w:t>
            </w:r>
            <w:r>
              <w:rPr>
                <w:rFonts w:ascii="Times New Roman" w:hAnsi="Times New Roman"/>
                <w:sz w:val="20"/>
                <w:szCs w:val="24"/>
                <w:lang w:eastAsia="zh-CN"/>
              </w:rPr>
              <w:t xml:space="preserve"> start from </w:t>
            </w:r>
            <w:r>
              <w:rPr>
                <w:rFonts w:hint="eastAsia" w:ascii="Times New Roman" w:hAnsi="Times New Roman"/>
                <w:sz w:val="20"/>
                <w:szCs w:val="24"/>
                <w:lang w:eastAsia="zh-CN"/>
              </w:rPr>
              <w:t>any</w:t>
            </w:r>
            <w:r>
              <w:rPr>
                <w:rFonts w:ascii="Times New Roman" w:hAnsi="Times New Roman"/>
                <w:sz w:val="20"/>
                <w:szCs w:val="24"/>
                <w:lang w:eastAsia="zh-CN"/>
              </w:rPr>
              <w:t xml:space="preserve"> </w:t>
            </w:r>
            <w:r>
              <w:rPr>
                <w:rFonts w:hint="eastAsia" w:ascii="Times New Roman" w:hAnsi="Times New Roman"/>
                <w:sz w:val="20"/>
                <w:szCs w:val="24"/>
                <w:lang w:eastAsia="zh-CN"/>
              </w:rPr>
              <w:t>symbol</w:t>
            </w:r>
            <w:r>
              <w:rPr>
                <w:rFonts w:ascii="Times New Roman" w:hAnsi="Times New Roman"/>
                <w:sz w:val="20"/>
                <w:szCs w:val="24"/>
                <w:lang w:eastAsia="zh-CN"/>
              </w:rPr>
              <w:t xml:space="preserve"> within a slot group</w:t>
            </w:r>
          </w:p>
          <w:p>
            <w:pPr>
              <w:keepNext/>
              <w:widowControl w:val="0"/>
              <w:jc w:val="center"/>
            </w:pPr>
            <w:r>
              <w:object>
                <v:shape id="_x0000_i1026" o:spt="75" type="#_x0000_t75" style="height:84.65pt;width:466.45pt;" o:ole="t" filled="f" o:preferrelative="t" stroked="f" coordsize="21600,21600">
                  <v:path/>
                  <v:fill on="f" focussize="0,0"/>
                  <v:stroke on="f" joinstyle="miter"/>
                  <v:imagedata r:id="rId8" o:title=""/>
                  <o:lock v:ext="edit" aspectratio="t"/>
                  <w10:wrap type="none"/>
                  <w10:anchorlock/>
                </v:shape>
                <o:OLEObject Type="Embed" ProgID="Visio.Drawing.11" ShapeID="_x0000_i1026" DrawAspect="Content" ObjectID="_1468075726" r:id="rId7">
                  <o:LockedField>false</o:LockedField>
                </o:OLEObject>
              </w:object>
            </w:r>
          </w:p>
          <w:p>
            <w:pPr>
              <w:pStyle w:val="27"/>
              <w:widowControl w:val="0"/>
              <w:rPr>
                <w:b w:val="0"/>
                <w:bCs w:val="0"/>
                <w:lang w:eastAsia="zh-CN"/>
              </w:rPr>
            </w:pPr>
            <w:bookmarkStart w:id="8" w:name="_Ref79103626"/>
            <w:r>
              <w:rPr>
                <w:b w:val="0"/>
                <w:bCs w:val="0"/>
                <w:lang w:eastAsia="zh-CN"/>
              </w:rPr>
              <w:t xml:space="preserve">Figure </w:t>
            </w:r>
            <w:r>
              <w:rPr>
                <w:b w:val="0"/>
                <w:bCs w:val="0"/>
                <w:lang w:eastAsia="zh-CN"/>
              </w:rPr>
              <w:fldChar w:fldCharType="begin"/>
            </w:r>
            <w:r>
              <w:rPr>
                <w:b w:val="0"/>
                <w:bCs w:val="0"/>
                <w:lang w:eastAsia="zh-CN"/>
              </w:rPr>
              <w:instrText xml:space="preserve"> SEQ Figure \* ARABIC </w:instrText>
            </w:r>
            <w:r>
              <w:rPr>
                <w:b w:val="0"/>
                <w:bCs w:val="0"/>
                <w:lang w:eastAsia="zh-CN"/>
              </w:rPr>
              <w:fldChar w:fldCharType="separate"/>
            </w:r>
            <w:r>
              <w:rPr>
                <w:b w:val="0"/>
                <w:bCs w:val="0"/>
                <w:lang w:eastAsia="zh-CN"/>
              </w:rPr>
              <w:t>2</w:t>
            </w:r>
            <w:r>
              <w:rPr>
                <w:b w:val="0"/>
                <w:bCs w:val="0"/>
                <w:lang w:eastAsia="zh-CN"/>
              </w:rPr>
              <w:fldChar w:fldCharType="end"/>
            </w:r>
            <w:bookmarkEnd w:id="8"/>
            <w:r>
              <w:rPr>
                <w:rFonts w:hint="eastAsia"/>
                <w:b w:val="0"/>
                <w:bCs w:val="0"/>
                <w:lang w:eastAsia="zh-CN"/>
              </w:rPr>
              <w:t>：</w:t>
            </w:r>
            <w:r>
              <w:rPr>
                <w:b w:val="0"/>
                <w:bCs w:val="0"/>
                <w:lang w:eastAsia="zh-CN"/>
              </w:rPr>
              <w:t>The location of the Y within the slot group</w:t>
            </w:r>
          </w:p>
          <w:p>
            <w:pPr>
              <w:widowControl w:val="0"/>
              <w:spacing w:afterLines="50"/>
              <w:jc w:val="both"/>
              <w:rPr>
                <w:lang w:eastAsia="zh-CN"/>
              </w:rPr>
            </w:pPr>
            <w:r>
              <w:rPr>
                <w:rFonts w:hint="eastAsia"/>
                <w:lang w:eastAsia="zh-CN"/>
              </w:rPr>
              <w:t xml:space="preserve">It has been </w:t>
            </w:r>
            <w:r>
              <w:rPr>
                <w:lang w:eastAsia="zh-CN"/>
              </w:rPr>
              <w:t>known</w:t>
            </w:r>
            <w:r>
              <w:rPr>
                <w:rFonts w:hint="eastAsia"/>
                <w:lang w:eastAsia="zh-CN"/>
              </w:rPr>
              <w:t xml:space="preserve"> that </w:t>
            </w:r>
            <w:r>
              <w:rPr>
                <w:lang w:eastAsia="zh-CN"/>
              </w:rPr>
              <w:t>each</w:t>
            </w:r>
            <w:r>
              <w:rPr>
                <w:rFonts w:hint="eastAsia"/>
                <w:lang w:eastAsia="zh-CN"/>
              </w:rPr>
              <w:t xml:space="preserve"> slot groups </w:t>
            </w:r>
            <w:r>
              <w:rPr>
                <w:lang w:eastAsia="zh-CN"/>
              </w:rPr>
              <w:t>are consecutive and non-overlapping</w:t>
            </w:r>
            <w:r>
              <w:rPr>
                <w:rFonts w:hint="eastAsia"/>
                <w:lang w:eastAsia="zh-CN"/>
              </w:rPr>
              <w:t xml:space="preserve">. If Alt 1-1 is supported, the Y always starts from the first symbol of the slot group. If Alt 1-2 is supported, the Y can start from a certain symbol </w:t>
            </w:r>
            <w:r>
              <w:rPr>
                <w:lang w:eastAsia="zh-CN"/>
              </w:rPr>
              <w:t xml:space="preserve">that </w:t>
            </w:r>
            <w:r>
              <w:rPr>
                <w:rFonts w:hint="eastAsia"/>
                <w:lang w:eastAsia="zh-CN"/>
              </w:rPr>
              <w:t xml:space="preserve">may be not the first symbol of the slot group. For </w:t>
            </w:r>
            <w:r>
              <w:rPr>
                <w:lang w:eastAsia="zh-CN"/>
              </w:rPr>
              <w:t>example</w:t>
            </w:r>
            <w:r>
              <w:rPr>
                <w:rFonts w:hint="eastAsia"/>
                <w:lang w:eastAsia="zh-CN"/>
              </w:rPr>
              <w:t xml:space="preserve">, Y </w:t>
            </w:r>
            <w:r>
              <w:rPr>
                <w:lang w:eastAsia="zh-CN"/>
              </w:rPr>
              <w:t xml:space="preserve">can </w:t>
            </w:r>
            <w:r>
              <w:rPr>
                <w:rFonts w:hint="eastAsia"/>
                <w:lang w:eastAsia="zh-CN"/>
              </w:rPr>
              <w:t xml:space="preserve">start from the third symbol of the slot group, as </w:t>
            </w:r>
            <w:r>
              <w:rPr>
                <w:lang w:eastAsia="zh-CN"/>
              </w:rPr>
              <w:t xml:space="preserve">is </w:t>
            </w:r>
            <w:r>
              <w:rPr>
                <w:rFonts w:hint="eastAsia"/>
                <w:lang w:eastAsia="zh-CN"/>
              </w:rPr>
              <w:t xml:space="preserve">shown in </w:t>
            </w:r>
            <w:r>
              <w:rPr>
                <w:lang w:eastAsia="zh-CN"/>
              </w:rPr>
              <w:fldChar w:fldCharType="begin"/>
            </w:r>
            <w:r>
              <w:rPr>
                <w:lang w:eastAsia="zh-CN"/>
              </w:rPr>
              <w:instrText xml:space="preserve"> </w:instrText>
            </w:r>
            <w:r>
              <w:rPr>
                <w:rFonts w:hint="eastAsia"/>
                <w:lang w:eastAsia="zh-CN"/>
              </w:rPr>
              <w:instrText xml:space="preserve">REF _Ref79103626 \h</w:instrText>
            </w:r>
            <w:r>
              <w:rPr>
                <w:lang w:eastAsia="zh-CN"/>
              </w:rPr>
              <w:instrText xml:space="preserve"> </w:instrText>
            </w:r>
            <w:r>
              <w:rPr>
                <w:lang w:eastAsia="zh-CN"/>
              </w:rPr>
              <w:fldChar w:fldCharType="separate"/>
            </w:r>
            <w:r>
              <w:rPr>
                <w:lang w:eastAsia="zh-CN"/>
              </w:rPr>
              <w:t xml:space="preserve">Figure </w:t>
            </w:r>
            <w:r>
              <w:rPr>
                <w:b/>
                <w:bCs/>
                <w:lang w:eastAsia="zh-CN"/>
              </w:rPr>
              <w:t>2</w:t>
            </w:r>
            <w:r>
              <w:rPr>
                <w:lang w:eastAsia="zh-CN"/>
              </w:rPr>
              <w:fldChar w:fldCharType="end"/>
            </w:r>
            <w:r>
              <w:rPr>
                <w:rFonts w:hint="eastAsia"/>
                <w:lang w:eastAsia="zh-CN"/>
              </w:rPr>
              <w:t xml:space="preserve">(Alt 1-2). However, Alt 1-2 may bring </w:t>
            </w:r>
            <w:r>
              <w:rPr>
                <w:lang w:eastAsia="zh-CN"/>
              </w:rPr>
              <w:t xml:space="preserve">more </w:t>
            </w:r>
            <w:r>
              <w:rPr>
                <w:rFonts w:hint="eastAsia"/>
                <w:lang w:eastAsia="zh-CN"/>
              </w:rPr>
              <w:t xml:space="preserve">complexity to the definition of the multi-slot PDCCH monitoring capability. </w:t>
            </w:r>
            <w:r>
              <w:rPr>
                <w:lang w:eastAsia="zh-CN"/>
              </w:rPr>
              <w:t xml:space="preserve">Besides, if </w:t>
            </w:r>
            <w:r>
              <w:rPr>
                <w:rFonts w:hint="eastAsia"/>
                <w:lang w:eastAsia="zh-CN"/>
              </w:rPr>
              <w:t xml:space="preserve">the starting point of the slot group </w:t>
            </w:r>
            <w:r>
              <w:rPr>
                <w:lang w:eastAsia="zh-CN"/>
              </w:rPr>
              <w:t>does not</w:t>
            </w:r>
            <w:r>
              <w:rPr>
                <w:rFonts w:hint="eastAsia"/>
                <w:lang w:eastAsia="zh-CN"/>
              </w:rPr>
              <w:t xml:space="preserve"> need to be </w:t>
            </w:r>
            <w:r>
              <w:rPr>
                <w:lang w:eastAsia="zh-CN"/>
              </w:rPr>
              <w:t>restricted</w:t>
            </w:r>
            <w:r>
              <w:rPr>
                <w:rFonts w:hint="eastAsia"/>
                <w:lang w:eastAsia="zh-CN"/>
              </w:rPr>
              <w:t xml:space="preserve"> to the slot boundary, </w:t>
            </w:r>
            <w:r>
              <w:rPr>
                <w:lang w:eastAsia="zh-CN"/>
              </w:rPr>
              <w:t>the flexibility comes with the moving Y slots shall be take advantage anyway. Then extra benefit</w:t>
            </w:r>
            <w:r>
              <w:rPr>
                <w:rFonts w:hint="eastAsia"/>
                <w:lang w:eastAsia="zh-CN"/>
              </w:rPr>
              <w:t xml:space="preserve"> of Alt 1-2 is </w:t>
            </w:r>
            <w:r>
              <w:rPr>
                <w:lang w:eastAsia="zh-CN"/>
              </w:rPr>
              <w:t xml:space="preserve">not </w:t>
            </w:r>
            <w:r>
              <w:rPr>
                <w:rFonts w:hint="eastAsia"/>
                <w:lang w:eastAsia="zh-CN"/>
              </w:rPr>
              <w:t xml:space="preserve">clear. Therefore, it is recommended that the location of the Y should always </w:t>
            </w:r>
            <w:r>
              <w:rPr>
                <w:lang w:eastAsia="zh-CN"/>
              </w:rPr>
              <w:t>start from the first symbol within a slot group.</w:t>
            </w:r>
          </w:p>
          <w:p>
            <w:pPr>
              <w:widowControl w:val="0"/>
              <w:jc w:val="both"/>
              <w:rPr>
                <w:b/>
                <w:i/>
                <w:lang w:eastAsia="zh-CN"/>
              </w:rPr>
            </w:pPr>
            <w:r>
              <w:rPr>
                <w:rFonts w:hint="eastAsia"/>
                <w:b/>
                <w:i/>
                <w:lang w:eastAsia="zh-CN"/>
              </w:rPr>
              <w:t xml:space="preserve">Proposal 2: For the </w:t>
            </w:r>
            <w:r>
              <w:rPr>
                <w:b/>
                <w:i/>
                <w:lang w:eastAsia="zh-CN"/>
              </w:rPr>
              <w:t>fixed pattern of slot group</w:t>
            </w:r>
            <w:r>
              <w:rPr>
                <w:rFonts w:hint="eastAsia"/>
                <w:b/>
                <w:i/>
                <w:lang w:eastAsia="zh-CN"/>
              </w:rPr>
              <w:t xml:space="preserve"> definition, </w:t>
            </w:r>
            <w:r>
              <w:rPr>
                <w:b/>
                <w:i/>
                <w:lang w:eastAsia="zh-CN"/>
              </w:rPr>
              <w:t>the</w:t>
            </w:r>
            <w:r>
              <w:rPr>
                <w:rFonts w:hint="eastAsia"/>
                <w:b/>
                <w:i/>
                <w:lang w:eastAsia="zh-CN"/>
              </w:rPr>
              <w:t xml:space="preserve"> location of the</w:t>
            </w:r>
            <w:r>
              <w:rPr>
                <w:b/>
                <w:i/>
                <w:lang w:eastAsia="zh-CN"/>
              </w:rPr>
              <w:t xml:space="preserve"> Y </w:t>
            </w:r>
            <w:r>
              <w:rPr>
                <w:rFonts w:hint="eastAsia"/>
                <w:b/>
                <w:i/>
                <w:lang w:eastAsia="zh-CN"/>
              </w:rPr>
              <w:t xml:space="preserve">should </w:t>
            </w:r>
            <w:r>
              <w:rPr>
                <w:b/>
                <w:i/>
                <w:lang w:eastAsia="zh-CN"/>
              </w:rPr>
              <w:t xml:space="preserve">always start from the first </w:t>
            </w:r>
            <w:r>
              <w:rPr>
                <w:rFonts w:hint="eastAsia"/>
                <w:b/>
                <w:i/>
                <w:lang w:eastAsia="zh-CN"/>
              </w:rPr>
              <w:t>symbol</w:t>
            </w:r>
            <w:r>
              <w:rPr>
                <w:b/>
                <w:i/>
                <w:lang w:eastAsia="zh-CN"/>
              </w:rPr>
              <w:t xml:space="preserve"> within a slot group</w:t>
            </w:r>
            <w:r>
              <w:rPr>
                <w:rFonts w:hint="eastAsia"/>
                <w:b/>
                <w:i/>
                <w:lang w:eastAsia="zh-CN"/>
              </w:rPr>
              <w:t>.</w:t>
            </w:r>
          </w:p>
          <w:p>
            <w:pPr>
              <w:widowControl w:val="0"/>
              <w:jc w:val="both"/>
              <w:rPr>
                <w:b/>
                <w:i/>
                <w:lang w:eastAsia="zh-CN"/>
              </w:rPr>
            </w:pPr>
          </w:p>
          <w:p>
            <w:pPr>
              <w:widowControl w:val="0"/>
              <w:spacing w:afterLines="50"/>
              <w:jc w:val="both"/>
              <w:rPr>
                <w:lang w:eastAsia="zh-CN"/>
              </w:rPr>
            </w:pPr>
            <w:r>
              <w:rPr>
                <w:rFonts w:hint="eastAsia"/>
                <w:lang w:eastAsia="zh-CN"/>
              </w:rPr>
              <w:t xml:space="preserve">When </w:t>
            </w:r>
            <w:r>
              <w:rPr>
                <w:lang w:eastAsia="zh-CN"/>
              </w:rPr>
              <w:t>Y [slots] start at the first s</w:t>
            </w:r>
            <w:r>
              <w:rPr>
                <w:rFonts w:hint="eastAsia"/>
                <w:lang w:eastAsia="zh-CN"/>
              </w:rPr>
              <w:t>ymbol</w:t>
            </w:r>
            <w:r>
              <w:rPr>
                <w:lang w:eastAsia="zh-CN"/>
              </w:rPr>
              <w:t xml:space="preserve"> within a slot group</w:t>
            </w:r>
            <w:r>
              <w:rPr>
                <w:rFonts w:hint="eastAsia"/>
                <w:lang w:eastAsia="zh-CN"/>
              </w:rPr>
              <w:t xml:space="preserve">, as long as the valued of Y is no more than half of the value of X, the issue about back-to-back MOs in adjacent slot groups can be </w:t>
            </w:r>
            <w:r>
              <w:rPr>
                <w:lang w:eastAsia="zh-CN"/>
              </w:rPr>
              <w:t>avoided</w:t>
            </w:r>
            <w:r>
              <w:rPr>
                <w:rFonts w:hint="eastAsia"/>
                <w:lang w:eastAsia="zh-CN"/>
              </w:rPr>
              <w:t xml:space="preserve">. </w:t>
            </w:r>
            <w:r>
              <w:rPr>
                <w:lang w:eastAsia="zh-CN"/>
              </w:rPr>
              <w:t xml:space="preserve">On the other hand, if Y can be configured with larger value, the network will have more scheduling flexibility. Thus, </w:t>
            </w:r>
            <w:r>
              <w:rPr>
                <w:rFonts w:hint="eastAsia"/>
                <w:lang w:eastAsia="zh-CN"/>
              </w:rPr>
              <w:t>i</w:t>
            </w:r>
            <w:r>
              <w:rPr>
                <w:lang w:eastAsia="zh-CN"/>
              </w:rPr>
              <w:t xml:space="preserve">t is recommended that Y can be equal to half of </w:t>
            </w:r>
            <w:r>
              <w:rPr>
                <w:rFonts w:hint="eastAsia"/>
                <w:lang w:eastAsia="zh-CN"/>
              </w:rPr>
              <w:t xml:space="preserve">the </w:t>
            </w:r>
            <w:r>
              <w:rPr>
                <w:lang w:eastAsia="zh-CN"/>
              </w:rPr>
              <w:t>X to achieve the tradeoff between scheduling flexibility and back-to-back MOs issue.</w:t>
            </w:r>
          </w:p>
          <w:p>
            <w:pPr>
              <w:widowControl w:val="0"/>
              <w:jc w:val="both"/>
              <w:rPr>
                <w:b/>
                <w:i/>
                <w:lang w:eastAsia="zh-CN"/>
              </w:rPr>
            </w:pPr>
            <w:r>
              <w:rPr>
                <w:rFonts w:hint="eastAsia"/>
                <w:b/>
                <w:bCs/>
                <w:i/>
                <w:lang w:eastAsia="zh-CN"/>
              </w:rPr>
              <w:t>Proposal 3: For the fixed pattern of slot group</w:t>
            </w:r>
            <w:r>
              <w:rPr>
                <w:b/>
                <w:bCs/>
                <w:i/>
                <w:lang w:eastAsia="zh-CN"/>
              </w:rPr>
              <w:t xml:space="preserve"> definition</w:t>
            </w:r>
            <w:r>
              <w:rPr>
                <w:rFonts w:hint="eastAsia"/>
                <w:b/>
                <w:bCs/>
                <w:i/>
                <w:lang w:eastAsia="zh-CN"/>
              </w:rPr>
              <w:t xml:space="preserve">, it is recommended to </w:t>
            </w:r>
            <w:r>
              <w:rPr>
                <w:b/>
                <w:bCs/>
                <w:i/>
                <w:lang w:eastAsia="zh-CN"/>
              </w:rPr>
              <w:t>at least include Y= ½ X as one configuration for (X,Y) pair for both 480KHz and 960KHz</w:t>
            </w:r>
            <w:r>
              <w:rPr>
                <w:rFonts w:hint="eastAsia"/>
                <w:b/>
                <w:bCs/>
                <w:i/>
                <w:lang w:eastAsia="zh-CN"/>
              </w:rPr>
              <w:t>.</w:t>
            </w:r>
            <w:r>
              <w:rPr>
                <w:b/>
                <w:bCs/>
                <w:i/>
                <w:lang w:eastAsia="zh-CN"/>
              </w:rPr>
              <w:t xml:space="preserve"> </w:t>
            </w:r>
          </w:p>
          <w:p>
            <w:pPr>
              <w:widowControl w:val="0"/>
              <w:jc w:val="both"/>
              <w:rPr>
                <w:lang w:eastAsia="zh-CN"/>
              </w:rPr>
            </w:pPr>
          </w:p>
          <w:p>
            <w:pPr>
              <w:widowControl w:val="0"/>
              <w:spacing w:afterLines="50"/>
              <w:jc w:val="both"/>
              <w:rPr>
                <w:lang w:eastAsia="zh-CN"/>
              </w:rPr>
            </w:pPr>
            <w:r>
              <w:rPr>
                <w:rFonts w:hint="eastAsia"/>
                <w:lang w:eastAsia="zh-CN"/>
              </w:rPr>
              <w:t xml:space="preserve">In the last meeting, the additional value of the X other than </w:t>
            </w:r>
            <w:r>
              <w:rPr>
                <w:lang w:eastAsia="zh-CN"/>
              </w:rPr>
              <w:t>X=4 slots for SCS 480 kHz</w:t>
            </w:r>
            <w:r>
              <w:rPr>
                <w:rFonts w:hint="eastAsia"/>
                <w:lang w:eastAsia="zh-CN"/>
              </w:rPr>
              <w:t xml:space="preserve"> and X=8 slots for SCS 960 kHz has been discussed. For the X=1 slot for </w:t>
            </w:r>
            <w:r>
              <w:rPr>
                <w:lang w:eastAsia="zh-CN"/>
              </w:rPr>
              <w:t>SCS 480 kHz</w:t>
            </w:r>
            <w:r>
              <w:rPr>
                <w:rFonts w:hint="eastAsia"/>
                <w:lang w:eastAsia="zh-CN"/>
              </w:rPr>
              <w:t xml:space="preserve">/ SCS 960 kHz, the number of supported BD/CCE will be too small and the performance of PDCCH will be affected. In additional, the duration of X=4 slots for 480 kHz or X=8 slots for 960 kHz is equal to one slot of 120 kHz, which is small enough to meet the delay requirement of most use cases. In our view, the motivation to support X=1 slot for </w:t>
            </w:r>
            <w:r>
              <w:rPr>
                <w:lang w:eastAsia="zh-CN"/>
              </w:rPr>
              <w:t>SCS 480 kHz/ SCS 960 kHz</w:t>
            </w:r>
            <w:r>
              <w:rPr>
                <w:rFonts w:hint="eastAsia"/>
                <w:lang w:eastAsia="zh-CN"/>
              </w:rPr>
              <w:t xml:space="preserve"> is not strong, and it may </w:t>
            </w:r>
            <w:r>
              <w:rPr>
                <w:lang w:eastAsia="zh-CN"/>
              </w:rPr>
              <w:t>introduce</w:t>
            </w:r>
            <w:r>
              <w:rPr>
                <w:rFonts w:hint="eastAsia"/>
                <w:lang w:eastAsia="zh-CN"/>
              </w:rPr>
              <w:t xml:space="preserve"> extra complexity for the PDCCH monitoring capability of UE. Similar to X=1 slot for </w:t>
            </w:r>
            <w:r>
              <w:rPr>
                <w:lang w:eastAsia="zh-CN"/>
              </w:rPr>
              <w:t>SCS 480 kHz/ SCS 960 kHz</w:t>
            </w:r>
            <w:r>
              <w:rPr>
                <w:rFonts w:hint="eastAsia"/>
                <w:lang w:eastAsia="zh-CN"/>
              </w:rPr>
              <w:t xml:space="preserve">, the </w:t>
            </w:r>
            <w:r>
              <w:rPr>
                <w:lang w:eastAsia="zh-CN"/>
              </w:rPr>
              <w:t>benefit</w:t>
            </w:r>
            <w:r>
              <w:rPr>
                <w:rFonts w:hint="eastAsia"/>
                <w:lang w:eastAsia="zh-CN"/>
              </w:rPr>
              <w:t xml:space="preserve"> of supporting X= 2 slot for </w:t>
            </w:r>
            <w:r>
              <w:rPr>
                <w:lang w:eastAsia="zh-CN"/>
              </w:rPr>
              <w:t>SCS 480 kHz</w:t>
            </w:r>
            <w:r>
              <w:rPr>
                <w:rFonts w:hint="eastAsia"/>
                <w:lang w:eastAsia="zh-CN"/>
              </w:rPr>
              <w:t xml:space="preserve"> and X= {2, 4} slot for </w:t>
            </w:r>
            <w:r>
              <w:rPr>
                <w:lang w:eastAsia="zh-CN"/>
              </w:rPr>
              <w:t>SCS</w:t>
            </w:r>
            <w:r>
              <w:rPr>
                <w:rFonts w:hint="eastAsia"/>
                <w:lang w:eastAsia="zh-CN"/>
              </w:rPr>
              <w:t xml:space="preserve"> 960</w:t>
            </w:r>
            <w:r>
              <w:rPr>
                <w:lang w:eastAsia="zh-CN"/>
              </w:rPr>
              <w:t xml:space="preserve"> kHz</w:t>
            </w:r>
            <w:r>
              <w:rPr>
                <w:rFonts w:hint="eastAsia"/>
                <w:lang w:eastAsia="zh-CN"/>
              </w:rPr>
              <w:t xml:space="preserve"> is not clear. Therefore, it is recommended that </w:t>
            </w:r>
            <w:r>
              <w:rPr>
                <w:lang w:eastAsia="zh-CN"/>
              </w:rPr>
              <w:t xml:space="preserve">the additional value of the X other than X=4 slots for SCS 480 kHz and X=8 slots for SCS 960 kHz </w:t>
            </w:r>
            <w:r>
              <w:rPr>
                <w:rFonts w:hint="eastAsia"/>
                <w:lang w:eastAsia="zh-CN"/>
              </w:rPr>
              <w:t xml:space="preserve">should not be down prioritized </w:t>
            </w:r>
            <w:r>
              <w:rPr>
                <w:lang w:eastAsia="zh-CN"/>
              </w:rPr>
              <w:t>in the Rel-17.</w:t>
            </w:r>
          </w:p>
          <w:p>
            <w:pPr>
              <w:pStyle w:val="30"/>
              <w:widowControl w:val="0"/>
              <w:rPr>
                <w:b/>
                <w:lang w:eastAsia="zh-CN"/>
              </w:rPr>
            </w:pPr>
            <w:r>
              <w:rPr>
                <w:b/>
                <w:bCs/>
                <w:i/>
                <w:lang w:eastAsia="zh-CN"/>
              </w:rPr>
              <w:t xml:space="preserve">Proposal </w:t>
            </w:r>
            <w:r>
              <w:rPr>
                <w:rFonts w:hint="eastAsia"/>
                <w:b/>
                <w:bCs/>
                <w:i/>
                <w:lang w:eastAsia="zh-CN"/>
              </w:rPr>
              <w:t xml:space="preserve">4：For the fixed pattern of slot group definition, the additional value of the X other than X=4 </w:t>
            </w:r>
            <w:r>
              <w:rPr>
                <w:b/>
                <w:bCs/>
                <w:i/>
                <w:lang w:eastAsia="zh-CN"/>
              </w:rPr>
              <w:t>slots for SCS 480 kHz and X=8 slots for SCS 960 kHz</w:t>
            </w:r>
            <w:r>
              <w:rPr>
                <w:rFonts w:hint="eastAsia"/>
                <w:b/>
                <w:bCs/>
                <w:i/>
                <w:lang w:eastAsia="zh-CN"/>
              </w:rPr>
              <w:t xml:space="preserve"> </w:t>
            </w:r>
            <w:r>
              <w:rPr>
                <w:b/>
                <w:bCs/>
                <w:i/>
                <w:lang w:eastAsia="zh-CN"/>
              </w:rPr>
              <w:t xml:space="preserve">should be down prioritized </w:t>
            </w:r>
            <w:r>
              <w:rPr>
                <w:rFonts w:hint="eastAsia"/>
                <w:b/>
                <w:bCs/>
                <w:i/>
                <w:lang w:eastAsia="zh-CN"/>
              </w:rPr>
              <w:t>in the Rel-17.</w:t>
            </w:r>
          </w:p>
        </w:tc>
      </w:tr>
    </w:tbl>
    <w:p>
      <w:pPr>
        <w:rPr>
          <w:lang w:eastAsia="zh-CN"/>
        </w:rPr>
      </w:pPr>
    </w:p>
    <w:p>
      <w:pPr>
        <w:pStyle w:val="4"/>
        <w:jc w:val="both"/>
        <w:rPr>
          <w:lang w:val="en-GB" w:eastAsia="zh-CN"/>
        </w:rPr>
      </w:pPr>
      <w:r>
        <w:rPr>
          <w:lang w:val="en-GB" w:eastAsia="zh-CN"/>
        </w:rPr>
        <w:t>R1-2109402 (Xiaomi)</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jc w:val="both"/>
              <w:rPr>
                <w:lang w:eastAsia="zh-CN"/>
              </w:rPr>
            </w:pPr>
            <w:r>
              <w:rPr>
                <w:lang w:eastAsia="zh-CN"/>
              </w:rPr>
              <w:t xml:space="preserve">In a general case, with Alt1, fixed pattern of </w:t>
            </w:r>
            <w:r>
              <w:rPr>
                <w:rFonts w:ascii="Times" w:hAnsi="Times" w:eastAsia="Batang"/>
                <w:szCs w:val="24"/>
                <w:lang w:eastAsia="zh-CN"/>
              </w:rPr>
              <w:t>slot grou</w:t>
            </w:r>
            <w:r>
              <w:rPr>
                <w:lang w:eastAsia="zh-CN"/>
              </w:rPr>
              <w:t xml:space="preserve">ps </w:t>
            </w:r>
            <w:r>
              <w:rPr>
                <w:rFonts w:hint="eastAsia"/>
                <w:lang w:eastAsia="zh-CN"/>
              </w:rPr>
              <w:t>(</w:t>
            </w:r>
            <w:r>
              <w:rPr>
                <w:lang w:eastAsia="zh-CN"/>
              </w:rPr>
              <w:t>X/Y)</w:t>
            </w:r>
            <w:r>
              <w:rPr>
                <w:rFonts w:hint="eastAsia"/>
                <w:lang w:eastAsia="zh-CN"/>
              </w:rPr>
              <w:t>,</w:t>
            </w:r>
            <w:r>
              <w:rPr>
                <w:lang w:eastAsia="zh-CN"/>
              </w:rPr>
              <w:t xml:space="preserve"> UE can only support search space configurations with periodicity of X*M slots. But this restriction can be released if Y&gt;X/2. For example, with (X/Y)=(8,5), search space periodicity of 8 or 4 slots are both support</w:t>
            </w:r>
            <w:r>
              <w:rPr>
                <w:rFonts w:hint="eastAsia"/>
                <w:lang w:eastAsia="zh-CN"/>
              </w:rPr>
              <w:t>ed</w:t>
            </w:r>
            <w:r>
              <w:rPr>
                <w:lang w:eastAsia="zh-CN"/>
              </w:rPr>
              <w:t xml:space="preserve">. </w:t>
            </w:r>
          </w:p>
          <w:p>
            <w:pPr>
              <w:widowControl w:val="0"/>
              <w:jc w:val="both"/>
              <w:rPr>
                <w:lang w:eastAsia="zh-CN"/>
              </w:rPr>
            </w:pPr>
            <w:r>
              <w:rPr>
                <w:lang w:eastAsia="zh-CN"/>
              </w:rPr>
              <w:t xml:space="preserve">Alt 2 does has some more flexibility on aspects of search space periodicity, with a PDCCH monitoring span (X/Y),  UE can support any periodicities &gt;=X slots, but this flexibility is limited. To illustrate this, assuming UE with Alt 2 PDCCH monitoring capability (8/3), and configured a SS with periodicity of 9 slots, if the UE needs to be configured with another SS, the </w:t>
            </w:r>
            <w:r>
              <w:rPr>
                <w:rFonts w:hint="eastAsia"/>
                <w:lang w:eastAsia="zh-CN"/>
              </w:rPr>
              <w:t>new</w:t>
            </w:r>
            <w:r>
              <w:rPr>
                <w:lang w:eastAsia="zh-CN"/>
              </w:rPr>
              <w:t xml:space="preserve"> </w:t>
            </w:r>
            <w:r>
              <w:rPr>
                <w:rFonts w:hint="eastAsia"/>
                <w:lang w:eastAsia="zh-CN"/>
              </w:rPr>
              <w:t>added</w:t>
            </w:r>
            <w:r>
              <w:rPr>
                <w:lang w:eastAsia="zh-CN"/>
              </w:rPr>
              <w:t xml:space="preserve"> SS has to be with periodicity of 9*M slots, otherwise the new added SS may not be able to fall into the Y slots of the (X/Y) span.</w:t>
            </w:r>
          </w:p>
          <w:p>
            <w:pPr>
              <w:pStyle w:val="30"/>
              <w:widowControl w:val="0"/>
              <w:spacing w:before="120" w:beforeLines="50"/>
              <w:rPr>
                <w:b/>
                <w:i/>
                <w:lang w:eastAsia="zh-CN"/>
              </w:rPr>
            </w:pPr>
            <w:r>
              <w:rPr>
                <w:b/>
                <w:i/>
                <w:lang w:eastAsia="zh-CN"/>
              </w:rPr>
              <w:t>Proposal 1: PDCCH monitoring capability Alt 2 has limited flexibility over Alt 1 on search space periodicity configuration.</w:t>
            </w:r>
          </w:p>
          <w:p>
            <w:pPr>
              <w:widowControl w:val="0"/>
              <w:jc w:val="both"/>
              <w:rPr>
                <w:lang w:eastAsia="zh-CN"/>
              </w:rPr>
            </w:pPr>
          </w:p>
          <w:p>
            <w:pPr>
              <w:widowControl w:val="0"/>
              <w:jc w:val="both"/>
              <w:rPr>
                <w:lang w:eastAsia="zh-CN"/>
              </w:rPr>
            </w:pPr>
            <w:r>
              <w:rPr>
                <w:lang w:eastAsia="zh-CN"/>
              </w:rPr>
              <w:t xml:space="preserve">In a multi-cell scenario, with Alt1, fixed pattern of </w:t>
            </w:r>
            <w:r>
              <w:rPr>
                <w:rFonts w:ascii="Times" w:hAnsi="Times" w:eastAsia="Batang"/>
                <w:szCs w:val="24"/>
                <w:lang w:eastAsia="zh-CN"/>
              </w:rPr>
              <w:t>slot grou</w:t>
            </w:r>
            <w:r>
              <w:rPr>
                <w:lang w:eastAsia="zh-CN"/>
              </w:rPr>
              <w:t xml:space="preserve">p </w:t>
            </w:r>
            <w:r>
              <w:rPr>
                <w:rFonts w:hint="eastAsia"/>
                <w:lang w:eastAsia="zh-CN"/>
              </w:rPr>
              <w:t>(</w:t>
            </w:r>
            <w:r>
              <w:rPr>
                <w:lang w:eastAsia="zh-CN"/>
              </w:rPr>
              <w:t>X/Y)</w:t>
            </w:r>
            <w:r>
              <w:rPr>
                <w:rFonts w:hint="eastAsia"/>
                <w:lang w:eastAsia="zh-CN"/>
              </w:rPr>
              <w:t>,</w:t>
            </w:r>
            <w:r>
              <w:rPr>
                <w:lang w:eastAsia="zh-CN"/>
              </w:rPr>
              <w:t xml:space="preserve"> the time unit of calculation of PDCCH monitoring on multiple cells are easy to align. F</w:t>
            </w:r>
            <w:r>
              <w:rPr>
                <w:rFonts w:hint="eastAsia"/>
                <w:lang w:eastAsia="zh-CN"/>
              </w:rPr>
              <w:t>or</w:t>
            </w:r>
            <w:r>
              <w:rPr>
                <w:lang w:eastAsia="zh-CN"/>
              </w:rPr>
              <w:t xml:space="preserve"> </w:t>
            </w:r>
            <w:r>
              <w:rPr>
                <w:rFonts w:hint="eastAsia"/>
                <w:lang w:eastAsia="zh-CN"/>
              </w:rPr>
              <w:t>example</w:t>
            </w:r>
            <w:r>
              <w:rPr>
                <w:lang w:eastAsia="zh-CN"/>
              </w:rPr>
              <w:t xml:space="preserve">, if </w:t>
            </w:r>
            <w:r>
              <w:rPr>
                <w:rFonts w:hint="eastAsia"/>
                <w:lang w:eastAsia="zh-CN"/>
              </w:rPr>
              <w:t>a</w:t>
            </w:r>
            <w:r>
              <w:rPr>
                <w:lang w:eastAsia="zh-CN"/>
              </w:rPr>
              <w:t xml:space="preserve"> UE </w:t>
            </w:r>
            <w:r>
              <w:rPr>
                <w:rFonts w:hint="eastAsia"/>
                <w:lang w:eastAsia="zh-CN"/>
              </w:rPr>
              <w:t>is</w:t>
            </w:r>
            <w:r>
              <w:rPr>
                <w:lang w:eastAsia="zh-CN"/>
              </w:rPr>
              <w:t xml:space="preserve"> configured with 2 cells, both the cells </w:t>
            </w:r>
            <w:r>
              <w:rPr>
                <w:rFonts w:hint="eastAsia"/>
                <w:lang w:eastAsia="zh-CN"/>
              </w:rPr>
              <w:t>are</w:t>
            </w:r>
            <w:r>
              <w:rPr>
                <w:lang w:eastAsia="zh-CN"/>
              </w:rPr>
              <w:t xml:space="preserve"> </w:t>
            </w:r>
            <w:r>
              <w:rPr>
                <w:rFonts w:hint="eastAsia"/>
                <w:lang w:eastAsia="zh-CN"/>
              </w:rPr>
              <w:t>with</w:t>
            </w:r>
            <w:r>
              <w:rPr>
                <w:lang w:eastAsia="zh-CN"/>
              </w:rPr>
              <w:t xml:space="preserve"> </w:t>
            </w:r>
            <w:r>
              <w:rPr>
                <w:rFonts w:hint="eastAsia"/>
                <w:lang w:eastAsia="zh-CN"/>
              </w:rPr>
              <w:t>Alt</w:t>
            </w:r>
            <w:r>
              <w:rPr>
                <w:lang w:eastAsia="zh-CN"/>
              </w:rPr>
              <w:t xml:space="preserve"> 1 PDCCH </w:t>
            </w:r>
            <w:r>
              <w:rPr>
                <w:rFonts w:hint="eastAsia"/>
                <w:lang w:eastAsia="zh-CN"/>
              </w:rPr>
              <w:t>monitoring</w:t>
            </w:r>
            <w:r>
              <w:rPr>
                <w:lang w:eastAsia="zh-CN"/>
              </w:rPr>
              <w:t xml:space="preserve"> </w:t>
            </w:r>
            <w:r>
              <w:rPr>
                <w:rFonts w:hint="eastAsia"/>
                <w:lang w:eastAsia="zh-CN"/>
              </w:rPr>
              <w:t>capability</w:t>
            </w:r>
            <w:r>
              <w:rPr>
                <w:lang w:eastAsia="zh-CN"/>
              </w:rPr>
              <w:t xml:space="preserve"> </w:t>
            </w:r>
            <w:r>
              <w:rPr>
                <w:rFonts w:hint="eastAsia"/>
                <w:lang w:eastAsia="zh-CN"/>
              </w:rPr>
              <w:t>(</w:t>
            </w:r>
            <w:r>
              <w:rPr>
                <w:lang w:eastAsia="zh-CN"/>
              </w:rPr>
              <w:t xml:space="preserve">8/5), the time unit for calculating PDCCH monitoring is simply the first 5 slots of every 8 slots group. But for </w:t>
            </w:r>
            <w:r>
              <w:rPr>
                <w:rFonts w:hint="eastAsia"/>
                <w:lang w:eastAsia="zh-CN"/>
              </w:rPr>
              <w:t>Alt</w:t>
            </w:r>
            <w:r>
              <w:rPr>
                <w:lang w:eastAsia="zh-CN"/>
              </w:rPr>
              <w:t xml:space="preserve"> 2, the situation may be complicated. A</w:t>
            </w:r>
            <w:r>
              <w:rPr>
                <w:rFonts w:hint="eastAsia"/>
                <w:lang w:eastAsia="zh-CN"/>
              </w:rPr>
              <w:t>n</w:t>
            </w:r>
            <w:r>
              <w:rPr>
                <w:lang w:eastAsia="zh-CN"/>
              </w:rPr>
              <w:t xml:space="preserve"> example shown in </w:t>
            </w:r>
            <w:r>
              <w:rPr>
                <w:rFonts w:hint="eastAsia"/>
                <w:lang w:eastAsia="zh-CN"/>
              </w:rPr>
              <w:t>Fig.</w:t>
            </w:r>
            <w:r>
              <w:rPr>
                <w:lang w:eastAsia="zh-CN"/>
              </w:rPr>
              <w:t xml:space="preserve">1, if </w:t>
            </w:r>
            <w:r>
              <w:rPr>
                <w:rFonts w:hint="eastAsia"/>
                <w:lang w:eastAsia="zh-CN"/>
              </w:rPr>
              <w:t>a</w:t>
            </w:r>
            <w:r>
              <w:rPr>
                <w:lang w:eastAsia="zh-CN"/>
              </w:rPr>
              <w:t xml:space="preserve"> UE </w:t>
            </w:r>
            <w:r>
              <w:rPr>
                <w:rFonts w:hint="eastAsia"/>
                <w:lang w:eastAsia="zh-CN"/>
              </w:rPr>
              <w:t>is</w:t>
            </w:r>
            <w:r>
              <w:rPr>
                <w:lang w:eastAsia="zh-CN"/>
              </w:rPr>
              <w:t xml:space="preserve"> configured with 2 cells, both the cells </w:t>
            </w:r>
            <w:r>
              <w:rPr>
                <w:rFonts w:hint="eastAsia"/>
                <w:lang w:eastAsia="zh-CN"/>
              </w:rPr>
              <w:t>are</w:t>
            </w:r>
            <w:r>
              <w:rPr>
                <w:lang w:eastAsia="zh-CN"/>
              </w:rPr>
              <w:t xml:space="preserve"> </w:t>
            </w:r>
            <w:r>
              <w:rPr>
                <w:rFonts w:hint="eastAsia"/>
                <w:lang w:eastAsia="zh-CN"/>
              </w:rPr>
              <w:t>with</w:t>
            </w:r>
            <w:r>
              <w:rPr>
                <w:lang w:eastAsia="zh-CN"/>
              </w:rPr>
              <w:t xml:space="preserve"> </w:t>
            </w:r>
            <w:r>
              <w:rPr>
                <w:rFonts w:hint="eastAsia"/>
                <w:lang w:eastAsia="zh-CN"/>
              </w:rPr>
              <w:t>Alt</w:t>
            </w:r>
            <w:r>
              <w:rPr>
                <w:lang w:eastAsia="zh-CN"/>
              </w:rPr>
              <w:t xml:space="preserve"> 2 PDCCH </w:t>
            </w:r>
            <w:r>
              <w:rPr>
                <w:rFonts w:hint="eastAsia"/>
                <w:lang w:eastAsia="zh-CN"/>
              </w:rPr>
              <w:t>monitoring</w:t>
            </w:r>
            <w:r>
              <w:rPr>
                <w:lang w:eastAsia="zh-CN"/>
              </w:rPr>
              <w:t xml:space="preserve"> </w:t>
            </w:r>
            <w:r>
              <w:rPr>
                <w:rFonts w:hint="eastAsia"/>
                <w:lang w:eastAsia="zh-CN"/>
              </w:rPr>
              <w:t>capability</w:t>
            </w:r>
            <w:r>
              <w:rPr>
                <w:lang w:eastAsia="zh-CN"/>
              </w:rPr>
              <w:t xml:space="preserve"> </w:t>
            </w:r>
            <w:r>
              <w:rPr>
                <w:rFonts w:hint="eastAsia"/>
                <w:lang w:eastAsia="zh-CN"/>
              </w:rPr>
              <w:t>(</w:t>
            </w:r>
            <w:r>
              <w:rPr>
                <w:lang w:eastAsia="zh-CN"/>
              </w:rPr>
              <w:t xml:space="preserve">8/5), and cell1 is configured with SS of periodicity 8, and cell2 is configured with SS of periodicity 12, the monitoring occasion of cell 1 and cell 2 are overlapped or partially overlapped in a unaligned manner. For the </w:t>
            </w:r>
            <w:r>
              <w:rPr>
                <w:rFonts w:hint="eastAsia"/>
                <w:lang w:eastAsia="zh-CN"/>
              </w:rPr>
              <w:t>time</w:t>
            </w:r>
            <w:r>
              <w:rPr>
                <w:lang w:eastAsia="zh-CN"/>
              </w:rPr>
              <w:t xml:space="preserve"> </w:t>
            </w:r>
            <w:r>
              <w:rPr>
                <w:rFonts w:hint="eastAsia"/>
                <w:lang w:eastAsia="zh-CN"/>
              </w:rPr>
              <w:t>duration</w:t>
            </w:r>
            <w:r>
              <w:rPr>
                <w:lang w:eastAsia="zh-CN"/>
              </w:rPr>
              <w:t xml:space="preserve"> </w:t>
            </w:r>
            <w:r>
              <w:rPr>
                <w:rFonts w:hint="eastAsia"/>
                <w:lang w:eastAsia="zh-CN"/>
              </w:rPr>
              <w:t>in</w:t>
            </w:r>
            <w:r>
              <w:rPr>
                <w:lang w:eastAsia="zh-CN"/>
              </w:rPr>
              <w:t xml:space="preserve"> red </w:t>
            </w:r>
            <w:r>
              <w:rPr>
                <w:rFonts w:hint="eastAsia"/>
                <w:lang w:eastAsia="zh-CN"/>
              </w:rPr>
              <w:t>block</w:t>
            </w:r>
            <w:r>
              <w:rPr>
                <w:lang w:eastAsia="zh-CN"/>
              </w:rPr>
              <w:t xml:space="preserve">, since UE has to process PDCCH in three spans, UE may exceed its PDCCH monitoring capability, then how to coordinate multi-cell PDCCH monitoring capability will need a lot of </w:t>
            </w:r>
            <w:r>
              <w:rPr>
                <w:rFonts w:hint="eastAsia"/>
                <w:lang w:eastAsia="zh-CN"/>
              </w:rPr>
              <w:t>specification</w:t>
            </w:r>
            <w:r>
              <w:rPr>
                <w:lang w:eastAsia="zh-CN"/>
              </w:rPr>
              <w:t xml:space="preserve"> </w:t>
            </w:r>
            <w:r>
              <w:rPr>
                <w:rFonts w:hint="eastAsia"/>
                <w:lang w:eastAsia="zh-CN"/>
              </w:rPr>
              <w:t>effort.</w:t>
            </w:r>
          </w:p>
          <w:p>
            <w:pPr>
              <w:pStyle w:val="30"/>
              <w:widowControl w:val="0"/>
              <w:spacing w:before="120" w:beforeLines="50"/>
              <w:rPr>
                <w:b/>
                <w:i/>
                <w:lang w:eastAsia="zh-CN"/>
              </w:rPr>
            </w:pPr>
            <w:r>
              <w:rPr>
                <w:b/>
                <w:i/>
                <w:lang w:eastAsia="zh-CN"/>
              </w:rPr>
              <w:t>Proposal 2: PDCCH monitoring capability Alt 2 needs more specification effort to coordinate multi-cell PDCCH monitoring capability while Alt 1 doesn’t.</w:t>
            </w:r>
          </w:p>
          <w:p>
            <w:pPr>
              <w:widowControl w:val="0"/>
              <w:jc w:val="center"/>
            </w:pPr>
            <w:r>
              <w:object>
                <v:shape id="_x0000_i1027" o:spt="75" type="#_x0000_t75" style="height:145.35pt;width:275.35pt;" o:ole="t" filled="f" o:preferrelative="t" stroked="f" coordsize="21600,21600">
                  <v:path/>
                  <v:fill on="f" focussize="0,0"/>
                  <v:stroke on="f" joinstyle="miter"/>
                  <v:imagedata r:id="rId10" o:title=""/>
                  <o:lock v:ext="edit" aspectratio="t"/>
                  <w10:wrap type="none"/>
                  <w10:anchorlock/>
                </v:shape>
                <o:OLEObject Type="Embed" ProgID="Visio.Drawing.15" ShapeID="_x0000_i1027" DrawAspect="Content" ObjectID="_1468075727" r:id="rId9">
                  <o:LockedField>false</o:LockedField>
                </o:OLEObject>
              </w:object>
            </w:r>
          </w:p>
          <w:p>
            <w:pPr>
              <w:widowControl w:val="0"/>
              <w:jc w:val="center"/>
              <w:rPr>
                <w:lang w:eastAsia="zh-CN"/>
              </w:rPr>
            </w:pPr>
            <w:r>
              <w:t xml:space="preserve">Fig 2  </w:t>
            </w:r>
            <w:r>
              <w:rPr>
                <w:rFonts w:hint="eastAsia"/>
                <w:lang w:eastAsia="zh-CN"/>
              </w:rPr>
              <w:t>M</w:t>
            </w:r>
            <w:r>
              <w:rPr>
                <w:lang w:eastAsia="zh-CN"/>
              </w:rPr>
              <w:t>ulti-cell PDCCH monitoring capability issue for Alt 2</w:t>
            </w:r>
          </w:p>
          <w:p>
            <w:pPr>
              <w:pStyle w:val="30"/>
              <w:widowControl w:val="0"/>
              <w:spacing w:before="120" w:beforeLines="50"/>
              <w:rPr>
                <w:lang w:eastAsia="zh-CN"/>
              </w:rPr>
            </w:pPr>
            <w:r>
              <w:rPr>
                <w:rFonts w:hint="eastAsia" w:cs="Calibri"/>
                <w:iCs/>
                <w:lang w:eastAsia="zh-CN"/>
              </w:rPr>
              <w:t>Compared</w:t>
            </w:r>
            <w:r>
              <w:rPr>
                <w:rFonts w:cs="Calibri"/>
                <w:iCs/>
                <w:lang w:eastAsia="zh-CN"/>
              </w:rPr>
              <w:t xml:space="preserve"> with defining PDCCH monitoring capability per single slot, defining PDCCH monitoring capability per multi-slot span would allow </w:t>
            </w:r>
            <w:r>
              <w:rPr>
                <w:rFonts w:hint="eastAsia" w:cs="Calibri"/>
                <w:iCs/>
                <w:lang w:eastAsia="zh-CN"/>
              </w:rPr>
              <w:t>g</w:t>
            </w:r>
            <w:r>
              <w:rPr>
                <w:rFonts w:cs="Calibri"/>
                <w:iCs/>
                <w:lang w:eastAsia="zh-CN"/>
              </w:rPr>
              <w:t xml:space="preserve">NB </w:t>
            </w:r>
            <w:r>
              <w:rPr>
                <w:rFonts w:hint="eastAsia" w:cs="Calibri"/>
                <w:iCs/>
                <w:lang w:eastAsia="zh-CN"/>
              </w:rPr>
              <w:t>scheduling</w:t>
            </w:r>
            <w:r>
              <w:rPr>
                <w:rFonts w:cs="Calibri"/>
                <w:iCs/>
                <w:lang w:eastAsia="zh-CN"/>
              </w:rPr>
              <w:t xml:space="preserve"> DCI </w:t>
            </w:r>
            <w:r>
              <w:rPr>
                <w:rFonts w:hint="eastAsia" w:cs="Calibri"/>
                <w:iCs/>
                <w:lang w:eastAsia="zh-CN"/>
              </w:rPr>
              <w:t>in</w:t>
            </w:r>
            <w:r>
              <w:rPr>
                <w:rFonts w:cs="Calibri"/>
                <w:iCs/>
                <w:lang w:eastAsia="zh-CN"/>
              </w:rPr>
              <w:t xml:space="preserve"> a busty way, for example when X=8,Y=1. And it may cause the UE to spend more time on decoding all the DCIs scheduled </w:t>
            </w:r>
            <w:r>
              <w:rPr>
                <w:rFonts w:hint="eastAsia" w:cs="Calibri"/>
                <w:iCs/>
                <w:lang w:eastAsia="zh-CN"/>
              </w:rPr>
              <w:t>in</w:t>
            </w:r>
            <w:r>
              <w:rPr>
                <w:rFonts w:cs="Calibri"/>
                <w:iCs/>
                <w:lang w:eastAsia="zh-CN"/>
              </w:rPr>
              <w:t xml:space="preserve"> a DCI</w:t>
            </w:r>
            <w:r>
              <w:rPr>
                <w:rFonts w:hint="eastAsia" w:cs="Calibri"/>
                <w:iCs/>
                <w:lang w:eastAsia="zh-CN"/>
              </w:rPr>
              <w:t>s</w:t>
            </w:r>
            <w:r>
              <w:rPr>
                <w:rFonts w:cs="Calibri"/>
                <w:iCs/>
                <w:lang w:eastAsia="zh-CN"/>
              </w:rPr>
              <w:t xml:space="preserve"> burst, which will increase the total processing time for the scheduled PDSCH/PUSCH since UE has to decoding the DCI first. F</w:t>
            </w:r>
            <w:r>
              <w:rPr>
                <w:rFonts w:hint="eastAsia" w:cs="Calibri"/>
                <w:iCs/>
                <w:lang w:eastAsia="zh-CN"/>
              </w:rPr>
              <w:t>or</w:t>
            </w:r>
            <w:r>
              <w:rPr>
                <w:rFonts w:cs="Calibri"/>
                <w:iCs/>
                <w:lang w:eastAsia="zh-CN"/>
              </w:rPr>
              <w:t xml:space="preserve"> </w:t>
            </w:r>
            <w:r>
              <w:rPr>
                <w:rFonts w:hint="eastAsia" w:cs="Calibri"/>
                <w:iCs/>
                <w:lang w:eastAsia="zh-CN"/>
              </w:rPr>
              <w:t>example</w:t>
            </w:r>
            <w:r>
              <w:rPr>
                <w:rFonts w:cs="Calibri"/>
                <w:iCs/>
                <w:lang w:eastAsia="zh-CN"/>
              </w:rPr>
              <w:t xml:space="preserve">, with maximum number of B1/C1 of </w:t>
            </w:r>
            <w:r>
              <w:rPr>
                <w:lang w:eastAsia="zh-CN"/>
              </w:rPr>
              <w:t xml:space="preserve">BDs/CCEs for PDCCH monitoring per single slot, UE </w:t>
            </w:r>
            <w:r>
              <w:rPr>
                <w:rFonts w:hint="eastAsia"/>
                <w:lang w:eastAsia="zh-CN"/>
              </w:rPr>
              <w:t>is</w:t>
            </w:r>
            <w:r>
              <w:rPr>
                <w:lang w:eastAsia="zh-CN"/>
              </w:rPr>
              <w:t xml:space="preserve"> </w:t>
            </w:r>
            <w:r>
              <w:rPr>
                <w:rFonts w:hint="eastAsia"/>
                <w:lang w:eastAsia="zh-CN"/>
              </w:rPr>
              <w:t xml:space="preserve">able </w:t>
            </w:r>
            <w:r>
              <w:rPr>
                <w:lang w:eastAsia="zh-CN"/>
              </w:rPr>
              <w:t xml:space="preserve">to decode the </w:t>
            </w:r>
            <w:r>
              <w:rPr>
                <w:rFonts w:hint="eastAsia"/>
                <w:lang w:eastAsia="zh-CN"/>
              </w:rPr>
              <w:t>all</w:t>
            </w:r>
            <w:r>
              <w:rPr>
                <w:lang w:eastAsia="zh-CN"/>
              </w:rPr>
              <w:t xml:space="preserve"> the DCIs </w:t>
            </w:r>
            <w:r>
              <w:rPr>
                <w:rFonts w:hint="eastAsia"/>
                <w:lang w:eastAsia="zh-CN"/>
              </w:rPr>
              <w:t>in</w:t>
            </w:r>
            <w:r>
              <w:rPr>
                <w:lang w:eastAsia="zh-CN"/>
              </w:rPr>
              <w:t xml:space="preserve"> PDCCH in 1 symbol from the end of the PDCCH. But with </w:t>
            </w:r>
            <w:r>
              <w:rPr>
                <w:rFonts w:cs="Calibri"/>
                <w:iCs/>
                <w:lang w:eastAsia="zh-CN"/>
              </w:rPr>
              <w:t xml:space="preserve">maximum number of 4*B1/4*C1 of </w:t>
            </w:r>
            <w:r>
              <w:rPr>
                <w:lang w:eastAsia="zh-CN"/>
              </w:rPr>
              <w:t xml:space="preserve">BDs/CCEs for PDCCH monitoring per multi-slot span (4/1) and </w:t>
            </w:r>
            <w:r>
              <w:rPr>
                <w:rFonts w:hint="eastAsia" w:cs="Calibri"/>
                <w:iCs/>
                <w:lang w:eastAsia="zh-CN"/>
              </w:rPr>
              <w:t>g</w:t>
            </w:r>
            <w:r>
              <w:rPr>
                <w:rFonts w:cs="Calibri"/>
                <w:iCs/>
                <w:lang w:eastAsia="zh-CN"/>
              </w:rPr>
              <w:t xml:space="preserve">NB </w:t>
            </w:r>
            <w:r>
              <w:rPr>
                <w:rFonts w:hint="eastAsia" w:cs="Calibri"/>
                <w:iCs/>
                <w:lang w:eastAsia="zh-CN"/>
              </w:rPr>
              <w:t>scheduling</w:t>
            </w:r>
            <w:r>
              <w:rPr>
                <w:rFonts w:cs="Calibri"/>
                <w:iCs/>
                <w:lang w:eastAsia="zh-CN"/>
              </w:rPr>
              <w:t xml:space="preserve"> DCI </w:t>
            </w:r>
            <w:r>
              <w:rPr>
                <w:rFonts w:hint="eastAsia" w:cs="Calibri"/>
                <w:iCs/>
                <w:lang w:eastAsia="zh-CN"/>
              </w:rPr>
              <w:t>in</w:t>
            </w:r>
            <w:r>
              <w:rPr>
                <w:rFonts w:cs="Calibri"/>
                <w:iCs/>
                <w:lang w:eastAsia="zh-CN"/>
              </w:rPr>
              <w:t xml:space="preserve"> a busty way, UE may need extra 2 symbols to guarantee </w:t>
            </w:r>
            <w:r>
              <w:rPr>
                <w:lang w:eastAsia="zh-CN"/>
              </w:rPr>
              <w:t xml:space="preserve">to decode the </w:t>
            </w:r>
            <w:r>
              <w:rPr>
                <w:rFonts w:hint="eastAsia"/>
                <w:lang w:eastAsia="zh-CN"/>
              </w:rPr>
              <w:t>all</w:t>
            </w:r>
            <w:r>
              <w:rPr>
                <w:lang w:eastAsia="zh-CN"/>
              </w:rPr>
              <w:t xml:space="preserve"> the DCIs </w:t>
            </w:r>
            <w:r>
              <w:rPr>
                <w:rFonts w:hint="eastAsia"/>
                <w:lang w:eastAsia="zh-CN"/>
              </w:rPr>
              <w:t>in</w:t>
            </w:r>
            <w:r>
              <w:rPr>
                <w:lang w:eastAsia="zh-CN"/>
              </w:rPr>
              <w:t xml:space="preserve"> PDCCH</w:t>
            </w:r>
            <w:r>
              <w:rPr>
                <w:rFonts w:hint="eastAsia"/>
                <w:lang w:eastAsia="zh-CN"/>
              </w:rPr>
              <w:t>,</w:t>
            </w:r>
            <w:r>
              <w:rPr>
                <w:lang w:eastAsia="zh-CN"/>
              </w:rPr>
              <w:t xml:space="preserve"> thus cause the decoding time of PDSCH(N1) and preparation time of PUSCH(N2) </w:t>
            </w:r>
            <w:r>
              <w:rPr>
                <w:rFonts w:hint="eastAsia"/>
                <w:lang w:eastAsia="zh-CN"/>
              </w:rPr>
              <w:t>may</w:t>
            </w:r>
            <w:r>
              <w:rPr>
                <w:lang w:eastAsia="zh-CN"/>
              </w:rPr>
              <w:t xml:space="preserve"> </w:t>
            </w:r>
            <w:r>
              <w:rPr>
                <w:rFonts w:hint="eastAsia"/>
                <w:lang w:eastAsia="zh-CN"/>
              </w:rPr>
              <w:t>need</w:t>
            </w:r>
            <w:r>
              <w:rPr>
                <w:lang w:eastAsia="zh-CN"/>
              </w:rPr>
              <w:t xml:space="preserve"> </w:t>
            </w:r>
            <w:r>
              <w:rPr>
                <w:rFonts w:hint="eastAsia"/>
                <w:lang w:eastAsia="zh-CN"/>
              </w:rPr>
              <w:t>to</w:t>
            </w:r>
            <w:r>
              <w:rPr>
                <w:lang w:eastAsia="zh-CN"/>
              </w:rPr>
              <w:t xml:space="preserve"> be extended as well.</w:t>
            </w:r>
          </w:p>
          <w:p>
            <w:pPr>
              <w:widowControl w:val="0"/>
              <w:jc w:val="both"/>
              <w:rPr>
                <w:b/>
                <w:i/>
                <w:lang w:eastAsia="zh-CN"/>
              </w:rPr>
            </w:pPr>
            <w:r>
              <w:rPr>
                <w:b/>
                <w:i/>
                <w:lang w:eastAsia="zh-CN"/>
              </w:rPr>
              <w:t xml:space="preserve">Proposal 8: Impacts on PDSCH/PUSCH processing time (N1/N2) may need be considered for multi-slot PDCCH monitoring </w:t>
            </w:r>
            <w:r>
              <w:rPr>
                <w:rFonts w:hint="eastAsia"/>
                <w:b/>
                <w:i/>
                <w:lang w:eastAsia="zh-CN"/>
              </w:rPr>
              <w:t>capability</w:t>
            </w:r>
            <w:r>
              <w:rPr>
                <w:b/>
                <w:i/>
                <w:lang w:eastAsia="zh-CN"/>
              </w:rPr>
              <w:t>.</w:t>
            </w:r>
          </w:p>
          <w:p>
            <w:pPr>
              <w:pStyle w:val="30"/>
              <w:widowControl w:val="0"/>
              <w:spacing w:before="120" w:beforeLines="50"/>
              <w:rPr>
                <w:lang w:eastAsia="zh-CN"/>
              </w:rPr>
            </w:pPr>
          </w:p>
        </w:tc>
      </w:tr>
    </w:tbl>
    <w:p>
      <w:pPr>
        <w:rPr>
          <w:lang w:eastAsia="zh-CN"/>
        </w:rPr>
      </w:pPr>
    </w:p>
    <w:p>
      <w:pPr>
        <w:pStyle w:val="4"/>
        <w:jc w:val="both"/>
        <w:rPr>
          <w:lang w:val="en-GB" w:eastAsia="zh-CN"/>
        </w:rPr>
      </w:pPr>
      <w:r>
        <w:rPr>
          <w:lang w:val="en-GB" w:eastAsia="zh-CN"/>
        </w:rPr>
        <w:t>R1-2109434 (Ericsson)</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pStyle w:val="218"/>
              <w:widowControl w:val="0"/>
              <w:jc w:val="left"/>
            </w:pPr>
            <w:bookmarkStart w:id="9" w:name="_Toc83990420"/>
            <w:r>
              <w:t xml:space="preserve">For Rel-15 slot-based PDCCH monitoring, </w:t>
            </w:r>
            <w:r>
              <w:rPr>
                <w:lang w:val="en-GB"/>
              </w:rPr>
              <w:t>the BD/CCE budget for a slot is allocated for monitoring CSS located within the slot, with the remaining budget utilized for monitoring USS according to ascending USS index</w:t>
            </w:r>
            <w:r>
              <w:t xml:space="preserve">. </w:t>
            </w:r>
            <w:r>
              <w:br w:type="textWrapping"/>
            </w:r>
            <w:r>
              <w:rPr>
                <w:lang w:val="en-GB"/>
              </w:rPr>
              <w:t xml:space="preserve">The presence of </w:t>
            </w:r>
            <w:r>
              <w:t>type 1 CSS without dedicated RRC configuration and for type 0, 0A, and 2 CSS</w:t>
            </w:r>
            <w:r>
              <w:rPr>
                <w:lang w:val="en-GB"/>
              </w:rPr>
              <w:t xml:space="preserve"> within a slot</w:t>
            </w:r>
            <w:r>
              <w:rPr>
                <w:rFonts w:eastAsiaTheme="minorEastAsia"/>
                <w:lang w:val="en-GB"/>
              </w:rPr>
              <w:t>, regardless of where such a CSS locates within the slot, has no impact on the BD/CCE budget for the next slot.</w:t>
            </w:r>
            <w:bookmarkEnd w:id="9"/>
          </w:p>
          <w:p>
            <w:pPr>
              <w:widowControl w:val="0"/>
              <w:rPr>
                <w:lang w:val="en-GB" w:eastAsia="ja-JP"/>
              </w:rPr>
            </w:pPr>
            <w:r>
              <w:rPr>
                <w:lang w:val="en-GB" w:eastAsia="ja-JP"/>
              </w:rPr>
              <w:t xml:space="preserve">In the Rel-15 slot-based PDCCH monitoring capability, the BD/CCE budget is shared between </w:t>
            </w:r>
            <w:r>
              <w:rPr>
                <w:lang w:eastAsia="ja-JP"/>
              </w:rPr>
              <w:t xml:space="preserve">(1) type 1 CSS with dedicated RRC configuration, type 3 CSS, and UE-SS; and (2) type 1 CSS without dedicated RRC configuration and for type 0, 0A, and 2 CSS as discussed in the above. To address the processing capability challenges of </w:t>
            </w:r>
            <w:r>
              <w:rPr>
                <w:lang w:val="en-GB" w:eastAsia="ja-JP"/>
              </w:rPr>
              <w:t xml:space="preserve">Rel-17 support for 480/960 kHz SCS, we agree that the pooled BD/CCE budget per X-slot window is the default PDCCH monitoring </w:t>
            </w:r>
            <w:r>
              <w:rPr>
                <w:u w:val="single"/>
                <w:lang w:val="en-GB" w:eastAsia="ja-JP"/>
              </w:rPr>
              <w:t>budget</w:t>
            </w:r>
            <w:r>
              <w:rPr>
                <w:lang w:val="en-GB" w:eastAsia="ja-JP"/>
              </w:rPr>
              <w:t xml:space="preserve"> per X slots for UE operating with 480/960 kHz SCS to monitor both types of SS.</w:t>
            </w:r>
          </w:p>
          <w:p>
            <w:pPr>
              <w:pStyle w:val="203"/>
              <w:widowControl w:val="0"/>
              <w:tabs>
                <w:tab w:val="clear" w:pos="2722"/>
              </w:tabs>
              <w:overflowPunct w:val="0"/>
              <w:autoSpaceDE w:val="0"/>
              <w:autoSpaceDN w:val="0"/>
              <w:adjustRightInd w:val="0"/>
              <w:spacing w:after="120" w:line="240" w:lineRule="auto"/>
              <w:textAlignment w:val="baseline"/>
              <w:rPr>
                <w:rFonts w:eastAsiaTheme="minorEastAsia"/>
              </w:rPr>
            </w:pPr>
            <w:bookmarkStart w:id="10" w:name="_Toc83990560"/>
            <w:r>
              <w:rPr>
                <w:lang w:val="en-GB" w:eastAsia="ja-JP"/>
              </w:rPr>
              <w:t>The BD/CCE budget per X-slot window is the default PDCCH monitoring budget per X=4 slots for a UE operating with 480 kHz SCS and per X=8 slots for a UE operating with 960 kHz SCS.</w:t>
            </w:r>
            <w:r>
              <w:rPr>
                <w:lang w:val="en-GB" w:eastAsia="ja-JP"/>
              </w:rPr>
              <w:br w:type="textWrapping"/>
            </w:r>
            <w:r>
              <w:rPr>
                <w:lang w:val="en-GB" w:eastAsia="ja-JP"/>
              </w:rPr>
              <w:t xml:space="preserve">That is, the PDCCH monitoring budget per X slots is the shared resource for monitoring both </w:t>
            </w:r>
            <w:r>
              <w:rPr>
                <w:lang w:eastAsia="ja-JP"/>
              </w:rPr>
              <w:t>(1) type 1 CSS with dedicated RRC configuration, type 3 CSS, and UE-SS; and (2) type 1 CSS without dedicated RRC configuration and for type 0, 0A, and 2 CSS.</w:t>
            </w:r>
            <w:bookmarkEnd w:id="10"/>
          </w:p>
          <w:p>
            <w:pPr>
              <w:widowControl w:val="0"/>
              <w:rPr>
                <w:lang w:val="en-GB" w:eastAsia="ja-JP"/>
              </w:rPr>
            </w:pPr>
            <w:r>
              <w:rPr>
                <w:lang w:val="en-GB" w:eastAsia="ja-JP"/>
              </w:rPr>
              <w:t>For UEs operating in CONNECTED mode on a serving cell with 480/960 kHz SCS, multi-slot PDCCH monitoring has been discussed in Rel-17 for reducing UE processing complexity and power efficiency. It is proposed</w:t>
            </w:r>
          </w:p>
          <w:p>
            <w:pPr>
              <w:pStyle w:val="203"/>
              <w:widowControl w:val="0"/>
              <w:tabs>
                <w:tab w:val="clear" w:pos="2722"/>
              </w:tabs>
              <w:overflowPunct w:val="0"/>
              <w:autoSpaceDE w:val="0"/>
              <w:autoSpaceDN w:val="0"/>
              <w:adjustRightInd w:val="0"/>
              <w:spacing w:after="120" w:line="240" w:lineRule="auto"/>
              <w:textAlignment w:val="baseline"/>
              <w:rPr>
                <w:rFonts w:eastAsiaTheme="minorEastAsia"/>
              </w:rPr>
            </w:pPr>
            <w:bookmarkStart w:id="11" w:name="_Toc83990561"/>
            <w:r>
              <w:rPr>
                <w:lang w:val="en-GB" w:eastAsia="ja-JP"/>
              </w:rPr>
              <w:t xml:space="preserve">For operation with 480/960 kHz SCS, the </w:t>
            </w:r>
            <w:r>
              <w:rPr>
                <w:lang w:val="zh-CN" w:eastAsia="ja-JP"/>
              </w:rPr>
              <w:t xml:space="preserve">restriction of monitoring occasions within </w:t>
            </w:r>
            <w:r>
              <w:rPr>
                <w:lang w:eastAsia="ja-JP"/>
              </w:rPr>
              <w:t xml:space="preserve">Y slots/symbols per </w:t>
            </w:r>
            <w:r>
              <w:rPr>
                <w:lang w:val="zh-CN" w:eastAsia="ja-JP"/>
              </w:rPr>
              <w:t>X-slot window</w:t>
            </w:r>
            <w:r>
              <w:rPr>
                <w:lang w:eastAsia="ja-JP"/>
              </w:rPr>
              <w:t xml:space="preserve"> is applicable to type 1 CSS with dedicated RRC configuration, type 3 CSS, and UE-SS.</w:t>
            </w:r>
            <w:bookmarkEnd w:id="11"/>
          </w:p>
          <w:p>
            <w:pPr>
              <w:widowControl w:val="0"/>
              <w:rPr>
                <w:lang w:val="en-GB" w:eastAsia="ja-JP"/>
              </w:rPr>
            </w:pPr>
            <w:r>
              <w:rPr>
                <w:lang w:val="en-GB" w:eastAsia="ja-JP"/>
              </w:rPr>
              <w:t>For Rel-17 operation in the FR2-2 range, maintaining the same initial access procedures and IDLE mode operations is beneficial to reducing implementation complexity and shortening time to market. Hence, the same NR system design principle that the Rel-15 UEs are required to support more flexible monitoring occasions in initial access and in the IDLE mode should be followed for a more streamlined Rel-17 specs. Therefore, we propose</w:t>
            </w:r>
          </w:p>
          <w:p>
            <w:pPr>
              <w:pStyle w:val="203"/>
              <w:widowControl w:val="0"/>
              <w:tabs>
                <w:tab w:val="clear" w:pos="2722"/>
              </w:tabs>
              <w:overflowPunct w:val="0"/>
              <w:autoSpaceDE w:val="0"/>
              <w:autoSpaceDN w:val="0"/>
              <w:adjustRightInd w:val="0"/>
              <w:spacing w:after="120" w:line="240" w:lineRule="auto"/>
              <w:textAlignment w:val="baseline"/>
              <w:rPr>
                <w:rFonts w:eastAsiaTheme="minorEastAsia"/>
              </w:rPr>
            </w:pPr>
            <w:bookmarkStart w:id="12" w:name="_Toc83990562"/>
            <w:r>
              <w:rPr>
                <w:lang w:val="en-GB" w:eastAsia="ja-JP"/>
              </w:rPr>
              <w:t xml:space="preserve">For operation with 480/960 kHz SCS, the </w:t>
            </w:r>
            <w:r>
              <w:rPr>
                <w:lang w:val="zh-CN" w:eastAsia="ja-JP"/>
              </w:rPr>
              <w:t xml:space="preserve">restriction of monitoring occasions within </w:t>
            </w:r>
            <w:r>
              <w:rPr>
                <w:lang w:eastAsia="ja-JP"/>
              </w:rPr>
              <w:t xml:space="preserve">Y slots/symbols per </w:t>
            </w:r>
            <w:r>
              <w:rPr>
                <w:lang w:val="zh-CN" w:eastAsia="ja-JP"/>
              </w:rPr>
              <w:t>X-slot window</w:t>
            </w:r>
            <w:r>
              <w:rPr>
                <w:lang w:eastAsia="ja-JP"/>
              </w:rPr>
              <w:t xml:space="preserve"> is not applicable to type 1 CSS without dedicated RRC configuration and for type 0, 0A, and 2 CSS.</w:t>
            </w:r>
            <w:r>
              <w:rPr>
                <w:lang w:eastAsia="ja-JP"/>
              </w:rPr>
              <w:br w:type="textWrapping"/>
            </w:r>
            <w:r>
              <w:rPr>
                <w:rFonts w:eastAsiaTheme="minorEastAsia"/>
              </w:rPr>
              <w:t>That is, for type 1 CSS without dedicated RRC configuration and for type 0, 0A, and 2 CSS, the monitoring occasion can be within any single span of three consecutive OFDM symbols within any slot (same as Rel-15 FG 3-1).</w:t>
            </w:r>
            <w:bookmarkEnd w:id="12"/>
          </w:p>
          <w:p>
            <w:pPr>
              <w:widowControl w:val="0"/>
              <w:rPr>
                <w:lang w:val="en-GB" w:eastAsia="ja-JP"/>
              </w:rPr>
            </w:pPr>
            <w:r>
              <w:rPr>
                <w:lang w:val="en-GB" w:eastAsia="ja-JP"/>
              </w:rPr>
              <w:t>This Rel-15 system operation approach can easily be integrated with multi-slot PDCCH monitoring Alt 1 with fixed windows. Note that, as discussed Section 2.2, the windows are aligned with radio frames and hence fixed even during initial access.</w:t>
            </w:r>
          </w:p>
          <w:p>
            <w:pPr>
              <w:pStyle w:val="223"/>
              <w:widowControl w:val="0"/>
              <w:numPr>
                <w:ilvl w:val="0"/>
                <w:numId w:val="33"/>
              </w:numPr>
              <w:spacing w:after="160"/>
              <w:contextualSpacing/>
              <w:jc w:val="left"/>
              <w:rPr>
                <w:lang w:eastAsia="ja-JP"/>
              </w:rPr>
            </w:pPr>
            <w:r>
              <w:rPr>
                <w:lang w:eastAsia="ja-JP"/>
              </w:rPr>
              <w:t>With fixed X-slot windows, the BD/CCE budget for an X-slot window is appropriated for monitoring CSS located within the X-slot</w:t>
            </w:r>
            <w:r>
              <w:rPr>
                <w:lang w:val="en-US" w:eastAsia="ja-JP"/>
              </w:rPr>
              <w:t>s</w:t>
            </w:r>
            <w:r>
              <w:rPr>
                <w:lang w:eastAsia="ja-JP"/>
              </w:rPr>
              <w:t xml:space="preserve">, with the remaining budget utilized for monitoring USS according to ascending USS index. The presence of type 1 CSS without dedicated RRC configuration and for type 0, 0A, and 2 CSS within an X-slot window, regardless of where such a CSS locates within the X-slot window, has no </w:t>
            </w:r>
            <w:r>
              <w:rPr>
                <w:rFonts w:eastAsiaTheme="minorEastAsia"/>
                <w:lang w:val="en-GB"/>
              </w:rPr>
              <w:t xml:space="preserve">impact </w:t>
            </w:r>
            <w:r>
              <w:rPr>
                <w:lang w:eastAsia="ja-JP"/>
              </w:rPr>
              <w:t>on the BD/CCE budget for the next X-slot window</w:t>
            </w:r>
          </w:p>
          <w:p>
            <w:pPr>
              <w:widowControl w:val="0"/>
              <w:rPr>
                <w:lang w:val="en-GB" w:eastAsia="ja-JP"/>
              </w:rPr>
            </w:pPr>
            <w:r>
              <w:rPr>
                <w:lang w:val="en-GB" w:eastAsia="ja-JP"/>
              </w:rPr>
              <w:t>Therefore, we propose</w:t>
            </w:r>
          </w:p>
          <w:p>
            <w:pPr>
              <w:pStyle w:val="203"/>
              <w:widowControl w:val="0"/>
              <w:tabs>
                <w:tab w:val="clear" w:pos="2722"/>
              </w:tabs>
              <w:overflowPunct w:val="0"/>
              <w:autoSpaceDE w:val="0"/>
              <w:autoSpaceDN w:val="0"/>
              <w:adjustRightInd w:val="0"/>
              <w:spacing w:after="120" w:line="240" w:lineRule="auto"/>
              <w:textAlignment w:val="baseline"/>
              <w:rPr>
                <w:rFonts w:eastAsiaTheme="minorEastAsia"/>
              </w:rPr>
            </w:pPr>
            <w:bookmarkStart w:id="13" w:name="_Toc83990563"/>
            <w:r>
              <w:t xml:space="preserve">For the fixed window </w:t>
            </w:r>
            <w:r>
              <w:rPr>
                <w:lang w:val="en-GB" w:eastAsia="ja-JP"/>
              </w:rPr>
              <w:t xml:space="preserve">multi-slot PDCCH monitoring Alt 1 </w:t>
            </w:r>
            <w:r>
              <w:rPr>
                <w:rFonts w:eastAsiaTheme="minorEastAsia"/>
              </w:rPr>
              <w:t>with 480/960 kHz SCS</w:t>
            </w:r>
            <w:r>
              <w:t xml:space="preserve">, </w:t>
            </w:r>
            <w:r>
              <w:rPr>
                <w:lang w:val="en-GB" w:eastAsia="ja-JP"/>
              </w:rPr>
              <w:t xml:space="preserve">the BD/CCE budget for an X-slot window is allocated for monitoring CSS located within the X slots, with the remaining budget utilized for monitoring USS according to ascending USS index. </w:t>
            </w:r>
            <w:r>
              <w:rPr>
                <w:lang w:val="en-GB" w:eastAsia="ja-JP"/>
              </w:rPr>
              <w:br w:type="textWrapping"/>
            </w:r>
            <w:r>
              <w:rPr>
                <w:lang w:val="en-GB" w:eastAsia="ja-JP"/>
              </w:rPr>
              <w:t xml:space="preserve">The presence of </w:t>
            </w:r>
            <w:r>
              <w:t>type 1 CSS without dedicated RRC configuration and for type 0, 0A, and 2 CSS</w:t>
            </w:r>
            <w:r>
              <w:rPr>
                <w:lang w:val="en-GB" w:eastAsia="ja-JP"/>
              </w:rPr>
              <w:t xml:space="preserve"> within an X-slot window</w:t>
            </w:r>
            <w:r>
              <w:rPr>
                <w:rFonts w:eastAsiaTheme="minorEastAsia"/>
                <w:lang w:val="en-GB" w:eastAsia="ja-JP"/>
              </w:rPr>
              <w:t xml:space="preserve">, regardless of where such a CSS locates within the </w:t>
            </w:r>
            <w:r>
              <w:rPr>
                <w:lang w:val="en-GB" w:eastAsia="ja-JP"/>
              </w:rPr>
              <w:t xml:space="preserve">X-slot window, </w:t>
            </w:r>
            <w:r>
              <w:rPr>
                <w:rFonts w:eastAsiaTheme="minorEastAsia"/>
                <w:lang w:val="en-GB" w:eastAsia="ja-JP"/>
              </w:rPr>
              <w:t xml:space="preserve">has no </w:t>
            </w:r>
            <w:r>
              <w:rPr>
                <w:rFonts w:eastAsiaTheme="minorEastAsia"/>
                <w:lang w:val="en-GB"/>
              </w:rPr>
              <w:t xml:space="preserve">impact </w:t>
            </w:r>
            <w:r>
              <w:rPr>
                <w:rFonts w:eastAsiaTheme="minorEastAsia"/>
                <w:lang w:val="en-GB" w:eastAsia="ja-JP"/>
              </w:rPr>
              <w:t xml:space="preserve">on the BD/CCE budget for the next </w:t>
            </w:r>
            <w:r>
              <w:rPr>
                <w:lang w:val="en-GB" w:eastAsia="ja-JP"/>
              </w:rPr>
              <w:t>X-slot window</w:t>
            </w:r>
            <w:r>
              <w:rPr>
                <w:rFonts w:eastAsiaTheme="minorEastAsia"/>
                <w:lang w:val="en-GB" w:eastAsia="ja-JP"/>
              </w:rPr>
              <w:t>.</w:t>
            </w:r>
            <w:bookmarkEnd w:id="13"/>
          </w:p>
          <w:p>
            <w:pPr>
              <w:widowControl w:val="0"/>
              <w:rPr>
                <w:lang w:val="en-GB" w:eastAsia="ja-JP"/>
              </w:rPr>
            </w:pPr>
            <w:r>
              <w:rPr>
                <w:lang w:val="en-GB" w:eastAsia="ja-JP"/>
              </w:rPr>
              <w:t>In addition to the support of X=4 for 480 kHz SCS and X=8 for 960 kHz SCS, several companies proposed the support of per-slot PDCCH monitoring as well as multi-slot PDCCH monitoring other than these two cases as optional UE capabilities. In our view, this distracts and slows down RAN1 from finalizing the core multi-slot PDCCH monitoring designs. Therefore, we propose</w:t>
            </w:r>
          </w:p>
          <w:p>
            <w:pPr>
              <w:pStyle w:val="203"/>
              <w:widowControl w:val="0"/>
              <w:tabs>
                <w:tab w:val="clear" w:pos="2722"/>
              </w:tabs>
              <w:overflowPunct w:val="0"/>
              <w:autoSpaceDE w:val="0"/>
              <w:autoSpaceDN w:val="0"/>
              <w:adjustRightInd w:val="0"/>
              <w:spacing w:after="120" w:line="240" w:lineRule="auto"/>
              <w:textAlignment w:val="baseline"/>
              <w:rPr>
                <w:rFonts w:eastAsiaTheme="minorEastAsia"/>
              </w:rPr>
            </w:pPr>
            <w:bookmarkStart w:id="14" w:name="_Toc83990564"/>
            <w:r>
              <w:t xml:space="preserve">For </w:t>
            </w:r>
            <w:r>
              <w:rPr>
                <w:rFonts w:eastAsiaTheme="minorEastAsia"/>
              </w:rPr>
              <w:t>operation with 480/960 kHz SCS</w:t>
            </w:r>
            <w:r>
              <w:t xml:space="preserve">, </w:t>
            </w:r>
            <w:r>
              <w:rPr>
                <w:lang w:val="en-GB" w:eastAsia="ja-JP"/>
              </w:rPr>
              <w:t>multi-slot PDCCH monitoring other than X=4 for 480 kHz SCS and X=8 for 960 kHz SCS is deferred until RAN1 completes the details of multi-slot PDCCH monitoring with X=4 for 480 kHz SCS and X=8 for 960 kHz SCS including at least</w:t>
            </w:r>
            <w:r>
              <w:rPr>
                <w:lang w:val="en-GB" w:eastAsia="ja-JP"/>
              </w:rPr>
              <w:br w:type="textWrapping"/>
            </w:r>
            <w:r>
              <w:rPr>
                <w:lang w:val="en-GB" w:eastAsia="ja-JP"/>
              </w:rPr>
              <w:t>(1) A decision on Alt-1 vs. Alt-2 multi-slot PDCCH monitoring?</w:t>
            </w:r>
            <w:r>
              <w:rPr>
                <w:lang w:val="en-GB" w:eastAsia="ja-JP"/>
              </w:rPr>
              <w:br w:type="textWrapping"/>
            </w:r>
            <w:r>
              <w:rPr>
                <w:lang w:val="en-GB" w:eastAsia="ja-JP"/>
              </w:rPr>
              <w:t>(2) The minimum supported values of Y</w:t>
            </w:r>
            <w:r>
              <w:rPr>
                <w:lang w:eastAsia="ja-JP"/>
              </w:rPr>
              <w:t xml:space="preserve"> for the respective X values?</w:t>
            </w:r>
            <w:r>
              <w:rPr>
                <w:lang w:val="en-GB" w:eastAsia="ja-JP"/>
              </w:rPr>
              <w:br w:type="textWrapping"/>
            </w:r>
            <w:r>
              <w:rPr>
                <w:lang w:val="en-GB" w:eastAsia="ja-JP"/>
              </w:rPr>
              <w:t>(3) What symbols within the Y slots for PDCCH monitoring?</w:t>
            </w:r>
            <w:r>
              <w:rPr>
                <w:lang w:val="en-GB" w:eastAsia="ja-JP"/>
              </w:rPr>
              <w:br w:type="textWrapping"/>
            </w:r>
            <w:r>
              <w:rPr>
                <w:lang w:val="en-GB" w:eastAsia="ja-JP"/>
              </w:rPr>
              <w:t>(4) The BD/CCE budget requirement for the X-slot window?</w:t>
            </w:r>
            <w:bookmarkEnd w:id="14"/>
          </w:p>
          <w:p>
            <w:pPr>
              <w:widowControl w:val="0"/>
              <w:jc w:val="both"/>
              <w:rPr>
                <w:lang w:eastAsia="ja-JP"/>
              </w:rPr>
            </w:pPr>
            <w:r>
              <w:t xml:space="preserve">The central issue for </w:t>
            </w:r>
            <w:r>
              <w:rPr>
                <w:lang w:val="en-GB" w:eastAsia="ja-JP"/>
              </w:rPr>
              <w:t>per-slot PDCCH monitoring</w:t>
            </w:r>
            <w:r>
              <w:t xml:space="preserve"> is hence the </w:t>
            </w:r>
            <w:r>
              <w:rPr>
                <w:lang w:eastAsia="ja-JP"/>
              </w:rPr>
              <w:t>BD/CCE budget for a slot, which as we pointed out in the above has not seen any progress in RAN1. Therefore, we propose that if per-slot PDCCH monitoring is discussed the discussion must start with the BD/CCE budget. Furthermore, we observe that in Rel-15, the CCE budget is 32 for 120 kHz, which is enough to cover (with a small margin) the requirements for monitoring Type0-PDCCH CSS (7 BDs / 28 CCEs). Hence, if optional per-slot monitoring is supported for 480/960 kHz, the BD/CCE budget can be no less than the 120 kHz value. Note further that companies motivated the introduction of the optional per-slot PDCCH monitoring on the basis of URLLC applications requiring very low latency. UEs supporting such URLCC applications should be expected to be equipped with enhanced and accelerated processing capabilities.</w:t>
            </w:r>
          </w:p>
          <w:p>
            <w:pPr>
              <w:pStyle w:val="203"/>
              <w:widowControl w:val="0"/>
              <w:tabs>
                <w:tab w:val="clear" w:pos="2722"/>
              </w:tabs>
              <w:overflowPunct w:val="0"/>
              <w:autoSpaceDE w:val="0"/>
              <w:autoSpaceDN w:val="0"/>
              <w:adjustRightInd w:val="0"/>
              <w:spacing w:after="120" w:line="240" w:lineRule="auto"/>
              <w:jc w:val="both"/>
              <w:textAlignment w:val="baseline"/>
              <w:rPr>
                <w:rFonts w:eastAsiaTheme="minorEastAsia"/>
              </w:rPr>
            </w:pPr>
            <w:bookmarkStart w:id="15" w:name="_Toc83990565"/>
            <w:r>
              <w:t xml:space="preserve">For </w:t>
            </w:r>
            <w:r>
              <w:rPr>
                <w:rFonts w:eastAsiaTheme="minorEastAsia"/>
              </w:rPr>
              <w:t>operation with 480/960 kHz SCS</w:t>
            </w:r>
            <w:r>
              <w:t>, if the optional per</w:t>
            </w:r>
            <w:r>
              <w:rPr>
                <w:lang w:val="en-GB" w:eastAsia="ja-JP"/>
              </w:rPr>
              <w:t xml:space="preserve">-slot PDCCH monitoring is discussed, the discussion in RAN1 should start with defining the </w:t>
            </w:r>
            <w:r>
              <w:rPr>
                <w:lang w:eastAsia="ja-JP"/>
              </w:rPr>
              <w:t>BD/CCE budget for a slot while ensuring that Rel-15 Type0-PDCCH monitoring requirements can be met.</w:t>
            </w:r>
            <w:bookmarkEnd w:id="15"/>
          </w:p>
          <w:p>
            <w:pPr>
              <w:pStyle w:val="30"/>
              <w:widowControl w:val="0"/>
            </w:pPr>
          </w:p>
          <w:p>
            <w:pPr>
              <w:pStyle w:val="30"/>
              <w:widowControl w:val="0"/>
            </w:pPr>
            <w:r>
              <w:t>In our view, the following three PDCCH monitoring cases are sufficient for operation with 480/960 kHz SCS:</w:t>
            </w:r>
          </w:p>
          <w:p>
            <w:pPr>
              <w:pStyle w:val="30"/>
              <w:widowControl w:val="0"/>
              <w:numPr>
                <w:ilvl w:val="0"/>
                <w:numId w:val="34"/>
              </w:numPr>
              <w:autoSpaceDE/>
              <w:autoSpaceDN/>
              <w:adjustRightInd/>
              <w:snapToGrid/>
              <w:contextualSpacing/>
              <w:jc w:val="both"/>
            </w:pPr>
            <w:r>
              <w:t>X=4 for 480 kHz SCS</w:t>
            </w:r>
          </w:p>
          <w:p>
            <w:pPr>
              <w:pStyle w:val="30"/>
              <w:widowControl w:val="0"/>
              <w:numPr>
                <w:ilvl w:val="0"/>
                <w:numId w:val="34"/>
              </w:numPr>
              <w:autoSpaceDE/>
              <w:autoSpaceDN/>
              <w:adjustRightInd/>
              <w:snapToGrid/>
              <w:contextualSpacing/>
              <w:jc w:val="both"/>
            </w:pPr>
            <w:r>
              <w:t>X=8 for 960 kHz SCS</w:t>
            </w:r>
          </w:p>
          <w:p>
            <w:pPr>
              <w:pStyle w:val="30"/>
              <w:widowControl w:val="0"/>
              <w:numPr>
                <w:ilvl w:val="0"/>
                <w:numId w:val="34"/>
              </w:numPr>
              <w:autoSpaceDE/>
              <w:autoSpaceDN/>
              <w:adjustRightInd/>
              <w:snapToGrid/>
              <w:contextualSpacing/>
              <w:jc w:val="both"/>
            </w:pPr>
            <w:r>
              <w:t>Optional per-slot monitoring for 480/960 kHz SCS</w:t>
            </w:r>
          </w:p>
          <w:p>
            <w:pPr>
              <w:widowControl w:val="0"/>
              <w:jc w:val="both"/>
            </w:pPr>
            <w:r>
              <w:t>The same scheduling frequency and granularity as a 120 kHz SCS cell can be achieved w</w:t>
            </w:r>
            <w:r>
              <w:rPr>
                <w:lang w:val="en-GB" w:eastAsia="ja-JP"/>
              </w:rPr>
              <w:t xml:space="preserve">ith X&gt;1 multi-slot </w:t>
            </w:r>
            <w:r>
              <w:t>PDCCH monitoring for 480/960 kHz SCS. For applications with low latency requirements, per-slot PDCCH monitoring with 480/960 kHz SCS can meet the same low latency achievable with mini-slots on a 120 kHz SCS cell. Furthermore, RAN1 has only agreed processing latency requirements on N1/N2/N3/Z1/Z2/Z3 for 480/960 kHz SCS that are multiples of the processing latency requirements for 120 kHz SCS. There has been no evidence or evaluation results to indicate the additional benefits of introducing other window sizes other than the above three PDCCH monitoring cases for 480/960 kHz SCS. Therefore, we propose</w:t>
            </w:r>
          </w:p>
          <w:p>
            <w:pPr>
              <w:pStyle w:val="203"/>
              <w:widowControl w:val="0"/>
              <w:tabs>
                <w:tab w:val="clear" w:pos="1304"/>
                <w:tab w:val="clear" w:pos="2722"/>
              </w:tabs>
              <w:spacing w:after="120"/>
              <w:ind w:left="1701" w:hanging="1701"/>
              <w:jc w:val="both"/>
            </w:pPr>
            <w:bookmarkStart w:id="16" w:name="_Toc83990566"/>
            <w:r>
              <w:t xml:space="preserve">Multi-slot PDCCH monitoring window sizes X&gt;1 other than </w:t>
            </w:r>
            <w:r>
              <w:rPr>
                <w:rFonts w:eastAsiaTheme="minorEastAsia"/>
              </w:rPr>
              <w:t>X=4 for 480 kHz SCS and X=8 for 960 kHz SCS are not supported for Rel-17</w:t>
            </w:r>
            <w:r>
              <w:t>.</w:t>
            </w:r>
            <w:bookmarkEnd w:id="16"/>
          </w:p>
          <w:p>
            <w:pPr>
              <w:widowControl w:val="0"/>
              <w:jc w:val="both"/>
              <w:rPr>
                <w:lang w:val="en-GB" w:eastAsia="ja-JP"/>
              </w:rPr>
            </w:pPr>
            <w:r>
              <w:rPr>
                <w:lang w:val="en-GB" w:eastAsia="ja-JP"/>
              </w:rPr>
              <w:t xml:space="preserve">In the TDD UL/DL configuration, if only one pattern is configured, the periodicity of pattern1 shall divide 20 ms evenly. If two patterns are configured, the sum of the periodicities of both patterns shall divide 20 ms evenly. As a result, the first symbol of every </w:t>
            </w:r>
            <m:oMath>
              <m:r>
                <w:rPr>
                  <w:rFonts w:ascii="Cambria Math" w:hAnsi="Cambria Math"/>
                  <w:lang w:val="en-GB" w:eastAsia="ja-JP"/>
                </w:rPr>
                <m:t>20/P</m:t>
              </m:r>
            </m:oMath>
            <w:r>
              <w:rPr>
                <w:lang w:val="en-GB" w:eastAsia="ja-JP"/>
              </w:rPr>
              <w:t xml:space="preserve"> period when only one pattern is configured or every </w:t>
            </w:r>
            <m:oMath>
              <m:r>
                <w:rPr>
                  <w:rFonts w:ascii="Cambria Math" w:hAnsi="Cambria Math"/>
                  <w:lang w:val="en-GB" w:eastAsia="ja-JP"/>
                </w:rPr>
                <m:t>20/(P+</m:t>
              </m:r>
              <m:sSub>
                <m:sSubPr>
                  <m:ctrlPr>
                    <w:rPr>
                      <w:rFonts w:ascii="Cambria Math" w:hAnsi="Cambria Math"/>
                      <w:i/>
                      <w:lang w:val="en-GB" w:eastAsia="ja-JP"/>
                    </w:rPr>
                  </m:ctrlPr>
                </m:sSubPr>
                <m:e>
                  <m:r>
                    <w:rPr>
                      <w:rFonts w:ascii="Cambria Math" w:hAnsi="Cambria Math"/>
                      <w:lang w:val="en-GB" w:eastAsia="ja-JP"/>
                    </w:rPr>
                    <m:t>P</m:t>
                  </m:r>
                  <m:ctrlPr>
                    <w:rPr>
                      <w:rFonts w:ascii="Cambria Math" w:hAnsi="Cambria Math"/>
                      <w:i/>
                      <w:lang w:val="en-GB" w:eastAsia="ja-JP"/>
                    </w:rPr>
                  </m:ctrlPr>
                </m:e>
                <m:sub>
                  <m:r>
                    <w:rPr>
                      <w:rFonts w:ascii="Cambria Math" w:hAnsi="Cambria Math"/>
                      <w:lang w:val="en-GB" w:eastAsia="ja-JP"/>
                    </w:rPr>
                    <m:t>2</m:t>
                  </m:r>
                  <m:ctrlPr>
                    <w:rPr>
                      <w:rFonts w:ascii="Cambria Math" w:hAnsi="Cambria Math"/>
                      <w:i/>
                      <w:lang w:val="en-GB" w:eastAsia="ja-JP"/>
                    </w:rPr>
                  </m:ctrlPr>
                </m:sub>
              </m:sSub>
              <m:r>
                <w:rPr>
                  <w:rFonts w:ascii="Cambria Math" w:hAnsi="Cambria Math"/>
                  <w:lang w:val="en-GB" w:eastAsia="ja-JP"/>
                </w:rPr>
                <m:t>)</m:t>
              </m:r>
            </m:oMath>
            <w:r>
              <w:rPr>
                <w:lang w:val="en-GB" w:eastAsia="ja-JP"/>
              </w:rPr>
              <w:t xml:space="preserve"> period when two patterns are configured is a first symbol in an even frame. </w:t>
            </w:r>
          </w:p>
          <w:p>
            <w:pPr>
              <w:widowControl w:val="0"/>
              <w:jc w:val="both"/>
            </w:pPr>
            <w:r>
              <w:rPr>
                <w:lang w:val="en-GB" w:eastAsia="ja-JP"/>
              </w:rPr>
              <w:t xml:space="preserve">Therefore, this first symbol in an even frame can be used as the start of the first </w:t>
            </w:r>
            <w:r>
              <w:t>PDCCH processing capability window. All subsequent monitoring windows are defined with the specific window advancing offsets in the three respective UE multi-slot PDCCH processing capability definitions. For Alt 1, the window advancing offset is fixed for a cell. If X=4 for a 480 kHz SCS cell or if X=8 for a 960 kHz SCS cell, the multi-slot PDCCH processing capability windows for Alt 1 are aligned with the slots of a 120 kHz SCS cell.</w:t>
            </w:r>
          </w:p>
          <w:p>
            <w:pPr>
              <w:pStyle w:val="203"/>
              <w:widowControl w:val="0"/>
              <w:tabs>
                <w:tab w:val="clear" w:pos="2722"/>
              </w:tabs>
              <w:overflowPunct w:val="0"/>
              <w:autoSpaceDE w:val="0"/>
              <w:autoSpaceDN w:val="0"/>
              <w:adjustRightInd w:val="0"/>
              <w:spacing w:after="120" w:line="240" w:lineRule="auto"/>
              <w:jc w:val="both"/>
              <w:textAlignment w:val="baseline"/>
              <w:rPr>
                <w:rFonts w:eastAsiaTheme="minorEastAsia"/>
              </w:rPr>
            </w:pPr>
            <w:bookmarkStart w:id="17" w:name="_Toc83990567"/>
            <w:bookmarkStart w:id="18" w:name="_Ref77592662"/>
            <w:r>
              <w:rPr>
                <w:rFonts w:eastAsiaTheme="minorEastAsia"/>
              </w:rPr>
              <w:t xml:space="preserve">The </w:t>
            </w:r>
            <w:r>
              <w:t>PDCCH processing capability window for Alt 1 starts from the first symbol in an even frame to align with the TDD UL/DL configuration</w:t>
            </w:r>
            <w:r>
              <w:rPr>
                <w:rFonts w:eastAsiaTheme="minorEastAsia"/>
              </w:rPr>
              <w:t>.</w:t>
            </w:r>
            <w:bookmarkEnd w:id="17"/>
            <w:bookmarkEnd w:id="18"/>
          </w:p>
          <w:p>
            <w:pPr>
              <w:pStyle w:val="218"/>
              <w:widowControl w:val="0"/>
            </w:pPr>
            <w:bookmarkStart w:id="19" w:name="_Toc83990423"/>
            <w:r>
              <w:t>For X=4 with 480 kHz SCS and X=8 with 960 kHz SCS, the multi-slot PDCCH processing capability windows for Alt 1 are aligned with the slots of a 120 kHz SCS cell.</w:t>
            </w:r>
            <w:bookmarkEnd w:id="19"/>
          </w:p>
          <w:p>
            <w:pPr>
              <w:widowControl w:val="0"/>
              <w:jc w:val="both"/>
              <w:rPr>
                <w:lang w:val="en-GB" w:eastAsia="ja-JP"/>
              </w:rPr>
            </w:pPr>
            <w:r>
              <w:rPr>
                <w:lang w:val="en-GB" w:eastAsia="ja-JP"/>
              </w:rPr>
              <w:t>Based on the analysis and discussion presented in Section 2.1.1, we propose to further clarify the following bullet regarding the operation of multi-slot PDCCH monitoring Alt 1:</w:t>
            </w:r>
          </w:p>
          <w:p>
            <w:pPr>
              <w:pStyle w:val="30"/>
              <w:widowControl w:val="0"/>
              <w:numPr>
                <w:ilvl w:val="1"/>
                <w:numId w:val="35"/>
              </w:numPr>
              <w:tabs>
                <w:tab w:val="left" w:pos="2007"/>
                <w:tab w:val="clear" w:pos="1440"/>
              </w:tabs>
              <w:autoSpaceDE/>
              <w:autoSpaceDN/>
              <w:adjustRightInd/>
              <w:snapToGrid/>
              <w:ind w:left="2007"/>
              <w:contextualSpacing/>
              <w:jc w:val="both"/>
              <w:rPr>
                <w:lang w:val="en-GB"/>
              </w:rPr>
            </w:pPr>
            <w:r>
              <w:rPr>
                <w:lang w:val="en-GB"/>
              </w:rPr>
              <w:t xml:space="preserve">The capability indicates the BD/CCE budget within Y consecutive slots in each slot group </w:t>
            </w:r>
          </w:p>
          <w:p>
            <w:pPr>
              <w:pStyle w:val="30"/>
              <w:widowControl w:val="0"/>
              <w:numPr>
                <w:ilvl w:val="2"/>
                <w:numId w:val="35"/>
              </w:numPr>
              <w:tabs>
                <w:tab w:val="clear" w:pos="2160"/>
              </w:tabs>
              <w:autoSpaceDE/>
              <w:autoSpaceDN/>
              <w:adjustRightInd/>
              <w:snapToGrid/>
              <w:ind w:left="2610"/>
              <w:contextualSpacing/>
              <w:jc w:val="both"/>
              <w:rPr>
                <w:lang w:val="en-GB"/>
              </w:rPr>
            </w:pPr>
            <w:r>
              <w:rPr>
                <w:lang w:val="en-GB"/>
              </w:rPr>
              <w:t>The location of the Y slots within the X slots is maintained across different slot groups</w:t>
            </w:r>
          </w:p>
          <w:p>
            <w:pPr>
              <w:widowControl w:val="0"/>
              <w:jc w:val="both"/>
              <w:rPr>
                <w:lang w:val="en-GB" w:eastAsia="ja-JP"/>
              </w:rPr>
            </w:pPr>
            <w:r>
              <w:rPr>
                <w:lang w:val="en-GB" w:eastAsia="ja-JP"/>
              </w:rPr>
              <w:t>That is, we proposed the following clarification for multi-slot PDCCH monitoring Alt 1:</w:t>
            </w:r>
          </w:p>
          <w:p>
            <w:pPr>
              <w:widowControl w:val="0"/>
              <w:jc w:val="both"/>
              <w:rPr>
                <w:lang w:val="en-GB" w:eastAsia="ja-JP"/>
              </w:rPr>
            </w:pPr>
          </w:p>
          <w:p>
            <w:pPr>
              <w:pStyle w:val="203"/>
              <w:widowControl w:val="0"/>
              <w:tabs>
                <w:tab w:val="clear" w:pos="2722"/>
              </w:tabs>
              <w:overflowPunct w:val="0"/>
              <w:autoSpaceDE w:val="0"/>
              <w:autoSpaceDN w:val="0"/>
              <w:adjustRightInd w:val="0"/>
              <w:spacing w:after="0" w:line="240" w:lineRule="auto"/>
              <w:jc w:val="both"/>
              <w:textAlignment w:val="baseline"/>
              <w:rPr>
                <w:rFonts w:eastAsiaTheme="minorEastAsia"/>
              </w:rPr>
            </w:pPr>
            <w:bookmarkStart w:id="20" w:name="_Toc83990574"/>
            <w:r>
              <w:rPr>
                <w:rFonts w:eastAsiaTheme="minorEastAsia"/>
              </w:rPr>
              <w:t>For multi-slot PDCCH monitoring Alt 1 with 480/960 kHz SCS, the BD/CCE budget for slot group is clarified as follows</w:t>
            </w:r>
            <w:r>
              <w:t>:</w:t>
            </w:r>
            <w:bookmarkEnd w:id="20"/>
          </w:p>
          <w:p>
            <w:pPr>
              <w:pStyle w:val="203"/>
              <w:widowControl w:val="0"/>
              <w:numPr>
                <w:ilvl w:val="1"/>
                <w:numId w:val="13"/>
              </w:numPr>
              <w:tabs>
                <w:tab w:val="clear" w:pos="22"/>
                <w:tab w:val="clear" w:pos="1701"/>
                <w:tab w:val="clear" w:pos="2722"/>
              </w:tabs>
              <w:overflowPunct w:val="0"/>
              <w:autoSpaceDE w:val="0"/>
              <w:autoSpaceDN w:val="0"/>
              <w:adjustRightInd w:val="0"/>
              <w:spacing w:after="0" w:line="240" w:lineRule="auto"/>
              <w:ind w:left="2070"/>
              <w:jc w:val="both"/>
              <w:textAlignment w:val="baseline"/>
              <w:rPr>
                <w:rFonts w:eastAsiaTheme="minorEastAsia"/>
              </w:rPr>
            </w:pPr>
            <w:bookmarkStart w:id="21" w:name="_Toc83990575"/>
            <w:r>
              <w:rPr>
                <w:rFonts w:eastAsiaTheme="minorEastAsia"/>
              </w:rPr>
              <w:t xml:space="preserve">The capability indicates the BD/CCE budget within </w:t>
            </w:r>
            <w:r>
              <w:rPr>
                <w:rFonts w:eastAsiaTheme="minorEastAsia"/>
                <w:strike/>
                <w:color w:val="0000FF"/>
              </w:rPr>
              <w:t>Y consecutive slots in</w:t>
            </w:r>
            <w:r>
              <w:rPr>
                <w:rFonts w:eastAsiaTheme="minorEastAsia"/>
                <w:color w:val="0000FF"/>
              </w:rPr>
              <w:t xml:space="preserve"> </w:t>
            </w:r>
            <w:r>
              <w:rPr>
                <w:rFonts w:eastAsiaTheme="minorEastAsia"/>
              </w:rPr>
              <w:t xml:space="preserve">each </w:t>
            </w:r>
            <w:r>
              <w:rPr>
                <w:rFonts w:eastAsiaTheme="minorEastAsia"/>
                <w:color w:val="0000FF"/>
              </w:rPr>
              <w:t>X-</w:t>
            </w:r>
            <w:r>
              <w:rPr>
                <w:rFonts w:eastAsiaTheme="minorEastAsia"/>
              </w:rPr>
              <w:t xml:space="preserve">slot group </w:t>
            </w:r>
            <w:r>
              <w:rPr>
                <w:rFonts w:eastAsiaTheme="minorEastAsia"/>
                <w:color w:val="0000FF"/>
              </w:rPr>
              <w:t>for monitoring</w:t>
            </w:r>
            <w:bookmarkEnd w:id="21"/>
          </w:p>
          <w:p>
            <w:pPr>
              <w:pStyle w:val="203"/>
              <w:widowControl w:val="0"/>
              <w:numPr>
                <w:ilvl w:val="2"/>
                <w:numId w:val="13"/>
              </w:numPr>
              <w:tabs>
                <w:tab w:val="clear" w:pos="742"/>
                <w:tab w:val="clear" w:pos="1701"/>
                <w:tab w:val="clear" w:pos="2722"/>
              </w:tabs>
              <w:overflowPunct w:val="0"/>
              <w:autoSpaceDE w:val="0"/>
              <w:autoSpaceDN w:val="0"/>
              <w:adjustRightInd w:val="0"/>
              <w:spacing w:after="0" w:line="240" w:lineRule="auto"/>
              <w:ind w:left="2430" w:hanging="270"/>
              <w:jc w:val="both"/>
              <w:textAlignment w:val="baseline"/>
              <w:rPr>
                <w:rFonts w:eastAsiaTheme="minorEastAsia"/>
              </w:rPr>
            </w:pPr>
            <w:bookmarkStart w:id="22" w:name="_Toc83990576"/>
            <w:r>
              <w:rPr>
                <w:rFonts w:eastAsiaTheme="minorEastAsia"/>
                <w:color w:val="0000FF"/>
              </w:rPr>
              <w:t>Type 1 CSS with dedicated RRC configuration, type 3 CSS, and UE-SS within Y consecutive slots</w:t>
            </w:r>
            <w:bookmarkEnd w:id="22"/>
            <w:r>
              <w:rPr>
                <w:rFonts w:eastAsiaTheme="minorEastAsia"/>
              </w:rPr>
              <w:t xml:space="preserve"> </w:t>
            </w:r>
          </w:p>
          <w:p>
            <w:pPr>
              <w:pStyle w:val="203"/>
              <w:widowControl w:val="0"/>
              <w:numPr>
                <w:ilvl w:val="3"/>
                <w:numId w:val="13"/>
              </w:numPr>
              <w:tabs>
                <w:tab w:val="left" w:pos="2880"/>
                <w:tab w:val="clear" w:pos="1462"/>
                <w:tab w:val="clear" w:pos="1701"/>
                <w:tab w:val="clear" w:pos="2722"/>
              </w:tabs>
              <w:overflowPunct w:val="0"/>
              <w:autoSpaceDE w:val="0"/>
              <w:autoSpaceDN w:val="0"/>
              <w:adjustRightInd w:val="0"/>
              <w:spacing w:after="0" w:line="240" w:lineRule="auto"/>
              <w:ind w:left="2880"/>
              <w:jc w:val="both"/>
              <w:textAlignment w:val="baseline"/>
              <w:rPr>
                <w:rFonts w:eastAsiaTheme="minorEastAsia"/>
              </w:rPr>
            </w:pPr>
            <w:bookmarkStart w:id="23" w:name="_Toc83990577"/>
            <w:r>
              <w:rPr>
                <w:rFonts w:eastAsiaTheme="minorEastAsia"/>
              </w:rPr>
              <w:t>The location of the Y slots within the X slots is maintained across different slot groups</w:t>
            </w:r>
            <w:bookmarkEnd w:id="23"/>
          </w:p>
          <w:p>
            <w:pPr>
              <w:pStyle w:val="203"/>
              <w:widowControl w:val="0"/>
              <w:numPr>
                <w:ilvl w:val="2"/>
                <w:numId w:val="13"/>
              </w:numPr>
              <w:tabs>
                <w:tab w:val="clear" w:pos="742"/>
                <w:tab w:val="clear" w:pos="1701"/>
                <w:tab w:val="clear" w:pos="2722"/>
              </w:tabs>
              <w:overflowPunct w:val="0"/>
              <w:autoSpaceDE w:val="0"/>
              <w:autoSpaceDN w:val="0"/>
              <w:adjustRightInd w:val="0"/>
              <w:spacing w:after="0" w:line="240" w:lineRule="auto"/>
              <w:ind w:left="2430" w:hanging="270"/>
              <w:jc w:val="both"/>
              <w:textAlignment w:val="baseline"/>
              <w:rPr>
                <w:rFonts w:eastAsiaTheme="minorEastAsia"/>
              </w:rPr>
            </w:pPr>
            <w:bookmarkStart w:id="24" w:name="_Toc83990578"/>
            <w:r>
              <w:rPr>
                <w:rFonts w:eastAsiaTheme="minorEastAsia"/>
                <w:color w:val="0000FF"/>
              </w:rPr>
              <w:t>Type 1 CSS without dedicated RRC configuration and for type 0, 0A, and 2 CSS in any 3 consecutive symbols of a slot (as in Rel-15 FG 3-1)</w:t>
            </w:r>
            <w:bookmarkEnd w:id="24"/>
            <w:r>
              <w:rPr>
                <w:rFonts w:eastAsiaTheme="minorEastAsia"/>
              </w:rPr>
              <w:t xml:space="preserve"> </w:t>
            </w:r>
          </w:p>
          <w:p>
            <w:pPr>
              <w:widowControl w:val="0"/>
              <w:jc w:val="both"/>
              <w:rPr>
                <w:lang w:val="en-GB" w:eastAsia="ja-JP"/>
              </w:rPr>
            </w:pPr>
          </w:p>
          <w:p>
            <w:pPr>
              <w:widowControl w:val="0"/>
              <w:rPr>
                <w:rFonts w:eastAsia="Calibri" w:cs="Arial"/>
                <w:lang w:eastAsia="zh-CN"/>
              </w:rPr>
            </w:pPr>
            <w:r>
              <w:rPr>
                <w:rFonts w:eastAsia="Calibri" w:cs="Arial"/>
                <w:lang w:eastAsia="zh-CN"/>
              </w:rPr>
              <w:t>Incorporating the above proposed clarification, the Alt 1 operation is described as follows:</w:t>
            </w:r>
          </w:p>
          <w:p>
            <w:pPr>
              <w:widowControl w:val="0"/>
              <w:numPr>
                <w:ilvl w:val="0"/>
                <w:numId w:val="35"/>
              </w:numPr>
              <w:tabs>
                <w:tab w:val="left" w:pos="1287"/>
              </w:tabs>
              <w:autoSpaceDE/>
              <w:autoSpaceDN/>
              <w:adjustRightInd/>
              <w:snapToGrid/>
              <w:ind w:left="1287"/>
              <w:contextualSpacing/>
              <w:rPr>
                <w:rFonts w:eastAsia="Calibri" w:cs="Arial"/>
                <w:lang w:eastAsia="zh-CN"/>
              </w:rPr>
            </w:pPr>
            <w:r>
              <w:rPr>
                <w:rFonts w:eastAsia="Calibri" w:cs="Arial"/>
                <w:lang w:val="en-GB" w:eastAsia="zh-CN"/>
              </w:rPr>
              <w:t xml:space="preserve">Alt 1: Use a fixed pattern of slot groups as the baseline to define the new capability. </w:t>
            </w:r>
          </w:p>
          <w:p>
            <w:pPr>
              <w:widowControl w:val="0"/>
              <w:numPr>
                <w:ilvl w:val="1"/>
                <w:numId w:val="35"/>
              </w:numPr>
              <w:tabs>
                <w:tab w:val="left" w:pos="2007"/>
              </w:tabs>
              <w:autoSpaceDE/>
              <w:autoSpaceDN/>
              <w:adjustRightInd/>
              <w:snapToGrid/>
              <w:ind w:left="2007"/>
              <w:contextualSpacing/>
              <w:rPr>
                <w:rFonts w:eastAsia="Calibri" w:cs="Arial"/>
                <w:lang w:val="en-GB" w:eastAsia="zh-CN"/>
              </w:rPr>
            </w:pPr>
            <w:r>
              <w:rPr>
                <w:rFonts w:eastAsia="Calibri" w:cs="Arial"/>
                <w:lang w:val="en-GB" w:eastAsia="zh-CN"/>
              </w:rPr>
              <w:t>Each slot group consists of X slots</w:t>
            </w:r>
          </w:p>
          <w:p>
            <w:pPr>
              <w:widowControl w:val="0"/>
              <w:numPr>
                <w:ilvl w:val="1"/>
                <w:numId w:val="35"/>
              </w:numPr>
              <w:tabs>
                <w:tab w:val="left" w:pos="2007"/>
              </w:tabs>
              <w:autoSpaceDE/>
              <w:autoSpaceDN/>
              <w:adjustRightInd/>
              <w:snapToGrid/>
              <w:ind w:left="2007"/>
              <w:contextualSpacing/>
              <w:rPr>
                <w:rFonts w:eastAsia="Calibri" w:cs="Arial"/>
                <w:lang w:val="en-GB" w:eastAsia="zh-CN"/>
              </w:rPr>
            </w:pPr>
            <w:r>
              <w:rPr>
                <w:rFonts w:eastAsia="Calibri" w:cs="Arial"/>
                <w:lang w:val="en-GB" w:eastAsia="zh-CN"/>
              </w:rPr>
              <w:t>Slot groups are consecutive and non-overlapping</w:t>
            </w:r>
          </w:p>
          <w:p>
            <w:pPr>
              <w:widowControl w:val="0"/>
              <w:numPr>
                <w:ilvl w:val="1"/>
                <w:numId w:val="35"/>
              </w:numPr>
              <w:tabs>
                <w:tab w:val="left" w:pos="2007"/>
              </w:tabs>
              <w:autoSpaceDE/>
              <w:autoSpaceDN/>
              <w:adjustRightInd/>
              <w:snapToGrid/>
              <w:ind w:left="2007"/>
              <w:contextualSpacing/>
              <w:rPr>
                <w:rFonts w:eastAsia="Calibri" w:cs="Arial"/>
                <w:lang w:val="en-GB" w:eastAsia="zh-CN"/>
              </w:rPr>
            </w:pPr>
            <w:r>
              <w:rPr>
                <w:rFonts w:eastAsia="Calibri" w:cs="Arial"/>
                <w:lang w:val="en-GB" w:eastAsia="zh-CN"/>
              </w:rPr>
              <w:t xml:space="preserve">The capability indicates the BD/CCE budget within </w:t>
            </w:r>
            <w:r>
              <w:rPr>
                <w:rFonts w:eastAsia="Calibri" w:cs="Arial"/>
                <w:strike/>
                <w:color w:val="0000FF"/>
                <w:lang w:val="en-GB" w:eastAsia="zh-CN"/>
              </w:rPr>
              <w:t>Y consecutive slots in</w:t>
            </w:r>
            <w:r>
              <w:rPr>
                <w:rFonts w:eastAsia="Calibri" w:cs="Arial"/>
                <w:lang w:val="en-GB" w:eastAsia="zh-CN"/>
              </w:rPr>
              <w:t xml:space="preserve"> each </w:t>
            </w:r>
            <w:r>
              <w:rPr>
                <w:rFonts w:eastAsia="Calibri" w:cs="Arial"/>
                <w:color w:val="0000FF"/>
                <w:lang w:val="en-GB" w:eastAsia="zh-CN"/>
              </w:rPr>
              <w:t>X-</w:t>
            </w:r>
            <w:r>
              <w:rPr>
                <w:rFonts w:eastAsia="Calibri" w:cs="Arial"/>
                <w:lang w:val="en-GB" w:eastAsia="zh-CN"/>
              </w:rPr>
              <w:t xml:space="preserve">slot group </w:t>
            </w:r>
            <w:r>
              <w:rPr>
                <w:rFonts w:eastAsia="Calibri" w:cs="Arial"/>
                <w:color w:val="0000FF"/>
                <w:lang w:val="en-GB" w:eastAsia="zh-CN"/>
              </w:rPr>
              <w:t>for monitoring</w:t>
            </w:r>
          </w:p>
          <w:p>
            <w:pPr>
              <w:widowControl w:val="0"/>
              <w:numPr>
                <w:ilvl w:val="2"/>
                <w:numId w:val="35"/>
              </w:numPr>
              <w:autoSpaceDE/>
              <w:autoSpaceDN/>
              <w:adjustRightInd/>
              <w:snapToGrid/>
              <w:ind w:left="2610"/>
              <w:contextualSpacing/>
              <w:rPr>
                <w:rFonts w:eastAsia="Calibri" w:cs="Arial"/>
                <w:color w:val="0000FF"/>
                <w:lang w:val="en-GB" w:eastAsia="zh-CN"/>
              </w:rPr>
            </w:pPr>
            <w:r>
              <w:rPr>
                <w:rFonts w:eastAsia="Calibri" w:cs="Arial"/>
                <w:color w:val="0000FF"/>
                <w:lang w:eastAsia="zh-CN"/>
              </w:rPr>
              <w:t>Type 1 CSS with dedicated RRC configuration, type 3 CSS, and UE-SS</w:t>
            </w:r>
            <w:r>
              <w:rPr>
                <w:rFonts w:eastAsia="Calibri" w:cs="Arial"/>
                <w:color w:val="0000FF"/>
                <w:lang w:val="en-GB" w:eastAsia="zh-CN"/>
              </w:rPr>
              <w:t xml:space="preserve"> within Y consecutive slots</w:t>
            </w:r>
          </w:p>
          <w:p>
            <w:pPr>
              <w:widowControl w:val="0"/>
              <w:numPr>
                <w:ilvl w:val="3"/>
                <w:numId w:val="35"/>
              </w:numPr>
              <w:autoSpaceDE/>
              <w:autoSpaceDN/>
              <w:adjustRightInd/>
              <w:snapToGrid/>
              <w:ind w:left="3060"/>
              <w:contextualSpacing/>
              <w:rPr>
                <w:rFonts w:eastAsia="Calibri" w:cs="Arial"/>
                <w:lang w:val="en-GB" w:eastAsia="zh-CN"/>
              </w:rPr>
            </w:pPr>
            <w:r>
              <w:rPr>
                <w:rFonts w:eastAsia="Calibri" w:cs="Arial"/>
                <w:lang w:val="en-GB" w:eastAsia="zh-CN"/>
              </w:rPr>
              <w:t>The location of the Y slots within the X slots is maintained across different slot groups</w:t>
            </w:r>
          </w:p>
          <w:p>
            <w:pPr>
              <w:widowControl w:val="0"/>
              <w:numPr>
                <w:ilvl w:val="2"/>
                <w:numId w:val="35"/>
              </w:numPr>
              <w:autoSpaceDE/>
              <w:autoSpaceDN/>
              <w:adjustRightInd/>
              <w:snapToGrid/>
              <w:ind w:left="2610"/>
              <w:contextualSpacing/>
              <w:rPr>
                <w:rFonts w:eastAsia="Calibri" w:cs="Arial"/>
                <w:color w:val="0000FF"/>
                <w:lang w:val="en-GB" w:eastAsia="zh-CN"/>
              </w:rPr>
            </w:pPr>
            <w:r>
              <w:rPr>
                <w:rFonts w:eastAsia="Calibri" w:cs="Arial"/>
                <w:color w:val="0000FF"/>
                <w:lang w:eastAsia="zh-CN"/>
              </w:rPr>
              <w:t>Type 1 CSS without dedicated RRC configuration and for type 0, 0A, and 2 CSS</w:t>
            </w:r>
            <w:r>
              <w:rPr>
                <w:rFonts w:eastAsia="Calibri" w:cs="Arial"/>
                <w:color w:val="0000FF"/>
                <w:lang w:val="en-GB" w:eastAsia="zh-CN"/>
              </w:rPr>
              <w:t xml:space="preserve"> in any 3 consecutive symbols of a slot (as in Rel-15 FG 3-1)</w:t>
            </w:r>
          </w:p>
          <w:p>
            <w:pPr>
              <w:widowControl w:val="0"/>
              <w:numPr>
                <w:ilvl w:val="1"/>
                <w:numId w:val="35"/>
              </w:numPr>
              <w:tabs>
                <w:tab w:val="left" w:pos="2007"/>
              </w:tabs>
              <w:autoSpaceDE/>
              <w:autoSpaceDN/>
              <w:adjustRightInd/>
              <w:snapToGrid/>
              <w:ind w:left="2007"/>
              <w:contextualSpacing/>
              <w:rPr>
                <w:rFonts w:eastAsia="Calibri" w:cs="Arial"/>
                <w:lang w:val="en-GB" w:eastAsia="zh-CN"/>
              </w:rPr>
            </w:pPr>
            <w:r>
              <w:rPr>
                <w:rFonts w:eastAsia="Calibri" w:cs="Arial"/>
                <w:lang w:val="en-GB" w:eastAsia="zh-CN"/>
              </w:rPr>
              <w:t>Further discuss down-selection of Y within 1&lt;=Y&lt;=X/2 (both in units of slot) when X&gt;1</w:t>
            </w:r>
          </w:p>
          <w:p>
            <w:pPr>
              <w:widowControl w:val="0"/>
              <w:numPr>
                <w:ilvl w:val="1"/>
                <w:numId w:val="35"/>
              </w:numPr>
              <w:tabs>
                <w:tab w:val="left" w:pos="2007"/>
              </w:tabs>
              <w:autoSpaceDE/>
              <w:autoSpaceDN/>
              <w:adjustRightInd/>
              <w:snapToGrid/>
              <w:ind w:left="2007"/>
              <w:contextualSpacing/>
              <w:rPr>
                <w:rFonts w:eastAsia="Calibri" w:cs="Arial"/>
                <w:lang w:val="en-GB" w:eastAsia="zh-CN"/>
              </w:rPr>
            </w:pPr>
            <w:r>
              <w:rPr>
                <w:rFonts w:eastAsia="Calibri" w:cs="Arial"/>
                <w:lang w:val="en-GB" w:eastAsia="zh-CN"/>
              </w:rPr>
              <w:t>FFS: Further definition of capabilities</w:t>
            </w:r>
          </w:p>
          <w:p>
            <w:pPr>
              <w:widowControl w:val="0"/>
              <w:numPr>
                <w:ilvl w:val="1"/>
                <w:numId w:val="35"/>
              </w:numPr>
              <w:tabs>
                <w:tab w:val="left" w:pos="2007"/>
              </w:tabs>
              <w:autoSpaceDE/>
              <w:autoSpaceDN/>
              <w:adjustRightInd/>
              <w:snapToGrid/>
              <w:ind w:left="2007"/>
              <w:contextualSpacing/>
              <w:rPr>
                <w:rFonts w:eastAsia="Calibri" w:cs="Arial"/>
                <w:lang w:val="en-GB" w:eastAsia="zh-CN"/>
              </w:rPr>
            </w:pPr>
            <w:r>
              <w:rPr>
                <w:rFonts w:eastAsia="Calibri" w:cs="Arial"/>
                <w:lang w:val="en-GB" w:eastAsia="zh-CN"/>
              </w:rPr>
              <w:t>FFS: The following issues for the search space configuration discussion</w:t>
            </w:r>
          </w:p>
          <w:p>
            <w:pPr>
              <w:widowControl w:val="0"/>
              <w:numPr>
                <w:ilvl w:val="2"/>
                <w:numId w:val="35"/>
              </w:numPr>
              <w:tabs>
                <w:tab w:val="left" w:pos="2007"/>
              </w:tabs>
              <w:autoSpaceDE/>
              <w:autoSpaceDN/>
              <w:adjustRightInd/>
              <w:snapToGrid/>
              <w:ind w:left="2610"/>
              <w:contextualSpacing/>
              <w:rPr>
                <w:rFonts w:eastAsia="Calibri" w:cs="Arial"/>
                <w:lang w:val="en-GB" w:eastAsia="zh-CN"/>
              </w:rPr>
            </w:pPr>
            <w:r>
              <w:rPr>
                <w:rFonts w:eastAsia="Calibri" w:cs="Arial"/>
                <w:lang w:val="en-GB" w:eastAsia="zh-CN"/>
              </w:rPr>
              <w:t>Whether a slot group is aligned with a slot boundary</w:t>
            </w:r>
          </w:p>
          <w:p>
            <w:pPr>
              <w:widowControl w:val="0"/>
              <w:numPr>
                <w:ilvl w:val="2"/>
                <w:numId w:val="35"/>
              </w:numPr>
              <w:tabs>
                <w:tab w:val="left" w:pos="2007"/>
              </w:tabs>
              <w:autoSpaceDE/>
              <w:autoSpaceDN/>
              <w:adjustRightInd/>
              <w:snapToGrid/>
              <w:ind w:left="2610"/>
              <w:contextualSpacing/>
              <w:rPr>
                <w:rFonts w:eastAsia="Calibri" w:cs="Arial"/>
                <w:lang w:val="en-GB" w:eastAsia="zh-CN"/>
              </w:rPr>
            </w:pPr>
            <w:r>
              <w:rPr>
                <w:rFonts w:eastAsia="Calibri" w:cs="Arial"/>
                <w:lang w:val="en-GB" w:eastAsia="zh-CN"/>
              </w:rPr>
              <w:t>Restrictions on location of the Y slots within a slot group, e.g. whether to restrict the location of a SS to be within the first Y slots within a slot group</w:t>
            </w:r>
          </w:p>
          <w:p>
            <w:pPr>
              <w:widowControl w:val="0"/>
              <w:numPr>
                <w:ilvl w:val="1"/>
                <w:numId w:val="35"/>
              </w:numPr>
              <w:tabs>
                <w:tab w:val="left" w:pos="2007"/>
              </w:tabs>
              <w:autoSpaceDE/>
              <w:autoSpaceDN/>
              <w:adjustRightInd/>
              <w:snapToGrid/>
              <w:ind w:left="2007"/>
              <w:rPr>
                <w:rFonts w:eastAsia="Calibri" w:cs="Arial"/>
                <w:lang w:val="en-GB" w:eastAsia="zh-CN"/>
              </w:rPr>
            </w:pPr>
            <w:r>
              <w:rPr>
                <w:rFonts w:eastAsia="Calibri" w:cs="Arial"/>
                <w:lang w:val="en-GB" w:eastAsia="zh-CN"/>
              </w:rPr>
              <w:t>FFS: What the UE capability defines for monitoring within the Y slots</w:t>
            </w:r>
          </w:p>
          <w:p>
            <w:pPr>
              <w:pStyle w:val="30"/>
              <w:widowControl w:val="0"/>
            </w:pPr>
          </w:p>
          <w:p>
            <w:pPr>
              <w:pStyle w:val="30"/>
              <w:widowControl w:val="0"/>
              <w:rPr>
                <w:rFonts w:eastAsia="Times New Roman"/>
                <w:lang w:eastAsia="ja-JP"/>
              </w:rPr>
            </w:pPr>
            <w:r>
              <w:t>In the last RAN1 meeting, the operation of multi-slot PDCCH monitoring Alt 1 has been clarified that t</w:t>
            </w:r>
            <w:r>
              <w:rPr>
                <w:rFonts w:eastAsia="Times New Roman"/>
                <w:lang w:eastAsia="ja-JP"/>
              </w:rPr>
              <w:t>he location of the Y slots within the X slots is maintained across different slot groups. Several companies provided views during the RAN1 #106e email discussion regarding the following FFS:</w:t>
            </w:r>
          </w:p>
          <w:p>
            <w:pPr>
              <w:pStyle w:val="223"/>
              <w:widowControl w:val="0"/>
              <w:numPr>
                <w:ilvl w:val="0"/>
                <w:numId w:val="33"/>
              </w:numPr>
              <w:spacing w:after="160"/>
              <w:contextualSpacing/>
              <w:rPr>
                <w:lang w:val="en-US" w:eastAsia="ja-JP"/>
              </w:rPr>
            </w:pPr>
            <w:r>
              <w:rPr>
                <w:rFonts w:eastAsia="Calibri" w:cs="Arial"/>
                <w:lang w:val="en-GB" w:eastAsia="zh-CN"/>
              </w:rPr>
              <w:t>Restrictions on location of the Y slots within a slot group, e.g., whether to restrict the location of a SS to be within the first Y slots within a slot group</w:t>
            </w:r>
          </w:p>
          <w:p>
            <w:pPr>
              <w:pStyle w:val="30"/>
              <w:widowControl w:val="0"/>
            </w:pPr>
            <w:r>
              <w:t>Note that, as long as Y</w:t>
            </w:r>
            <w:r>
              <w:rPr>
                <w:rFonts w:ascii="Cambria Math" w:hAnsi="Cambria Math"/>
              </w:rPr>
              <w:t>≤</w:t>
            </w:r>
            <w:r>
              <w:t>X/2 is fixed within the X-slot windows, back-to-back PDCCH processing overloading is avoided. Hence, several companies expressed the view that, as long as the Y-slot location within each X-slot window is maintained, there is no particular necessary conditions favoring, e.g., the first Y slots within each X-slot window vs the last Y slots. We agree with this analysis in general.</w:t>
            </w:r>
          </w:p>
          <w:p>
            <w:pPr>
              <w:pStyle w:val="30"/>
              <w:widowControl w:val="0"/>
            </w:pPr>
            <w:r>
              <w:t xml:space="preserve">However, the equivalence between the possible locations of Y slots may further offer system configuration and operation complexity reduction benefits. That is, e.g., fixing the Y slots to be always at the beginning of each X-slot windows may allow simpler configuration parameters and protocols. In our view, restricting Y to be the first slots of the X-slot group and be the same for all UEs is no worse in terms of network flexibility than for the mandatory monitoring capability defined in Rel-15/16 for 120 kHz SCS. Observing that RAN1 has only agreed to processing latency requirements (in terms of </w:t>
            </w:r>
            <w:r>
              <w:rPr>
                <w:rFonts w:ascii="Cambria Math" w:hAnsi="Cambria Math"/>
              </w:rPr>
              <w:t>μ</w:t>
            </w:r>
            <w:r>
              <w:t>s) for 480/960 kHz SCS on the same level as for 120 kHz SCS, there is no evidence or evaluation result to indicate the necessity or utility of much more SS configuration flexibility alone.</w:t>
            </w:r>
          </w:p>
          <w:p>
            <w:pPr>
              <w:pStyle w:val="30"/>
              <w:widowControl w:val="0"/>
            </w:pPr>
          </w:p>
          <w:p>
            <w:pPr>
              <w:pStyle w:val="203"/>
              <w:widowControl w:val="0"/>
              <w:tabs>
                <w:tab w:val="clear" w:pos="2722"/>
              </w:tabs>
              <w:overflowPunct w:val="0"/>
              <w:autoSpaceDE w:val="0"/>
              <w:autoSpaceDN w:val="0"/>
              <w:adjustRightInd w:val="0"/>
              <w:spacing w:after="120" w:line="240" w:lineRule="auto"/>
              <w:jc w:val="both"/>
              <w:textAlignment w:val="baseline"/>
              <w:rPr>
                <w:rFonts w:eastAsiaTheme="minorEastAsia"/>
              </w:rPr>
            </w:pPr>
            <w:bookmarkStart w:id="25" w:name="_Toc83990579"/>
            <w:r>
              <w:rPr>
                <w:rFonts w:cs="Arial"/>
                <w:szCs w:val="20"/>
                <w:lang w:eastAsia="zh-CN"/>
              </w:rPr>
              <w:t xml:space="preserve">For multi-slot PDCCH monitoring Alt 1 with 480/960 kHz SCS, RAN1 to consider restricting </w:t>
            </w:r>
            <w:r>
              <w:t xml:space="preserve">Y slots to be at the beginning of each X-slot windows for </w:t>
            </w:r>
            <w:r>
              <w:rPr>
                <w:lang w:eastAsia="ja-JP"/>
              </w:rPr>
              <w:t>type 1 CSS with dedicated RRC configuration, type 3 CSS, and UE-SS</w:t>
            </w:r>
            <w:r>
              <w:t xml:space="preserve"> as an approach to simplify </w:t>
            </w:r>
            <w:r>
              <w:rPr>
                <w:rFonts w:cs="Arial"/>
                <w:szCs w:val="20"/>
                <w:lang w:eastAsia="zh-CN"/>
              </w:rPr>
              <w:t xml:space="preserve">multi-slot PDCCH monitoring </w:t>
            </w:r>
            <w:r>
              <w:t>configuration parameters and protocols as well as to reduce implementation complexity</w:t>
            </w:r>
            <w:r>
              <w:rPr>
                <w:rFonts w:eastAsiaTheme="minorEastAsia"/>
              </w:rPr>
              <w:t>.</w:t>
            </w:r>
            <w:bookmarkEnd w:id="25"/>
          </w:p>
          <w:p>
            <w:pPr>
              <w:pStyle w:val="203"/>
              <w:widowControl w:val="0"/>
              <w:numPr>
                <w:ilvl w:val="0"/>
                <w:numId w:val="0"/>
              </w:numPr>
              <w:tabs>
                <w:tab w:val="clear" w:pos="2722"/>
              </w:tabs>
              <w:spacing w:after="120"/>
              <w:ind w:left="1304" w:hanging="1304"/>
              <w:jc w:val="both"/>
              <w:rPr>
                <w:rFonts w:eastAsiaTheme="minorEastAsia"/>
              </w:rPr>
            </w:pPr>
            <w:bookmarkStart w:id="26" w:name="_Toc83990426"/>
            <w:r>
              <w:t>Observation 7 Compared to Alt 1, the float monitoring capability spans of Alt 2 introduce additional monitoring capability misalignment/overburden issues when multiple serving cells are active. As a result, additional PDCCH processing load restriction/checking will need to be defined for Alt 2 to handles these cases.</w:t>
            </w:r>
            <w:bookmarkEnd w:id="26"/>
          </w:p>
        </w:tc>
      </w:tr>
    </w:tbl>
    <w:p>
      <w:pPr>
        <w:rPr>
          <w:lang w:eastAsia="zh-CN"/>
        </w:rPr>
      </w:pPr>
    </w:p>
    <w:p>
      <w:pPr>
        <w:pStyle w:val="4"/>
        <w:jc w:val="both"/>
        <w:rPr>
          <w:lang w:val="en-GB" w:eastAsia="zh-CN"/>
        </w:rPr>
      </w:pPr>
      <w:r>
        <w:rPr>
          <w:lang w:val="en-GB" w:eastAsia="zh-CN"/>
        </w:rPr>
        <w:t>R1-2109443 (Nokia, Nokia Shanghai Bell)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206"/>
              <w:widowControl w:val="0"/>
              <w:spacing w:before="0" w:beforeAutospacing="0" w:after="0" w:afterAutospacing="0"/>
              <w:textAlignment w:val="baseline"/>
              <w:rPr>
                <w:rStyle w:val="207"/>
                <w:sz w:val="20"/>
                <w:szCs w:val="20"/>
                <w:lang w:val="en-US"/>
              </w:rPr>
            </w:pPr>
            <w:r>
              <w:rPr>
                <w:rStyle w:val="207"/>
                <w:sz w:val="20"/>
                <w:szCs w:val="20"/>
                <w:lang w:val="en-US"/>
              </w:rPr>
              <w:t>Smaller values of X can provide e.g. better multiplexing capabilities (i.e. better scheduling flexibility) and improved latency. It can also offer a better processing time budget for gNB with the UE processing times agreed in RAN1 #106 [3]. We also think that that specification impact for supporting smaller values of X is quite minor, mainly definition of a few additional BD/CCE cap values as a function of X. Based on that, we make the following proposal:</w:t>
            </w:r>
          </w:p>
          <w:p>
            <w:pPr>
              <w:pStyle w:val="206"/>
              <w:widowControl w:val="0"/>
              <w:spacing w:before="0" w:beforeAutospacing="0" w:after="0" w:afterAutospacing="0"/>
              <w:textAlignment w:val="baseline"/>
              <w:rPr>
                <w:rStyle w:val="207"/>
                <w:sz w:val="20"/>
                <w:szCs w:val="20"/>
                <w:lang w:val="en-US"/>
              </w:rPr>
            </w:pPr>
          </w:p>
          <w:p>
            <w:pPr>
              <w:pStyle w:val="206"/>
              <w:widowControl w:val="0"/>
              <w:spacing w:before="0" w:beforeAutospacing="0" w:after="0" w:afterAutospacing="0"/>
              <w:textAlignment w:val="baseline"/>
              <w:rPr>
                <w:rStyle w:val="207"/>
                <w:i/>
                <w:iCs/>
                <w:sz w:val="20"/>
                <w:szCs w:val="20"/>
                <w:lang w:val="en-US"/>
              </w:rPr>
            </w:pPr>
            <w:r>
              <w:rPr>
                <w:b/>
                <w:bCs/>
                <w:i/>
                <w:iCs/>
                <w:sz w:val="20"/>
                <w:szCs w:val="20"/>
              </w:rPr>
              <w:t>Proposal 1</w:t>
            </w:r>
            <w:r>
              <w:rPr>
                <w:b/>
                <w:bCs/>
                <w:sz w:val="20"/>
                <w:szCs w:val="20"/>
              </w:rPr>
              <w:t>:</w:t>
            </w:r>
            <w:r>
              <w:rPr>
                <w:sz w:val="20"/>
                <w:szCs w:val="20"/>
              </w:rPr>
              <w:t xml:space="preserve"> </w:t>
            </w:r>
            <w:r>
              <w:rPr>
                <w:i/>
                <w:iCs/>
                <w:sz w:val="20"/>
                <w:szCs w:val="20"/>
              </w:rPr>
              <w:t>M</w:t>
            </w:r>
            <w:r>
              <w:rPr>
                <w:rStyle w:val="207"/>
                <w:i/>
                <w:iCs/>
                <w:sz w:val="20"/>
                <w:szCs w:val="20"/>
                <w:lang w:val="en-US"/>
              </w:rPr>
              <w:t xml:space="preserve">ulti-slot PDCCH monitoring is not the only supported configuration for 480 kHz and 960 kHz SCSs. In addition to X=4 slots for 480 kHz SCS and X=8 for 960 kHz SCS, support the following additional values for X: </w:t>
            </w:r>
          </w:p>
          <w:p>
            <w:pPr>
              <w:pStyle w:val="206"/>
              <w:widowControl w:val="0"/>
              <w:numPr>
                <w:ilvl w:val="0"/>
                <w:numId w:val="36"/>
              </w:numPr>
              <w:spacing w:before="0" w:beforeAutospacing="0" w:after="0" w:afterAutospacing="0" w:line="240" w:lineRule="auto"/>
              <w:rPr>
                <w:rStyle w:val="207"/>
                <w:i/>
                <w:iCs/>
                <w:sz w:val="20"/>
                <w:szCs w:val="20"/>
                <w:lang w:val="en-US"/>
              </w:rPr>
            </w:pPr>
            <w:r>
              <w:rPr>
                <w:rStyle w:val="207"/>
                <w:i/>
                <w:iCs/>
                <w:sz w:val="20"/>
                <w:szCs w:val="20"/>
                <w:lang w:val="en-US"/>
              </w:rPr>
              <w:t xml:space="preserve">X=[1, 2] for 480 kHz SCS </w:t>
            </w:r>
          </w:p>
          <w:p>
            <w:pPr>
              <w:pStyle w:val="206"/>
              <w:widowControl w:val="0"/>
              <w:numPr>
                <w:ilvl w:val="0"/>
                <w:numId w:val="36"/>
              </w:numPr>
              <w:spacing w:before="0" w:beforeAutospacing="0" w:after="0" w:afterAutospacing="0" w:line="240" w:lineRule="auto"/>
              <w:rPr>
                <w:rStyle w:val="207"/>
                <w:i/>
                <w:iCs/>
                <w:sz w:val="20"/>
                <w:szCs w:val="20"/>
                <w:lang w:val="en-US"/>
              </w:rPr>
            </w:pPr>
            <w:r>
              <w:rPr>
                <w:rStyle w:val="207"/>
                <w:i/>
                <w:iCs/>
                <w:sz w:val="20"/>
                <w:szCs w:val="20"/>
                <w:lang w:val="en-US"/>
              </w:rPr>
              <w:t xml:space="preserve">X=[1, 2, 4] for 960 kHz SCS </w:t>
            </w:r>
          </w:p>
          <w:p>
            <w:pPr>
              <w:pStyle w:val="206"/>
              <w:widowControl w:val="0"/>
              <w:numPr>
                <w:ilvl w:val="0"/>
                <w:numId w:val="36"/>
              </w:numPr>
              <w:spacing w:before="0" w:beforeAutospacing="0" w:after="0" w:afterAutospacing="0" w:line="240" w:lineRule="auto"/>
              <w:rPr>
                <w:rStyle w:val="207"/>
                <w:i/>
                <w:iCs/>
                <w:sz w:val="20"/>
                <w:szCs w:val="20"/>
                <w:lang w:val="en-US"/>
              </w:rPr>
            </w:pPr>
            <w:r>
              <w:rPr>
                <w:rStyle w:val="207"/>
                <w:i/>
                <w:iCs/>
                <w:sz w:val="20"/>
                <w:szCs w:val="20"/>
                <w:lang w:val="en-US"/>
              </w:rPr>
              <w:t>UE capability for supporting the additional values for X is FFS.</w:t>
            </w:r>
          </w:p>
          <w:p>
            <w:pPr>
              <w:pStyle w:val="94"/>
              <w:widowControl w:val="0"/>
              <w:spacing w:after="0"/>
              <w:ind w:left="646" w:hanging="646"/>
              <w:textAlignment w:val="auto"/>
              <w:rPr>
                <w:rStyle w:val="207"/>
                <w:color w:val="000000"/>
                <w:shd w:val="clear" w:color="auto" w:fill="FFFFFF"/>
                <w:lang w:val="en-US"/>
              </w:rPr>
            </w:pPr>
          </w:p>
          <w:p>
            <w:pPr>
              <w:pStyle w:val="94"/>
              <w:widowControl w:val="0"/>
              <w:spacing w:after="0"/>
              <w:ind w:left="646" w:hanging="646"/>
              <w:textAlignment w:val="auto"/>
              <w:rPr>
                <w:lang w:eastAsia="zh-CN"/>
              </w:rPr>
            </w:pPr>
            <w:r>
              <w:rPr>
                <w:rStyle w:val="207"/>
                <w:color w:val="000000"/>
                <w:shd w:val="clear" w:color="auto" w:fill="FFFFFF"/>
              </w:rPr>
              <w:t>The FL summary (</w:t>
            </w:r>
            <w:r>
              <w:rPr>
                <w:lang w:eastAsia="zh-CN"/>
              </w:rPr>
              <w:t>R1-2108559) captures the company positions in the following way:</w:t>
            </w:r>
          </w:p>
          <w:p>
            <w:pPr>
              <w:pStyle w:val="94"/>
              <w:widowControl w:val="0"/>
              <w:numPr>
                <w:ilvl w:val="0"/>
                <w:numId w:val="37"/>
              </w:numPr>
              <w:spacing w:after="0" w:line="240" w:lineRule="auto"/>
              <w:textAlignment w:val="auto"/>
              <w:rPr>
                <w:rStyle w:val="207"/>
                <w:color w:val="000000"/>
                <w:sz w:val="18"/>
                <w:szCs w:val="18"/>
                <w:shd w:val="clear" w:color="auto" w:fill="FFFFFF"/>
              </w:rPr>
            </w:pPr>
            <w:r>
              <w:rPr>
                <w:rStyle w:val="207"/>
                <w:color w:val="000000"/>
                <w:sz w:val="18"/>
                <w:szCs w:val="18"/>
                <w:shd w:val="clear" w:color="auto" w:fill="FFFFFF"/>
              </w:rPr>
              <w:t>Alt 1 supported by Huawei, HiSilicon, Interdigital, Sony, ZTE, Sanechips, Nokia, Nokia Shanghai Bell, Charter (2nd choice), LG, MediaTek, Apple, Sharp, Xiaomi</w:t>
            </w:r>
          </w:p>
          <w:p>
            <w:pPr>
              <w:pStyle w:val="94"/>
              <w:widowControl w:val="0"/>
              <w:numPr>
                <w:ilvl w:val="0"/>
                <w:numId w:val="37"/>
              </w:numPr>
              <w:spacing w:after="0" w:line="240" w:lineRule="auto"/>
              <w:textAlignment w:val="auto"/>
              <w:rPr>
                <w:rStyle w:val="207"/>
                <w:color w:val="000000"/>
                <w:sz w:val="18"/>
                <w:szCs w:val="18"/>
                <w:shd w:val="clear" w:color="auto" w:fill="FFFFFF"/>
              </w:rPr>
            </w:pPr>
            <w:r>
              <w:rPr>
                <w:rStyle w:val="207"/>
                <w:color w:val="000000"/>
                <w:sz w:val="18"/>
                <w:szCs w:val="18"/>
                <w:shd w:val="clear" w:color="auto" w:fill="FFFFFF"/>
              </w:rPr>
              <w:t>Alt 2 supported by vivo, Lenovo, Motorola Mobility, Samsung, Futurewei, Qualcomm, Panasonic, Apple, NTT DOCOMO, Convida Wireless</w:t>
            </w:r>
          </w:p>
          <w:p>
            <w:pPr>
              <w:pStyle w:val="94"/>
              <w:widowControl w:val="0"/>
              <w:numPr>
                <w:ilvl w:val="0"/>
                <w:numId w:val="37"/>
              </w:numPr>
              <w:spacing w:after="0" w:line="240" w:lineRule="auto"/>
              <w:textAlignment w:val="auto"/>
              <w:rPr>
                <w:rStyle w:val="207"/>
                <w:color w:val="000000"/>
                <w:sz w:val="18"/>
                <w:szCs w:val="18"/>
                <w:shd w:val="clear" w:color="auto" w:fill="FFFFFF"/>
              </w:rPr>
            </w:pPr>
            <w:r>
              <w:rPr>
                <w:rStyle w:val="207"/>
                <w:color w:val="000000"/>
                <w:sz w:val="18"/>
                <w:szCs w:val="18"/>
                <w:shd w:val="clear" w:color="auto" w:fill="FFFFFF"/>
              </w:rPr>
              <w:t>Alt 2 in addition to Alt 1 if necessary: Interdigital, Mediatek</w:t>
            </w:r>
          </w:p>
          <w:p>
            <w:pPr>
              <w:pStyle w:val="94"/>
              <w:widowControl w:val="0"/>
              <w:numPr>
                <w:ilvl w:val="0"/>
                <w:numId w:val="37"/>
              </w:numPr>
              <w:spacing w:after="0" w:line="240" w:lineRule="auto"/>
              <w:textAlignment w:val="auto"/>
              <w:rPr>
                <w:rStyle w:val="207"/>
                <w:color w:val="000000"/>
                <w:sz w:val="18"/>
                <w:szCs w:val="18"/>
                <w:shd w:val="clear" w:color="auto" w:fill="FFFFFF"/>
              </w:rPr>
            </w:pPr>
            <w:r>
              <w:rPr>
                <w:rStyle w:val="207"/>
                <w:color w:val="000000"/>
                <w:sz w:val="18"/>
                <w:szCs w:val="18"/>
                <w:shd w:val="clear" w:color="auto" w:fill="FFFFFF"/>
              </w:rPr>
              <w:t>Alt 3 supported by Ericsson, Charter (1st choice)</w:t>
            </w:r>
          </w:p>
          <w:p>
            <w:pPr>
              <w:pStyle w:val="94"/>
              <w:widowControl w:val="0"/>
              <w:spacing w:after="0"/>
              <w:ind w:left="0" w:firstLine="0"/>
              <w:textAlignment w:val="auto"/>
              <w:rPr>
                <w:rStyle w:val="207"/>
                <w:color w:val="000000"/>
                <w:shd w:val="clear" w:color="auto" w:fill="FFFFFF"/>
              </w:rPr>
            </w:pPr>
            <w:r>
              <w:rPr>
                <w:rStyle w:val="207"/>
                <w:color w:val="000000"/>
                <w:shd w:val="clear" w:color="auto" w:fill="FFFFFF"/>
              </w:rPr>
              <w:t>We think that technical differences among different alternatives have been discussed already with sufficient level of details, and are well understood. It is time to make the decision. For the sake of simplicity, and considering the majority views, we make the following proposal:</w:t>
            </w:r>
          </w:p>
          <w:p>
            <w:pPr>
              <w:pStyle w:val="94"/>
              <w:widowControl w:val="0"/>
              <w:spacing w:after="0"/>
              <w:ind w:left="0" w:firstLine="0"/>
              <w:textAlignment w:val="auto"/>
              <w:rPr>
                <w:rStyle w:val="207"/>
                <w:color w:val="000000"/>
                <w:shd w:val="clear" w:color="auto" w:fill="FFFFFF"/>
              </w:rPr>
            </w:pPr>
          </w:p>
          <w:p>
            <w:pPr>
              <w:widowControl w:val="0"/>
              <w:spacing w:line="256" w:lineRule="auto"/>
            </w:pPr>
            <w:r>
              <w:rPr>
                <w:b/>
                <w:bCs/>
                <w:i/>
                <w:iCs/>
              </w:rPr>
              <w:t>Proposal 2</w:t>
            </w:r>
            <w:r>
              <w:rPr>
                <w:b/>
                <w:bCs/>
              </w:rPr>
              <w:t>:</w:t>
            </w:r>
            <w:r>
              <w:t xml:space="preserve"> </w:t>
            </w:r>
            <w:r>
              <w:rPr>
                <w:i/>
                <w:iCs/>
              </w:rPr>
              <w:t>Select Alt 1 as the baseline to define the new multi-slot PDCCH monitroing capability</w:t>
            </w:r>
          </w:p>
          <w:p>
            <w:pPr>
              <w:widowControl w:val="0"/>
              <w:spacing w:after="0" w:line="257" w:lineRule="auto"/>
            </w:pPr>
            <w:r>
              <w:t xml:space="preserve">In order to support operation according to Alt 1, there is a need to configure slot group(s). Starting position of the slot group can be alinged with a known time reference, e.g. pre-defined subframe or slot boundary. </w:t>
            </w:r>
          </w:p>
          <w:p>
            <w:pPr>
              <w:pStyle w:val="206"/>
              <w:widowControl w:val="0"/>
              <w:spacing w:before="0" w:beforeAutospacing="0" w:after="0" w:afterAutospacing="0"/>
              <w:textAlignment w:val="baseline"/>
              <w:rPr>
                <w:rStyle w:val="207"/>
                <w:sz w:val="20"/>
                <w:szCs w:val="20"/>
              </w:rPr>
            </w:pPr>
          </w:p>
          <w:p>
            <w:pPr>
              <w:widowControl w:val="0"/>
              <w:spacing w:line="256" w:lineRule="auto"/>
            </w:pPr>
            <w:r>
              <w:rPr>
                <w:b/>
                <w:bCs/>
                <w:i/>
                <w:iCs/>
              </w:rPr>
              <w:t>Proposal 3</w:t>
            </w:r>
            <w:r>
              <w:rPr>
                <w:b/>
                <w:bCs/>
              </w:rPr>
              <w:t>:</w:t>
            </w:r>
            <w:r>
              <w:t xml:space="preserve"> </w:t>
            </w:r>
            <w:r>
              <w:rPr>
                <w:i/>
                <w:iCs/>
              </w:rPr>
              <w:t>Slot group (X) starts from the first symbol of a predefined slot, subframe and frame.</w:t>
            </w:r>
          </w:p>
          <w:p>
            <w:pPr>
              <w:widowControl w:val="0"/>
              <w:spacing w:after="0"/>
            </w:pPr>
            <w:r>
              <w:t>The following options are available for supporting CSS on top of Alt1:</w:t>
            </w:r>
          </w:p>
          <w:p>
            <w:pPr>
              <w:pStyle w:val="73"/>
              <w:widowControl w:val="0"/>
              <w:numPr>
                <w:ilvl w:val="0"/>
                <w:numId w:val="38"/>
              </w:numPr>
              <w:snapToGrid/>
              <w:spacing w:line="240" w:lineRule="auto"/>
              <w:contextualSpacing/>
              <w:rPr>
                <w:lang w:val="en-GB"/>
              </w:rPr>
            </w:pPr>
            <w:r>
              <w:rPr>
                <w:sz w:val="20"/>
                <w:szCs w:val="20"/>
                <w:lang w:val="en-GB"/>
              </w:rPr>
              <w:t xml:space="preserve">SSB Pattern is designed in a way that all SSB slots are within Y slots. This is not preferred due to the large specification impact. </w:t>
            </w:r>
          </w:p>
          <w:p>
            <w:pPr>
              <w:pStyle w:val="73"/>
              <w:widowControl w:val="0"/>
              <w:numPr>
                <w:ilvl w:val="0"/>
                <w:numId w:val="38"/>
              </w:numPr>
              <w:snapToGrid/>
              <w:spacing w:line="240" w:lineRule="auto"/>
              <w:contextualSpacing/>
              <w:rPr>
                <w:lang w:val="en-GB"/>
              </w:rPr>
            </w:pPr>
            <w:r>
              <w:rPr>
                <w:sz w:val="20"/>
                <w:szCs w:val="20"/>
                <w:lang w:val="en-GB"/>
              </w:rPr>
              <w:t>Support Y=X. This is not preferred since it basically maintains the problem of blind detection (UE needs to be prepared to the worst case where BDs in the adjacent slot groups are next to each other).</w:t>
            </w:r>
          </w:p>
          <w:p>
            <w:pPr>
              <w:pStyle w:val="73"/>
              <w:widowControl w:val="0"/>
              <w:numPr>
                <w:ilvl w:val="0"/>
                <w:numId w:val="38"/>
              </w:numPr>
              <w:snapToGrid/>
              <w:spacing w:line="240" w:lineRule="auto"/>
              <w:contextualSpacing/>
              <w:rPr>
                <w:sz w:val="20"/>
                <w:szCs w:val="20"/>
              </w:rPr>
            </w:pPr>
            <w:r>
              <w:rPr>
                <w:sz w:val="20"/>
                <w:szCs w:val="20"/>
                <w:lang w:val="en-GB"/>
              </w:rPr>
              <w:t xml:space="preserve">Allow floating, UE specific location for Y slots (within X slots). gNB should be able ensure that Y slots follow the location of the active TCI state of the UE. In other words, the location of Y slots within X should vary according to the active TCI state of the UE. This would ensure that UE’s PDCCH monitoring (i.e. Y consecutive slots) is also aligned with the strongest SSB beam including CORESET#0. </w:t>
            </w:r>
            <w:r>
              <w:rPr>
                <w:sz w:val="20"/>
                <w:szCs w:val="20"/>
              </w:rPr>
              <w:t>One benefit of this approach is that it allows grouping of the UEs that are served by a same beam so that they would be able to monitor PDCCH at a same time.</w:t>
            </w:r>
          </w:p>
          <w:p>
            <w:pPr>
              <w:pStyle w:val="73"/>
              <w:widowControl w:val="0"/>
              <w:numPr>
                <w:ilvl w:val="0"/>
                <w:numId w:val="38"/>
              </w:numPr>
              <w:snapToGrid/>
              <w:spacing w:line="240" w:lineRule="auto"/>
              <w:contextualSpacing/>
              <w:rPr>
                <w:lang w:val="en-GB"/>
              </w:rPr>
            </w:pPr>
            <w:r>
              <w:rPr>
                <w:sz w:val="20"/>
                <w:szCs w:val="20"/>
                <w:lang w:val="en-GB"/>
              </w:rPr>
              <w:t xml:space="preserve">Support search space- specific configuration for (X,Y), e.g. such that USS operates according to one (X,Y) definition and CSS according to another (X,Y) definitition. Example: </w:t>
            </w:r>
            <w:r>
              <w:rPr>
                <w:lang w:val="en-GB"/>
              </w:rPr>
              <w:t xml:space="preserve"> </w:t>
            </w:r>
          </w:p>
          <w:p>
            <w:pPr>
              <w:pStyle w:val="73"/>
              <w:widowControl w:val="0"/>
              <w:numPr>
                <w:ilvl w:val="1"/>
                <w:numId w:val="38"/>
              </w:numPr>
              <w:snapToGrid/>
              <w:spacing w:line="240" w:lineRule="auto"/>
              <w:contextualSpacing/>
              <w:rPr>
                <w:lang w:val="en-GB"/>
              </w:rPr>
            </w:pPr>
            <w:r>
              <w:rPr>
                <w:sz w:val="20"/>
                <w:szCs w:val="20"/>
                <w:lang w:val="en-GB"/>
              </w:rPr>
              <w:t xml:space="preserve">slot groups containing CSS could operate according to Y=X </w:t>
            </w:r>
          </w:p>
          <w:p>
            <w:pPr>
              <w:pStyle w:val="73"/>
              <w:widowControl w:val="0"/>
              <w:numPr>
                <w:ilvl w:val="1"/>
                <w:numId w:val="38"/>
              </w:numPr>
              <w:snapToGrid/>
              <w:spacing w:line="240" w:lineRule="auto"/>
              <w:contextualSpacing/>
              <w:rPr>
                <w:lang w:val="en-GB"/>
              </w:rPr>
            </w:pPr>
            <w:r>
              <w:rPr>
                <w:sz w:val="20"/>
                <w:szCs w:val="20"/>
                <w:lang w:val="en-GB"/>
              </w:rPr>
              <w:t>slot groups without CSS would operate according to Y=X/2</w:t>
            </w:r>
          </w:p>
          <w:p>
            <w:pPr>
              <w:pStyle w:val="73"/>
              <w:widowControl w:val="0"/>
              <w:numPr>
                <w:ilvl w:val="1"/>
                <w:numId w:val="38"/>
              </w:numPr>
              <w:snapToGrid/>
              <w:spacing w:line="240" w:lineRule="auto"/>
              <w:contextualSpacing/>
              <w:rPr>
                <w:sz w:val="20"/>
                <w:szCs w:val="20"/>
                <w:lang w:val="en-GB"/>
              </w:rPr>
            </w:pPr>
            <w:r>
              <w:rPr>
                <w:sz w:val="20"/>
                <w:szCs w:val="20"/>
                <w:lang w:val="en-GB"/>
              </w:rPr>
              <w:t>when defining BD/CCE limits for certain slot group (X), UE would operate according to the lowest BD/CCE limit involved for the slot group X (</w:t>
            </w:r>
            <w:r>
              <w:rPr>
                <w:rFonts w:ascii="Wingdings" w:hAnsi="Wingdings" w:eastAsia="Wingdings" w:cs="Wingdings"/>
                <w:sz w:val="20"/>
                <w:szCs w:val="20"/>
                <w:lang w:val="en-GB"/>
              </w:rPr>
              <w:t></w:t>
            </w:r>
            <w:r>
              <w:rPr>
                <w:sz w:val="20"/>
                <w:szCs w:val="20"/>
                <w:lang w:val="en-GB"/>
              </w:rPr>
              <w:t xml:space="preserve"> if CSS is involved, the UE would operate according BD/CCE limits defined for the case of Y=X)</w:t>
            </w:r>
          </w:p>
          <w:p>
            <w:pPr>
              <w:pStyle w:val="73"/>
              <w:widowControl w:val="0"/>
              <w:numPr>
                <w:ilvl w:val="0"/>
                <w:numId w:val="38"/>
              </w:numPr>
              <w:snapToGrid/>
              <w:spacing w:line="240" w:lineRule="auto"/>
              <w:contextualSpacing/>
              <w:rPr>
                <w:lang w:val="en-GB"/>
              </w:rPr>
            </w:pPr>
            <w:r>
              <w:rPr>
                <w:sz w:val="20"/>
                <w:szCs w:val="20"/>
                <w:lang w:val="en-GB"/>
              </w:rPr>
              <w:t>BD/CCE limits are defined only for USS while CSS is always monitored according to gNB configuration.</w:t>
            </w:r>
          </w:p>
          <w:p>
            <w:pPr>
              <w:widowControl w:val="0"/>
              <w:spacing w:after="0" w:line="257" w:lineRule="auto"/>
              <w:rPr>
                <w:b/>
                <w:bCs/>
                <w:i/>
                <w:iCs/>
              </w:rPr>
            </w:pPr>
          </w:p>
          <w:p>
            <w:pPr>
              <w:widowControl w:val="0"/>
              <w:spacing w:after="0" w:line="257" w:lineRule="auto"/>
              <w:rPr>
                <w:i/>
                <w:iCs/>
              </w:rPr>
            </w:pPr>
            <w:r>
              <w:rPr>
                <w:b/>
                <w:bCs/>
                <w:i/>
                <w:iCs/>
              </w:rPr>
              <w:t>Proposal 4:</w:t>
            </w:r>
            <w:r>
              <w:t xml:space="preserve"> </w:t>
            </w:r>
            <w:r>
              <w:rPr>
                <w:i/>
                <w:iCs/>
              </w:rPr>
              <w:t>Consider one or more of the following solutions for supporting CSS on top of Alt1:</w:t>
            </w:r>
          </w:p>
          <w:p>
            <w:pPr>
              <w:pStyle w:val="73"/>
              <w:widowControl w:val="0"/>
              <w:numPr>
                <w:ilvl w:val="0"/>
                <w:numId w:val="39"/>
              </w:numPr>
              <w:snapToGrid/>
              <w:spacing w:line="240" w:lineRule="auto"/>
              <w:contextualSpacing/>
              <w:rPr>
                <w:i/>
                <w:iCs/>
                <w:sz w:val="20"/>
                <w:szCs w:val="20"/>
                <w:lang w:val="en-GB"/>
              </w:rPr>
            </w:pPr>
            <w:r>
              <w:rPr>
                <w:i/>
                <w:iCs/>
                <w:sz w:val="20"/>
                <w:szCs w:val="20"/>
                <w:lang w:val="en-GB"/>
              </w:rPr>
              <w:t xml:space="preserve">Allow floating, UE specific location for Y slots (within X slots). </w:t>
            </w:r>
          </w:p>
          <w:p>
            <w:pPr>
              <w:pStyle w:val="73"/>
              <w:widowControl w:val="0"/>
              <w:numPr>
                <w:ilvl w:val="0"/>
                <w:numId w:val="39"/>
              </w:numPr>
              <w:snapToGrid/>
              <w:spacing w:line="240" w:lineRule="auto"/>
              <w:contextualSpacing/>
              <w:rPr>
                <w:i/>
                <w:iCs/>
                <w:sz w:val="20"/>
                <w:szCs w:val="20"/>
                <w:lang w:val="en-GB"/>
              </w:rPr>
            </w:pPr>
            <w:r>
              <w:rPr>
                <w:i/>
                <w:iCs/>
                <w:sz w:val="20"/>
                <w:szCs w:val="20"/>
                <w:lang w:val="en-GB"/>
              </w:rPr>
              <w:t xml:space="preserve">Support search space- specific configuration for (X,Y) or for (Y) </w:t>
            </w:r>
          </w:p>
          <w:p>
            <w:pPr>
              <w:pStyle w:val="73"/>
              <w:widowControl w:val="0"/>
              <w:numPr>
                <w:ilvl w:val="0"/>
                <w:numId w:val="39"/>
              </w:numPr>
              <w:snapToGrid/>
              <w:spacing w:line="240" w:lineRule="auto"/>
              <w:contextualSpacing/>
              <w:rPr>
                <w:i/>
                <w:iCs/>
                <w:sz w:val="20"/>
                <w:szCs w:val="20"/>
                <w:lang w:val="en-GB"/>
              </w:rPr>
            </w:pPr>
            <w:r>
              <w:rPr>
                <w:i/>
                <w:iCs/>
                <w:sz w:val="20"/>
                <w:szCs w:val="20"/>
                <w:lang w:val="en-GB"/>
              </w:rPr>
              <w:t>BD/CCE limits are defined only for USS.</w:t>
            </w:r>
          </w:p>
          <w:p>
            <w:pPr>
              <w:widowControl w:val="0"/>
              <w:rPr>
                <w:lang w:val="en-GB" w:eastAsia="zh-CN"/>
              </w:rPr>
            </w:pPr>
          </w:p>
        </w:tc>
      </w:tr>
    </w:tbl>
    <w:p>
      <w:pPr>
        <w:rPr>
          <w:lang w:val="en-GB" w:eastAsia="zh-CN"/>
        </w:rPr>
      </w:pPr>
    </w:p>
    <w:p>
      <w:pPr>
        <w:pStyle w:val="4"/>
        <w:jc w:val="both"/>
        <w:rPr>
          <w:lang w:val="en-GB" w:eastAsia="zh-CN"/>
        </w:rPr>
      </w:pPr>
      <w:r>
        <w:rPr>
          <w:lang w:val="en-GB" w:eastAsia="zh-CN"/>
        </w:rPr>
        <w:t>R1-2109477 (Samsung)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jc w:val="both"/>
              <w:rPr>
                <w:rFonts w:cs="Arial"/>
                <w:bCs/>
                <w:kern w:val="2"/>
                <w:u w:val="single"/>
                <w:lang w:eastAsia="ja-JP"/>
              </w:rPr>
            </w:pPr>
            <w:r>
              <w:rPr>
                <w:rFonts w:cs="Arial"/>
                <w:b/>
                <w:bCs/>
                <w:kern w:val="2"/>
                <w:u w:val="single"/>
                <w:lang w:eastAsia="ja-JP"/>
              </w:rPr>
              <w:t>Observation 3</w:t>
            </w:r>
            <w:r>
              <w:rPr>
                <w:rFonts w:cs="Arial"/>
                <w:bCs/>
                <w:kern w:val="2"/>
                <w:u w:val="single"/>
                <w:lang w:eastAsia="ja-JP"/>
              </w:rPr>
              <w:t xml:space="preserve">: Both Alt 1 and Alt 2 support multi-slot span based PDCCH monitoring according to a combination of (X, Y) and a predetermined span pattern repeated over time. </w:t>
            </w:r>
          </w:p>
          <w:p>
            <w:pPr>
              <w:widowControl w:val="0"/>
              <w:jc w:val="both"/>
              <w:rPr>
                <w:rFonts w:cs="Arial"/>
                <w:bCs/>
                <w:kern w:val="2"/>
                <w:u w:val="single"/>
                <w:lang w:eastAsia="ja-JP"/>
              </w:rPr>
            </w:pPr>
          </w:p>
          <w:p>
            <w:pPr>
              <w:widowControl w:val="0"/>
              <w:jc w:val="both"/>
              <w:rPr>
                <w:rFonts w:cs="Arial"/>
                <w:bCs/>
                <w:kern w:val="2"/>
                <w:u w:val="single"/>
                <w:lang w:eastAsia="ja-JP"/>
              </w:rPr>
            </w:pPr>
            <w:r>
              <w:rPr>
                <w:rFonts w:cs="Arial"/>
                <w:b/>
                <w:bCs/>
                <w:kern w:val="2"/>
                <w:u w:val="single"/>
                <w:lang w:eastAsia="ja-JP"/>
              </w:rPr>
              <w:t xml:space="preserve">Observation 4: </w:t>
            </w:r>
            <w:r>
              <w:rPr>
                <w:rFonts w:cs="Arial"/>
                <w:bCs/>
                <w:kern w:val="2"/>
                <w:u w:val="single"/>
                <w:lang w:eastAsia="ja-JP"/>
              </w:rPr>
              <w:t>There is no need to support fixed span pattern, such as fixed repetition cycle of span pattern and fixed location within the repetition cycle.</w:t>
            </w:r>
          </w:p>
          <w:p>
            <w:pPr>
              <w:widowControl w:val="0"/>
              <w:jc w:val="both"/>
              <w:rPr>
                <w:rFonts w:cs="Arial"/>
                <w:bCs/>
                <w:kern w:val="2"/>
                <w:u w:val="single"/>
                <w:lang w:eastAsia="ja-JP"/>
              </w:rPr>
            </w:pPr>
          </w:p>
          <w:p>
            <w:pPr>
              <w:widowControl w:val="0"/>
              <w:jc w:val="both"/>
              <w:rPr>
                <w:rFonts w:eastAsia="MS Mincho" w:cs="Arial"/>
                <w:kern w:val="2"/>
                <w:szCs w:val="20"/>
                <w:lang w:eastAsia="ja-JP"/>
              </w:rPr>
            </w:pPr>
            <w:r>
              <w:rPr>
                <w:rFonts w:eastAsia="MS Mincho" w:cs="Arial"/>
                <w:kern w:val="2"/>
                <w:szCs w:val="20"/>
                <w:lang w:eastAsia="ja-JP"/>
              </w:rPr>
              <w:t>The minimum PDCCH monitoring gap X should be more than one slot so that a UE can distribute PDCCH processing/monitoring requirements over multiple slots. For a maximum PDCCH monitoring span duration, Y, applicable values for Y can be same as Rel-15 slot-based PDCCH monitoring (i.e. one slot).</w:t>
            </w:r>
            <w:r>
              <w:t xml:space="preserve"> </w:t>
            </w:r>
            <w:r>
              <w:rPr>
                <w:rFonts w:eastAsia="MS Mincho" w:cs="Arial"/>
                <w:kern w:val="2"/>
                <w:szCs w:val="20"/>
                <w:lang w:eastAsia="ja-JP"/>
              </w:rPr>
              <w:t xml:space="preserve">Alternatively, Y can also be multiple slots to provide more PDCCH monitoring occasions and higher scheduling flexibility to the NW. As a UE may expect much narrower beam direction </w:t>
            </w:r>
            <w:r>
              <w:rPr>
                <w:rFonts w:eastAsia="宋体"/>
                <w:lang w:eastAsia="zh-CN"/>
              </w:rPr>
              <w:t xml:space="preserve">from 52.6 GHz to 71 GHz compared to FR1 or FR2, the additional occasions when Y </w:t>
            </w:r>
            <w:r>
              <w:rPr>
                <w:rFonts w:eastAsia="MS Mincho" w:cs="Arial"/>
                <w:kern w:val="2"/>
                <w:szCs w:val="20"/>
                <w:lang w:eastAsia="ja-JP"/>
              </w:rPr>
              <w:t>is larger than one slot can be used to for PDCCH receptions associated with different beam directions.</w:t>
            </w:r>
          </w:p>
          <w:p>
            <w:pPr>
              <w:widowControl w:val="0"/>
            </w:pPr>
          </w:p>
          <w:p>
            <w:pPr>
              <w:widowControl w:val="0"/>
              <w:jc w:val="both"/>
              <w:rPr>
                <w:b/>
                <w:u w:val="single"/>
              </w:rPr>
            </w:pPr>
            <w:r>
              <w:rPr>
                <w:b/>
                <w:u w:val="single"/>
              </w:rPr>
              <w:t>Proposal 2: Support multi-slot span based PDCCH monitoring capability according to combination (X, Y), where</w:t>
            </w:r>
          </w:p>
          <w:p>
            <w:pPr>
              <w:pStyle w:val="73"/>
              <w:widowControl w:val="0"/>
              <w:numPr>
                <w:ilvl w:val="0"/>
                <w:numId w:val="40"/>
              </w:numPr>
              <w:snapToGrid/>
              <w:spacing w:line="240" w:lineRule="auto"/>
              <w:jc w:val="both"/>
              <w:rPr>
                <w:b/>
                <w:u w:val="single"/>
              </w:rPr>
            </w:pPr>
            <w:r>
              <w:rPr>
                <w:b/>
                <w:u w:val="single"/>
              </w:rPr>
              <w:t>X &gt; 1 slots (e.g. X = 4 for 480 KHz and X = 8 for 960 KHz)</w:t>
            </w:r>
          </w:p>
          <w:p>
            <w:pPr>
              <w:pStyle w:val="73"/>
              <w:widowControl w:val="0"/>
              <w:numPr>
                <w:ilvl w:val="0"/>
                <w:numId w:val="40"/>
              </w:numPr>
              <w:snapToGrid/>
              <w:spacing w:line="240" w:lineRule="auto"/>
              <w:jc w:val="both"/>
              <w:rPr>
                <w:b/>
                <w:u w:val="single"/>
                <w:lang w:val="fr-FR"/>
              </w:rPr>
            </w:pPr>
            <w:r>
              <w:rPr>
                <w:b/>
                <w:u w:val="single"/>
                <w:lang w:val="fr-FR"/>
              </w:rPr>
              <w:t xml:space="preserve">Y&gt;= 1 slots (e.g. 1&lt;=Y&lt;=X/2) </w:t>
            </w:r>
          </w:p>
          <w:p>
            <w:pPr>
              <w:widowControl w:val="0"/>
              <w:spacing w:line="288" w:lineRule="auto"/>
              <w:jc w:val="both"/>
              <w:rPr>
                <w:rFonts w:eastAsia="MS Mincho" w:cs="Arial"/>
                <w:kern w:val="2"/>
                <w:szCs w:val="20"/>
                <w:lang w:val="fr-FR" w:eastAsia="ja-JP"/>
              </w:rPr>
            </w:pPr>
          </w:p>
          <w:p>
            <w:pPr>
              <w:widowControl w:val="0"/>
              <w:jc w:val="both"/>
              <w:rPr>
                <w:b/>
                <w:u w:val="single"/>
              </w:rPr>
            </w:pPr>
            <w:r>
              <w:rPr>
                <w:b/>
                <w:u w:val="single"/>
              </w:rPr>
              <w:t xml:space="preserve">Proposal 3: Support flexible span pattern for multi-slot span based PDCCH monitoring, where the repetition cycle of a span pattern and span location within the repetition cycle can be flexible and predetermined according to configured search space sets. </w:t>
            </w:r>
          </w:p>
          <w:p>
            <w:pPr>
              <w:widowControl w:val="0"/>
              <w:spacing w:line="288" w:lineRule="auto"/>
              <w:jc w:val="both"/>
              <w:rPr>
                <w:rFonts w:eastAsia="MS Mincho" w:cs="Arial"/>
                <w:b/>
                <w:kern w:val="2"/>
                <w:szCs w:val="20"/>
                <w:lang w:eastAsia="ja-JP"/>
              </w:rPr>
            </w:pPr>
          </w:p>
          <w:p>
            <w:pPr>
              <w:widowControl w:val="0"/>
              <w:jc w:val="both"/>
              <w:rPr>
                <w:rFonts w:eastAsia="宋体"/>
                <w:lang w:eastAsia="zh-CN"/>
              </w:rPr>
            </w:pPr>
            <w:r>
              <w:rPr>
                <w:rFonts w:eastAsia="MS Mincho" w:cs="Arial"/>
                <w:kern w:val="2"/>
                <w:szCs w:val="20"/>
                <w:lang w:eastAsia="ja-JP"/>
              </w:rPr>
              <w:t>In practice, a UE can support multiple applicable values for combination (X, Y). The larger the X value is, the larger the reduction in PDCCH monitoring requirements for a UE. To provide full flexibility for configuration of search space sets to a NW, multiple combinations of (X, Y) can be supported for multi-slot span based PDCCH monitoring at high SCS, such as 480 KHz and 960 KHz, similar to span-based PDCCH monitoring in Rel-16. The combination (X, Y) can either be determined based on UE capability or predetermined for applicable SCS configurations, such as</w:t>
            </w:r>
            <w:r>
              <w:rPr>
                <w:rFonts w:eastAsia="宋体"/>
                <w:lang w:eastAsia="zh-CN"/>
              </w:rPr>
              <w:t xml:space="preserve">, </w:t>
            </w:r>
            <m:oMath>
              <m:r>
                <w:rPr>
                  <w:rFonts w:ascii="Cambria Math" w:hAnsi="Cambria Math" w:eastAsia="宋体"/>
                  <w:lang w:eastAsia="zh-CN"/>
                </w:rPr>
                <m:t>μ=5,or 6</m:t>
              </m:r>
            </m:oMath>
            <w:r>
              <w:rPr>
                <w:rFonts w:eastAsia="宋体"/>
                <w:lang w:eastAsia="zh-CN"/>
              </w:rPr>
              <w:t>.</w:t>
            </w:r>
          </w:p>
          <w:p>
            <w:pPr>
              <w:widowControl w:val="0"/>
              <w:jc w:val="both"/>
              <w:rPr>
                <w:b/>
              </w:rPr>
            </w:pPr>
          </w:p>
          <w:p>
            <w:pPr>
              <w:widowControl w:val="0"/>
              <w:jc w:val="both"/>
              <w:rPr>
                <w:rFonts w:eastAsia="MS Mincho" w:cs="Arial"/>
                <w:kern w:val="2"/>
                <w:szCs w:val="20"/>
                <w:lang w:eastAsia="ja-JP"/>
              </w:rPr>
            </w:pPr>
            <w:r>
              <w:rPr>
                <w:rFonts w:eastAsia="MS Mincho" w:cs="Arial"/>
                <w:kern w:val="2"/>
                <w:szCs w:val="20"/>
                <w:lang w:eastAsia="ja-JP"/>
              </w:rPr>
              <w:t>An extended span gap increases latency. A scheduling delay of (X - Y) slots can be large for some cases, such as when X is much larger than Y, or when Y is small, e.g. 1. In addition, there may be some loss in data rate if only single PDSCH/PUSCH scheduling per slot is supported. To overcome those issues, adaptation on combination (X, Y) can be considered when a UE is capable of supporting multiple combinations (X, Y). For example, when a UE reports a capability of multiple combinations (X, Y), the UE can be indicated by the NW a selected combination (X, Y) from the multiple combinations based on L1 signaling. The UE can deactivate or activate some PDCCH monitoring occasions according to the PDCCH configuration limitations for the selected combination (X, Y). The UE can also use a maximum number of PDCCH candidates/non-overlapping CCEs based on the indicated (X, Y).</w:t>
            </w:r>
          </w:p>
          <w:p>
            <w:pPr>
              <w:widowControl w:val="0"/>
              <w:jc w:val="both"/>
              <w:rPr>
                <w:rFonts w:eastAsia="MS Mincho" w:cs="Arial"/>
                <w:kern w:val="2"/>
                <w:szCs w:val="20"/>
                <w:lang w:eastAsia="ja-JP"/>
              </w:rPr>
            </w:pPr>
          </w:p>
          <w:p>
            <w:pPr>
              <w:widowControl w:val="0"/>
              <w:jc w:val="both"/>
              <w:rPr>
                <w:rFonts w:eastAsia="MS Mincho" w:cs="Arial"/>
                <w:kern w:val="2"/>
                <w:szCs w:val="20"/>
                <w:lang w:eastAsia="ja-JP"/>
              </w:rPr>
            </w:pPr>
            <w:r>
              <w:rPr>
                <w:rFonts w:eastAsia="MS Mincho" w:cs="Arial"/>
                <w:kern w:val="2"/>
                <w:szCs w:val="20"/>
                <w:lang w:eastAsia="ja-JP"/>
              </w:rPr>
              <w:t xml:space="preserve">A UE can report its preferred minimum multi-slot span gap, X, and/or maximum multi-slot span Y, according to UE requirements on power savings, latency, and data rate. </w:t>
            </w:r>
          </w:p>
          <w:p>
            <w:pPr>
              <w:widowControl w:val="0"/>
              <w:rPr>
                <w:b/>
              </w:rPr>
            </w:pPr>
          </w:p>
          <w:p>
            <w:pPr>
              <w:widowControl w:val="0"/>
              <w:jc w:val="both"/>
              <w:rPr>
                <w:b/>
                <w:u w:val="single"/>
              </w:rPr>
            </w:pPr>
            <w:r>
              <w:rPr>
                <w:b/>
                <w:u w:val="single"/>
              </w:rPr>
              <w:t>Proposal 4: Support UE reporting of multiple combinations (X, Y), and support adaptation among combinations and UE assistance information on the selection of combination.</w:t>
            </w:r>
          </w:p>
          <w:p>
            <w:pPr>
              <w:widowControl w:val="0"/>
              <w:jc w:val="both"/>
              <w:rPr>
                <w:b/>
                <w:i/>
                <w:iCs/>
              </w:rPr>
            </w:pPr>
          </w:p>
        </w:tc>
      </w:tr>
    </w:tbl>
    <w:p>
      <w:pPr>
        <w:rPr>
          <w:lang w:val="en-GB" w:eastAsia="zh-CN"/>
        </w:rPr>
      </w:pPr>
    </w:p>
    <w:p>
      <w:pPr>
        <w:pStyle w:val="4"/>
        <w:jc w:val="both"/>
        <w:rPr>
          <w:lang w:val="en-GB" w:eastAsia="zh-CN"/>
        </w:rPr>
      </w:pPr>
      <w:r>
        <w:rPr>
          <w:lang w:val="en-GB" w:eastAsia="zh-CN"/>
        </w:rPr>
        <w:t>R1-2109560 (MediaTek)</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pStyle w:val="27"/>
              <w:widowControl w:val="0"/>
              <w:jc w:val="left"/>
            </w:pPr>
            <w:bookmarkStart w:id="27" w:name="_Ref78902220"/>
            <w:r>
              <w:t xml:space="preserve">Proposal </w:t>
            </w:r>
            <w:r>
              <w:fldChar w:fldCharType="begin"/>
            </w:r>
            <w:r>
              <w:instrText xml:space="preserve"> SEQ Proposal \* ARABIC </w:instrText>
            </w:r>
            <w:r>
              <w:fldChar w:fldCharType="separate"/>
            </w:r>
            <w:r>
              <w:t>1</w:t>
            </w:r>
            <w:r>
              <w:fldChar w:fldCharType="end"/>
            </w:r>
            <w:r>
              <w:t>: For multi-slot PDCCH monitoring capability, remove Alt3 from the discussion.</w:t>
            </w:r>
            <w:bookmarkEnd w:id="27"/>
            <w:r>
              <w:t xml:space="preserve"> </w:t>
            </w:r>
          </w:p>
          <w:p>
            <w:pPr>
              <w:widowControl w:val="0"/>
            </w:pPr>
            <w:r>
              <w:t>The remaining discussion is whether the location of the Y slots within the X slots is the same for all the UEs. Based on the discussion in RAN1 #106e meeting, to resolve the Type-0 CSS monitoring issue, two alternatives can be considered under the assumption that all UEs supporting same (X,Y) adopt the same fixed pattern of slot groups:</w:t>
            </w:r>
            <w:r>
              <w:br w:type="textWrapping"/>
            </w:r>
            <w:r>
              <w:t>Alternative 1) The location of the Y slots within the X slots is fixed for all the UEs and Type-0 CSS configuration needs be revised accordingly.</w:t>
            </w:r>
          </w:p>
          <w:p>
            <w:pPr>
              <w:widowControl w:val="0"/>
            </w:pPr>
            <w:r>
              <w:t>Alternative 2) The location of the Y slots within the X slots can be configured.</w:t>
            </w:r>
          </w:p>
          <w:p>
            <w:pPr>
              <w:widowControl w:val="0"/>
            </w:pPr>
          </w:p>
          <w:p>
            <w:pPr>
              <w:widowControl w:val="0"/>
            </w:pPr>
            <w:r>
              <w:t xml:space="preserve">From single UE perspective, both alternatives are similar. From gNB perspective, the selection of Alt1 and Alt2 depends on the tradeoff between scheduling configuration simplicity and scheduling flexibility. That is, fixed monitoring slots locations for all the UE are restricted for scheduling but it can achieve scheduling configuration simplicity at gNB side compared with having the monitoring slots location within the X slots be configurable.  </w:t>
            </w:r>
          </w:p>
          <w:p>
            <w:pPr>
              <w:widowControl w:val="0"/>
            </w:pPr>
          </w:p>
          <w:p>
            <w:pPr>
              <w:widowControl w:val="0"/>
            </w:pPr>
            <w:r>
              <w:t xml:space="preserve">The other discussion of Alt1 is whether the fixed pattern of slot groups and the location of the Y slots within the X slots are the same across CCs with (X,Y) multi-slot PDCCH monitoring configuration when multi-cell operation is considered. In our view, all the CCs with (X,Y) multi-slot PDCCH monitoring configuration should share the same pattern of slot groups to simplify the design. As for the location of the Y slots within a slot group of X slots, compared with the fixed location of the Y slots across CCs, non-aligned locations of Y slots can provide potential scheduling flexibility with the cost of complicating the BD/CCE limit distribution when multi-cell operation is considered. For example, it is possible that the monitoring slots in a cell with (X,Y) multi-slot PDCCH monitoring configuration might be close to the monitoring slots in another cell with the same (X,Y) multi-slot PDCCH monitoring configuration, which is illustrated in </w:t>
            </w:r>
            <w:r>
              <w:fldChar w:fldCharType="begin"/>
            </w:r>
            <w:r>
              <w:instrText xml:space="preserve"> REF _Ref68527611 \h </w:instrText>
            </w:r>
            <w:r>
              <w:fldChar w:fldCharType="separate"/>
            </w:r>
            <w:r>
              <w:t>Figure 1</w:t>
            </w:r>
            <w:r>
              <w:fldChar w:fldCharType="end"/>
            </w:r>
            <w:r>
              <w:t>. In this example, both CCs follow (X=4,Y=1) multi-slot PDCCH monitoring configuration and the BD/CCE limit assigned to monitoring slots M1_2 in CC#1 and M2_1 in CC#2 need to acknowledge UE monitoring capability on monitoring the back to back slots. Therefore, to complete the design, the multi-cell monitoring capability need to be carefully discussed. On the other hand, the fixed location of the Y slots across CCs have benefit on BD/CCE limit determination for CA operation, which expedites BD/CCE budge assignment from gNB perspective and facilitates PDCCH candidate dropping determination at UE side. Furthermore, the aligned PDCCH monitoring pattern across CCs can further improve PDCCH monitoring power consumption compared with the non-aligned PDCCH monitoring pattern. The same observation applies to Alt2 where PDCCH monitoring configuration can be flexible under the constraints of (X,Y).</w:t>
            </w:r>
          </w:p>
          <w:p>
            <w:pPr>
              <w:widowControl w:val="0"/>
            </w:pPr>
          </w:p>
          <w:p>
            <w:pPr>
              <w:pStyle w:val="27"/>
              <w:widowControl w:val="0"/>
              <w:jc w:val="left"/>
            </w:pPr>
            <w:bookmarkStart w:id="28" w:name="_Ref78902377"/>
            <w:bookmarkStart w:id="29" w:name="_Ref68510864"/>
            <w:r>
              <w:t xml:space="preserve">Proposal </w:t>
            </w:r>
            <w:r>
              <w:fldChar w:fldCharType="begin"/>
            </w:r>
            <w:r>
              <w:instrText xml:space="preserve"> SEQ Proposal \* ARABIC </w:instrText>
            </w:r>
            <w:r>
              <w:fldChar w:fldCharType="separate"/>
            </w:r>
            <w:r>
              <w:t>2</w:t>
            </w:r>
            <w:r>
              <w:fldChar w:fldCharType="end"/>
            </w:r>
            <w:r>
              <w:t>: Adopt Alt1 as the multi-slot PDCCH capability with the following aspects.</w:t>
            </w:r>
            <w:bookmarkEnd w:id="28"/>
            <w:r>
              <w:t xml:space="preserve"> </w:t>
            </w:r>
          </w:p>
          <w:p>
            <w:pPr>
              <w:pStyle w:val="73"/>
              <w:widowControl w:val="0"/>
              <w:numPr>
                <w:ilvl w:val="0"/>
                <w:numId w:val="16"/>
              </w:numPr>
            </w:pPr>
            <w:r>
              <w:t xml:space="preserve">Alt. 1: Use a fixed pattern of slot groups as the baseline to define the new capability. </w:t>
            </w:r>
          </w:p>
          <w:p>
            <w:pPr>
              <w:pStyle w:val="73"/>
              <w:widowControl w:val="0"/>
              <w:numPr>
                <w:ilvl w:val="1"/>
                <w:numId w:val="16"/>
              </w:numPr>
            </w:pPr>
            <w:r>
              <w:t>Each slot group consists of X slots</w:t>
            </w:r>
          </w:p>
          <w:p>
            <w:pPr>
              <w:pStyle w:val="73"/>
              <w:widowControl w:val="0"/>
              <w:numPr>
                <w:ilvl w:val="1"/>
                <w:numId w:val="16"/>
              </w:numPr>
            </w:pPr>
            <w:r>
              <w:t>Slot groups are consecutive and non-overlapping</w:t>
            </w:r>
          </w:p>
          <w:p>
            <w:pPr>
              <w:pStyle w:val="73"/>
              <w:widowControl w:val="0"/>
              <w:numPr>
                <w:ilvl w:val="1"/>
                <w:numId w:val="16"/>
              </w:numPr>
            </w:pPr>
            <w:r>
              <w:t xml:space="preserve">The capability indicates the BD/CCE budget within Y consecutive slots in each slot group </w:t>
            </w:r>
          </w:p>
          <w:p>
            <w:pPr>
              <w:pStyle w:val="73"/>
              <w:widowControl w:val="0"/>
              <w:numPr>
                <w:ilvl w:val="2"/>
                <w:numId w:val="16"/>
              </w:numPr>
            </w:pPr>
            <w:r>
              <w:t>The location of the Y slots within the X slots is maintained across different slot groups</w:t>
            </w:r>
          </w:p>
          <w:p>
            <w:pPr>
              <w:pStyle w:val="73"/>
              <w:widowControl w:val="0"/>
              <w:numPr>
                <w:ilvl w:val="1"/>
                <w:numId w:val="16"/>
              </w:numPr>
              <w:rPr>
                <w:color w:val="FF0000"/>
              </w:rPr>
            </w:pPr>
            <w:r>
              <w:rPr>
                <w:color w:val="FF0000"/>
              </w:rPr>
              <w:t xml:space="preserve">The fixed pattern of slot groups associated with (X,Y) is the same for all UEs </w:t>
            </w:r>
          </w:p>
          <w:p>
            <w:pPr>
              <w:pStyle w:val="73"/>
              <w:widowControl w:val="0"/>
              <w:numPr>
                <w:ilvl w:val="1"/>
                <w:numId w:val="16"/>
              </w:numPr>
            </w:pPr>
            <w:r>
              <w:rPr>
                <w:color w:val="FF0000"/>
              </w:rPr>
              <w:t xml:space="preserve">For CA, the location of the Y slots within a slot group of X slots is maintained across CCs associated with (X,Y) configuration </w:t>
            </w:r>
          </w:p>
          <w:p>
            <w:pPr>
              <w:pStyle w:val="73"/>
              <w:widowControl w:val="0"/>
              <w:numPr>
                <w:ilvl w:val="1"/>
                <w:numId w:val="16"/>
              </w:numPr>
              <w:snapToGrid/>
              <w:spacing w:line="240" w:lineRule="auto"/>
              <w:contextualSpacing/>
              <w:rPr>
                <w:color w:val="FF0000"/>
              </w:rPr>
            </w:pPr>
            <w:r>
              <w:rPr>
                <w:color w:val="FF0000"/>
              </w:rPr>
              <w:t>For restrictions on location of the Y slots within a slot group, adopt one of the following alternatives</w:t>
            </w:r>
          </w:p>
          <w:p>
            <w:pPr>
              <w:pStyle w:val="73"/>
              <w:widowControl w:val="0"/>
              <w:numPr>
                <w:ilvl w:val="2"/>
                <w:numId w:val="16"/>
              </w:numPr>
              <w:snapToGrid/>
              <w:spacing w:line="240" w:lineRule="auto"/>
              <w:contextualSpacing/>
              <w:rPr>
                <w:color w:val="FF0000"/>
              </w:rPr>
            </w:pPr>
            <w:r>
              <w:rPr>
                <w:color w:val="FF0000"/>
              </w:rPr>
              <w:t xml:space="preserve">Alternative1:Restrict the location of the Y slots to be the first Y slots within a slot group </w:t>
            </w:r>
          </w:p>
          <w:p>
            <w:pPr>
              <w:pStyle w:val="73"/>
              <w:widowControl w:val="0"/>
              <w:numPr>
                <w:ilvl w:val="3"/>
                <w:numId w:val="16"/>
              </w:numPr>
              <w:snapToGrid/>
              <w:spacing w:line="240" w:lineRule="auto"/>
              <w:contextualSpacing/>
              <w:rPr>
                <w:color w:val="FF0000"/>
              </w:rPr>
            </w:pPr>
            <w:r>
              <w:rPr>
                <w:color w:val="FF0000"/>
              </w:rPr>
              <w:t>FFS: Type-0 CSS configuration adaptation</w:t>
            </w:r>
          </w:p>
          <w:p>
            <w:pPr>
              <w:pStyle w:val="73"/>
              <w:widowControl w:val="0"/>
              <w:numPr>
                <w:ilvl w:val="2"/>
                <w:numId w:val="16"/>
              </w:numPr>
              <w:snapToGrid/>
              <w:spacing w:line="240" w:lineRule="auto"/>
              <w:contextualSpacing/>
              <w:rPr>
                <w:strike/>
                <w:color w:val="FF0000"/>
              </w:rPr>
            </w:pPr>
            <w:r>
              <w:rPr>
                <w:color w:val="FF0000"/>
              </w:rPr>
              <w:t>Alternative2:The location of the Y slots within the X slots can be configured</w:t>
            </w:r>
          </w:p>
          <w:p>
            <w:pPr>
              <w:pStyle w:val="73"/>
              <w:widowControl w:val="0"/>
              <w:numPr>
                <w:ilvl w:val="1"/>
                <w:numId w:val="16"/>
              </w:numPr>
            </w:pPr>
            <w:r>
              <w:t>Further discuss down-selection of Y within 1&lt;=Y&lt;=X/2 (both in units of slot) when X&gt;1</w:t>
            </w:r>
          </w:p>
          <w:p>
            <w:pPr>
              <w:pStyle w:val="73"/>
              <w:widowControl w:val="0"/>
              <w:numPr>
                <w:ilvl w:val="1"/>
                <w:numId w:val="16"/>
              </w:numPr>
            </w:pPr>
            <w:r>
              <w:t>FFS: Further definition of capabilities</w:t>
            </w:r>
          </w:p>
          <w:p>
            <w:pPr>
              <w:pStyle w:val="73"/>
              <w:widowControl w:val="0"/>
              <w:numPr>
                <w:ilvl w:val="1"/>
                <w:numId w:val="16"/>
              </w:numPr>
            </w:pPr>
            <w:r>
              <w:t>FFS: The following issues for the search space configuration discussion</w:t>
            </w:r>
          </w:p>
          <w:p>
            <w:pPr>
              <w:pStyle w:val="73"/>
              <w:widowControl w:val="0"/>
              <w:numPr>
                <w:ilvl w:val="2"/>
                <w:numId w:val="16"/>
              </w:numPr>
              <w:snapToGrid/>
              <w:spacing w:line="240" w:lineRule="auto"/>
              <w:contextualSpacing/>
            </w:pPr>
            <w:r>
              <w:t xml:space="preserve">Whether a slot group is aligned with a slot boundary </w:t>
            </w:r>
          </w:p>
          <w:p>
            <w:pPr>
              <w:pStyle w:val="73"/>
              <w:widowControl w:val="0"/>
              <w:numPr>
                <w:ilvl w:val="1"/>
                <w:numId w:val="16"/>
              </w:numPr>
            </w:pPr>
            <w:r>
              <w:t>FFS: What the UE capability defines for monitoring within the Y slots</w:t>
            </w:r>
          </w:p>
          <w:bookmarkEnd w:id="29"/>
          <w:p>
            <w:pPr>
              <w:widowControl w:val="0"/>
              <w:rPr>
                <w:b/>
                <w:bCs/>
              </w:rPr>
            </w:pPr>
          </w:p>
          <w:p>
            <w:pPr>
              <w:widowControl w:val="0"/>
            </w:pPr>
            <w:r>
              <w:t>Regarding the candidate values of (X,Y) in Alt1 and Alt2, at least X=4 slots and X=8 are agreed to be supported for multi-slot PDCCH monitoring in 480 kHz and 960kHz, respectively. To facilitate the discussion, we suggest to prioritize the discussion of Y values for the cases of X=4 slots for 480kHz and X=8 for 960kHz and we suggest at least Y=1 should be supported to achieve UE power saving. For other values of (X,Y), if needed, we prefer to have an UE capability to address the trade-off between UE implementation complexity and gNB scheduling flexibility.</w:t>
            </w:r>
          </w:p>
          <w:p>
            <w:pPr>
              <w:widowControl w:val="0"/>
            </w:pPr>
          </w:p>
          <w:p>
            <w:pPr>
              <w:pStyle w:val="27"/>
              <w:widowControl w:val="0"/>
            </w:pPr>
            <w:r>
              <w:t xml:space="preserve">  Proposal </w:t>
            </w:r>
            <w:r>
              <w:fldChar w:fldCharType="begin"/>
            </w:r>
            <w:r>
              <w:instrText xml:space="preserve"> SEQ Proposal \* ARABIC </w:instrText>
            </w:r>
            <w:r>
              <w:fldChar w:fldCharType="separate"/>
            </w:r>
            <w:r>
              <w:t>3</w:t>
            </w:r>
            <w:r>
              <w:fldChar w:fldCharType="end"/>
            </w:r>
            <w:r>
              <w:t xml:space="preserve">: To achieve UE power saving in multi-slot monitoring, at least (X=4 slots, Y=1 slot) and (X=8 slots, Y=1 slot) should be supported for multi-slot PDCCH monitoring in 480 kHz and 960kHz, respectively, in Alt1. For other pairs of (X,Y), if needed, optional UE capability should be introduced. </w:t>
            </w:r>
          </w:p>
          <w:p>
            <w:pPr>
              <w:widowControl w:val="0"/>
              <w:rPr>
                <w:b/>
                <w:bCs/>
              </w:rPr>
            </w:pPr>
          </w:p>
        </w:tc>
      </w:tr>
    </w:tbl>
    <w:p>
      <w:pPr>
        <w:rPr>
          <w:lang w:eastAsia="zh-CN"/>
        </w:rPr>
      </w:pPr>
    </w:p>
    <w:p>
      <w:pPr>
        <w:pStyle w:val="4"/>
        <w:jc w:val="both"/>
        <w:rPr>
          <w:lang w:val="en-GB" w:eastAsia="zh-CN"/>
        </w:rPr>
      </w:pPr>
      <w:r>
        <w:rPr>
          <w:lang w:val="en-GB" w:eastAsia="zh-CN"/>
        </w:rPr>
        <w:t>R1-2109599 (Intel)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lang w:val="en-GB" w:eastAsia="zh-CN"/>
              </w:rPr>
            </w:pPr>
            <w:r>
              <w:rPr>
                <w:lang w:val="en-GB" w:eastAsia="zh-CN"/>
              </w:rPr>
              <w:t>Alt 1 adopts a fixed</w:t>
            </w:r>
            <w:r>
              <w:t xml:space="preserve"> pattern of slot groups, i.e., the Y consecutive slots repeat every X slots periodically. On the other hand, the distance between adjacent spans of up to Y consecutive slots is variable, i.e., larger than or equal to X in Alt 2. Alt 2 is essentially a superset of Alt 1. However, it is questionable what additional flexibility can be provided by Alt 2 considering that the PDCCH MOs of a USS/CSS set is allocated periodically. For example, assuming X=4, it is impossible to configure a USS set with periodicity of 4 slots and another USS set with periodicity of 5 slots by Alt 2. Since Alt 1 is quite simple solution and already achieves the key design of multi-slot PDCCH monitoring which mitigates the problem of maximum number of BDs/CCEs for per-slot PDCCH monitoring. Hence, we prefer to support Alt 1 for the </w:t>
            </w:r>
            <w:r>
              <w:rPr>
                <w:lang w:val="en-GB" w:eastAsia="zh-CN"/>
              </w:rPr>
              <w:t>multi-slot PDCCH monitoring capability.</w:t>
            </w:r>
          </w:p>
          <w:p>
            <w:pPr>
              <w:widowControl w:val="0"/>
              <w:jc w:val="both"/>
              <w:rPr>
                <w:lang w:val="en-GB" w:eastAsia="zh-CN"/>
              </w:rPr>
            </w:pPr>
            <w:r>
              <w:rPr>
                <w:lang w:val="en-GB" w:eastAsia="zh-CN"/>
              </w:rPr>
              <w:t xml:space="preserve">On the other hand, Alt 2 does allow some more patterns for PDCCH monitoring than Alt 1. Alt 2 allows a flexible gap (&gt;= X) between adjacent spans. A special case is that the gap is fixed but it can be larger than X between adjacent spans. For example, if multi-slot PDCCH monitoring capability is defined with X=4, Alt 2 allows the configuration periodicity of a USS/CSS set of 5 slots. Effectively, the actual configured pattern of PDCCH MOs is a fixed pattern of 5-slot groups. Therefore, if there is a strong interest to support certain designs from Alt 2, as a compromise, Alt 1 can be extended so that the actual configured PDCCH MOs follows a fixed slot group pattern with group size &gt;= X slots. Note that since the UE has the capability to decode PDCCHs in every X slots, UE can support PDCCH decoding with a periodicity larger than X slots. </w:t>
            </w:r>
          </w:p>
          <w:p>
            <w:pPr>
              <w:widowControl w:val="0"/>
              <w:jc w:val="both"/>
              <w:rPr>
                <w:lang w:val="en-GB" w:eastAsia="zh-CN"/>
              </w:rPr>
            </w:pPr>
            <w:r>
              <w:rPr>
                <w:lang w:val="en-GB" w:eastAsia="zh-CN"/>
              </w:rPr>
              <w:t xml:space="preserve">Regarding the open issues of Alt 1, since gNB can control the periodicity and offset configured for a USS/CSS set, it is sufficient to define the fixed slot group pattern from a frame boundary and configure the Y slots to the beginning of Y consecutive slots in each slot group. </w:t>
            </w:r>
          </w:p>
          <w:p>
            <w:pPr>
              <w:widowControl w:val="0"/>
              <w:spacing w:before="240" w:after="0"/>
              <w:jc w:val="both"/>
              <w:rPr>
                <w:b/>
              </w:rPr>
            </w:pPr>
            <w:r>
              <w:rPr>
                <w:b/>
              </w:rPr>
              <w:t xml:space="preserve">Proposal 1: </w:t>
            </w:r>
          </w:p>
          <w:p>
            <w:pPr>
              <w:pStyle w:val="73"/>
              <w:widowControl w:val="0"/>
              <w:numPr>
                <w:ilvl w:val="0"/>
                <w:numId w:val="41"/>
              </w:numPr>
              <w:snapToGrid/>
              <w:spacing w:before="60" w:line="240" w:lineRule="auto"/>
              <w:jc w:val="both"/>
              <w:rPr>
                <w:rFonts w:ascii="Times New Roman" w:hAnsi="Times New Roman"/>
                <w:sz w:val="20"/>
                <w:szCs w:val="20"/>
                <w:lang w:val="en-GB" w:eastAsia="zh-CN"/>
              </w:rPr>
            </w:pPr>
            <w:r>
              <w:rPr>
                <w:rFonts w:ascii="Times New Roman" w:hAnsi="Times New Roman"/>
                <w:sz w:val="20"/>
                <w:szCs w:val="20"/>
                <w:lang w:val="en-GB" w:eastAsia="zh-CN"/>
              </w:rPr>
              <w:t>Adopt Alt 1 to define multi-slot PDCCH monitoring capability.</w:t>
            </w:r>
          </w:p>
          <w:p>
            <w:pPr>
              <w:pStyle w:val="73"/>
              <w:widowControl w:val="0"/>
              <w:numPr>
                <w:ilvl w:val="0"/>
                <w:numId w:val="41"/>
              </w:numPr>
              <w:snapToGrid/>
              <w:spacing w:before="60" w:line="240" w:lineRule="auto"/>
              <w:jc w:val="both"/>
              <w:rPr>
                <w:rFonts w:ascii="Times New Roman" w:hAnsi="Times New Roman"/>
                <w:sz w:val="20"/>
                <w:szCs w:val="20"/>
                <w:lang w:val="en-GB" w:eastAsia="zh-CN"/>
              </w:rPr>
            </w:pPr>
            <w:r>
              <w:rPr>
                <w:rFonts w:ascii="Times New Roman" w:hAnsi="Times New Roman"/>
                <w:sz w:val="20"/>
                <w:szCs w:val="20"/>
                <w:lang w:val="en-GB" w:eastAsia="zh-CN"/>
              </w:rPr>
              <w:t xml:space="preserve">The fixed slot group pattern is defined referring to a frame boundary, with Y slots being at the beginning of Y consecutive slots in each slot group. </w:t>
            </w:r>
          </w:p>
          <w:p>
            <w:pPr>
              <w:widowControl w:val="0"/>
              <w:jc w:val="both"/>
              <w:rPr>
                <w:lang w:val="en-GB" w:eastAsia="zh-CN"/>
              </w:rPr>
            </w:pPr>
          </w:p>
          <w:p>
            <w:pPr>
              <w:widowControl w:val="0"/>
              <w:jc w:val="both"/>
              <w:rPr>
                <w:rFonts w:eastAsia="Times New Roman"/>
                <w:lang w:val="en-GB" w:eastAsia="zh-CN"/>
              </w:rPr>
            </w:pPr>
            <w:r>
              <w:rPr>
                <w:rFonts w:eastAsia="Times New Roman"/>
                <w:lang w:val="en-GB" w:eastAsia="zh-CN"/>
              </w:rPr>
              <w:t xml:space="preserve">Regarding value X for Alt 1, it was agreed to support at least 4 for SCS 480kHz and 8 for SCS 960kHz. Further, additional smaller values are not excluded. Having smaller X value allows gNB to configure PDCCH monitoring more frequently, which can enable quick response of certain indication. For example, if LBT is used for the channel access, the frequency PDCCH monitoring enables gNB to start effective DL transmission right after the successful of DL LBT. Therefore, it is beneficial to support X equals to 2 for SCS 480kHz. Further, X can be 2 or 4 for SCS 960kHz. </w:t>
            </w:r>
          </w:p>
          <w:p>
            <w:pPr>
              <w:widowControl w:val="0"/>
              <w:jc w:val="both"/>
              <w:rPr>
                <w:rFonts w:eastAsia="Times New Roman"/>
                <w:lang w:val="en-GB" w:eastAsia="zh-CN"/>
              </w:rPr>
            </w:pPr>
            <w:r>
              <w:rPr>
                <w:rFonts w:eastAsia="Times New Roman"/>
                <w:lang w:val="en-GB" w:eastAsia="zh-CN"/>
              </w:rPr>
              <w:t xml:space="preserve">One open issue is whether per-slot PDCCH monitoring capability can be supported for SCS 480/960kHz. It is expected that the number of BDs/CCEs per slot that can be monitored by a UE is reduced for the high SCSs. As a result, a UE may not support the PDCCH monitoring of high aggregation level, e.g., 16 or 8. Otherwise, if the number of BDs/CCEs per slot is increased, the overall complexity for PDCCH monitoring of a UE becomes substantially high. Therefore, we prefer that </w:t>
            </w:r>
            <w:r>
              <w:rPr>
                <w:lang w:val="en-GB" w:eastAsia="zh-CN"/>
              </w:rPr>
              <w:t xml:space="preserve">per-slot PDCCH monitoring capability is not supported for SCS 480/960kHz. </w:t>
            </w:r>
          </w:p>
          <w:p>
            <w:pPr>
              <w:widowControl w:val="0"/>
              <w:jc w:val="both"/>
              <w:rPr>
                <w:rFonts w:eastAsia="Times New Roman"/>
                <w:lang w:val="en-GB" w:eastAsia="zh-CN"/>
              </w:rPr>
            </w:pPr>
            <w:r>
              <w:rPr>
                <w:rFonts w:eastAsia="Times New Roman"/>
                <w:lang w:val="en-GB" w:eastAsia="zh-CN"/>
              </w:rPr>
              <w:t xml:space="preserve">From the past discussions, it was agreed that a maximum value of Y is X/2, which avoids back-to-back configuration of PDCCH monitoring occasions. Regarding the minimum value of Y, the candidates include one slot or more than one slots. For </w:t>
            </w:r>
            <w:r>
              <w:rPr>
                <w:lang w:eastAsia="zh-CN"/>
              </w:rPr>
              <w:t xml:space="preserve">the flexibility to configure the USS sets and CSS sets, </w:t>
            </w:r>
            <w:r>
              <w:rPr>
                <w:rFonts w:eastAsia="Times New Roman"/>
                <w:lang w:val="en-GB" w:eastAsia="zh-CN"/>
              </w:rPr>
              <w:t xml:space="preserve">it is preferred to restrict a minimum Y of two slots, which allows gNB to configure USS sets and CSS sets in same or different symbols in same or different slots. As an exception, if X equals to two slots, Y can be just one slot. In this case, it only supports the gNB to configure USS sets and CSS sets in same or different symbols in the same slot. </w:t>
            </w:r>
          </w:p>
          <w:p>
            <w:pPr>
              <w:widowControl w:val="0"/>
              <w:spacing w:before="240" w:after="0"/>
              <w:jc w:val="both"/>
              <w:rPr>
                <w:b/>
              </w:rPr>
            </w:pPr>
            <w:r>
              <w:rPr>
                <w:b/>
              </w:rPr>
              <w:t xml:space="preserve">Proposal 2: </w:t>
            </w:r>
          </w:p>
          <w:p>
            <w:pPr>
              <w:pStyle w:val="73"/>
              <w:widowControl w:val="0"/>
              <w:numPr>
                <w:ilvl w:val="0"/>
                <w:numId w:val="41"/>
              </w:numPr>
              <w:snapToGrid/>
              <w:spacing w:before="60" w:line="240" w:lineRule="auto"/>
              <w:jc w:val="both"/>
              <w:rPr>
                <w:rFonts w:ascii="Times New Roman" w:hAnsi="Times New Roman"/>
                <w:sz w:val="20"/>
                <w:szCs w:val="20"/>
                <w:lang w:val="en-GB" w:eastAsia="zh-CN"/>
              </w:rPr>
            </w:pPr>
            <w:r>
              <w:rPr>
                <w:rFonts w:ascii="Times New Roman" w:hAnsi="Times New Roman"/>
                <w:sz w:val="20"/>
                <w:szCs w:val="20"/>
                <w:lang w:val="en-GB" w:eastAsia="zh-CN"/>
              </w:rPr>
              <w:t>Additional X value, i.e., 2 for SCS 480kHz, 2 and 4 for SCS 960kHz can be supported</w:t>
            </w:r>
          </w:p>
          <w:p>
            <w:pPr>
              <w:pStyle w:val="73"/>
              <w:widowControl w:val="0"/>
              <w:numPr>
                <w:ilvl w:val="1"/>
                <w:numId w:val="41"/>
              </w:numPr>
              <w:snapToGrid/>
              <w:spacing w:before="60" w:line="240" w:lineRule="auto"/>
              <w:jc w:val="both"/>
              <w:rPr>
                <w:rFonts w:ascii="Times New Roman" w:hAnsi="Times New Roman"/>
                <w:sz w:val="20"/>
                <w:szCs w:val="20"/>
                <w:lang w:val="en-GB" w:eastAsia="zh-CN"/>
              </w:rPr>
            </w:pPr>
            <w:r>
              <w:rPr>
                <w:rFonts w:ascii="Times New Roman" w:hAnsi="Times New Roman"/>
                <w:sz w:val="20"/>
                <w:szCs w:val="20"/>
                <w:lang w:val="en-GB" w:eastAsia="zh-CN"/>
              </w:rPr>
              <w:t>Per-slot PDCCH monitoring capability is not supported for SCS 480/960kHz</w:t>
            </w:r>
          </w:p>
          <w:p>
            <w:pPr>
              <w:pStyle w:val="73"/>
              <w:widowControl w:val="0"/>
              <w:numPr>
                <w:ilvl w:val="0"/>
                <w:numId w:val="41"/>
              </w:numPr>
              <w:snapToGrid/>
              <w:spacing w:before="60" w:line="240" w:lineRule="auto"/>
              <w:jc w:val="both"/>
              <w:rPr>
                <w:rFonts w:ascii="Times New Roman" w:hAnsi="Times New Roman"/>
                <w:sz w:val="20"/>
                <w:szCs w:val="20"/>
                <w:lang w:val="en-GB" w:eastAsia="zh-CN"/>
              </w:rPr>
            </w:pPr>
            <w:r>
              <w:rPr>
                <w:rFonts w:ascii="Times New Roman" w:hAnsi="Times New Roman"/>
                <w:sz w:val="20"/>
                <w:szCs w:val="20"/>
                <w:lang w:val="en-GB" w:eastAsia="zh-CN"/>
              </w:rPr>
              <w:t xml:space="preserve">The minimum value of Y is 2, except the case that X equals to 2 and Y equals to 1. </w:t>
            </w:r>
          </w:p>
          <w:p>
            <w:pPr>
              <w:pStyle w:val="73"/>
              <w:widowControl w:val="0"/>
              <w:numPr>
                <w:ilvl w:val="0"/>
                <w:numId w:val="41"/>
              </w:numPr>
              <w:snapToGrid/>
              <w:spacing w:before="60" w:line="240" w:lineRule="auto"/>
              <w:jc w:val="both"/>
              <w:rPr>
                <w:rFonts w:ascii="Times New Roman" w:hAnsi="Times New Roman"/>
                <w:sz w:val="20"/>
                <w:szCs w:val="20"/>
                <w:lang w:val="en-GB" w:eastAsia="zh-CN"/>
              </w:rPr>
            </w:pPr>
            <w:r>
              <w:rPr>
                <w:rFonts w:ascii="Times New Roman" w:hAnsi="Times New Roman"/>
                <w:sz w:val="20"/>
                <w:szCs w:val="20"/>
                <w:lang w:val="en-GB" w:eastAsia="zh-CN"/>
              </w:rPr>
              <w:t xml:space="preserve">FFS other Y values larger than the minimum value and smaller than X/2. </w:t>
            </w:r>
          </w:p>
          <w:p>
            <w:pPr>
              <w:widowControl w:val="0"/>
              <w:snapToGrid/>
              <w:spacing w:line="240" w:lineRule="auto"/>
              <w:jc w:val="both"/>
              <w:rPr>
                <w:b/>
                <w:sz w:val="20"/>
                <w:szCs w:val="20"/>
                <w:lang w:val="en-GB"/>
              </w:rPr>
            </w:pPr>
          </w:p>
        </w:tc>
      </w:tr>
    </w:tbl>
    <w:p>
      <w:pPr>
        <w:rPr>
          <w:lang w:eastAsia="zh-CN"/>
        </w:rPr>
      </w:pPr>
    </w:p>
    <w:p>
      <w:pPr>
        <w:pStyle w:val="4"/>
        <w:jc w:val="both"/>
        <w:rPr>
          <w:lang w:val="en-GB" w:eastAsia="zh-CN"/>
        </w:rPr>
      </w:pPr>
      <w:r>
        <w:rPr>
          <w:lang w:val="en-GB" w:eastAsia="zh-CN"/>
        </w:rPr>
        <w:t>R1-2109666 (NTT DOCOMO)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szCs w:val="18"/>
              </w:rPr>
            </w:pPr>
            <w:r>
              <w:rPr>
                <w:szCs w:val="18"/>
              </w:rPr>
              <w:t>As described above, RAN1 now focuses on down-selection between Alt.1 and Alt.2.</w:t>
            </w:r>
            <w:r>
              <w:rPr>
                <w:rFonts w:hint="eastAsia"/>
                <w:szCs w:val="18"/>
              </w:rPr>
              <w:t xml:space="preserve"> </w:t>
            </w:r>
            <w:r>
              <w:rPr>
                <w:szCs w:val="18"/>
              </w:rPr>
              <w:t>In our view, given the discussions so far, the possible approaches for multi-slot PDCCH monitoring capability definition can be described as follows:</w:t>
            </w:r>
          </w:p>
          <w:p>
            <w:pPr>
              <w:widowControl w:val="0"/>
              <w:rPr>
                <w:szCs w:val="18"/>
              </w:rPr>
            </w:pPr>
          </w:p>
          <w:p>
            <w:pPr>
              <w:pStyle w:val="73"/>
              <w:widowControl w:val="0"/>
              <w:numPr>
                <w:ilvl w:val="0"/>
                <w:numId w:val="42"/>
              </w:numPr>
              <w:snapToGrid/>
              <w:spacing w:after="80" w:line="240" w:lineRule="auto"/>
              <w:rPr>
                <w:szCs w:val="18"/>
              </w:rPr>
            </w:pPr>
            <w:r>
              <w:rPr>
                <w:rFonts w:hint="eastAsia"/>
                <w:szCs w:val="18"/>
              </w:rPr>
              <w:t>A</w:t>
            </w:r>
            <w:r>
              <w:rPr>
                <w:szCs w:val="18"/>
              </w:rPr>
              <w:t>lt.1 based multi-slot PDCCH monitoring capability definition</w:t>
            </w:r>
          </w:p>
          <w:p>
            <w:pPr>
              <w:pStyle w:val="73"/>
              <w:widowControl w:val="0"/>
              <w:numPr>
                <w:ilvl w:val="1"/>
                <w:numId w:val="42"/>
              </w:numPr>
              <w:snapToGrid/>
              <w:spacing w:after="80" w:line="240" w:lineRule="auto"/>
              <w:rPr>
                <w:szCs w:val="18"/>
              </w:rPr>
            </w:pPr>
            <w:r>
              <w:rPr>
                <w:szCs w:val="18"/>
              </w:rPr>
              <w:t>Alt.1-1: Alt. 1 with flexible X or Y with Y&gt;1</w:t>
            </w:r>
          </w:p>
          <w:p>
            <w:pPr>
              <w:pStyle w:val="73"/>
              <w:widowControl w:val="0"/>
              <w:numPr>
                <w:ilvl w:val="0"/>
                <w:numId w:val="43"/>
              </w:numPr>
              <w:snapToGrid/>
              <w:spacing w:after="80" w:line="240" w:lineRule="auto"/>
              <w:rPr>
                <w:szCs w:val="18"/>
              </w:rPr>
            </w:pPr>
            <w:r>
              <w:rPr>
                <w:szCs w:val="18"/>
              </w:rPr>
              <w:t>The location of either X or Y is flexible among different UEs.</w:t>
            </w:r>
          </w:p>
          <w:p>
            <w:pPr>
              <w:pStyle w:val="73"/>
              <w:widowControl w:val="0"/>
              <w:numPr>
                <w:ilvl w:val="0"/>
                <w:numId w:val="43"/>
              </w:numPr>
              <w:snapToGrid/>
              <w:spacing w:after="80" w:line="240" w:lineRule="auto"/>
              <w:rPr>
                <w:szCs w:val="18"/>
              </w:rPr>
            </w:pPr>
            <w:r>
              <w:rPr>
                <w:szCs w:val="18"/>
              </w:rPr>
              <w:t>All types of SSs are configured within Y slots.</w:t>
            </w:r>
          </w:p>
          <w:p>
            <w:pPr>
              <w:pStyle w:val="73"/>
              <w:widowControl w:val="0"/>
              <w:numPr>
                <w:ilvl w:val="0"/>
                <w:numId w:val="43"/>
              </w:numPr>
              <w:snapToGrid/>
              <w:spacing w:after="80" w:line="240" w:lineRule="auto"/>
              <w:rPr>
                <w:szCs w:val="18"/>
              </w:rPr>
            </w:pPr>
            <w:r>
              <w:rPr>
                <w:rFonts w:hint="eastAsia"/>
                <w:szCs w:val="18"/>
              </w:rPr>
              <w:t>Y</w:t>
            </w:r>
            <w:r>
              <w:rPr>
                <w:szCs w:val="18"/>
              </w:rPr>
              <w:t xml:space="preserve"> is larger than one slot for scheduling flexibility and it can also address the current specification that two consecutive slots are monitored for type0-PDCCH CSS.</w:t>
            </w:r>
          </w:p>
          <w:p>
            <w:pPr>
              <w:widowControl w:val="0"/>
              <w:jc w:val="center"/>
              <w:rPr>
                <w:szCs w:val="18"/>
              </w:rPr>
            </w:pPr>
            <w:r>
              <w:rPr>
                <w:szCs w:val="18"/>
                <w:lang w:eastAsia="ko-KR"/>
              </w:rPr>
              <w:drawing>
                <wp:inline distT="0" distB="0" distL="0" distR="0">
                  <wp:extent cx="5639435" cy="1226185"/>
                  <wp:effectExtent l="0" t="0" r="0" b="0"/>
                  <wp:docPr id="2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725735" cy="1245119"/>
                          </a:xfrm>
                          <a:prstGeom prst="rect">
                            <a:avLst/>
                          </a:prstGeom>
                          <a:noFill/>
                          <a:ln>
                            <a:noFill/>
                          </a:ln>
                        </pic:spPr>
                      </pic:pic>
                    </a:graphicData>
                  </a:graphic>
                </wp:inline>
              </w:drawing>
            </w:r>
          </w:p>
          <w:p>
            <w:pPr>
              <w:widowControl w:val="0"/>
              <w:jc w:val="center"/>
              <w:rPr>
                <w:szCs w:val="18"/>
              </w:rPr>
            </w:pPr>
            <w:r>
              <w:rPr>
                <w:szCs w:val="18"/>
              </w:rPr>
              <w:t>Fig.1: An example for Alt.1-1 multi-slot PDCCH monitoring capability definition</w:t>
            </w:r>
          </w:p>
          <w:p>
            <w:pPr>
              <w:widowControl w:val="0"/>
              <w:rPr>
                <w:szCs w:val="18"/>
              </w:rPr>
            </w:pPr>
          </w:p>
          <w:p>
            <w:pPr>
              <w:pStyle w:val="73"/>
              <w:widowControl w:val="0"/>
              <w:numPr>
                <w:ilvl w:val="0"/>
                <w:numId w:val="44"/>
              </w:numPr>
              <w:snapToGrid/>
              <w:spacing w:after="80" w:line="240" w:lineRule="auto"/>
              <w:rPr>
                <w:szCs w:val="18"/>
              </w:rPr>
            </w:pPr>
            <w:r>
              <w:rPr>
                <w:szCs w:val="18"/>
              </w:rPr>
              <w:t xml:space="preserve">Alt.1-2: Alt. 1 with fixed X and Y with Y=1 with enhancement of type0-PDCCH CSS configuration </w:t>
            </w:r>
          </w:p>
          <w:p>
            <w:pPr>
              <w:pStyle w:val="73"/>
              <w:widowControl w:val="0"/>
              <w:numPr>
                <w:ilvl w:val="0"/>
                <w:numId w:val="43"/>
              </w:numPr>
              <w:snapToGrid/>
              <w:spacing w:after="80" w:line="240" w:lineRule="auto"/>
              <w:rPr>
                <w:szCs w:val="18"/>
              </w:rPr>
            </w:pPr>
            <w:r>
              <w:rPr>
                <w:szCs w:val="18"/>
              </w:rPr>
              <w:t>The location of both X and Y are fixed among different UEs.</w:t>
            </w:r>
          </w:p>
          <w:p>
            <w:pPr>
              <w:pStyle w:val="73"/>
              <w:widowControl w:val="0"/>
              <w:numPr>
                <w:ilvl w:val="0"/>
                <w:numId w:val="43"/>
              </w:numPr>
              <w:snapToGrid/>
              <w:spacing w:after="80" w:line="240" w:lineRule="auto"/>
              <w:rPr>
                <w:szCs w:val="18"/>
              </w:rPr>
            </w:pPr>
            <w:r>
              <w:rPr>
                <w:szCs w:val="18"/>
              </w:rPr>
              <w:t>All types of SSs are configured within Y slots.</w:t>
            </w:r>
          </w:p>
          <w:p>
            <w:pPr>
              <w:pStyle w:val="73"/>
              <w:widowControl w:val="0"/>
              <w:numPr>
                <w:ilvl w:val="0"/>
                <w:numId w:val="43"/>
              </w:numPr>
              <w:snapToGrid/>
              <w:spacing w:after="80" w:line="240" w:lineRule="auto"/>
              <w:rPr>
                <w:szCs w:val="18"/>
              </w:rPr>
            </w:pPr>
            <w:r>
              <w:rPr>
                <w:rFonts w:hint="eastAsia"/>
                <w:szCs w:val="18"/>
              </w:rPr>
              <w:t>Y</w:t>
            </w:r>
            <w:r>
              <w:rPr>
                <w:szCs w:val="18"/>
              </w:rPr>
              <w:t xml:space="preserve"> is one slot and any symbols in Y slot can be the monitoring occasion. The monitored slots for type0-PDCCH CSS with SSB and CORESET multiplexing pattern 1 should be enhanced, e.g., n0 slot and n0 + X slot.</w:t>
            </w:r>
          </w:p>
          <w:p>
            <w:pPr>
              <w:widowControl w:val="0"/>
              <w:jc w:val="center"/>
              <w:rPr>
                <w:szCs w:val="18"/>
              </w:rPr>
            </w:pPr>
            <w:r>
              <w:rPr>
                <w:szCs w:val="18"/>
                <w:lang w:eastAsia="ko-KR"/>
              </w:rPr>
              <w:drawing>
                <wp:inline distT="0" distB="0" distL="0" distR="0">
                  <wp:extent cx="5687060" cy="1304925"/>
                  <wp:effectExtent l="0" t="0" r="889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823500" cy="1336157"/>
                          </a:xfrm>
                          <a:prstGeom prst="rect">
                            <a:avLst/>
                          </a:prstGeom>
                          <a:noFill/>
                          <a:ln>
                            <a:noFill/>
                          </a:ln>
                        </pic:spPr>
                      </pic:pic>
                    </a:graphicData>
                  </a:graphic>
                </wp:inline>
              </w:drawing>
            </w:r>
          </w:p>
          <w:p>
            <w:pPr>
              <w:widowControl w:val="0"/>
              <w:jc w:val="center"/>
              <w:rPr>
                <w:szCs w:val="18"/>
              </w:rPr>
            </w:pPr>
            <w:r>
              <w:rPr>
                <w:szCs w:val="18"/>
              </w:rPr>
              <w:t>Fig.2: An example for Alt.1-2 multi-slot PDCCH monitoring capability definition</w:t>
            </w:r>
          </w:p>
          <w:p>
            <w:pPr>
              <w:widowControl w:val="0"/>
              <w:rPr>
                <w:szCs w:val="18"/>
              </w:rPr>
            </w:pPr>
          </w:p>
          <w:p>
            <w:pPr>
              <w:pStyle w:val="73"/>
              <w:widowControl w:val="0"/>
              <w:numPr>
                <w:ilvl w:val="0"/>
                <w:numId w:val="44"/>
              </w:numPr>
              <w:snapToGrid/>
              <w:spacing w:after="80" w:line="240" w:lineRule="auto"/>
              <w:rPr>
                <w:szCs w:val="18"/>
              </w:rPr>
            </w:pPr>
            <w:r>
              <w:rPr>
                <w:szCs w:val="18"/>
              </w:rPr>
              <w:t>Alt.1-3: Alt. 1 with fixed X and Y with Y&gt;1 with different PDCCH monitoring capability for Type1(with dedicated RRC config)/3-CSS/USS and Type0/0A/1(without dedicated RRC config)/2-CSS</w:t>
            </w:r>
          </w:p>
          <w:p>
            <w:pPr>
              <w:pStyle w:val="73"/>
              <w:widowControl w:val="0"/>
              <w:numPr>
                <w:ilvl w:val="0"/>
                <w:numId w:val="43"/>
              </w:numPr>
              <w:snapToGrid/>
              <w:spacing w:after="80" w:line="240" w:lineRule="auto"/>
              <w:rPr>
                <w:szCs w:val="18"/>
              </w:rPr>
            </w:pPr>
            <w:r>
              <w:rPr>
                <w:szCs w:val="18"/>
              </w:rPr>
              <w:t>The location of both X and Y are fixed among different UEs.</w:t>
            </w:r>
          </w:p>
          <w:p>
            <w:pPr>
              <w:pStyle w:val="73"/>
              <w:widowControl w:val="0"/>
              <w:numPr>
                <w:ilvl w:val="0"/>
                <w:numId w:val="43"/>
              </w:numPr>
              <w:snapToGrid/>
              <w:spacing w:after="80" w:line="240" w:lineRule="auto"/>
              <w:rPr>
                <w:szCs w:val="18"/>
              </w:rPr>
            </w:pPr>
            <w:r>
              <w:rPr>
                <w:szCs w:val="18"/>
              </w:rPr>
              <w:t>Only type1(with dedicated RRC config)/3-CSS/USS are restricted within Y slots and type0/0A/1(without dedicated RRC config)/2-CSS are not restricted in Y slot.</w:t>
            </w:r>
          </w:p>
          <w:p>
            <w:pPr>
              <w:pStyle w:val="73"/>
              <w:widowControl w:val="0"/>
              <w:numPr>
                <w:ilvl w:val="1"/>
                <w:numId w:val="43"/>
              </w:numPr>
              <w:snapToGrid/>
              <w:spacing w:after="80" w:line="240" w:lineRule="auto"/>
              <w:rPr>
                <w:szCs w:val="18"/>
              </w:rPr>
            </w:pPr>
            <w:r>
              <w:rPr>
                <w:szCs w:val="18"/>
              </w:rPr>
              <w:t>The number of BD/CCE are calculated for all types of SSs jointly within X slots.</w:t>
            </w:r>
          </w:p>
          <w:p>
            <w:pPr>
              <w:pStyle w:val="73"/>
              <w:widowControl w:val="0"/>
              <w:numPr>
                <w:ilvl w:val="0"/>
                <w:numId w:val="43"/>
              </w:numPr>
              <w:snapToGrid/>
              <w:spacing w:after="80" w:line="240" w:lineRule="auto"/>
              <w:rPr>
                <w:szCs w:val="18"/>
              </w:rPr>
            </w:pPr>
            <w:r>
              <w:rPr>
                <w:rFonts w:hint="eastAsia"/>
                <w:szCs w:val="18"/>
              </w:rPr>
              <w:t>Y</w:t>
            </w:r>
            <w:r>
              <w:rPr>
                <w:szCs w:val="18"/>
              </w:rPr>
              <w:t xml:space="preserve"> is larger than one slot for scheduling flexibility.</w:t>
            </w:r>
          </w:p>
          <w:p>
            <w:pPr>
              <w:widowControl w:val="0"/>
              <w:jc w:val="center"/>
              <w:rPr>
                <w:szCs w:val="18"/>
              </w:rPr>
            </w:pPr>
            <w:r>
              <w:rPr>
                <w:szCs w:val="18"/>
                <w:lang w:eastAsia="ko-KR"/>
              </w:rPr>
              <w:drawing>
                <wp:inline distT="0" distB="0" distL="0" distR="0">
                  <wp:extent cx="5781040" cy="150495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837782" cy="1519576"/>
                          </a:xfrm>
                          <a:prstGeom prst="rect">
                            <a:avLst/>
                          </a:prstGeom>
                          <a:noFill/>
                          <a:ln>
                            <a:noFill/>
                          </a:ln>
                        </pic:spPr>
                      </pic:pic>
                    </a:graphicData>
                  </a:graphic>
                </wp:inline>
              </w:drawing>
            </w:r>
          </w:p>
          <w:p>
            <w:pPr>
              <w:widowControl w:val="0"/>
              <w:jc w:val="center"/>
              <w:rPr>
                <w:szCs w:val="18"/>
              </w:rPr>
            </w:pPr>
            <w:r>
              <w:rPr>
                <w:szCs w:val="18"/>
              </w:rPr>
              <w:t>Fig.3: An example for Alt.1-3 multi-slot PDCCH monitoring capability definition</w:t>
            </w:r>
          </w:p>
          <w:p>
            <w:pPr>
              <w:widowControl w:val="0"/>
              <w:rPr>
                <w:szCs w:val="18"/>
              </w:rPr>
            </w:pPr>
          </w:p>
          <w:p>
            <w:pPr>
              <w:pStyle w:val="73"/>
              <w:widowControl w:val="0"/>
              <w:numPr>
                <w:ilvl w:val="0"/>
                <w:numId w:val="44"/>
              </w:numPr>
              <w:snapToGrid/>
              <w:spacing w:after="80" w:line="240" w:lineRule="auto"/>
              <w:rPr>
                <w:szCs w:val="18"/>
              </w:rPr>
            </w:pPr>
            <w:r>
              <w:rPr>
                <w:szCs w:val="18"/>
              </w:rPr>
              <w:t xml:space="preserve">Alt.1-4: Alt. 1 with fixed X and Y with Y=1 with different PDCCH monitoring capability for Type1(with dedicated RRC config)/3-CSS/USS and Type0/0A/1(without dedicated RRC config)/2-CSS </w:t>
            </w:r>
          </w:p>
          <w:p>
            <w:pPr>
              <w:pStyle w:val="73"/>
              <w:widowControl w:val="0"/>
              <w:numPr>
                <w:ilvl w:val="0"/>
                <w:numId w:val="43"/>
              </w:numPr>
              <w:snapToGrid/>
              <w:spacing w:after="80" w:line="240" w:lineRule="auto"/>
              <w:rPr>
                <w:szCs w:val="18"/>
              </w:rPr>
            </w:pPr>
            <w:r>
              <w:rPr>
                <w:szCs w:val="18"/>
              </w:rPr>
              <w:t>The location of both X and Y are fixed among different UEs.</w:t>
            </w:r>
          </w:p>
          <w:p>
            <w:pPr>
              <w:pStyle w:val="73"/>
              <w:widowControl w:val="0"/>
              <w:numPr>
                <w:ilvl w:val="0"/>
                <w:numId w:val="43"/>
              </w:numPr>
              <w:snapToGrid/>
              <w:spacing w:after="80" w:line="240" w:lineRule="auto"/>
              <w:rPr>
                <w:szCs w:val="18"/>
              </w:rPr>
            </w:pPr>
            <w:r>
              <w:rPr>
                <w:szCs w:val="18"/>
              </w:rPr>
              <w:t>Only type1(with dedicated RRC config)/3-CSS/USS are restricted within Y slots and type0/0A/1(without dedicated RRC config)/2-CSS are not restricted in Y slot.</w:t>
            </w:r>
          </w:p>
          <w:p>
            <w:pPr>
              <w:pStyle w:val="73"/>
              <w:widowControl w:val="0"/>
              <w:numPr>
                <w:ilvl w:val="1"/>
                <w:numId w:val="43"/>
              </w:numPr>
              <w:snapToGrid/>
              <w:spacing w:after="80" w:line="240" w:lineRule="auto"/>
              <w:rPr>
                <w:szCs w:val="18"/>
              </w:rPr>
            </w:pPr>
            <w:r>
              <w:rPr>
                <w:szCs w:val="18"/>
              </w:rPr>
              <w:t>The number of BD/CCE are calculated for all types of SSs jointly within X slots.</w:t>
            </w:r>
          </w:p>
          <w:p>
            <w:pPr>
              <w:pStyle w:val="73"/>
              <w:widowControl w:val="0"/>
              <w:numPr>
                <w:ilvl w:val="0"/>
                <w:numId w:val="43"/>
              </w:numPr>
              <w:snapToGrid/>
              <w:spacing w:after="80" w:line="240" w:lineRule="auto"/>
              <w:rPr>
                <w:szCs w:val="18"/>
              </w:rPr>
            </w:pPr>
            <w:r>
              <w:rPr>
                <w:rFonts w:hint="eastAsia"/>
                <w:szCs w:val="18"/>
              </w:rPr>
              <w:t>Y</w:t>
            </w:r>
            <w:r>
              <w:rPr>
                <w:szCs w:val="18"/>
              </w:rPr>
              <w:t xml:space="preserve"> is one slot and any symbols in Y slot can be the monitoring occasion. </w:t>
            </w:r>
          </w:p>
          <w:p>
            <w:pPr>
              <w:widowControl w:val="0"/>
              <w:jc w:val="center"/>
              <w:rPr>
                <w:szCs w:val="18"/>
              </w:rPr>
            </w:pPr>
            <w:r>
              <w:rPr>
                <w:szCs w:val="18"/>
                <w:lang w:eastAsia="ko-KR"/>
              </w:rPr>
              <w:drawing>
                <wp:inline distT="0" distB="0" distL="0" distR="0">
                  <wp:extent cx="5668010" cy="1475105"/>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700917" cy="1483950"/>
                          </a:xfrm>
                          <a:prstGeom prst="rect">
                            <a:avLst/>
                          </a:prstGeom>
                          <a:noFill/>
                          <a:ln>
                            <a:noFill/>
                          </a:ln>
                        </pic:spPr>
                      </pic:pic>
                    </a:graphicData>
                  </a:graphic>
                </wp:inline>
              </w:drawing>
            </w:r>
          </w:p>
          <w:p>
            <w:pPr>
              <w:widowControl w:val="0"/>
              <w:jc w:val="center"/>
              <w:rPr>
                <w:szCs w:val="18"/>
              </w:rPr>
            </w:pPr>
            <w:r>
              <w:rPr>
                <w:szCs w:val="18"/>
              </w:rPr>
              <w:t>Fig.4: An example for Alt.1-4 multi-slot PDCCH monitoring capability definition</w:t>
            </w:r>
          </w:p>
          <w:p>
            <w:pPr>
              <w:widowControl w:val="0"/>
              <w:rPr>
                <w:szCs w:val="18"/>
              </w:rPr>
            </w:pPr>
          </w:p>
          <w:p>
            <w:pPr>
              <w:pStyle w:val="73"/>
              <w:widowControl w:val="0"/>
              <w:numPr>
                <w:ilvl w:val="0"/>
                <w:numId w:val="42"/>
              </w:numPr>
              <w:snapToGrid/>
              <w:spacing w:after="80" w:line="240" w:lineRule="auto"/>
              <w:rPr>
                <w:szCs w:val="18"/>
              </w:rPr>
            </w:pPr>
            <w:r>
              <w:rPr>
                <w:rFonts w:hint="eastAsia"/>
                <w:szCs w:val="18"/>
              </w:rPr>
              <w:t>A</w:t>
            </w:r>
            <w:r>
              <w:rPr>
                <w:szCs w:val="18"/>
              </w:rPr>
              <w:t>lt.2 based multi-slot PDCCH monitoring capability definition</w:t>
            </w:r>
          </w:p>
          <w:p>
            <w:pPr>
              <w:pStyle w:val="73"/>
              <w:widowControl w:val="0"/>
              <w:numPr>
                <w:ilvl w:val="1"/>
                <w:numId w:val="42"/>
              </w:numPr>
              <w:snapToGrid/>
              <w:spacing w:after="80" w:line="240" w:lineRule="auto"/>
              <w:rPr>
                <w:szCs w:val="18"/>
              </w:rPr>
            </w:pPr>
            <w:r>
              <w:rPr>
                <w:szCs w:val="18"/>
              </w:rPr>
              <w:t>Alt.2-1: Alt. 2 with Y&gt;1</w:t>
            </w:r>
          </w:p>
          <w:p>
            <w:pPr>
              <w:pStyle w:val="73"/>
              <w:widowControl w:val="0"/>
              <w:numPr>
                <w:ilvl w:val="0"/>
                <w:numId w:val="43"/>
              </w:numPr>
              <w:snapToGrid/>
              <w:spacing w:after="80" w:line="240" w:lineRule="auto"/>
              <w:rPr>
                <w:szCs w:val="18"/>
              </w:rPr>
            </w:pPr>
            <w:r>
              <w:rPr>
                <w:szCs w:val="18"/>
              </w:rPr>
              <w:t>All types of SSs are configured within Y slots.</w:t>
            </w:r>
          </w:p>
          <w:p>
            <w:pPr>
              <w:pStyle w:val="73"/>
              <w:widowControl w:val="0"/>
              <w:numPr>
                <w:ilvl w:val="0"/>
                <w:numId w:val="43"/>
              </w:numPr>
              <w:snapToGrid/>
              <w:spacing w:after="80" w:line="240" w:lineRule="auto"/>
              <w:rPr>
                <w:szCs w:val="18"/>
              </w:rPr>
            </w:pPr>
            <w:r>
              <w:rPr>
                <w:rFonts w:hint="eastAsia"/>
                <w:szCs w:val="18"/>
              </w:rPr>
              <w:t>Y</w:t>
            </w:r>
            <w:r>
              <w:rPr>
                <w:szCs w:val="18"/>
              </w:rPr>
              <w:t xml:space="preserve"> is larger than one slot for scheduling flexibility and it can also address the current specification that two consecutive slots are monitored for type0-PDCCH CSS.</w:t>
            </w:r>
          </w:p>
          <w:p>
            <w:pPr>
              <w:widowControl w:val="0"/>
              <w:rPr>
                <w:szCs w:val="18"/>
              </w:rPr>
            </w:pPr>
          </w:p>
          <w:p>
            <w:pPr>
              <w:widowControl w:val="0"/>
              <w:jc w:val="center"/>
              <w:rPr>
                <w:szCs w:val="18"/>
              </w:rPr>
            </w:pPr>
            <w:r>
              <w:rPr>
                <w:szCs w:val="18"/>
                <w:lang w:eastAsia="ko-KR"/>
              </w:rPr>
              <w:drawing>
                <wp:inline distT="0" distB="0" distL="0" distR="0">
                  <wp:extent cx="5959475" cy="1295400"/>
                  <wp:effectExtent l="0" t="0" r="3175" b="0"/>
                  <wp:docPr id="2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6023122" cy="1309788"/>
                          </a:xfrm>
                          <a:prstGeom prst="rect">
                            <a:avLst/>
                          </a:prstGeom>
                          <a:noFill/>
                          <a:ln>
                            <a:noFill/>
                          </a:ln>
                        </pic:spPr>
                      </pic:pic>
                    </a:graphicData>
                  </a:graphic>
                </wp:inline>
              </w:drawing>
            </w:r>
          </w:p>
          <w:p>
            <w:pPr>
              <w:widowControl w:val="0"/>
              <w:jc w:val="center"/>
              <w:rPr>
                <w:szCs w:val="18"/>
              </w:rPr>
            </w:pPr>
            <w:r>
              <w:rPr>
                <w:szCs w:val="18"/>
              </w:rPr>
              <w:t>Fig.5: An example for Alt.2-1 multi-slot PDCCH monitoring capability definition</w:t>
            </w:r>
          </w:p>
          <w:p>
            <w:pPr>
              <w:widowControl w:val="0"/>
              <w:rPr>
                <w:szCs w:val="18"/>
              </w:rPr>
            </w:pPr>
          </w:p>
          <w:p>
            <w:pPr>
              <w:pStyle w:val="73"/>
              <w:widowControl w:val="0"/>
              <w:numPr>
                <w:ilvl w:val="0"/>
                <w:numId w:val="45"/>
              </w:numPr>
              <w:snapToGrid/>
              <w:spacing w:after="80" w:line="240" w:lineRule="auto"/>
              <w:ind w:left="440" w:leftChars="200"/>
              <w:rPr>
                <w:szCs w:val="18"/>
              </w:rPr>
            </w:pPr>
            <w:r>
              <w:rPr>
                <w:szCs w:val="18"/>
              </w:rPr>
              <w:t>Alt.2-2: Alt. 2 with Y=1 with enhancement of type0-PDCCH CSS configuration</w:t>
            </w:r>
          </w:p>
          <w:p>
            <w:pPr>
              <w:pStyle w:val="73"/>
              <w:widowControl w:val="0"/>
              <w:numPr>
                <w:ilvl w:val="0"/>
                <w:numId w:val="43"/>
              </w:numPr>
              <w:snapToGrid/>
              <w:spacing w:after="80" w:line="240" w:lineRule="auto"/>
              <w:rPr>
                <w:szCs w:val="18"/>
              </w:rPr>
            </w:pPr>
            <w:r>
              <w:rPr>
                <w:szCs w:val="18"/>
              </w:rPr>
              <w:t>All types of SSs are configured within Y slots.</w:t>
            </w:r>
          </w:p>
          <w:p>
            <w:pPr>
              <w:pStyle w:val="73"/>
              <w:widowControl w:val="0"/>
              <w:numPr>
                <w:ilvl w:val="0"/>
                <w:numId w:val="43"/>
              </w:numPr>
              <w:snapToGrid/>
              <w:spacing w:after="80" w:line="240" w:lineRule="auto"/>
              <w:rPr>
                <w:szCs w:val="18"/>
              </w:rPr>
            </w:pPr>
            <w:r>
              <w:rPr>
                <w:rFonts w:hint="eastAsia"/>
                <w:szCs w:val="18"/>
              </w:rPr>
              <w:t>Y</w:t>
            </w:r>
            <w:r>
              <w:rPr>
                <w:szCs w:val="18"/>
              </w:rPr>
              <w:t xml:space="preserve"> is one slot and any symbols in Y slot can be the monitoring occasion. The monitored slots for type0-PDCCH CSS with SSB and CORESET multiplexing pattern 1 should be enhanced, e.g., n0 slot and n0 + X (+</w:t>
            </w:r>
            <w:r>
              <w:rPr>
                <w:rFonts w:hint="eastAsia"/>
                <w:szCs w:val="18"/>
              </w:rPr>
              <w:t>α</w:t>
            </w:r>
            <w:r>
              <w:rPr>
                <w:szCs w:val="18"/>
              </w:rPr>
              <w:t>) slot.</w:t>
            </w:r>
          </w:p>
          <w:p>
            <w:pPr>
              <w:widowControl w:val="0"/>
              <w:jc w:val="center"/>
              <w:rPr>
                <w:szCs w:val="18"/>
              </w:rPr>
            </w:pPr>
            <w:r>
              <w:rPr>
                <w:szCs w:val="18"/>
                <w:lang w:eastAsia="ko-KR"/>
              </w:rPr>
              <w:drawing>
                <wp:inline distT="0" distB="0" distL="0" distR="0">
                  <wp:extent cx="5940425" cy="1366520"/>
                  <wp:effectExtent l="0" t="0" r="3175" b="508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987920" cy="1377825"/>
                          </a:xfrm>
                          <a:prstGeom prst="rect">
                            <a:avLst/>
                          </a:prstGeom>
                          <a:noFill/>
                          <a:ln>
                            <a:noFill/>
                          </a:ln>
                        </pic:spPr>
                      </pic:pic>
                    </a:graphicData>
                  </a:graphic>
                </wp:inline>
              </w:drawing>
            </w:r>
          </w:p>
          <w:p>
            <w:pPr>
              <w:widowControl w:val="0"/>
              <w:jc w:val="center"/>
              <w:rPr>
                <w:szCs w:val="18"/>
              </w:rPr>
            </w:pPr>
            <w:r>
              <w:rPr>
                <w:szCs w:val="18"/>
              </w:rPr>
              <w:t>Fig.6: An example for Alt.2-2 multi-slot PDCCH monitoring capability definition</w:t>
            </w:r>
          </w:p>
          <w:p>
            <w:pPr>
              <w:widowControl w:val="0"/>
              <w:rPr>
                <w:szCs w:val="18"/>
              </w:rPr>
            </w:pPr>
          </w:p>
          <w:p>
            <w:pPr>
              <w:widowControl w:val="0"/>
              <w:rPr>
                <w:szCs w:val="18"/>
              </w:rPr>
            </w:pPr>
            <w:r>
              <w:rPr>
                <w:szCs w:val="18"/>
              </w:rPr>
              <w:t>Based on the above,</w:t>
            </w:r>
            <w:r>
              <w:rPr>
                <w:rFonts w:hint="eastAsia"/>
                <w:szCs w:val="18"/>
              </w:rPr>
              <w:t xml:space="preserve"> </w:t>
            </w:r>
            <w:r>
              <w:rPr>
                <w:szCs w:val="18"/>
              </w:rPr>
              <w:t>our best preference is Alt.2-1 since it can achieve better scheduling flexibility of UE-SS for different UEs than any other alternatives and there is no need to enhance the monitored slot for type0-PDCCH CSS. On the other hand, even if Alt 1 has to be a baseline, we believe that Alt.1 should follow Rel-15 FG 3-1, i.e., type0/0A/1(without dedicated RRC config)/2-CSS are not restricted in Y slot(s) described as in Alt.1-3 or Alt.1-4 above.</w:t>
            </w:r>
          </w:p>
          <w:p>
            <w:pPr>
              <w:widowControl w:val="0"/>
              <w:rPr>
                <w:szCs w:val="18"/>
              </w:rPr>
            </w:pPr>
          </w:p>
          <w:p>
            <w:pPr>
              <w:widowControl w:val="0"/>
              <w:rPr>
                <w:i/>
              </w:rPr>
            </w:pPr>
            <w:r>
              <w:rPr>
                <w:b/>
                <w:i/>
              </w:rPr>
              <w:t>Proposal 1</w:t>
            </w:r>
            <w:r>
              <w:rPr>
                <w:i/>
              </w:rPr>
              <w:t xml:space="preserve">: For defining the multi-slot PDCCH monitoring capability for 480 and 960 kHz SCS, </w:t>
            </w:r>
          </w:p>
          <w:p>
            <w:pPr>
              <w:pStyle w:val="73"/>
              <w:widowControl w:val="0"/>
              <w:numPr>
                <w:ilvl w:val="0"/>
                <w:numId w:val="42"/>
              </w:numPr>
              <w:snapToGrid/>
              <w:spacing w:after="80" w:line="240" w:lineRule="auto"/>
              <w:rPr>
                <w:i/>
              </w:rPr>
            </w:pPr>
            <w:r>
              <w:rPr>
                <w:i/>
              </w:rPr>
              <w:t>Support Alt.2 (extension of Rel-16 span PDCCH monitoring) as the baseline with Y larger than one slot.</w:t>
            </w:r>
          </w:p>
          <w:p>
            <w:pPr>
              <w:pStyle w:val="73"/>
              <w:widowControl w:val="0"/>
              <w:numPr>
                <w:ilvl w:val="0"/>
                <w:numId w:val="42"/>
              </w:numPr>
              <w:snapToGrid/>
              <w:spacing w:after="80" w:line="240" w:lineRule="auto"/>
              <w:rPr>
                <w:i/>
                <w:szCs w:val="18"/>
              </w:rPr>
            </w:pPr>
            <w:r>
              <w:rPr>
                <w:bCs/>
                <w:i/>
              </w:rPr>
              <w:t>I</w:t>
            </w:r>
            <w:r>
              <w:rPr>
                <w:i/>
              </w:rPr>
              <w:t xml:space="preserve">f Alt.1 is considered as the baseline, </w:t>
            </w:r>
            <w:r>
              <w:rPr>
                <w:i/>
                <w:szCs w:val="18"/>
              </w:rPr>
              <w:t>type0/0A/1(without dedicated RRC config)/2-CSS should not be restricted in Y slot(s)</w:t>
            </w:r>
            <w:r>
              <w:rPr>
                <w:i/>
              </w:rPr>
              <w:t xml:space="preserve"> as in Rel-15/16 NR. </w:t>
            </w:r>
          </w:p>
          <w:p>
            <w:pPr>
              <w:widowControl w:val="0"/>
            </w:pPr>
          </w:p>
          <w:p>
            <w:pPr>
              <w:widowControl w:val="0"/>
            </w:pPr>
            <w:r>
              <w:t>If Alt.2 is supported for defining the multi-slot monitoring capability, one remaining issue could be span pattern, which defines the monitoring occasion in a slot, and the pattern is repeated among all the slots in Rel-15/16 NR. Since the span length would be larger than the one in Rel-15/16 (i.e., more than 1 slot), whether to repeat the span pattern among all the slot groups may need to be discussed to have more flexibility on span pattern configuration.</w:t>
            </w:r>
            <w:r>
              <w:rPr>
                <w:rFonts w:hint="eastAsia"/>
              </w:rPr>
              <w:t xml:space="preserve"> </w:t>
            </w:r>
            <w:r>
              <w:t xml:space="preserve">On the other hand, given that only two e-meetings are available for Rel-17 completion, we believe just to align similar principle as in Rel-15/16 should be prioritized for any discussion. Considering that a slot is the length of slot pattern with span-based PDCCH monitoring capability in Rel-16, just to define X slots, which is the same as span gap, as the length of slot pattern can be considered. </w:t>
            </w:r>
          </w:p>
          <w:p>
            <w:pPr>
              <w:widowControl w:val="0"/>
            </w:pPr>
          </w:p>
          <w:p>
            <w:pPr>
              <w:widowControl w:val="0"/>
              <w:rPr>
                <w:i/>
              </w:rPr>
            </w:pPr>
            <w:r>
              <w:rPr>
                <w:b/>
                <w:i/>
              </w:rPr>
              <w:t>Proposal 2</w:t>
            </w:r>
            <w:r>
              <w:rPr>
                <w:i/>
              </w:rPr>
              <w:t>: For defining the multi-slot PDCCH monitoring capability for 480 and 960 kHz SCS, support X slots as the unit of span pattern when Alt.2 is supported.</w:t>
            </w:r>
          </w:p>
          <w:p>
            <w:pPr>
              <w:widowControl w:val="0"/>
              <w:snapToGrid/>
              <w:spacing w:line="240" w:lineRule="auto"/>
            </w:pPr>
          </w:p>
        </w:tc>
      </w:tr>
    </w:tbl>
    <w:p>
      <w:pPr>
        <w:rPr>
          <w:lang w:val="en-GB" w:eastAsia="zh-CN"/>
        </w:rPr>
      </w:pPr>
    </w:p>
    <w:p>
      <w:pPr>
        <w:pStyle w:val="4"/>
        <w:jc w:val="both"/>
        <w:rPr>
          <w:lang w:val="en-GB" w:eastAsia="zh-CN"/>
        </w:rPr>
      </w:pPr>
      <w:r>
        <w:rPr>
          <w:lang w:val="en-GB" w:eastAsia="zh-CN"/>
        </w:rPr>
        <w:t>R1-2109778 (Sony)</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after="80"/>
              <w:rPr>
                <w:sz w:val="20"/>
                <w:szCs w:val="20"/>
                <w:lang w:eastAsia="zh-CN"/>
              </w:rPr>
            </w:pPr>
            <w:r>
              <w:rPr>
                <w:sz w:val="20"/>
                <w:szCs w:val="20"/>
                <w:lang w:eastAsia="zh-CN"/>
              </w:rPr>
              <w:t xml:space="preserve">Regarding the start position of the Y consecutive slots, to our understanding, as long as the starting position of Y slots is fixed across the slot groups, it makes no difference in terms of UE monitoring complexity. However, restrict the Y consecutive slots to be at the beginning of each slot group does not harm the network flexibility, especially comparing to the mandatory monitoring capability defined in Rel-15/16. In fact, when the value of Y is more than 1 slot, the flexibility of SS configuration is better than a Rel-15/16 120 kHz SCS carrier. Therefore, allowing the starting position of the Y consecutive slots to be flexible within each slot group may trigger unnecessary discussion on additional parameters and complicate specification. </w:t>
            </w:r>
          </w:p>
          <w:p>
            <w:pPr>
              <w:widowControl w:val="0"/>
              <w:spacing w:after="80"/>
              <w:rPr>
                <w:sz w:val="20"/>
                <w:szCs w:val="20"/>
                <w:lang w:eastAsia="zh-CN"/>
              </w:rPr>
            </w:pPr>
            <w:r>
              <w:rPr>
                <w:sz w:val="20"/>
                <w:szCs w:val="20"/>
                <w:lang w:eastAsia="zh-CN"/>
              </w:rPr>
              <w:t xml:space="preserve">Regarding the possible value of Y, since Y with values that larger than 1 can flexibility improve the flexibility comparing to the Rel-15/16 120 KHz SCS, while considering the potential X = 4 for 480 KHz SCS, Y = X/2 therefore should be supported. </w:t>
            </w:r>
          </w:p>
          <w:p>
            <w:pPr>
              <w:widowControl w:val="0"/>
              <w:spacing w:after="80"/>
              <w:rPr>
                <w:rFonts w:eastAsia="MS Gothic"/>
                <w:b/>
                <w:bCs/>
                <w:u w:val="single"/>
                <w:lang w:eastAsia="ja-JP"/>
              </w:rPr>
            </w:pPr>
            <w:r>
              <w:rPr>
                <w:rFonts w:eastAsia="MS Gothic"/>
                <w:b/>
                <w:bCs/>
                <w:u w:val="single"/>
                <w:lang w:eastAsia="ja-JP"/>
              </w:rPr>
              <w:t xml:space="preserve">Proposal 1: Restrictions on location of the Y slots to start with the beginning of each slot group, while Y = X/2 should be supported. </w:t>
            </w:r>
          </w:p>
          <w:p>
            <w:pPr>
              <w:widowControl w:val="0"/>
              <w:snapToGrid/>
              <w:spacing w:after="80" w:line="240" w:lineRule="auto"/>
              <w:jc w:val="both"/>
              <w:rPr>
                <w:rFonts w:eastAsia="MS Gothic"/>
                <w:b/>
                <w:bCs/>
                <w:lang w:eastAsia="ja-JP"/>
              </w:rPr>
            </w:pPr>
          </w:p>
          <w:p>
            <w:pPr>
              <w:pStyle w:val="73"/>
              <w:widowControl w:val="0"/>
              <w:spacing w:after="80"/>
              <w:ind w:left="0"/>
              <w:rPr>
                <w:szCs w:val="20"/>
              </w:rPr>
            </w:pPr>
          </w:p>
        </w:tc>
      </w:tr>
    </w:tbl>
    <w:p>
      <w:pPr>
        <w:rPr>
          <w:lang w:val="en-GB" w:eastAsia="zh-CN"/>
        </w:rPr>
      </w:pPr>
    </w:p>
    <w:p>
      <w:pPr>
        <w:pStyle w:val="4"/>
        <w:jc w:val="both"/>
        <w:rPr>
          <w:lang w:val="en-GB" w:eastAsia="zh-CN"/>
        </w:rPr>
      </w:pPr>
      <w:r>
        <w:rPr>
          <w:lang w:val="en-GB" w:eastAsia="zh-CN"/>
        </w:rPr>
        <w:t>R1-2109898 (Lenovo, Motorola Mobility)</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b/>
                <w:i/>
                <w:iCs/>
              </w:rPr>
            </w:pPr>
            <w:r>
              <w:rPr>
                <w:b/>
                <w:i/>
                <w:iCs/>
                <w:lang w:eastAsia="ja-JP"/>
              </w:rPr>
              <w:t xml:space="preserve">Observation 1: </w:t>
            </w:r>
            <w:r>
              <w:rPr>
                <w:b/>
                <w:i/>
                <w:iCs/>
              </w:rPr>
              <w:t>For supporting NR between 52.6 GHz and 71 GHz for high subcarrier spacing values including 480kHz and 960kHz with multi-slot PDCCH monitoring, slot group configuration (Alt 1) with PDCCH monitoring occasion only at the beginning of slot group is beneficial to avoid back-to-back issue of PDCCH monitoring across two consecutive slot groups, but not preferable in terms of PDCCH monitoring flexibility</w:t>
            </w:r>
          </w:p>
          <w:p>
            <w:pPr>
              <w:widowControl w:val="0"/>
              <w:jc w:val="both"/>
              <w:rPr>
                <w:b/>
                <w:i/>
                <w:iCs/>
              </w:rPr>
            </w:pPr>
            <w:r>
              <w:rPr>
                <w:b/>
                <w:i/>
                <w:iCs/>
                <w:lang w:eastAsia="ja-JP"/>
              </w:rPr>
              <w:t xml:space="preserve">Observation 2: </w:t>
            </w:r>
            <w:r>
              <w:rPr>
                <w:b/>
                <w:i/>
                <w:iCs/>
              </w:rPr>
              <w:t xml:space="preserve">For supporting NR between 52.6 GHz and 71 GHz for high subcarrier spacing values including 480kHz and 960kHz with multi-slot PDCCH monitoring, if Rel-16 like mechanism with span is extended across multiple slots, then the PDCCH monitoring flexibility can be achieved, while also avoiding the issue of back-to-back PDCCH monitoring across continuous multi-slot groups </w:t>
            </w:r>
          </w:p>
          <w:p>
            <w:pPr>
              <w:widowControl w:val="0"/>
              <w:rPr>
                <w:bCs/>
                <w:lang w:eastAsia="ja-JP"/>
              </w:rPr>
            </w:pPr>
            <w:r>
              <w:rPr>
                <w:bCs/>
                <w:lang w:eastAsia="ja-JP"/>
              </w:rPr>
              <w:t>Another alternative that has been discussed in RAN1#104-e is Alt 3 where a new principle is introduced to have a sliding window of X slots such that the PDCCH monitoring capability is maintained within that window according to the reported UE capability. The main motivation is to avoid back-to-back PDCCH monitoring. However, as described above in Figure 2 (b), Rel-16 like span based PDCCH monitoring mechanism can be simply extended across multiple slots and the issue of back-to-back PDCCH monitoring is avoided. In our view, Alt 2 and Alt 3 can basically achieve the same thing and therefore Alt 2 should be agreed as it is a simple extension of exiting mechanism and would be easier to specify.</w:t>
            </w:r>
          </w:p>
          <w:p>
            <w:pPr>
              <w:widowControl w:val="0"/>
              <w:jc w:val="both"/>
              <w:rPr>
                <w:b/>
                <w:i/>
                <w:iCs/>
              </w:rPr>
            </w:pPr>
            <w:r>
              <w:rPr>
                <w:b/>
                <w:i/>
                <w:iCs/>
                <w:lang w:eastAsia="ja-JP"/>
              </w:rPr>
              <w:t xml:space="preserve">Proposal 1: </w:t>
            </w:r>
            <w:r>
              <w:rPr>
                <w:b/>
                <w:i/>
                <w:iCs/>
              </w:rPr>
              <w:t>For supporting NR between 52.6 GHz and 71 GHz with high subcarrier spacing values including 480kHz and 960kHz, support Alt 2 i.e., extension of (X, Y) PDCCH monitoring span for multi-slot PDCCH monitoring</w:t>
            </w:r>
          </w:p>
          <w:p>
            <w:pPr>
              <w:widowControl w:val="0"/>
              <w:overflowPunct w:val="0"/>
              <w:snapToGrid/>
              <w:spacing w:after="180" w:line="240" w:lineRule="auto"/>
              <w:contextualSpacing/>
              <w:jc w:val="both"/>
              <w:textAlignment w:val="baseline"/>
              <w:rPr>
                <w:b/>
                <w:i/>
                <w:iCs/>
              </w:rPr>
            </w:pPr>
          </w:p>
        </w:tc>
      </w:tr>
    </w:tbl>
    <w:p>
      <w:pPr>
        <w:rPr>
          <w:lang w:val="en-GB" w:eastAsia="zh-CN"/>
        </w:rPr>
      </w:pPr>
    </w:p>
    <w:p>
      <w:pPr>
        <w:pStyle w:val="4"/>
        <w:jc w:val="both"/>
        <w:rPr>
          <w:lang w:val="en-GB" w:eastAsia="zh-CN"/>
        </w:rPr>
      </w:pPr>
      <w:r>
        <w:rPr>
          <w:lang w:val="en-GB" w:eastAsia="zh-CN"/>
        </w:rPr>
        <w:t>R1-2109904 (InterDigital)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spacing w:line="276" w:lineRule="auto"/>
              <w:jc w:val="both"/>
              <w:rPr>
                <w:rFonts w:ascii="Arial" w:hAnsi="Arial" w:cs="Arial"/>
                <w:bCs/>
                <w:i/>
                <w:iCs/>
              </w:rPr>
            </w:pPr>
            <w:r>
              <w:rPr>
                <w:rFonts w:ascii="Arial" w:hAnsi="Arial" w:cs="Arial"/>
                <w:b/>
                <w:i/>
                <w:iCs/>
              </w:rPr>
              <w:t>Observation 1:</w:t>
            </w:r>
            <w:r>
              <w:rPr>
                <w:rFonts w:ascii="Arial" w:hAnsi="Arial" w:cs="Arial"/>
                <w:bCs/>
              </w:rPr>
              <w:t xml:space="preserve"> </w:t>
            </w:r>
            <w:r>
              <w:rPr>
                <w:rFonts w:ascii="Arial" w:hAnsi="Arial" w:cs="Arial"/>
                <w:bCs/>
                <w:i/>
                <w:iCs/>
              </w:rPr>
              <w:t xml:space="preserve">A fixed pattern of X slots (Alt-1) provides the simplest multi-slot PDCCH monitoring scheme which is similar to UE PDCCH monitoring of 120 kHz SCS. </w:t>
            </w:r>
          </w:p>
          <w:p>
            <w:pPr>
              <w:widowControl w:val="0"/>
              <w:spacing w:line="276" w:lineRule="auto"/>
              <w:jc w:val="both"/>
              <w:rPr>
                <w:rFonts w:ascii="Arial" w:hAnsi="Arial" w:cs="Arial"/>
                <w:bCs/>
                <w:i/>
                <w:iCs/>
              </w:rPr>
            </w:pPr>
            <w:r>
              <w:rPr>
                <w:rFonts w:ascii="Arial" w:hAnsi="Arial" w:cs="Arial"/>
                <w:b/>
                <w:i/>
                <w:iCs/>
              </w:rPr>
              <w:t>Observation 2:</w:t>
            </w:r>
            <w:r>
              <w:rPr>
                <w:rFonts w:ascii="Arial" w:hAnsi="Arial" w:cs="Arial"/>
                <w:bCs/>
                <w:i/>
                <w:iCs/>
              </w:rPr>
              <w:t xml:space="preserve"> Span based monitoring (Alt-2) may provide different PDCCH monitoring patterns in every slot, however, requires more complex UE implementation. </w:t>
            </w:r>
          </w:p>
          <w:p>
            <w:pPr>
              <w:widowControl w:val="0"/>
              <w:spacing w:line="276" w:lineRule="auto"/>
              <w:jc w:val="both"/>
              <w:rPr>
                <w:rFonts w:ascii="Arial" w:hAnsi="Arial" w:cs="Arial"/>
                <w:bCs/>
                <w:i/>
                <w:iCs/>
              </w:rPr>
            </w:pPr>
            <w:r>
              <w:rPr>
                <w:rFonts w:ascii="Arial" w:hAnsi="Arial" w:cs="Arial"/>
                <w:b/>
                <w:i/>
                <w:iCs/>
              </w:rPr>
              <w:t>Observation 3:</w:t>
            </w:r>
            <w:r>
              <w:rPr>
                <w:rFonts w:ascii="Arial" w:hAnsi="Arial" w:cs="Arial"/>
                <w:bCs/>
                <w:i/>
                <w:iCs/>
              </w:rPr>
              <w:t xml:space="preserve"> Given the short slot duration of 480 kHz and 960 kHz, benefits of distributing the monitoring/processing loads by supporting sliding windows (Alt 3) are doubted. </w:t>
            </w:r>
          </w:p>
          <w:p>
            <w:pPr>
              <w:widowControl w:val="0"/>
              <w:spacing w:line="276" w:lineRule="auto"/>
              <w:jc w:val="both"/>
              <w:rPr>
                <w:rFonts w:ascii="Arial" w:hAnsi="Arial" w:cs="Arial"/>
                <w:bCs/>
                <w:i/>
                <w:iCs/>
              </w:rPr>
            </w:pPr>
            <w:r>
              <w:rPr>
                <w:rFonts w:ascii="Arial" w:hAnsi="Arial" w:cs="Arial"/>
                <w:b/>
                <w:i/>
                <w:iCs/>
              </w:rPr>
              <w:t>Proposal 1:</w:t>
            </w:r>
            <w:r>
              <w:rPr>
                <w:rFonts w:ascii="Arial" w:hAnsi="Arial" w:cs="Arial"/>
                <w:bCs/>
                <w:i/>
                <w:iCs/>
              </w:rPr>
              <w:t xml:space="preserve"> For 480 kHz SCS and 960 kHz SCS, support of Alt 1 is preferred for multi-slot PDCCH monitoring.</w:t>
            </w:r>
          </w:p>
          <w:p>
            <w:pPr>
              <w:widowControl w:val="0"/>
              <w:spacing w:line="276" w:lineRule="auto"/>
              <w:jc w:val="both"/>
              <w:rPr>
                <w:rFonts w:ascii="Arial" w:hAnsi="Arial" w:cs="Arial"/>
                <w:bCs/>
                <w:i/>
                <w:iCs/>
              </w:rPr>
            </w:pPr>
            <w:r>
              <w:rPr>
                <w:rFonts w:ascii="Arial" w:hAnsi="Arial" w:cs="Arial"/>
                <w:b/>
                <w:i/>
                <w:iCs/>
              </w:rPr>
              <w:t>Proposal 2:</w:t>
            </w:r>
            <w:r>
              <w:rPr>
                <w:rFonts w:ascii="Arial" w:hAnsi="Arial" w:cs="Arial"/>
                <w:bCs/>
                <w:i/>
                <w:iCs/>
              </w:rPr>
              <w:t xml:space="preserve"> Additional need of span based monitoring (Alt-2) should be carefully investigated for 480 kHz and 960 kHz.</w:t>
            </w:r>
          </w:p>
          <w:p>
            <w:pPr>
              <w:widowControl w:val="0"/>
              <w:spacing w:line="276" w:lineRule="auto"/>
              <w:jc w:val="both"/>
              <w:rPr>
                <w:rFonts w:ascii="Arial" w:hAnsi="Arial" w:cs="Arial"/>
                <w:bCs/>
                <w:i/>
                <w:iCs/>
              </w:rPr>
            </w:pPr>
            <w:r>
              <w:rPr>
                <w:rFonts w:ascii="Arial" w:hAnsi="Arial" w:cs="Arial"/>
                <w:b/>
                <w:i/>
                <w:iCs/>
              </w:rPr>
              <w:t>Proposal 3:</w:t>
            </w:r>
            <w:r>
              <w:rPr>
                <w:rFonts w:ascii="Arial" w:hAnsi="Arial" w:cs="Arial"/>
                <w:bCs/>
                <w:i/>
                <w:iCs/>
              </w:rPr>
              <w:t xml:space="preserve"> Sliding window based monitoring (Alt-3) is not supported in Rel-17. </w:t>
            </w:r>
          </w:p>
          <w:p>
            <w:pPr>
              <w:widowControl w:val="0"/>
              <w:spacing w:line="276" w:lineRule="auto"/>
              <w:jc w:val="both"/>
              <w:rPr>
                <w:rFonts w:ascii="Arial" w:hAnsi="Arial" w:cs="Arial"/>
                <w:bCs/>
              </w:rPr>
            </w:pPr>
            <w:r>
              <w:rPr>
                <w:rFonts w:ascii="Arial" w:hAnsi="Arial" w:cs="Arial"/>
                <w:bCs/>
              </w:rPr>
              <w:t xml:space="preserve">In RAN1#106-e [2], supports of at least X=4 slots and X=8 slots are agreed for 480 kHz and 960 kHz, respectively. In our view, support of various PDCCH slot monitoring capability provides better flexilibty considering various verticals and UE implementations for higher frequency. Especially, per slot PDCCH monitoring is one of the important use cases to support reduced latency as clarified in TR [3]. To avoid complex UE implementation issues as much as possible, it is preferred to support X=4 slots for 480 kHz and X=8 for 960 kHz as a mandatory UE capability while other X values can be indicated as a UE capability. For the candidate values of X, it is preferred to support </w:t>
            </w:r>
            <m:oMath>
              <m:r>
                <w:rPr>
                  <w:rFonts w:ascii="Cambria Math" w:hAnsi="Cambria Math" w:cs="Arial"/>
                </w:rPr>
                <m:t>X=</m:t>
              </m:r>
              <m:sSup>
                <m:sSupPr>
                  <m:ctrlPr>
                    <w:rPr>
                      <w:rFonts w:ascii="Cambria Math" w:hAnsi="Cambria Math" w:cs="Arial"/>
                      <w:bCs/>
                    </w:rPr>
                  </m:ctrlPr>
                </m:sSupPr>
                <m:e>
                  <m:r>
                    <w:rPr>
                      <w:rFonts w:ascii="Cambria Math" w:hAnsi="Cambria Math" w:cs="Arial"/>
                    </w:rPr>
                    <m:t>2</m:t>
                  </m:r>
                  <m:ctrlPr>
                    <w:rPr>
                      <w:rFonts w:ascii="Cambria Math" w:hAnsi="Cambria Math" w:cs="Arial"/>
                      <w:bCs/>
                    </w:rPr>
                  </m:ctrlPr>
                </m:e>
                <m:sup>
                  <m:r>
                    <w:rPr>
                      <w:rFonts w:ascii="Cambria Math" w:hAnsi="Cambria Math" w:cs="Arial"/>
                    </w:rPr>
                    <m:t>N</m:t>
                  </m:r>
                  <m:ctrlPr>
                    <w:rPr>
                      <w:rFonts w:ascii="Cambria Math" w:hAnsi="Cambria Math" w:cs="Arial"/>
                      <w:bCs/>
                    </w:rPr>
                  </m:ctrlPr>
                </m:sup>
              </m:sSup>
            </m:oMath>
            <w:r>
              <w:rPr>
                <w:rFonts w:ascii="Arial" w:hAnsi="Arial" w:cs="Arial"/>
                <w:bCs/>
              </w:rPr>
              <w:t xml:space="preserve">, where </w:t>
            </w:r>
            <w:r>
              <w:rPr>
                <w:rFonts w:ascii="Arial" w:hAnsi="Arial" w:cs="Arial"/>
                <w:bCs/>
                <w:i/>
                <w:iCs/>
              </w:rPr>
              <w:t>N</w:t>
            </w:r>
            <w:r>
              <w:rPr>
                <w:rFonts w:ascii="Arial" w:hAnsi="Arial" w:cs="Arial"/>
                <w:bCs/>
              </w:rPr>
              <w:t xml:space="preserve">=0,1 and 2 for 480 kHz and </w:t>
            </w:r>
            <w:r>
              <w:rPr>
                <w:rFonts w:ascii="Arial" w:hAnsi="Arial" w:cs="Arial"/>
                <w:bCs/>
                <w:i/>
                <w:iCs/>
              </w:rPr>
              <w:t>N</w:t>
            </w:r>
            <w:r>
              <w:rPr>
                <w:rFonts w:ascii="Arial" w:hAnsi="Arial" w:cs="Arial"/>
                <w:bCs/>
              </w:rPr>
              <w:t>=0,1,2 and 3 for 960 kHz.</w:t>
            </w:r>
          </w:p>
          <w:p>
            <w:pPr>
              <w:widowControl w:val="0"/>
              <w:spacing w:line="276" w:lineRule="auto"/>
              <w:jc w:val="both"/>
              <w:rPr>
                <w:rFonts w:ascii="Arial" w:hAnsi="Arial" w:cs="Arial"/>
                <w:bCs/>
                <w:i/>
                <w:iCs/>
              </w:rPr>
            </w:pPr>
            <w:r>
              <w:rPr>
                <w:rFonts w:ascii="Arial" w:hAnsi="Arial" w:cs="Arial"/>
                <w:b/>
                <w:i/>
                <w:iCs/>
              </w:rPr>
              <w:t>Observation 4:</w:t>
            </w:r>
            <w:r>
              <w:rPr>
                <w:rFonts w:ascii="Arial" w:hAnsi="Arial" w:cs="Arial"/>
                <w:bCs/>
              </w:rPr>
              <w:t xml:space="preserve"> </w:t>
            </w:r>
            <w:r>
              <w:rPr>
                <w:rFonts w:ascii="Arial" w:hAnsi="Arial" w:cs="Arial"/>
                <w:bCs/>
                <w:i/>
                <w:iCs/>
              </w:rPr>
              <w:t xml:space="preserve">Support of various PDCCH slot monitoring capability provides better flexibility considering various verticals and UE implementations for higher frequency. </w:t>
            </w:r>
          </w:p>
          <w:p>
            <w:pPr>
              <w:widowControl w:val="0"/>
              <w:spacing w:line="276" w:lineRule="auto"/>
              <w:jc w:val="both"/>
              <w:rPr>
                <w:rFonts w:ascii="Arial" w:hAnsi="Arial" w:cs="Arial"/>
                <w:bCs/>
                <w:i/>
                <w:iCs/>
              </w:rPr>
            </w:pPr>
            <w:r>
              <w:rPr>
                <w:rFonts w:ascii="Arial" w:hAnsi="Arial" w:cs="Arial"/>
                <w:b/>
                <w:i/>
                <w:iCs/>
              </w:rPr>
              <w:t>Proposal 4:</w:t>
            </w:r>
            <w:r>
              <w:rPr>
                <w:rFonts w:ascii="Arial" w:hAnsi="Arial" w:cs="Arial"/>
                <w:bCs/>
                <w:i/>
                <w:iCs/>
              </w:rPr>
              <w:t xml:space="preserve"> For the candidate values of X, it is preferred to support X=2^N, where N=0,1 and 2 for 480 kHz and N=0,1,2 and 3 for 960 kHz. </w:t>
            </w:r>
          </w:p>
          <w:p>
            <w:pPr>
              <w:widowControl w:val="0"/>
              <w:spacing w:line="276" w:lineRule="auto"/>
              <w:jc w:val="both"/>
              <w:rPr>
                <w:rFonts w:ascii="Arial" w:hAnsi="Arial" w:cs="Arial"/>
                <w:bCs/>
              </w:rPr>
            </w:pPr>
            <w:r>
              <w:rPr>
                <w:rFonts w:ascii="Arial" w:hAnsi="Arial" w:cs="Arial"/>
                <w:bCs/>
              </w:rPr>
              <w:t>For Alt-1, following issues were raised for further discussion:</w:t>
            </w:r>
          </w:p>
          <w:p>
            <w:pPr>
              <w:pStyle w:val="73"/>
              <w:widowControl w:val="0"/>
              <w:numPr>
                <w:ilvl w:val="0"/>
                <w:numId w:val="46"/>
              </w:numPr>
              <w:snapToGrid/>
              <w:spacing w:after="120" w:line="276" w:lineRule="auto"/>
              <w:jc w:val="both"/>
              <w:rPr>
                <w:rFonts w:ascii="Arial" w:hAnsi="Arial" w:cs="Arial"/>
                <w:bCs/>
              </w:rPr>
            </w:pPr>
            <w:r>
              <w:rPr>
                <w:rFonts w:ascii="Arial" w:hAnsi="Arial" w:cs="Arial"/>
                <w:bCs/>
              </w:rPr>
              <w:t>Whether a slot group is aligned with a slot boundary</w:t>
            </w:r>
          </w:p>
          <w:p>
            <w:pPr>
              <w:pStyle w:val="73"/>
              <w:widowControl w:val="0"/>
              <w:numPr>
                <w:ilvl w:val="1"/>
                <w:numId w:val="46"/>
              </w:numPr>
              <w:snapToGrid/>
              <w:spacing w:after="120" w:line="276" w:lineRule="auto"/>
              <w:jc w:val="both"/>
              <w:rPr>
                <w:rFonts w:ascii="Arial" w:hAnsi="Arial" w:cs="Arial"/>
                <w:bCs/>
              </w:rPr>
            </w:pPr>
            <w:r>
              <w:rPr>
                <w:rFonts w:ascii="Arial" w:hAnsi="Arial" w:cs="Arial"/>
                <w:bCs/>
              </w:rPr>
              <w:t xml:space="preserve">In RAN1#106-e [2], some companies argued that more flexibility can be achieved if UE support a slot group boundary which is not mandated to start from a slot boundary. In our view, the flexible slot boundary may provide more flexibility, however, benefits from the flexibility are not clear given the short symbol/slot durations in 480 kHz and 960 kHz. Having said that, it is preferred to support a slot group which starts from a slot boundary to reuse existing UE implementation as much as possible. </w:t>
            </w:r>
          </w:p>
          <w:p>
            <w:pPr>
              <w:pStyle w:val="73"/>
              <w:widowControl w:val="0"/>
              <w:numPr>
                <w:ilvl w:val="0"/>
                <w:numId w:val="46"/>
              </w:numPr>
              <w:snapToGrid/>
              <w:spacing w:after="120" w:line="276" w:lineRule="auto"/>
              <w:jc w:val="both"/>
              <w:rPr>
                <w:rFonts w:ascii="Arial" w:hAnsi="Arial" w:cs="Arial"/>
                <w:bCs/>
              </w:rPr>
            </w:pPr>
            <w:r>
              <w:rPr>
                <w:rFonts w:ascii="Arial" w:hAnsi="Arial" w:cs="Arial"/>
                <w:bCs/>
              </w:rPr>
              <w:t>Restrictions on location of the Y slots within a slot group, e.g., whether to restrict the location of a SS to be within a slot group.</w:t>
            </w:r>
          </w:p>
          <w:p>
            <w:pPr>
              <w:pStyle w:val="73"/>
              <w:widowControl w:val="0"/>
              <w:numPr>
                <w:ilvl w:val="1"/>
                <w:numId w:val="46"/>
              </w:numPr>
              <w:snapToGrid/>
              <w:spacing w:after="120" w:line="276" w:lineRule="auto"/>
              <w:jc w:val="both"/>
              <w:rPr>
                <w:rFonts w:ascii="Arial" w:hAnsi="Arial" w:cs="Arial"/>
                <w:bCs/>
              </w:rPr>
            </w:pPr>
            <w:r>
              <w:rPr>
                <w:rFonts w:ascii="Arial" w:hAnsi="Arial" w:cs="Arial"/>
                <w:bCs/>
              </w:rPr>
              <w:t>In Rel-15 UE capability [5], following PDCCH monitoring occasions are defined:</w:t>
            </w:r>
          </w:p>
          <w:p>
            <w:pPr>
              <w:pStyle w:val="73"/>
              <w:widowControl w:val="0"/>
              <w:numPr>
                <w:ilvl w:val="2"/>
                <w:numId w:val="46"/>
              </w:numPr>
              <w:snapToGrid/>
              <w:spacing w:after="120" w:line="276" w:lineRule="auto"/>
              <w:jc w:val="both"/>
              <w:rPr>
                <w:rFonts w:ascii="Arial" w:hAnsi="Arial" w:cs="Arial"/>
                <w:bCs/>
              </w:rPr>
            </w:pPr>
            <w:r>
              <w:rPr>
                <w:rFonts w:ascii="Arial" w:hAnsi="Arial" w:cs="Arial"/>
                <w:bCs/>
              </w:rPr>
              <w:t>For type 1 CSS with dedicated RRC configuration, type 3 CSS, and UE-SS, the monitoring occasion is within the first 3 OFDM symbols of a slot.</w:t>
            </w:r>
          </w:p>
          <w:p>
            <w:pPr>
              <w:pStyle w:val="73"/>
              <w:widowControl w:val="0"/>
              <w:numPr>
                <w:ilvl w:val="2"/>
                <w:numId w:val="46"/>
              </w:numPr>
              <w:snapToGrid/>
              <w:spacing w:after="120" w:line="276" w:lineRule="auto"/>
              <w:jc w:val="both"/>
              <w:rPr>
                <w:rFonts w:ascii="Arial" w:hAnsi="Arial" w:cs="Arial"/>
                <w:bCs/>
              </w:rPr>
            </w:pPr>
            <w:r>
              <w:rPr>
                <w:rFonts w:ascii="Arial" w:hAnsi="Arial" w:cs="Arial"/>
                <w:bCs/>
              </w:rPr>
              <w:t>For type 1 CSS without dedicated RRC configuration and for type 0, 0A, and 2 CSS, the monitoring occasion can be any OFDM symbol(s) of a slot, with the monitoring occasions for any of Type 1- CSS without dedicated RRC configuration, or Types 0, 0A, or 2 CSS configurations within a single span of three consecutive OFDM symbols within a slot.</w:t>
            </w:r>
          </w:p>
          <w:p>
            <w:pPr>
              <w:pStyle w:val="73"/>
              <w:widowControl w:val="0"/>
              <w:numPr>
                <w:ilvl w:val="1"/>
                <w:numId w:val="46"/>
              </w:numPr>
              <w:snapToGrid/>
              <w:spacing w:after="120" w:line="276" w:lineRule="auto"/>
              <w:jc w:val="both"/>
              <w:rPr>
                <w:rFonts w:ascii="Arial" w:hAnsi="Arial" w:cs="Arial"/>
                <w:bCs/>
              </w:rPr>
            </w:pPr>
            <w:r>
              <w:rPr>
                <w:rFonts w:ascii="Arial" w:hAnsi="Arial" w:cs="Arial"/>
                <w:bCs/>
              </w:rPr>
              <w:t>Based on the above PDCCH monitoring occasions, following values can be used for Y:</w:t>
            </w:r>
          </w:p>
          <w:p>
            <w:pPr>
              <w:pStyle w:val="73"/>
              <w:widowControl w:val="0"/>
              <w:numPr>
                <w:ilvl w:val="2"/>
                <w:numId w:val="46"/>
              </w:numPr>
              <w:snapToGrid/>
              <w:spacing w:after="120" w:line="276" w:lineRule="auto"/>
              <w:jc w:val="both"/>
              <w:rPr>
                <w:rFonts w:ascii="Arial" w:hAnsi="Arial" w:cs="Arial"/>
                <w:bCs/>
              </w:rPr>
            </w:pPr>
            <w:r>
              <w:rPr>
                <w:rFonts w:ascii="Arial" w:hAnsi="Arial" w:cs="Arial"/>
                <w:bCs/>
              </w:rPr>
              <w:t>For type 1 CSS with dedicated RRC configuration, type 3 CSS, and UE-SS, the monitoring occasion can be 1 slot for 480 kHz SCS and 2 slots for 960 kHz SCS, respectively.</w:t>
            </w:r>
          </w:p>
          <w:p>
            <w:pPr>
              <w:pStyle w:val="73"/>
              <w:widowControl w:val="0"/>
              <w:numPr>
                <w:ilvl w:val="2"/>
                <w:numId w:val="46"/>
              </w:numPr>
              <w:snapToGrid/>
              <w:spacing w:after="120" w:line="276" w:lineRule="auto"/>
              <w:jc w:val="both"/>
              <w:rPr>
                <w:rFonts w:ascii="Arial" w:hAnsi="Arial" w:cs="Arial"/>
                <w:bCs/>
              </w:rPr>
            </w:pPr>
            <w:r>
              <w:rPr>
                <w:rFonts w:ascii="Arial" w:hAnsi="Arial" w:cs="Arial"/>
                <w:bCs/>
              </w:rPr>
              <w:t>For type 1 CSS without dedicated RRC configuration and for type 0, 0A, and 2 CSS, the monitoring occasion can be any OFDM symbol(s) of a slot group, with the monitoring occasions for any of Type 1- CSS without dedicated RRC configuration, or Types 0, 0A, or 2 CSS configurations.</w:t>
            </w:r>
          </w:p>
          <w:p>
            <w:pPr>
              <w:pStyle w:val="73"/>
              <w:widowControl w:val="0"/>
              <w:numPr>
                <w:ilvl w:val="3"/>
                <w:numId w:val="46"/>
              </w:numPr>
              <w:snapToGrid/>
              <w:spacing w:after="120" w:line="276" w:lineRule="auto"/>
              <w:jc w:val="both"/>
              <w:rPr>
                <w:rFonts w:ascii="Arial" w:hAnsi="Arial" w:cs="Arial"/>
                <w:bCs/>
              </w:rPr>
            </w:pPr>
            <w:r>
              <w:rPr>
                <w:rFonts w:ascii="Arial" w:hAnsi="Arial" w:cs="Arial"/>
                <w:bCs/>
              </w:rPr>
              <w:t>Further study may be needed on how to change the condition ‘within a single span of three consecutive OFDM symbols within a slot’ to a slot group.</w:t>
            </w:r>
          </w:p>
          <w:p>
            <w:pPr>
              <w:widowControl w:val="0"/>
              <w:spacing w:line="276" w:lineRule="auto"/>
              <w:jc w:val="both"/>
              <w:rPr>
                <w:rFonts w:ascii="Arial" w:hAnsi="Arial" w:cs="Arial"/>
                <w:bCs/>
                <w:i/>
                <w:iCs/>
              </w:rPr>
            </w:pPr>
            <w:r>
              <w:rPr>
                <w:rFonts w:ascii="Arial" w:hAnsi="Arial" w:cs="Arial"/>
                <w:b/>
                <w:i/>
                <w:iCs/>
              </w:rPr>
              <w:t>Observation 5:</w:t>
            </w:r>
            <w:r>
              <w:rPr>
                <w:rFonts w:ascii="Arial" w:hAnsi="Arial" w:cs="Arial"/>
                <w:bCs/>
              </w:rPr>
              <w:t xml:space="preserve"> </w:t>
            </w:r>
            <w:r>
              <w:rPr>
                <w:rFonts w:ascii="Arial" w:hAnsi="Arial" w:cs="Arial"/>
                <w:bCs/>
                <w:i/>
                <w:iCs/>
              </w:rPr>
              <w:t>Flexible slot boundary may provide more flexibility, however, benefits from the flexibility are not clear given the short symbol/slot durations in 480 kHz and 960 kHz.</w:t>
            </w:r>
          </w:p>
          <w:p>
            <w:pPr>
              <w:widowControl w:val="0"/>
              <w:spacing w:line="276" w:lineRule="auto"/>
              <w:jc w:val="both"/>
              <w:rPr>
                <w:rFonts w:ascii="Arial" w:hAnsi="Arial" w:cs="Arial"/>
                <w:bCs/>
                <w:i/>
                <w:iCs/>
              </w:rPr>
            </w:pPr>
            <w:r>
              <w:rPr>
                <w:rFonts w:ascii="Arial" w:hAnsi="Arial" w:cs="Arial"/>
                <w:b/>
                <w:i/>
                <w:iCs/>
              </w:rPr>
              <w:t>Proposal 5:</w:t>
            </w:r>
            <w:r>
              <w:rPr>
                <w:rFonts w:ascii="Arial" w:hAnsi="Arial" w:cs="Arial"/>
                <w:bCs/>
                <w:i/>
                <w:iCs/>
              </w:rPr>
              <w:t xml:space="preserve"> For a slot group in Alt 1, a slot group starts from a slot boundary.</w:t>
            </w:r>
          </w:p>
          <w:p>
            <w:pPr>
              <w:widowControl w:val="0"/>
              <w:spacing w:line="276" w:lineRule="auto"/>
              <w:jc w:val="both"/>
              <w:rPr>
                <w:rFonts w:ascii="Arial" w:hAnsi="Arial" w:cs="Arial"/>
                <w:bCs/>
                <w:i/>
                <w:iCs/>
              </w:rPr>
            </w:pPr>
            <w:r>
              <w:rPr>
                <w:rFonts w:ascii="Arial" w:hAnsi="Arial" w:cs="Arial"/>
                <w:b/>
                <w:i/>
                <w:iCs/>
              </w:rPr>
              <w:t>Proposal 6:</w:t>
            </w:r>
            <w:r>
              <w:rPr>
                <w:rFonts w:ascii="Arial" w:hAnsi="Arial" w:cs="Arial"/>
                <w:bCs/>
                <w:i/>
                <w:iCs/>
              </w:rPr>
              <w:t xml:space="preserve"> For the values of Y, following PDCCH monitoring occasions are supported:</w:t>
            </w:r>
          </w:p>
          <w:p>
            <w:pPr>
              <w:widowControl w:val="0"/>
              <w:numPr>
                <w:ilvl w:val="0"/>
                <w:numId w:val="47"/>
              </w:numPr>
              <w:autoSpaceDE/>
              <w:autoSpaceDN/>
              <w:adjustRightInd/>
              <w:snapToGrid/>
              <w:spacing w:line="276" w:lineRule="auto"/>
              <w:jc w:val="both"/>
              <w:rPr>
                <w:rFonts w:ascii="Arial" w:hAnsi="Arial" w:cs="Arial"/>
                <w:bCs/>
                <w:lang w:val="en-GB"/>
              </w:rPr>
            </w:pPr>
            <w:r>
              <w:rPr>
                <w:rFonts w:ascii="Arial" w:hAnsi="Arial" w:cs="Arial"/>
                <w:bCs/>
                <w:lang w:val="en-GB"/>
              </w:rPr>
              <w:t xml:space="preserve">For type 1 CSS with dedicated RRC configuration, type 3 CSS, and UE-SS, the monitoring occasion can be </w:t>
            </w:r>
            <w:r>
              <w:rPr>
                <w:rFonts w:ascii="Arial" w:hAnsi="Arial" w:cs="Arial"/>
                <w:b/>
                <w:lang w:val="en-GB"/>
              </w:rPr>
              <w:t>1 slot for 480 kHz SCS</w:t>
            </w:r>
            <w:r>
              <w:rPr>
                <w:rFonts w:ascii="Arial" w:hAnsi="Arial" w:cs="Arial"/>
                <w:bCs/>
                <w:lang w:val="en-GB"/>
              </w:rPr>
              <w:t xml:space="preserve"> and </w:t>
            </w:r>
            <w:r>
              <w:rPr>
                <w:rFonts w:ascii="Arial" w:hAnsi="Arial" w:cs="Arial"/>
                <w:b/>
                <w:lang w:val="en-GB"/>
              </w:rPr>
              <w:t>2 slots for 960 kHz SCS</w:t>
            </w:r>
            <w:r>
              <w:rPr>
                <w:rFonts w:ascii="Arial" w:hAnsi="Arial" w:cs="Arial"/>
                <w:bCs/>
                <w:lang w:val="en-GB"/>
              </w:rPr>
              <w:t>, respectively.</w:t>
            </w:r>
          </w:p>
          <w:p>
            <w:pPr>
              <w:widowControl w:val="0"/>
              <w:numPr>
                <w:ilvl w:val="0"/>
                <w:numId w:val="47"/>
              </w:numPr>
              <w:autoSpaceDE/>
              <w:autoSpaceDN/>
              <w:adjustRightInd/>
              <w:snapToGrid/>
              <w:spacing w:line="276" w:lineRule="auto"/>
              <w:jc w:val="both"/>
              <w:rPr>
                <w:rFonts w:ascii="Arial" w:hAnsi="Arial" w:cs="Arial"/>
                <w:bCs/>
                <w:lang w:val="en-GB"/>
              </w:rPr>
            </w:pPr>
            <w:r>
              <w:rPr>
                <w:rFonts w:ascii="Arial" w:hAnsi="Arial" w:cs="Arial"/>
                <w:bCs/>
                <w:lang w:val="en-GB"/>
              </w:rPr>
              <w:t xml:space="preserve">For type 1 CSS without dedicated RRC configuration and for type 0, 0A, and 2 CSS, the monitoring occasion can be </w:t>
            </w:r>
            <w:r>
              <w:rPr>
                <w:rFonts w:ascii="Arial" w:hAnsi="Arial" w:cs="Arial"/>
                <w:b/>
                <w:lang w:val="en-GB"/>
              </w:rPr>
              <w:t>any OFDM symbol(s) of a slot group</w:t>
            </w:r>
            <w:r>
              <w:rPr>
                <w:rFonts w:ascii="Arial" w:hAnsi="Arial" w:cs="Arial"/>
                <w:bCs/>
                <w:lang w:val="en-GB"/>
              </w:rPr>
              <w:t>, with the monitoring occasions for any of Type 1- CSS without dedicated RRC configuration, or Types 0, 0A, or 2 CSS configurations.</w:t>
            </w:r>
          </w:p>
          <w:p>
            <w:pPr>
              <w:widowControl w:val="0"/>
              <w:numPr>
                <w:ilvl w:val="0"/>
                <w:numId w:val="47"/>
              </w:numPr>
              <w:tabs>
                <w:tab w:val="left" w:pos="1494"/>
                <w:tab w:val="clear" w:pos="1209"/>
              </w:tabs>
              <w:autoSpaceDE/>
              <w:autoSpaceDN/>
              <w:adjustRightInd/>
              <w:snapToGrid/>
              <w:spacing w:line="276" w:lineRule="auto"/>
              <w:ind w:left="1494"/>
              <w:jc w:val="both"/>
              <w:rPr>
                <w:rFonts w:ascii="Arial" w:hAnsi="Arial" w:cs="Arial"/>
                <w:bCs/>
                <w:lang w:val="en-GB"/>
              </w:rPr>
            </w:pPr>
            <w:r>
              <w:rPr>
                <w:rFonts w:ascii="Arial" w:hAnsi="Arial" w:cs="Arial"/>
                <w:bCs/>
                <w:lang w:val="en-GB"/>
              </w:rPr>
              <w:t>Further study may be needed on how to change the condition ‘within a single span of three consecutive OFDM symbols within a slot’ to a slot group.</w:t>
            </w:r>
          </w:p>
          <w:p>
            <w:pPr>
              <w:widowControl w:val="0"/>
              <w:spacing w:line="276" w:lineRule="auto"/>
              <w:jc w:val="both"/>
              <w:rPr>
                <w:rFonts w:ascii="Arial" w:hAnsi="Arial" w:cs="Arial"/>
                <w:bCs/>
                <w:i/>
                <w:iCs/>
                <w:lang w:val="en-GB"/>
              </w:rPr>
            </w:pPr>
          </w:p>
        </w:tc>
      </w:tr>
    </w:tbl>
    <w:p>
      <w:pPr>
        <w:rPr>
          <w:lang w:eastAsia="zh-CN"/>
        </w:rPr>
      </w:pPr>
    </w:p>
    <w:p>
      <w:pPr>
        <w:pStyle w:val="4"/>
        <w:jc w:val="both"/>
        <w:rPr>
          <w:lang w:val="en-GB" w:eastAsia="zh-CN"/>
        </w:rPr>
      </w:pPr>
      <w:r>
        <w:rPr>
          <w:lang w:val="en-GB" w:eastAsia="zh-CN"/>
        </w:rPr>
        <w:t>R1-2109962 (LG)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before="120" w:line="240" w:lineRule="auto"/>
              <w:ind w:firstLine="220" w:firstLineChars="100"/>
              <w:rPr>
                <w:rFonts w:eastAsia="Batang"/>
                <w:lang w:val="zh-CN" w:eastAsia="ko-KR"/>
              </w:rPr>
            </w:pPr>
            <w:r>
              <w:rPr>
                <w:rFonts w:eastAsia="Batang"/>
                <w:bCs/>
                <w:lang w:eastAsia="ko-KR"/>
              </w:rPr>
              <w:t xml:space="preserve">For both </w:t>
            </w:r>
            <w:r>
              <w:rPr>
                <w:rFonts w:hint="eastAsia" w:eastAsia="Batang"/>
                <w:bCs/>
                <w:lang w:eastAsia="ko-KR"/>
              </w:rPr>
              <w:t>Alt-1</w:t>
            </w:r>
            <w:r>
              <w:rPr>
                <w:rFonts w:eastAsia="Batang"/>
                <w:bCs/>
                <w:lang w:eastAsia="ko-KR"/>
              </w:rPr>
              <w:t xml:space="preserve"> and Alt-2, SS set configurations and dropping rules can be determined simply since basic principles for them are already well established to a single slot or a single span in rel-15/16. However, Alt-2 does not allow multiple discontinuous Y slots/symbols within X slots/symbols by the definition of span in rel-16. In addition, if </w:t>
            </w:r>
            <w:r>
              <w:rPr>
                <w:rFonts w:hint="eastAsia" w:eastAsia="Batang"/>
                <w:bCs/>
                <w:lang w:eastAsia="ko-KR"/>
              </w:rPr>
              <w:t>the duration of Y</w:t>
            </w:r>
            <w:r>
              <w:rPr>
                <w:rFonts w:eastAsia="Batang"/>
                <w:bCs/>
                <w:lang w:eastAsia="ko-KR"/>
              </w:rPr>
              <w:t xml:space="preserve"> is much smaller than X, all MOs for both CSS and USS should be in small number of slots/symbols. This may reduce the gNB’s flexibility and restrict the SS set configuration especially for CSS. Therefore, we suggest that Alt-1 should be the baseline to define the BD/CCE capability for multi-slot PDCCH monitoring. One possible issue for Alt-1 has also been raised in the previous meeting, i.e., UE may have higher requirement than expectation on PDCCH monitoring in two consecutive slots across slot-group boundary. However, it may not </w:t>
            </w:r>
            <w:r>
              <w:rPr>
                <w:rFonts w:hint="eastAsia" w:eastAsia="Batang"/>
                <w:bCs/>
                <w:lang w:eastAsia="ko-KR"/>
              </w:rPr>
              <w:t xml:space="preserve">be </w:t>
            </w:r>
            <w:r>
              <w:rPr>
                <w:rFonts w:eastAsia="Batang"/>
                <w:bCs/>
                <w:lang w:eastAsia="ko-KR"/>
              </w:rPr>
              <w:t xml:space="preserve">the problem if additional constraints for </w:t>
            </w:r>
            <w:r>
              <w:rPr>
                <w:rFonts w:hint="eastAsia" w:eastAsia="Batang"/>
                <w:bCs/>
                <w:lang w:eastAsia="ko-KR"/>
              </w:rPr>
              <w:t>Y</w:t>
            </w:r>
            <w:r>
              <w:rPr>
                <w:rFonts w:eastAsia="Batang"/>
                <w:bCs/>
                <w:lang w:eastAsia="ko-KR"/>
              </w:rPr>
              <w:t xml:space="preserve"> on PDCCH monitoring in back-to-back slots. </w:t>
            </w:r>
          </w:p>
          <w:p>
            <w:pPr>
              <w:widowControl w:val="0"/>
              <w:spacing w:before="120" w:line="240" w:lineRule="auto"/>
              <w:ind w:firstLine="220" w:firstLineChars="100"/>
              <w:rPr>
                <w:rFonts w:eastAsia="Batang"/>
                <w:bCs/>
                <w:lang w:eastAsia="ko-KR"/>
              </w:rPr>
            </w:pPr>
            <w:r>
              <w:rPr>
                <w:rFonts w:eastAsia="Batang"/>
                <w:bCs/>
                <w:lang w:eastAsia="ko-KR"/>
              </w:rPr>
              <w:t>In this respect, we support Alt-1 and propose some configuration/restriction related to Alt-1 to resolve the possible issues.</w:t>
            </w:r>
          </w:p>
          <w:p>
            <w:pPr>
              <w:widowControl w:val="0"/>
              <w:spacing w:before="120" w:line="240" w:lineRule="auto"/>
              <w:ind w:firstLine="220" w:firstLineChars="100"/>
              <w:rPr>
                <w:rFonts w:eastAsia="Batang"/>
                <w:b/>
                <w:lang w:eastAsia="ko-KR"/>
              </w:rPr>
            </w:pPr>
            <w:r>
              <w:rPr>
                <w:rFonts w:eastAsia="Batang"/>
                <w:b/>
                <w:lang w:eastAsia="ko-KR"/>
              </w:rPr>
              <w:t>Proposal #2: Adopt Alt-1, with the followings</w:t>
            </w:r>
          </w:p>
          <w:p>
            <w:pPr>
              <w:pStyle w:val="73"/>
              <w:widowControl w:val="0"/>
              <w:numPr>
                <w:ilvl w:val="1"/>
                <w:numId w:val="48"/>
              </w:numPr>
              <w:wordWrap w:val="0"/>
              <w:autoSpaceDE w:val="0"/>
              <w:autoSpaceDN w:val="0"/>
              <w:snapToGrid/>
              <w:spacing w:before="120" w:after="120" w:line="240" w:lineRule="auto"/>
              <w:jc w:val="both"/>
              <w:rPr>
                <w:b/>
                <w:lang w:eastAsia="ko-KR"/>
              </w:rPr>
            </w:pPr>
            <w:r>
              <w:rPr>
                <w:rFonts w:ascii="Times New Roman" w:hAnsi="Times New Roman"/>
                <w:b/>
                <w:lang w:eastAsia="ko-KR"/>
              </w:rPr>
              <w:t>Y location has following restrictions</w:t>
            </w:r>
          </w:p>
          <w:p>
            <w:pPr>
              <w:pStyle w:val="73"/>
              <w:widowControl w:val="0"/>
              <w:numPr>
                <w:ilvl w:val="2"/>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Minimum gap between the previous Y and the next Y over two consecutive X slot-groups should be guaranteed</w:t>
            </w:r>
          </w:p>
          <w:p>
            <w:pPr>
              <w:pStyle w:val="73"/>
              <w:widowControl w:val="0"/>
              <w:numPr>
                <w:ilvl w:val="2"/>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The start position of Y should be the same in each X slot group (i.e., not different for each X slot-group)</w:t>
            </w:r>
          </w:p>
          <w:p>
            <w:pPr>
              <w:pStyle w:val="73"/>
              <w:widowControl w:val="0"/>
              <w:numPr>
                <w:ilvl w:val="2"/>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 xml:space="preserve">The start position of Y should be configurable (i.e., not fixed location) </w:t>
            </w:r>
          </w:p>
          <w:p>
            <w:pPr>
              <w:pStyle w:val="73"/>
              <w:widowControl w:val="0"/>
              <w:numPr>
                <w:ilvl w:val="1"/>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Y should be multiple slots (including single slot) with slot-level granularity</w:t>
            </w:r>
          </w:p>
          <w:p>
            <w:pPr>
              <w:pStyle w:val="73"/>
              <w:widowControl w:val="0"/>
              <w:numPr>
                <w:ilvl w:val="1"/>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FFS: The possibility of different positions of Y for CSS and USS</w:t>
            </w:r>
          </w:p>
          <w:p>
            <w:pPr>
              <w:widowControl w:val="0"/>
              <w:spacing w:before="120" w:line="240" w:lineRule="auto"/>
              <w:ind w:firstLine="220" w:firstLineChars="100"/>
              <w:rPr>
                <w:rFonts w:eastAsia="Batang"/>
                <w:lang w:val="zh-CN" w:eastAsia="ko-KR"/>
              </w:rPr>
            </w:pPr>
            <w:r>
              <w:rPr>
                <w:rFonts w:eastAsia="Batang"/>
                <w:lang w:val="zh-CN" w:eastAsia="ko-KR"/>
              </w:rPr>
              <w:t>In order to support various monitoring situations, Y should also be able to have different values depending on X. Multiple values of Y can be reported as UE capability and the gNB can configure an appropriate Y for each X. For this reason, we can think of an operation that can configure X and Y based on UE capability if multiple values are supported. In addition, it may also be necessary to set the lower and upper bound of Y. As a lower bound, Y=1 (which is the minimum value per slot) is considered appropriate. And Y=X/2 can be a proper upper bound for each X to avoid the back-to-back monitoring issue. Values in between need to be further discussed to support flexible multi-slot monitoring operation.</w:t>
            </w:r>
          </w:p>
          <w:p>
            <w:pPr>
              <w:widowControl w:val="0"/>
              <w:spacing w:before="120" w:line="240" w:lineRule="auto"/>
              <w:ind w:firstLine="220" w:firstLineChars="100"/>
              <w:rPr>
                <w:rFonts w:eastAsia="Batang"/>
                <w:b/>
                <w:lang w:eastAsia="ko-KR"/>
              </w:rPr>
            </w:pPr>
            <w:r>
              <w:rPr>
                <w:rFonts w:eastAsia="Batang"/>
                <w:b/>
                <w:lang w:eastAsia="ko-KR"/>
              </w:rPr>
              <w:t>Proposal #3: Consider to configure X and Y (i.e. duration) based on UE capability if multiple values are supported</w:t>
            </w:r>
          </w:p>
          <w:p>
            <w:pPr>
              <w:pStyle w:val="73"/>
              <w:widowControl w:val="0"/>
              <w:numPr>
                <w:ilvl w:val="1"/>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X=2 for 480kHz and X=2,4 for 960kHz</w:t>
            </w:r>
          </w:p>
          <w:p>
            <w:pPr>
              <w:pStyle w:val="73"/>
              <w:widowControl w:val="0"/>
              <w:numPr>
                <w:ilvl w:val="1"/>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Y should be determined with respect to X</w:t>
            </w:r>
          </w:p>
          <w:p>
            <w:pPr>
              <w:pStyle w:val="73"/>
              <w:widowControl w:val="0"/>
              <w:numPr>
                <w:ilvl w:val="2"/>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 xml:space="preserve">At least, Y=1 and Y=X/2 should be supported for all X. </w:t>
            </w:r>
          </w:p>
          <w:p>
            <w:pPr>
              <w:pStyle w:val="73"/>
              <w:widowControl w:val="0"/>
              <w:numPr>
                <w:ilvl w:val="2"/>
                <w:numId w:val="48"/>
              </w:numPr>
              <w:wordWrap w:val="0"/>
              <w:autoSpaceDE w:val="0"/>
              <w:autoSpaceDN w:val="0"/>
              <w:snapToGrid/>
              <w:spacing w:before="120" w:after="120" w:line="240" w:lineRule="auto"/>
              <w:jc w:val="both"/>
              <w:rPr>
                <w:b/>
                <w:lang w:eastAsia="ko-KR"/>
              </w:rPr>
            </w:pPr>
            <w:r>
              <w:rPr>
                <w:rFonts w:ascii="Times New Roman" w:hAnsi="Times New Roman"/>
                <w:b/>
                <w:lang w:val="en-GB" w:eastAsia="ko-KR"/>
              </w:rPr>
              <w:t>Others values are FFS.</w:t>
            </w:r>
          </w:p>
          <w:p>
            <w:pPr>
              <w:widowControl w:val="0"/>
              <w:spacing w:before="120" w:line="240" w:lineRule="auto"/>
              <w:rPr>
                <w:rFonts w:eastAsia="Batang"/>
                <w:b/>
                <w:lang w:eastAsia="ko-KR"/>
              </w:rPr>
            </w:pPr>
          </w:p>
        </w:tc>
      </w:tr>
    </w:tbl>
    <w:p>
      <w:pPr>
        <w:rPr>
          <w:lang w:eastAsia="zh-CN"/>
        </w:rPr>
      </w:pPr>
    </w:p>
    <w:p>
      <w:pPr>
        <w:pStyle w:val="4"/>
        <w:jc w:val="both"/>
        <w:rPr>
          <w:lang w:val="en-GB" w:eastAsia="zh-CN"/>
        </w:rPr>
      </w:pPr>
      <w:r>
        <w:rPr>
          <w:lang w:val="en-GB" w:eastAsia="zh-CN"/>
        </w:rPr>
        <w:t>R1-2109993 (Sharp)</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Since multi-slot monitoring is considered to be an extension of single-slot monitoring, Alt.1, which is aligned with a slot boundary, can simplify the enhancement of SearchSpace and reduce the standardization effort. On the other hand, several companies have pointed out that Alt.2 is more flexible than Alt.1 because the span interval can be freely determined. However, Alt.1 also allows flexible MO distribution by considering search space configuration for 480 kHz and 960 kHz SCS with short slot. In addition, Alt.2 requires a discussion on the rules that determine the BD/CCE limits for aligned and non-aligned spans between CCs. We don't know if the rules in Rel-16 are applicable to Alt.2, and defining new rules will take multiple meetings. Therefore, we support Alt1 which is aligned with a slot boundary, which has less standardization effort.</w:t>
            </w:r>
          </w:p>
          <w:p>
            <w:pPr>
              <w:pStyle w:val="221"/>
              <w:widowControl w:val="0"/>
              <w:snapToGrid w:val="0"/>
              <w:spacing w:line="240" w:lineRule="auto"/>
              <w:ind w:firstLine="0"/>
              <w:contextualSpacing w:val="0"/>
              <w:rPr>
                <w:rFonts w:eastAsiaTheme="minorEastAsia"/>
                <w:b/>
                <w:sz w:val="24"/>
                <w:szCs w:val="24"/>
                <w:lang w:val="en-GB" w:eastAsia="ja-JP"/>
              </w:rPr>
            </w:pPr>
            <w:r>
              <w:rPr>
                <w:rFonts w:eastAsiaTheme="minorEastAsia"/>
                <w:b/>
                <w:sz w:val="24"/>
                <w:szCs w:val="24"/>
                <w:lang w:val="en-GB" w:eastAsia="ja-JP"/>
              </w:rPr>
              <w:t>Proposal 1: We support the fixed pattern of slot groups, which is aligned with a slot boundary.</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 xml:space="preserve">Since there does not seem to be a common understanding, we should first clarify the definition of Y. Y is the maximum number of consecutive slots that the UE monitors per slot-group consisting of X slots. After monitoring Y slots in one slot-group, the UE does not monitor during the X-Y slots until Y slots in the next slot group. For resolving the back-to-back problem, it is proposed in </w:t>
            </w:r>
            <w:r>
              <w:rPr>
                <w:rFonts w:hint="eastAsia" w:eastAsiaTheme="minorEastAsia"/>
                <w:sz w:val="24"/>
                <w:szCs w:val="24"/>
                <w:lang w:val="en-GB" w:eastAsia="ja-JP"/>
              </w:rPr>
              <w:t>previous discussion that</w:t>
            </w:r>
            <w:r>
              <w:rPr>
                <w:rFonts w:eastAsiaTheme="minorEastAsia"/>
                <w:sz w:val="24"/>
                <w:szCs w:val="24"/>
                <w:lang w:val="en-GB" w:eastAsia="ja-JP"/>
              </w:rPr>
              <w:t xml:space="preserve"> Y should be less than X/2 and always start at beginnin of slot gloup. However, to avoid back-to-back problem, we only need to set a gap larger than X/2 between Y slots on the consecutive two slot-groups. This gap is secured by maintaining the location of Y slots within X slots across different slot groups, and floating Y slots implove the flexibility of MO distribution. </w:t>
            </w:r>
          </w:p>
          <w:p>
            <w:pPr>
              <w:pStyle w:val="221"/>
              <w:widowControl w:val="0"/>
              <w:snapToGrid w:val="0"/>
              <w:spacing w:line="240" w:lineRule="auto"/>
              <w:ind w:firstLine="0"/>
              <w:contextualSpacing w:val="0"/>
              <w:rPr>
                <w:rFonts w:eastAsiaTheme="minorEastAsia"/>
                <w:b/>
                <w:sz w:val="24"/>
                <w:szCs w:val="24"/>
                <w:lang w:val="en-GB" w:eastAsia="ja-JP"/>
              </w:rPr>
            </w:pPr>
            <w:r>
              <w:rPr>
                <w:rFonts w:eastAsiaTheme="minorEastAsia"/>
                <w:b/>
                <w:sz w:val="24"/>
                <w:szCs w:val="24"/>
                <w:lang w:val="en-GB" w:eastAsia="ja-JP"/>
              </w:rPr>
              <w:t>Proposal 2: Y is the number of consecutive slots that the UE monitors PDCCH per slot-group consisting of X slots.</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b/>
                <w:sz w:val="24"/>
                <w:szCs w:val="24"/>
                <w:lang w:val="en-GB" w:eastAsia="ja-JP"/>
              </w:rPr>
              <w:t>Proposal 3: Y slots should be floating, and the location within the X slots is maintained across different slot groups.</w:t>
            </w:r>
          </w:p>
          <w:p>
            <w:pPr>
              <w:pStyle w:val="221"/>
              <w:widowControl w:val="0"/>
              <w:snapToGrid w:val="0"/>
              <w:spacing w:line="240" w:lineRule="auto"/>
              <w:ind w:firstLine="0"/>
              <w:contextualSpacing w:val="0"/>
              <w:jc w:val="center"/>
              <w:rPr>
                <w:rFonts w:eastAsiaTheme="minorEastAsia"/>
                <w:b/>
                <w:sz w:val="24"/>
                <w:szCs w:val="24"/>
                <w:lang w:val="en-GB" w:eastAsia="ja-JP"/>
              </w:rPr>
            </w:pPr>
            <w:r>
              <w:rPr>
                <w:rFonts w:eastAsiaTheme="minorEastAsia"/>
                <w:b/>
                <w:sz w:val="24"/>
                <w:szCs w:val="24"/>
                <w:lang w:eastAsia="ko-KR"/>
              </w:rPr>
              <w:drawing>
                <wp:inline distT="0" distB="0" distL="0" distR="0">
                  <wp:extent cx="4354195" cy="1664335"/>
                  <wp:effectExtent l="0" t="0" r="8255" b="0"/>
                  <wp:docPr id="2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4381866" cy="1674919"/>
                          </a:xfrm>
                          <a:prstGeom prst="rect">
                            <a:avLst/>
                          </a:prstGeom>
                          <a:noFill/>
                          <a:ln>
                            <a:noFill/>
                          </a:ln>
                        </pic:spPr>
                      </pic:pic>
                    </a:graphicData>
                  </a:graphic>
                </wp:inline>
              </w:drawing>
            </w:r>
            <w:r>
              <w:rPr>
                <w:rFonts w:eastAsiaTheme="minorEastAsia"/>
                <w:b/>
                <w:sz w:val="24"/>
                <w:szCs w:val="24"/>
                <w:lang w:val="en-GB" w:eastAsia="ja-JP"/>
              </w:rPr>
              <w:br w:type="textWrapping"/>
            </w:r>
            <w:r>
              <w:rPr>
                <w:rFonts w:eastAsiaTheme="minorEastAsia"/>
                <w:b/>
                <w:sz w:val="24"/>
                <w:szCs w:val="24"/>
                <w:lang w:val="en-GB" w:eastAsia="ja-JP"/>
              </w:rPr>
              <w:t>Figure 1: Example of fixed pattarn of slot-group with floating Y slot.</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At the last meeting, X=4/8 slots were agreed upon as the minimum capability for 480kHz/960kHz SCS, in order to ensure the same processing performance on a time basis as single-slot monitoring at 120 kHz. On the other hand, some companies are of the opinion that smaller values of X should also be supported. However, X=4/8 allows for PDCCH monitoring at sufficiently short intervals, and the benefits of more frequent monitoring are currently not clear. Hence, a value of X smaller than X=4/8 should not be mandatory. If set as an optional capability, the BD/CCE budget should be considered.</w:t>
            </w:r>
            <w:r>
              <w:rPr>
                <w:rFonts w:eastAsiaTheme="minorEastAsia"/>
                <w:sz w:val="24"/>
                <w:szCs w:val="24"/>
                <w:lang w:val="en-GB" w:eastAsia="ja-JP"/>
              </w:rPr>
              <w:br w:type="textWrapping"/>
            </w:r>
            <w:r>
              <w:rPr>
                <w:rFonts w:eastAsiaTheme="minorEastAsia"/>
                <w:sz w:val="24"/>
                <w:szCs w:val="24"/>
                <w:lang w:val="en-GB" w:eastAsia="ja-JP"/>
              </w:rPr>
              <w:t>The first three symbols are set as the minimum requirement for CSS monitoring at 480 kHz and 960 kHz SCS, because the maximum duration of CORESET follows 3. If Y is too small, the flexibility of MO placement will be reduced, and if Y is too large, the microsleep opportunity may be lost. Therefore, Y should be set to 1, taking into account the impact on the specifications.</w:t>
            </w:r>
          </w:p>
          <w:p>
            <w:pPr>
              <w:pStyle w:val="221"/>
              <w:widowControl w:val="0"/>
              <w:snapToGrid w:val="0"/>
              <w:spacing w:line="240" w:lineRule="auto"/>
              <w:ind w:firstLine="0"/>
              <w:contextualSpacing w:val="0"/>
              <w:rPr>
                <w:rFonts w:eastAsiaTheme="minorEastAsia"/>
                <w:b/>
                <w:sz w:val="24"/>
                <w:szCs w:val="24"/>
                <w:lang w:val="en-GB" w:eastAsia="ja-JP"/>
              </w:rPr>
            </w:pPr>
            <w:r>
              <w:rPr>
                <w:rFonts w:hint="eastAsia" w:eastAsiaTheme="minorEastAsia"/>
                <w:b/>
                <w:sz w:val="24"/>
                <w:szCs w:val="24"/>
                <w:lang w:val="en-GB" w:eastAsia="ja-JP"/>
              </w:rPr>
              <w:t>P</w:t>
            </w:r>
            <w:r>
              <w:rPr>
                <w:rFonts w:eastAsiaTheme="minorEastAsia"/>
                <w:b/>
                <w:sz w:val="24"/>
                <w:szCs w:val="24"/>
                <w:lang w:val="en-GB" w:eastAsia="ja-JP"/>
              </w:rPr>
              <w:t>roposal 4: Values of X smaller than X=4/8 should not be mandatory. If values less than X=4/8 set as an optional capability, the BD/CCE budget should be considered.</w:t>
            </w:r>
          </w:p>
          <w:p>
            <w:pPr>
              <w:pStyle w:val="221"/>
              <w:widowControl w:val="0"/>
              <w:snapToGrid w:val="0"/>
              <w:spacing w:line="240" w:lineRule="auto"/>
              <w:ind w:firstLine="0"/>
              <w:contextualSpacing w:val="0"/>
              <w:rPr>
                <w:rFonts w:eastAsiaTheme="minorEastAsia"/>
                <w:b/>
                <w:sz w:val="24"/>
                <w:szCs w:val="24"/>
                <w:lang w:val="en-GB" w:eastAsia="ja-JP"/>
              </w:rPr>
            </w:pPr>
            <w:r>
              <w:rPr>
                <w:rFonts w:eastAsiaTheme="minorEastAsia"/>
                <w:b/>
                <w:sz w:val="24"/>
                <w:szCs w:val="24"/>
                <w:lang w:val="en-GB" w:eastAsia="ja-JP"/>
              </w:rPr>
              <w:t xml:space="preserve">Proposal 5: The following values should be used as basic settings. </w:t>
            </w:r>
          </w:p>
          <w:p>
            <w:pPr>
              <w:pStyle w:val="221"/>
              <w:widowControl w:val="0"/>
              <w:numPr>
                <w:ilvl w:val="0"/>
                <w:numId w:val="49"/>
              </w:numPr>
              <w:snapToGrid w:val="0"/>
              <w:spacing w:line="240" w:lineRule="auto"/>
              <w:contextualSpacing w:val="0"/>
              <w:rPr>
                <w:rFonts w:eastAsiaTheme="minorEastAsia"/>
                <w:b/>
                <w:sz w:val="24"/>
                <w:szCs w:val="24"/>
                <w:lang w:val="en-GB" w:eastAsia="ja-JP"/>
              </w:rPr>
            </w:pPr>
            <w:r>
              <w:rPr>
                <w:rFonts w:hint="eastAsia" w:eastAsiaTheme="minorEastAsia"/>
                <w:b/>
                <w:sz w:val="24"/>
                <w:szCs w:val="24"/>
                <w:lang w:val="en-GB" w:eastAsia="ja-JP"/>
              </w:rPr>
              <w:t>f</w:t>
            </w:r>
            <w:r>
              <w:rPr>
                <w:rFonts w:eastAsiaTheme="minorEastAsia"/>
                <w:b/>
                <w:sz w:val="24"/>
                <w:szCs w:val="24"/>
                <w:lang w:val="en-GB" w:eastAsia="ja-JP"/>
              </w:rPr>
              <w:t xml:space="preserve">or 480 kHz SCS : X = 4, Y = </w:t>
            </w:r>
            <w:r>
              <w:rPr>
                <w:rFonts w:hint="eastAsia" w:eastAsiaTheme="minorEastAsia"/>
                <w:b/>
                <w:sz w:val="24"/>
                <w:szCs w:val="24"/>
                <w:lang w:val="en-GB" w:eastAsia="ja-JP"/>
              </w:rPr>
              <w:t>1</w:t>
            </w:r>
          </w:p>
          <w:p>
            <w:pPr>
              <w:pStyle w:val="221"/>
              <w:widowControl w:val="0"/>
              <w:numPr>
                <w:ilvl w:val="0"/>
                <w:numId w:val="49"/>
              </w:numPr>
              <w:snapToGrid w:val="0"/>
              <w:spacing w:line="240" w:lineRule="auto"/>
              <w:contextualSpacing w:val="0"/>
              <w:rPr>
                <w:rFonts w:eastAsiaTheme="minorEastAsia"/>
                <w:b/>
                <w:sz w:val="24"/>
                <w:szCs w:val="24"/>
                <w:lang w:val="en-GB" w:eastAsia="ja-JP"/>
              </w:rPr>
            </w:pPr>
            <w:r>
              <w:rPr>
                <w:rFonts w:hint="eastAsia" w:eastAsiaTheme="minorEastAsia"/>
                <w:b/>
                <w:sz w:val="24"/>
                <w:szCs w:val="24"/>
                <w:lang w:val="en-GB" w:eastAsia="ja-JP"/>
              </w:rPr>
              <w:t>f</w:t>
            </w:r>
            <w:r>
              <w:rPr>
                <w:rFonts w:eastAsiaTheme="minorEastAsia"/>
                <w:b/>
                <w:sz w:val="24"/>
                <w:szCs w:val="24"/>
                <w:lang w:val="en-GB" w:eastAsia="ja-JP"/>
              </w:rPr>
              <w:t xml:space="preserve">or 960 kHz SCS : X = 8, Y = </w:t>
            </w:r>
            <w:r>
              <w:rPr>
                <w:rFonts w:hint="eastAsia" w:eastAsiaTheme="minorEastAsia"/>
                <w:b/>
                <w:sz w:val="24"/>
                <w:szCs w:val="24"/>
                <w:lang w:val="en-GB" w:eastAsia="ja-JP"/>
              </w:rPr>
              <w:t>1</w:t>
            </w:r>
          </w:p>
          <w:p>
            <w:pPr>
              <w:widowControl w:val="0"/>
              <w:snapToGrid/>
              <w:spacing w:line="240" w:lineRule="auto"/>
              <w:rPr>
                <w:lang w:val="en-GB"/>
              </w:rPr>
            </w:pPr>
          </w:p>
        </w:tc>
      </w:tr>
    </w:tbl>
    <w:p>
      <w:pPr>
        <w:rPr>
          <w:lang w:eastAsia="zh-CN"/>
        </w:rPr>
      </w:pPr>
    </w:p>
    <w:p>
      <w:pPr>
        <w:pStyle w:val="4"/>
        <w:jc w:val="both"/>
        <w:rPr>
          <w:lang w:val="en-GB" w:eastAsia="zh-CN"/>
        </w:rPr>
      </w:pPr>
      <w:r>
        <w:rPr>
          <w:lang w:val="en-GB" w:eastAsia="zh-CN"/>
        </w:rPr>
        <w:t>R1-2110022 (Apple)</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583" w:type="dxa"/>
            <w:vAlign w:val="center"/>
          </w:tcPr>
          <w:p>
            <w:pPr>
              <w:widowControl w:val="0"/>
              <w:tabs>
                <w:tab w:val="left" w:pos="640"/>
              </w:tabs>
              <w:jc w:val="both"/>
              <w:rPr>
                <w:i/>
                <w:iCs/>
              </w:rPr>
            </w:pPr>
            <w:r>
              <w:rPr>
                <w:b/>
                <w:bCs/>
                <w:i/>
                <w:iCs/>
              </w:rPr>
              <w:t xml:space="preserve">Proposal 1: </w:t>
            </w:r>
            <w:r>
              <w:rPr>
                <w:i/>
                <w:iCs/>
              </w:rPr>
              <w:t>The MSM PDCCH monitoring capability should be based on  Alt 1 or Alt 2. Alt. 3 should not be supported.</w:t>
            </w:r>
          </w:p>
          <w:p>
            <w:pPr>
              <w:widowControl w:val="0"/>
              <w:tabs>
                <w:tab w:val="left" w:pos="640"/>
              </w:tabs>
              <w:jc w:val="both"/>
              <w:rPr>
                <w:i/>
                <w:iCs/>
              </w:rPr>
            </w:pPr>
          </w:p>
          <w:p>
            <w:pPr>
              <w:widowControl w:val="0"/>
              <w:tabs>
                <w:tab w:val="left" w:pos="640"/>
              </w:tabs>
              <w:jc w:val="both"/>
              <w:rPr>
                <w:i/>
                <w:iCs/>
              </w:rPr>
            </w:pPr>
            <w:r>
              <w:rPr>
                <w:b/>
                <w:bCs/>
                <w:i/>
                <w:iCs/>
              </w:rPr>
              <w:t>Proposal 2:</w:t>
            </w:r>
            <w:r>
              <w:rPr>
                <w:i/>
                <w:iCs/>
              </w:rPr>
              <w:t xml:space="preserve"> The corresponding values of X and Y are set to allow flexibility in the placement of the CSS and USS without undue burden on UE power consumption e.g. Y ≤1.</w:t>
            </w:r>
          </w:p>
          <w:p>
            <w:pPr>
              <w:widowControl w:val="0"/>
              <w:tabs>
                <w:tab w:val="left" w:pos="640"/>
              </w:tabs>
              <w:jc w:val="both"/>
              <w:rPr>
                <w:i/>
                <w:iCs/>
              </w:rPr>
            </w:pPr>
          </w:p>
          <w:p>
            <w:pPr>
              <w:widowControl w:val="0"/>
              <w:jc w:val="both"/>
              <w:rPr>
                <w:i/>
                <w:iCs/>
              </w:rPr>
            </w:pPr>
            <w:r>
              <w:rPr>
                <w:b/>
                <w:bCs/>
                <w:i/>
                <w:iCs/>
              </w:rPr>
              <w:t>Proposal 3:</w:t>
            </w:r>
            <w:r>
              <w:rPr>
                <w:i/>
                <w:iCs/>
              </w:rPr>
              <w:t xml:space="preserve"> On the  values of X for Alt-1 and Alt-2:</w:t>
            </w:r>
          </w:p>
          <w:p>
            <w:pPr>
              <w:pStyle w:val="73"/>
              <w:widowControl w:val="0"/>
              <w:numPr>
                <w:ilvl w:val="0"/>
                <w:numId w:val="50"/>
              </w:numPr>
              <w:snapToGrid/>
              <w:spacing w:line="240" w:lineRule="auto"/>
              <w:ind w:left="360"/>
              <w:jc w:val="both"/>
              <w:rPr>
                <w:i/>
                <w:iCs/>
              </w:rPr>
            </w:pPr>
            <w:r>
              <w:rPr>
                <w:i/>
                <w:iCs/>
              </w:rPr>
              <w:t xml:space="preserve">Additional values smaller than 4/8 slots for 480/960 kHz can be supported based on UE capability. </w:t>
            </w:r>
          </w:p>
          <w:p>
            <w:pPr>
              <w:pStyle w:val="73"/>
              <w:widowControl w:val="0"/>
              <w:numPr>
                <w:ilvl w:val="1"/>
                <w:numId w:val="50"/>
              </w:numPr>
              <w:snapToGrid/>
              <w:spacing w:line="240" w:lineRule="auto"/>
              <w:ind w:left="1080"/>
              <w:jc w:val="both"/>
              <w:rPr>
                <w:i/>
                <w:iCs/>
              </w:rPr>
            </w:pPr>
            <w:r>
              <w:rPr>
                <w:i/>
                <w:iCs/>
              </w:rPr>
              <w:t xml:space="preserve">Larger values than 4/8 slots for 480/960 kHz are not supported. </w:t>
            </w:r>
          </w:p>
          <w:p>
            <w:pPr>
              <w:pStyle w:val="73"/>
              <w:widowControl w:val="0"/>
              <w:numPr>
                <w:ilvl w:val="0"/>
                <w:numId w:val="50"/>
              </w:numPr>
              <w:snapToGrid/>
              <w:spacing w:line="240" w:lineRule="auto"/>
              <w:ind w:left="360"/>
              <w:jc w:val="both"/>
              <w:rPr>
                <w:i/>
                <w:iCs/>
              </w:rPr>
            </w:pPr>
            <w:r>
              <w:rPr>
                <w:i/>
                <w:iCs/>
              </w:rPr>
              <w:t xml:space="preserve">Single-slot PDCCH monitoring for 480 kHz and 960 kHz is not supported. </w:t>
            </w:r>
          </w:p>
          <w:p>
            <w:pPr>
              <w:pStyle w:val="73"/>
              <w:widowControl w:val="0"/>
              <w:numPr>
                <w:ilvl w:val="0"/>
                <w:numId w:val="50"/>
              </w:numPr>
              <w:snapToGrid/>
              <w:spacing w:line="240" w:lineRule="auto"/>
              <w:ind w:left="360"/>
              <w:rPr>
                <w:i/>
                <w:iCs/>
              </w:rPr>
            </w:pPr>
            <w:r>
              <w:rPr>
                <w:i/>
                <w:iCs/>
              </w:rPr>
              <w:t xml:space="preserve">The configurable values for multi-slot PDCCH monitoring operation should be same as the reported X value(s). </w:t>
            </w:r>
          </w:p>
          <w:p>
            <w:pPr>
              <w:pStyle w:val="73"/>
              <w:widowControl w:val="0"/>
              <w:numPr>
                <w:ilvl w:val="0"/>
                <w:numId w:val="50"/>
              </w:numPr>
              <w:snapToGrid/>
              <w:spacing w:line="240" w:lineRule="auto"/>
              <w:ind w:left="360"/>
              <w:rPr>
                <w:i/>
                <w:iCs/>
              </w:rPr>
            </w:pPr>
            <w:r>
              <w:rPr>
                <w:i/>
                <w:iCs/>
              </w:rPr>
              <w:t>The  UE is not expected to handle a scenario in which they are different and a UE might report its monitoring capability for more than one (X,Y) combination.</w:t>
            </w:r>
          </w:p>
          <w:p>
            <w:pPr>
              <w:pStyle w:val="73"/>
              <w:widowControl w:val="0"/>
              <w:numPr>
                <w:ilvl w:val="0"/>
                <w:numId w:val="50"/>
              </w:numPr>
              <w:snapToGrid/>
              <w:spacing w:line="240" w:lineRule="auto"/>
              <w:ind w:left="360"/>
              <w:rPr>
                <w:i/>
                <w:iCs/>
              </w:rPr>
            </w:pPr>
            <w:r>
              <w:rPr>
                <w:i/>
                <w:iCs/>
              </w:rPr>
              <w:t>For each SCS 480 kHz and 960 kHz, the minimum configurable multi-slot PDCCH monitoring periodicity is the smallest value X that a UE supports when reporting its PDCCH monitoring capabilities for the corresponding SCS and are UE specific.</w:t>
            </w:r>
          </w:p>
          <w:p>
            <w:pPr>
              <w:widowControl w:val="0"/>
              <w:jc w:val="both"/>
              <w:rPr>
                <w:b/>
                <w:bCs/>
                <w:i/>
                <w:iCs/>
              </w:rPr>
            </w:pPr>
          </w:p>
          <w:p>
            <w:pPr>
              <w:widowControl w:val="0"/>
              <w:jc w:val="both"/>
              <w:rPr>
                <w:i/>
                <w:iCs/>
              </w:rPr>
            </w:pPr>
            <w:r>
              <w:rPr>
                <w:b/>
                <w:bCs/>
                <w:i/>
                <w:iCs/>
              </w:rPr>
              <w:t>Proposal 4:</w:t>
            </w:r>
            <w:r>
              <w:rPr>
                <w:i/>
                <w:iCs/>
              </w:rPr>
              <w:t xml:space="preserve"> For Alt-1, </w:t>
            </w:r>
          </w:p>
          <w:p>
            <w:pPr>
              <w:pStyle w:val="73"/>
              <w:widowControl w:val="0"/>
              <w:numPr>
                <w:ilvl w:val="0"/>
                <w:numId w:val="51"/>
              </w:numPr>
              <w:snapToGrid/>
              <w:spacing w:line="240" w:lineRule="auto"/>
              <w:jc w:val="both"/>
              <w:rPr>
                <w:i/>
                <w:iCs/>
              </w:rPr>
            </w:pPr>
            <w:r>
              <w:rPr>
                <w:i/>
                <w:iCs/>
              </w:rPr>
              <w:t xml:space="preserve">the SS sets are within the first Y slots of the slot group and Y &lt; X i.e., no back-to-back monitoring of PDCCH between slot groups is supported. Y = 1 </w:t>
            </w:r>
          </w:p>
          <w:p>
            <w:pPr>
              <w:pStyle w:val="73"/>
              <w:widowControl w:val="0"/>
              <w:numPr>
                <w:ilvl w:val="0"/>
                <w:numId w:val="51"/>
              </w:numPr>
              <w:snapToGrid/>
              <w:spacing w:line="240" w:lineRule="auto"/>
              <w:jc w:val="both"/>
              <w:rPr>
                <w:i/>
                <w:iCs/>
              </w:rPr>
            </w:pPr>
            <w:r>
              <w:rPr>
                <w:i/>
                <w:iCs/>
              </w:rPr>
              <w:t>PDCCH monitoring of all SS sets monitored in the Y slots occurs within N consecutive symbols of Y with the following options:</w:t>
            </w:r>
          </w:p>
          <w:p>
            <w:pPr>
              <w:pStyle w:val="73"/>
              <w:widowControl w:val="0"/>
              <w:numPr>
                <w:ilvl w:val="1"/>
                <w:numId w:val="51"/>
              </w:numPr>
              <w:snapToGrid/>
              <w:spacing w:line="240" w:lineRule="auto"/>
              <w:jc w:val="both"/>
              <w:rPr>
                <w:i/>
                <w:iCs/>
              </w:rPr>
            </w:pPr>
            <w:r>
              <w:rPr>
                <w:i/>
                <w:iCs/>
              </w:rPr>
              <w:t>Case 1: PDCCH monitoring limited to within the first N consecutive symbols  of Y</w:t>
            </w:r>
          </w:p>
          <w:p>
            <w:pPr>
              <w:pStyle w:val="73"/>
              <w:widowControl w:val="0"/>
              <w:numPr>
                <w:ilvl w:val="1"/>
                <w:numId w:val="51"/>
              </w:numPr>
              <w:snapToGrid/>
              <w:spacing w:line="240" w:lineRule="auto"/>
              <w:jc w:val="both"/>
              <w:rPr>
                <w:i/>
                <w:iCs/>
              </w:rPr>
            </w:pPr>
            <w:r>
              <w:rPr>
                <w:i/>
                <w:iCs/>
              </w:rPr>
              <w:t>Case 2: PDCCH monitoring is on any span of up to N consecutive symbols of Y where Y = 1</w:t>
            </w:r>
          </w:p>
          <w:p>
            <w:pPr>
              <w:widowControl w:val="0"/>
              <w:jc w:val="both"/>
              <w:rPr>
                <w:b/>
                <w:bCs/>
                <w:i/>
                <w:iCs/>
              </w:rPr>
            </w:pPr>
          </w:p>
          <w:p>
            <w:pPr>
              <w:widowControl w:val="0"/>
              <w:jc w:val="both"/>
              <w:rPr>
                <w:i/>
                <w:iCs/>
              </w:rPr>
            </w:pPr>
            <w:r>
              <w:rPr>
                <w:b/>
                <w:bCs/>
                <w:i/>
                <w:iCs/>
              </w:rPr>
              <w:t>Proposal 9:</w:t>
            </w:r>
            <w:r>
              <w:rPr>
                <w:i/>
                <w:iCs/>
              </w:rPr>
              <w:t xml:space="preserve"> For Alt-2, the value Y should be defined based on symbols </w:t>
            </w:r>
          </w:p>
          <w:p>
            <w:pPr>
              <w:pStyle w:val="73"/>
              <w:widowControl/>
              <w:numPr>
                <w:ilvl w:val="0"/>
                <w:numId w:val="52"/>
              </w:numPr>
              <w:snapToGrid/>
              <w:spacing w:line="240" w:lineRule="auto"/>
              <w:jc w:val="both"/>
              <w:rPr>
                <w:i/>
                <w:iCs/>
              </w:rPr>
            </w:pPr>
            <w:r>
              <w:rPr>
                <w:i/>
                <w:iCs/>
              </w:rPr>
              <w:t xml:space="preserve">The duration of Y &lt; X  with Y ≤ 3 symbols </w:t>
            </w:r>
          </w:p>
          <w:p>
            <w:pPr>
              <w:widowControl w:val="0"/>
              <w:jc w:val="both"/>
              <w:rPr>
                <w:i/>
                <w:iCs/>
              </w:rPr>
            </w:pPr>
          </w:p>
          <w:p>
            <w:pPr>
              <w:widowControl w:val="0"/>
              <w:tabs>
                <w:tab w:val="left" w:pos="640"/>
              </w:tabs>
              <w:jc w:val="both"/>
              <w:rPr>
                <w:i/>
                <w:iCs/>
              </w:rPr>
            </w:pPr>
          </w:p>
        </w:tc>
      </w:tr>
    </w:tbl>
    <w:p>
      <w:pPr>
        <w:rPr>
          <w:lang w:val="en-GB" w:eastAsia="zh-CN"/>
        </w:rPr>
      </w:pPr>
    </w:p>
    <w:p>
      <w:pPr>
        <w:pStyle w:val="4"/>
        <w:jc w:val="both"/>
        <w:rPr>
          <w:lang w:val="en-GB" w:eastAsia="zh-CN"/>
        </w:rPr>
      </w:pPr>
      <w:r>
        <w:rPr>
          <w:lang w:val="en-GB" w:eastAsia="zh-CN"/>
        </w:rPr>
        <w:t>R1-2110110 (Convida Wireless)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line="276" w:lineRule="auto"/>
            </w:pPr>
            <w:r>
              <w:t xml:space="preserve">Like Rel-16 URLLC PDCCH monitoring span (X, Y) definition, it can be extended to the mobile broadband (EMBB) service for NR from 52.6 GHz and above with few modifications. The PDCCH monitoring span (X, Y) has been agreed in RAN 1 meeting #106-e for higher SCS/numerology (e.g., SCS 480KHz, 960 kHz) where the first number X is the number of slots between the beginning of two consecutive monitoring occasions, the second number Y is the number of slots or symbols needs to be monitored in a monitoring occasion. For NR from 52.6 GHz and above, the duration per span is across several slots to meet the scheduling requirement due to the number of PDCCH candidate and nonoverlapping CCEs being reduced per slot. </w:t>
            </w:r>
          </w:p>
          <w:p>
            <w:pPr>
              <w:widowControl w:val="0"/>
              <w:spacing w:line="276" w:lineRule="auto"/>
            </w:pPr>
            <w:r>
              <w:t xml:space="preserve">PDCCH span length X is preconfigured based on the subcarrier spacing (e.g. X=8 for SCS = 960 KHz) thus the PDCCH monitoring span X may not need to be signalled by the higher layer. To simplify the design, it suggests that the slot group (or each PDCCH monitoring span) is aligned with the slot boundary. An example of a PDCCH monitoring span shown in </w:t>
            </w:r>
            <w:r>
              <w:fldChar w:fldCharType="begin"/>
            </w:r>
            <w:r>
              <w:instrText xml:space="preserve"> REF _Ref61628068 \h  \* MERGEFORMAT </w:instrText>
            </w:r>
            <w:r>
              <w:fldChar w:fldCharType="separate"/>
            </w:r>
            <w:r>
              <w:rPr>
                <w:iCs/>
              </w:rPr>
              <w:t>Figure 1</w:t>
            </w:r>
            <w:r>
              <w:fldChar w:fldCharType="end"/>
            </w:r>
            <w:r>
              <w:t xml:space="preserve">. In </w:t>
            </w:r>
            <w:r>
              <w:fldChar w:fldCharType="begin"/>
            </w:r>
            <w:r>
              <w:instrText xml:space="preserve"> REF _Ref61628068 \h  \* MERGEFORMAT </w:instrText>
            </w:r>
            <w:r>
              <w:fldChar w:fldCharType="separate"/>
            </w:r>
            <w:r>
              <w:rPr>
                <w:iCs/>
              </w:rPr>
              <w:t>Figure 1</w:t>
            </w:r>
            <w:r>
              <w:fldChar w:fldCharType="end"/>
            </w:r>
            <w:r>
              <w:t>, we assume a configuration of PDCCH monitoring span for SCS = 960 KHz. For this example, let a span (X=8, Y=4) is configured, note the unit for X and Y can be either based on number of slots or symbols and the slot group (a span) is aligned with slot boundary.</w:t>
            </w:r>
          </w:p>
          <w:p>
            <w:pPr>
              <w:widowControl w:val="0"/>
              <w:spacing w:line="276" w:lineRule="auto"/>
              <w:jc w:val="center"/>
            </w:pPr>
            <w:r>
              <w:object>
                <v:shape id="_x0000_i1028" o:spt="75" type="#_x0000_t75" style="height:120.1pt;width:399.9pt;" o:ole="t" filled="f" o:preferrelative="t" stroked="f" coordsize="21600,21600">
                  <v:path/>
                  <v:fill on="f" focussize="0,0"/>
                  <v:stroke on="f" joinstyle="miter"/>
                  <v:imagedata r:id="rId19" o:title=""/>
                  <o:lock v:ext="edit" aspectratio="t"/>
                  <w10:wrap type="none"/>
                  <w10:anchorlock/>
                </v:shape>
                <o:OLEObject Type="Embed" ProgID="Visio.Drawing.15" ShapeID="_x0000_i1028" DrawAspect="Content" ObjectID="_1468075728" r:id="rId18">
                  <o:LockedField>false</o:LockedField>
                </o:OLEObject>
              </w:object>
            </w:r>
          </w:p>
          <w:p>
            <w:pPr>
              <w:widowControl w:val="0"/>
              <w:tabs>
                <w:tab w:val="left" w:pos="7406"/>
              </w:tabs>
              <w:spacing w:line="360" w:lineRule="auto"/>
              <w:jc w:val="center"/>
              <w:rPr>
                <w:bCs/>
                <w:iCs/>
              </w:rPr>
            </w:pPr>
            <w:r>
              <w:rPr>
                <w:b/>
                <w:iCs/>
              </w:rPr>
              <w:t xml:space="preserve">Figure </w:t>
            </w:r>
            <w:r>
              <w:rPr>
                <w:b/>
                <w:iCs/>
              </w:rPr>
              <w:fldChar w:fldCharType="begin"/>
            </w:r>
            <w:r>
              <w:rPr>
                <w:b/>
                <w:iCs/>
              </w:rPr>
              <w:instrText xml:space="preserve"> SEQ Figure \* ARABIC </w:instrText>
            </w:r>
            <w:r>
              <w:rPr>
                <w:b/>
                <w:iCs/>
              </w:rPr>
              <w:fldChar w:fldCharType="separate"/>
            </w:r>
            <w:r>
              <w:rPr>
                <w:b/>
                <w:iCs/>
              </w:rPr>
              <w:t>1</w:t>
            </w:r>
            <w:r>
              <w:rPr>
                <w:b/>
                <w:iCs/>
              </w:rPr>
              <w:fldChar w:fldCharType="end"/>
            </w:r>
            <w:r>
              <w:rPr>
                <w:bCs/>
                <w:iCs/>
              </w:rPr>
              <w:t>: Slot group for NR SCS = 960 KHz and is aligned with a slot boundary.</w:t>
            </w:r>
          </w:p>
          <w:p>
            <w:pPr>
              <w:widowControl w:val="0"/>
              <w:spacing w:after="0" w:line="360" w:lineRule="auto"/>
              <w:rPr>
                <w:b/>
                <w:i/>
                <w:lang w:eastAsia="zh-CN"/>
              </w:rPr>
            </w:pPr>
            <w:r>
              <w:rPr>
                <w:b/>
                <w:i/>
              </w:rPr>
              <w:t>Proposal 1</w:t>
            </w:r>
            <w:r>
              <w:rPr>
                <w:b/>
                <w:i/>
                <w:lang w:eastAsia="zh-CN"/>
              </w:rPr>
              <w:t>. Slot group for PDCCH monitoring span can be aligned with slot boundary for NR from 52.6 to 71 GHz.</w:t>
            </w:r>
          </w:p>
          <w:p>
            <w:pPr>
              <w:widowControl w:val="0"/>
              <w:spacing w:line="276" w:lineRule="auto"/>
            </w:pPr>
            <w:r>
              <w:t>The UE can be configured by the gNB to monitor PDCCH for the maximum number of PDCCH candidates (</w:t>
            </w:r>
            <m:oMath>
              <m:sSubSup>
                <m:sSubSupPr>
                  <m:ctrlPr>
                    <w:rPr>
                      <w:rFonts w:ascii="Cambria Math" w:hAnsi="Cambria Math" w:eastAsia="Calibri"/>
                      <w:iCs/>
                      <w:lang w:val="zh-CN"/>
                    </w:rPr>
                  </m:ctrlPr>
                </m:sSubSupPr>
                <m:e>
                  <m:r>
                    <w:rPr>
                      <w:rFonts w:ascii="Cambria Math" w:hAnsi="Cambria Math" w:eastAsia="Calibri"/>
                      <w:lang w:val="zh-CN"/>
                    </w:rPr>
                    <m:t>M</m:t>
                  </m:r>
                  <m:ctrlPr>
                    <w:rPr>
                      <w:rFonts w:ascii="Cambria Math" w:hAnsi="Cambria Math" w:eastAsia="Calibri"/>
                      <w:iCs/>
                      <w:lang w:val="zh-CN"/>
                    </w:rPr>
                  </m:ctrlPr>
                </m:e>
                <m:sub>
                  <m:r>
                    <m:rPr>
                      <m:sty m:val="p"/>
                    </m:rPr>
                    <w:rPr>
                      <w:rFonts w:ascii="Cambria Math" w:hAnsi="Cambria Math" w:eastAsia="Calibri"/>
                      <w:lang w:val="zh-CN"/>
                    </w:rPr>
                    <m:t>PDCCH</m:t>
                  </m:r>
                  <m:ctrlPr>
                    <w:rPr>
                      <w:rFonts w:ascii="Cambria Math" w:hAnsi="Cambria Math" w:eastAsia="Calibri"/>
                      <w:iCs/>
                      <w:lang w:val="zh-CN"/>
                    </w:rPr>
                  </m:ctrlPr>
                </m:sub>
                <m:sup>
                  <m:r>
                    <m:rPr>
                      <m:sty m:val="p"/>
                    </m:rPr>
                    <w:rPr>
                      <w:rFonts w:ascii="Cambria Math" w:hAnsi="Cambria Math" w:eastAsia="Calibri"/>
                      <w:lang w:val="zh-CN"/>
                    </w:rPr>
                    <m:t>max,span,</m:t>
                  </m:r>
                  <m:r>
                    <w:rPr>
                      <w:rFonts w:ascii="Cambria Math" w:hAnsi="Cambria Math" w:eastAsia="Calibri"/>
                      <w:lang w:val="zh-CN"/>
                    </w:rPr>
                    <m:t>μ</m:t>
                  </m:r>
                  <m:ctrlPr>
                    <w:rPr>
                      <w:rFonts w:ascii="Cambria Math" w:hAnsi="Cambria Math" w:eastAsia="Calibri"/>
                      <w:iCs/>
                      <w:lang w:val="zh-CN"/>
                    </w:rPr>
                  </m:ctrlPr>
                </m:sup>
              </m:sSubSup>
            </m:oMath>
            <w:r>
              <w:t>) and nonoverlapping CCEs (</w:t>
            </w:r>
            <m:oMath>
              <m:sSubSup>
                <m:sSubSupPr>
                  <m:ctrlPr>
                    <w:rPr>
                      <w:rFonts w:ascii="Cambria Math" w:hAnsi="Cambria Math" w:eastAsia="Calibri"/>
                      <w:iCs/>
                    </w:rPr>
                  </m:ctrlPr>
                </m:sSubSupPr>
                <m:e>
                  <m:r>
                    <w:rPr>
                      <w:rFonts w:ascii="Cambria Math" w:hAnsi="Cambria Math" w:eastAsia="Calibri"/>
                    </w:rPr>
                    <m:t>C</m:t>
                  </m:r>
                  <m:ctrlPr>
                    <w:rPr>
                      <w:rFonts w:ascii="Cambria Math" w:hAnsi="Cambria Math" w:eastAsia="Calibri"/>
                      <w:iCs/>
                    </w:rPr>
                  </m:ctrlPr>
                </m:e>
                <m:sub>
                  <m:r>
                    <m:rPr>
                      <m:sty m:val="p"/>
                    </m:rPr>
                    <w:rPr>
                      <w:rFonts w:ascii="Cambria Math" w:hAnsi="Cambria Math" w:eastAsia="Calibri"/>
                    </w:rPr>
                    <m:t>PDCCH</m:t>
                  </m:r>
                  <m:ctrlPr>
                    <w:rPr>
                      <w:rFonts w:ascii="Cambria Math" w:hAnsi="Cambria Math" w:eastAsia="Calibri"/>
                      <w:iCs/>
                    </w:rPr>
                  </m:ctrlPr>
                </m:sub>
                <m:sup>
                  <m:r>
                    <m:rPr>
                      <m:sty m:val="p"/>
                    </m:rPr>
                    <w:rPr>
                      <w:rFonts w:ascii="Cambria Math" w:hAnsi="Cambria Math" w:eastAsia="Calibri"/>
                    </w:rPr>
                    <m:t>max,span,</m:t>
                  </m:r>
                  <m:r>
                    <w:rPr>
                      <w:rFonts w:ascii="Cambria Math" w:hAnsi="Cambria Math" w:eastAsia="Calibri"/>
                    </w:rPr>
                    <m:t>μ</m:t>
                  </m:r>
                  <m:ctrlPr>
                    <w:rPr>
                      <w:rFonts w:ascii="Cambria Math" w:hAnsi="Cambria Math" w:eastAsia="Calibri"/>
                      <w:iCs/>
                    </w:rPr>
                  </m:ctrlPr>
                </m:sup>
              </m:sSubSup>
            </m:oMath>
            <w:r>
              <w:t>) defined per span like in Rel-16. In each PDCCH monitoring span, the number of PDCCH candidates and nonoverlapping CCE cannot exceed the UE capability. Therefore, UE behavior can be similar to legacy NR specification even when there is a overbooking. For example, the UE and gNB can map PDCCH candidates in each PDCCH monitoring span as the following mapping rules in legacy NR specification: (1) CSS sets are mapped before USS sets; (2) USS sets are mapped in ascending order of the SS set indices, and if the number of PDCCH candidates/CCEs exceeds either of the UE processing limits, etc.</w:t>
            </w:r>
          </w:p>
          <w:p>
            <w:pPr>
              <w:widowControl w:val="0"/>
              <w:spacing w:line="276" w:lineRule="auto"/>
            </w:pPr>
            <w:r>
              <w:t xml:space="preserve">Alt-3 proposes the multi-slot span with the concept of the "sliding window”. The motivation is to limit the PDCCH processing loads on the UE over any sliding window of, say, </w:t>
            </w:r>
            <m:oMath>
              <m:r>
                <w:rPr>
                  <w:rFonts w:ascii="Cambria Math" w:hAnsi="Cambria Math"/>
                </w:rPr>
                <m:t>B</m:t>
              </m:r>
            </m:oMath>
            <w:r>
              <w:t xml:space="preserve"> slots. The maximum BD/CCEs can be distributed by gNB configuration to (1) all in one slot or (2) over several slots while respecting the maximum capability constraints over any sliding window of </w:t>
            </w:r>
            <m:oMath>
              <m:r>
                <w:rPr>
                  <w:rFonts w:ascii="Cambria Math" w:hAnsi="Cambria Math"/>
                </w:rPr>
                <m:t>B</m:t>
              </m:r>
            </m:oMath>
            <w:r>
              <w:t xml:space="preserve"> slots. One of the advantages is that the loading can be evenly distributed from gNB perspective. The sliding window can be treated as a time offset (number of slots) configuration for USS from the beginning of span. Also, the multi-slot span with the concept of the "sliding window” can be implemented by the PDCCH monitoring span pattern (X, Y) when the following two conditions are satisfied, i.e., X and Y are defined in terms of slots, and X = Y. Therefore, Alt-3 can be treated as a special case of Alt-2. In addition, the “sliding window” (e.g., the USS stating time-offset) for each UE is configured by gNB and UE just follows the configuration to perform PDCCH monitoring in each PDCCH monitoring span.  </w:t>
            </w:r>
          </w:p>
          <w:p>
            <w:pPr>
              <w:widowControl w:val="0"/>
              <w:spacing w:after="0" w:line="360" w:lineRule="auto"/>
              <w:rPr>
                <w:b/>
                <w:i/>
                <w:lang w:eastAsia="zh-CN"/>
              </w:rPr>
            </w:pPr>
            <w:r>
              <w:rPr>
                <w:b/>
                <w:i/>
              </w:rPr>
              <w:t>Proposal 2</w:t>
            </w:r>
            <w:r>
              <w:rPr>
                <w:b/>
                <w:i/>
                <w:lang w:eastAsia="zh-CN"/>
              </w:rPr>
              <w:t xml:space="preserve">. PDCCH monitoring per span with sliding window (i.e., Alt-3) can be up to gNB configuration for NR from 52.6 to 71 GHz.  </w:t>
            </w:r>
          </w:p>
          <w:p>
            <w:pPr>
              <w:widowControl w:val="0"/>
              <w:spacing w:after="0" w:line="360" w:lineRule="auto"/>
              <w:rPr>
                <w:b/>
                <w:i/>
                <w:lang w:eastAsia="zh-CN"/>
              </w:rPr>
            </w:pPr>
          </w:p>
        </w:tc>
      </w:tr>
    </w:tbl>
    <w:p>
      <w:pPr>
        <w:rPr>
          <w:lang w:eastAsia="zh-CN"/>
        </w:rPr>
      </w:pPr>
    </w:p>
    <w:p>
      <w:pPr>
        <w:pStyle w:val="4"/>
        <w:jc w:val="both"/>
        <w:rPr>
          <w:lang w:val="en-GB" w:eastAsia="zh-CN"/>
        </w:rPr>
      </w:pPr>
      <w:r>
        <w:rPr>
          <w:lang w:val="en-GB" w:eastAsia="zh-CN"/>
        </w:rPr>
        <w:t>R1-2110173 (Qualcomm)</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spacing w:before="120"/>
              <w:rPr>
                <w:lang w:val="en-GB"/>
              </w:rPr>
            </w:pPr>
            <w:r>
              <w:t xml:space="preserve">Based on these arguments and considering the limited time budget in Rel-17, it was suggested to prioritize the design for X = 4 for 480 kHz SCS and X = 8 for 960 kHz, and come back to the discussion on the additional X values later. However, for scalability and consistency, we believe that the additional values of X should be kept in mind throughout the design. For example, instead of pursuing separate design for different X values, a scalable rule for the Y value and BD/CCE budget for each X value can be considered. In addition, the support for the additional smaller values of X should be an optional UE capability, while X = 4/8 for 480/960 kHz SCS are mandated as agreed in RAN1 #106-e. In this way, the support for additional X values will not impact the commercialization timeline. Furthermore, although the maximum number of BD/CCE is limited, the smaller values of X may be useful in some use cases, </w:t>
            </w:r>
            <w:r>
              <w:rPr>
                <w:lang w:val="en-GB"/>
              </w:rPr>
              <w:t>e.g., for serving a low-latency traffic or for channel monitoring outside a COT.</w:t>
            </w:r>
          </w:p>
          <w:p>
            <w:pPr>
              <w:pStyle w:val="27"/>
              <w:widowControl w:val="0"/>
              <w:spacing w:after="0"/>
              <w:jc w:val="left"/>
            </w:pPr>
            <w:bookmarkStart w:id="30" w:name="_Toc83587355"/>
            <w:bookmarkStart w:id="31" w:name="_Toc83632381"/>
            <w:bookmarkStart w:id="32" w:name="_Toc83573325"/>
            <w:bookmarkStart w:id="33" w:name="P_1"/>
            <w:r>
              <w:t xml:space="preserve">Proposal </w:t>
            </w:r>
            <w:r>
              <w:fldChar w:fldCharType="begin"/>
            </w:r>
            <w:r>
              <w:instrText xml:space="preserve"> SEQ Proposal \* ARABIC </w:instrText>
            </w:r>
            <w:r>
              <w:fldChar w:fldCharType="separate"/>
            </w:r>
            <w:r>
              <w:t>1</w:t>
            </w:r>
            <w:r>
              <w:fldChar w:fldCharType="end"/>
            </w:r>
            <w:r>
              <w:t>: For the values of X in addition to X = 4 for 480 kHz SCS and X = 8 for 960 kHz SCS, the following sets are considered per UE capability:</w:t>
            </w:r>
            <w:bookmarkEnd w:id="30"/>
            <w:bookmarkEnd w:id="31"/>
            <w:bookmarkEnd w:id="32"/>
            <w:r>
              <w:t xml:space="preserve"> </w:t>
            </w:r>
          </w:p>
          <w:p>
            <w:pPr>
              <w:pStyle w:val="27"/>
              <w:widowControl w:val="0"/>
              <w:numPr>
                <w:ilvl w:val="0"/>
                <w:numId w:val="53"/>
              </w:numPr>
              <w:overflowPunct w:val="0"/>
              <w:snapToGrid/>
              <w:spacing w:after="0" w:line="240" w:lineRule="auto"/>
              <w:jc w:val="left"/>
              <w:textAlignment w:val="baseline"/>
            </w:pPr>
            <w:r>
              <w:t>480 kHz SCS: X = {1, 2} slots,</w:t>
            </w:r>
          </w:p>
          <w:p>
            <w:pPr>
              <w:pStyle w:val="27"/>
              <w:widowControl w:val="0"/>
              <w:numPr>
                <w:ilvl w:val="0"/>
                <w:numId w:val="53"/>
              </w:numPr>
              <w:overflowPunct w:val="0"/>
              <w:snapToGrid/>
              <w:spacing w:line="240" w:lineRule="auto"/>
              <w:jc w:val="left"/>
              <w:textAlignment w:val="baseline"/>
            </w:pPr>
            <w:r>
              <w:t>960 kHz SCS: X = {1, 4} slots.</w:t>
            </w:r>
          </w:p>
          <w:bookmarkEnd w:id="33"/>
          <w:p>
            <w:pPr>
              <w:widowControl w:val="0"/>
              <w:rPr>
                <w:lang w:val="en-GB"/>
              </w:rPr>
            </w:pPr>
            <w:r>
              <w:rPr>
                <w:lang w:val="en-GB"/>
              </w:rPr>
              <w:t>If multiple values of X are supported by the UE capability, the default capability, which is supported by all UEs and assumed when there is no dedicated RRC configuration, should be determined, e.g., when 480 kHz SCS is used for initial access. Noting that a smaller value of X would be more demanding for the high SCSs, having a larger value of X, i.e., X = 4 for 480 kHz SCS and X = 8 for 960 kHz SCS, as the default capability is desirable.</w:t>
            </w:r>
          </w:p>
          <w:p>
            <w:pPr>
              <w:pStyle w:val="27"/>
              <w:widowControl w:val="0"/>
              <w:jc w:val="left"/>
            </w:pPr>
            <w:bookmarkStart w:id="34" w:name="_Ref83586061"/>
            <w:bookmarkStart w:id="35" w:name="_Toc83632383"/>
            <w:bookmarkStart w:id="36" w:name="_Toc83587357"/>
            <w:bookmarkStart w:id="37" w:name="_Toc83573327"/>
            <w:bookmarkStart w:id="38" w:name="P_3"/>
            <w:r>
              <w:t xml:space="preserve">Proposal </w:t>
            </w:r>
            <w:r>
              <w:fldChar w:fldCharType="begin"/>
            </w:r>
            <w:r>
              <w:instrText xml:space="preserve"> SEQ Proposal \* ARABIC </w:instrText>
            </w:r>
            <w:r>
              <w:fldChar w:fldCharType="separate"/>
            </w:r>
            <w:r>
              <w:t>3</w:t>
            </w:r>
            <w:r>
              <w:fldChar w:fldCharType="end"/>
            </w:r>
            <w:bookmarkEnd w:id="34"/>
            <w:r>
              <w:t>: For 480 kHz and 960 kHz SCSs, X = 4 and X = 8 are regarded as the default capability, respectively, and assumed during the idle/inactive mode operation (e.g., for ANR detection) and initial access procedure.</w:t>
            </w:r>
            <w:bookmarkEnd w:id="35"/>
            <w:bookmarkEnd w:id="36"/>
            <w:bookmarkEnd w:id="37"/>
          </w:p>
          <w:bookmarkEnd w:id="38"/>
          <w:p>
            <w:pPr>
              <w:pStyle w:val="27"/>
              <w:widowControl w:val="0"/>
              <w:jc w:val="left"/>
            </w:pPr>
            <w:bookmarkStart w:id="39" w:name="_Toc83573328"/>
            <w:bookmarkStart w:id="40" w:name="_Toc83587358"/>
            <w:bookmarkStart w:id="41" w:name="_Toc83632384"/>
            <w:bookmarkStart w:id="42" w:name="P_4"/>
            <w:r>
              <w:t xml:space="preserve">Proposal </w:t>
            </w:r>
            <w:r>
              <w:fldChar w:fldCharType="begin"/>
            </w:r>
            <w:r>
              <w:instrText xml:space="preserve"> SEQ Proposal \* ARABIC </w:instrText>
            </w:r>
            <w:r>
              <w:fldChar w:fldCharType="separate"/>
            </w:r>
            <w:r>
              <w:t>4</w:t>
            </w:r>
            <w:r>
              <w:fldChar w:fldCharType="end"/>
            </w:r>
            <w:r>
              <w:t>: For 480 kHz and 960 kHz SCSs, any smaller values of X than 4 for 480 kHz SCS and 8 for 960 kHz SCS are supported as an optional UE capability during a connected mode operation.</w:t>
            </w:r>
            <w:bookmarkEnd w:id="39"/>
            <w:bookmarkEnd w:id="40"/>
            <w:bookmarkEnd w:id="41"/>
          </w:p>
          <w:bookmarkEnd w:id="42"/>
          <w:p>
            <w:pPr>
              <w:widowControl w:val="0"/>
              <w:rPr>
                <w:b/>
                <w:bCs/>
                <w:u w:val="single"/>
              </w:rPr>
            </w:pPr>
            <w:r>
              <w:rPr>
                <w:b/>
                <w:bCs/>
                <w:u w:val="single"/>
              </w:rPr>
              <w:t>Issue 2: Delineation ambiguity</w:t>
            </w:r>
          </w:p>
          <w:p>
            <w:pPr>
              <w:widowControl w:val="0"/>
              <w:ind w:left="288"/>
            </w:pPr>
            <w:r>
              <w:t xml:space="preserve">Not having a fixed slot group, it was observed in </w:t>
            </w:r>
            <w:r>
              <w:fldChar w:fldCharType="begin"/>
            </w:r>
            <w:r>
              <w:instrText xml:space="preserve"> REF _Ref83583223 \r \h </w:instrText>
            </w:r>
            <w:r>
              <w:fldChar w:fldCharType="separate"/>
            </w:r>
            <w:r>
              <w:t>[5]</w:t>
            </w:r>
            <w:r>
              <w:fldChar w:fldCharType="end"/>
            </w:r>
            <w:r>
              <w:t xml:space="preserve"> that Alt 2 may have an ambiguity in the delineation of PDCCH MOs. As shown in </w:t>
            </w:r>
            <w:r>
              <w:fldChar w:fldCharType="begin"/>
            </w:r>
            <w:r>
              <w:instrText xml:space="preserve"> REF _Ref83584248 \h </w:instrText>
            </w:r>
            <w:r>
              <w:fldChar w:fldCharType="separate"/>
            </w:r>
            <w:r>
              <w:t>Figure 1</w:t>
            </w:r>
            <w:r>
              <w:fldChar w:fldCharType="end"/>
            </w:r>
            <w:r>
              <w:t>, for a give configuration of PDCCH MOs, there can be multiple potential delineations; for a given combination (X, Y) = (4, 2), a delineation of the multi-slot PDCCH monitoring by Delineation 1 satisfies the given (X, Y) combination, while Delineation 2 does not. Therefore, since not all delineations may satisfy a given combination (X, Y), searching for a proper delineation may pose additional processing burden to the UE.</w:t>
            </w:r>
          </w:p>
          <w:p>
            <w:pPr>
              <w:widowControl w:val="0"/>
              <w:ind w:left="288"/>
              <w:rPr>
                <w:lang w:val="en-GB"/>
              </w:rPr>
            </w:pPr>
            <w:r>
              <w:t>However, it is noteworthy that the delineation issue is cause by a Y value larger than one slot. Thus</w:t>
            </w:r>
            <w:r>
              <w:rPr>
                <w:lang w:val="en-GB"/>
              </w:rPr>
              <w:t xml:space="preserve">, as we proposed in </w:t>
            </w:r>
            <w:r>
              <w:rPr>
                <w:lang w:val="en-GB"/>
              </w:rPr>
              <w:fldChar w:fldCharType="begin"/>
            </w:r>
            <w:r>
              <w:rPr>
                <w:lang w:val="en-GB"/>
              </w:rPr>
              <w:instrText xml:space="preserve"> REF _Ref83573348 \h </w:instrText>
            </w:r>
            <w:r>
              <w:rPr>
                <w:lang w:val="en-GB"/>
              </w:rPr>
              <w:fldChar w:fldCharType="separate"/>
            </w:r>
            <w:r>
              <w:t>Proposal 5</w:t>
            </w:r>
            <w:r>
              <w:rPr>
                <w:lang w:val="en-GB"/>
              </w:rPr>
              <w:fldChar w:fldCharType="end"/>
            </w:r>
            <w:r>
              <w:rPr>
                <w:lang w:val="en-GB"/>
              </w:rPr>
              <w:t>, with a Y value no larger than one slot, the issue can be avoided.</w:t>
            </w:r>
          </w:p>
          <w:p>
            <w:pPr>
              <w:pStyle w:val="27"/>
              <w:widowControl w:val="0"/>
              <w:rPr>
                <w:lang w:val="en-GB"/>
              </w:rPr>
            </w:pPr>
            <w:bookmarkStart w:id="43" w:name="_Toc83587368"/>
            <w:bookmarkStart w:id="44" w:name="_Toc83632394"/>
            <w:bookmarkStart w:id="45" w:name="O_5"/>
            <w:r>
              <w:t xml:space="preserve">Observation </w:t>
            </w:r>
            <w:r>
              <w:fldChar w:fldCharType="begin"/>
            </w:r>
            <w:r>
              <w:instrText xml:space="preserve"> SEQ Observation \* ARABIC </w:instrText>
            </w:r>
            <w:r>
              <w:fldChar w:fldCharType="separate"/>
            </w:r>
            <w:r>
              <w:t>5</w:t>
            </w:r>
            <w:r>
              <w:fldChar w:fldCharType="end"/>
            </w:r>
            <w:r>
              <w:t xml:space="preserve">: For multi-slot PDCCH monitoring capability Alt 2, the delineation ambiguity of PDCCH monitoring occasions can be avoided if Y </w:t>
            </w:r>
            <w:r>
              <w:rPr>
                <w:rFonts w:hint="eastAsia"/>
              </w:rPr>
              <w:t>≤</w:t>
            </w:r>
            <w:r>
              <w:t xml:space="preserve"> 1 slot.</w:t>
            </w:r>
            <w:bookmarkEnd w:id="43"/>
            <w:bookmarkEnd w:id="44"/>
          </w:p>
          <w:bookmarkEnd w:id="45"/>
          <w:p>
            <w:pPr>
              <w:widowControl w:val="0"/>
            </w:pPr>
          </w:p>
          <w:p>
            <w:pPr>
              <w:widowControl w:val="0"/>
            </w:pPr>
            <w:r>
              <w:object>
                <v:shape id="_x0000_i1029" o:spt="75" type="#_x0000_t75" style="height:86.35pt;width:497.85pt;" o:ole="t" filled="f" o:preferrelative="t" stroked="f" coordsize="21600,21600">
                  <v:path/>
                  <v:fill on="f" focussize="0,0"/>
                  <v:stroke on="f" joinstyle="miter"/>
                  <v:imagedata r:id="rId21" o:title=""/>
                  <o:lock v:ext="edit" aspectratio="t"/>
                  <w10:wrap type="none"/>
                  <w10:anchorlock/>
                </v:shape>
                <o:OLEObject Type="Embed" ProgID="Visio.Drawing.15" ShapeID="_x0000_i1029" DrawAspect="Content" ObjectID="_1468075729" r:id="rId20">
                  <o:LockedField>false</o:LockedField>
                </o:OLEObject>
              </w:object>
            </w:r>
          </w:p>
          <w:p>
            <w:pPr>
              <w:pStyle w:val="27"/>
              <w:widowControl w:val="0"/>
              <w:rPr>
                <w:u w:val="single"/>
              </w:rPr>
            </w:pPr>
            <w:bookmarkStart w:id="46" w:name="_Ref83584248"/>
            <w:r>
              <w:t xml:space="preserve">Figure </w:t>
            </w:r>
            <w:r>
              <w:fldChar w:fldCharType="begin"/>
            </w:r>
            <w:r>
              <w:instrText xml:space="preserve"> SEQ Figure \* ARABIC </w:instrText>
            </w:r>
            <w:r>
              <w:fldChar w:fldCharType="separate"/>
            </w:r>
            <w:r>
              <w:t>1</w:t>
            </w:r>
            <w:r>
              <w:fldChar w:fldCharType="end"/>
            </w:r>
            <w:bookmarkEnd w:id="46"/>
            <w:r>
              <w:t>: Delineation of PDCCH MOs for Alt 2.</w:t>
            </w:r>
          </w:p>
          <w:p>
            <w:pPr>
              <w:widowControl w:val="0"/>
              <w:rPr>
                <w:b/>
                <w:bCs/>
                <w:u w:val="single"/>
              </w:rPr>
            </w:pPr>
          </w:p>
          <w:p>
            <w:pPr>
              <w:widowControl w:val="0"/>
              <w:rPr>
                <w:b/>
                <w:bCs/>
                <w:u w:val="single"/>
              </w:rPr>
            </w:pPr>
            <w:r>
              <w:rPr>
                <w:b/>
                <w:bCs/>
                <w:u w:val="single"/>
              </w:rPr>
              <w:t>Issue 3: Complexity of deriving a repeated span pattern</w:t>
            </w:r>
          </w:p>
          <w:p>
            <w:pPr>
              <w:widowControl w:val="0"/>
              <w:ind w:left="288"/>
            </w:pPr>
            <w:r>
              <w:t>In the agreement from RAN1 #104bis-e, it was captured as an FFS how a span pattern is defined and applied for Alt 2. The span pattern is given by a bitmap of length M indicating a repeated pattern of PDCCH MOs. During RAN1 #106-e discussion, it was pointed out that the bitmap size could be very large in some cases (e.g., M = 640 slots for 480 kHz SCS and M = 1280 slots for 960 kHz SCS), due to the flexibility of search space periodicity selection. Since the UE should derive the span pattern from the search space configuration, it can result in a very high complexity compared to Alt 1.</w:t>
            </w:r>
          </w:p>
          <w:p>
            <w:pPr>
              <w:widowControl w:val="0"/>
              <w:ind w:left="288"/>
              <w:rPr>
                <w:lang w:eastAsia="zh-CN"/>
              </w:rPr>
            </w:pPr>
            <w:r>
              <w:rPr>
                <w:lang w:eastAsia="zh-CN"/>
              </w:rPr>
              <w:t>In fact, the argument on the repeated span pattern is based on the view that Alt 2 is an extension of Rel-15 PDCCH monitoring capability, i.e., FG 3-5b (</w:t>
            </w:r>
            <w:r>
              <w:rPr>
                <w:i/>
                <w:lang w:eastAsia="zh-CN"/>
              </w:rPr>
              <w:t>pdcch-MonitoringAnyOccasionsWithSpanGap</w:t>
            </w:r>
            <w:r>
              <w:rPr>
                <w:lang w:eastAsia="zh-CN"/>
              </w:rPr>
              <w:t xml:space="preserve">). However, in our view, Alt 2 should be regarded as an extension of Rel-16 per-span PDCCH monitoring capability, i.e., </w:t>
            </w:r>
            <w:r>
              <w:rPr>
                <w:i/>
                <w:iCs/>
                <w:lang w:eastAsia="zh-CN"/>
              </w:rPr>
              <w:t>pdcch-Monitoring-r16</w:t>
            </w:r>
            <w:r>
              <w:rPr>
                <w:lang w:eastAsia="zh-CN"/>
              </w:rPr>
              <w:t>, and the notion of the repeated span pattern is not relevant. To clarify, the same definition of span in Rel-16 should be used (Section 10 in TS 38.213):</w:t>
            </w:r>
          </w:p>
          <w:p>
            <w:pPr>
              <w:pStyle w:val="73"/>
              <w:widowControl w:val="0"/>
              <w:numPr>
                <w:ilvl w:val="0"/>
                <w:numId w:val="54"/>
              </w:numPr>
              <w:snapToGrid/>
              <w:spacing w:line="240" w:lineRule="auto"/>
              <w:jc w:val="both"/>
              <w:rPr>
                <w:lang w:eastAsia="zh-CN"/>
              </w:rPr>
            </w:pPr>
            <w:r>
              <w:rPr>
                <w:lang w:eastAsia="zh-CN"/>
              </w:rPr>
              <w:t>A span is a number of consecutive symbols in a slot where the UE is configured to monitor PDCCH.</w:t>
            </w:r>
          </w:p>
          <w:p>
            <w:pPr>
              <w:pStyle w:val="73"/>
              <w:widowControl w:val="0"/>
              <w:numPr>
                <w:ilvl w:val="0"/>
                <w:numId w:val="54"/>
              </w:numPr>
              <w:snapToGrid/>
              <w:spacing w:after="120" w:line="240" w:lineRule="auto"/>
              <w:jc w:val="both"/>
              <w:rPr>
                <w:lang w:eastAsia="zh-CN"/>
              </w:rPr>
            </w:pPr>
            <w:r>
              <w:rPr>
                <w:color w:val="000000"/>
              </w:rPr>
              <w:t>A span starts at a first symbol where a PDCCH MO starts and ends at a last symbol where a PDCCH MO ends, where the number of symbols of the span is up to Y.</w:t>
            </w:r>
          </w:p>
          <w:p>
            <w:pPr>
              <w:pStyle w:val="27"/>
              <w:widowControl w:val="0"/>
            </w:pPr>
            <w:bookmarkStart w:id="47" w:name="_Toc83632395"/>
            <w:bookmarkStart w:id="48" w:name="_Toc83587369"/>
            <w:bookmarkStart w:id="49" w:name="O_6"/>
            <w:r>
              <w:t xml:space="preserve">Observation </w:t>
            </w:r>
            <w:r>
              <w:fldChar w:fldCharType="begin"/>
            </w:r>
            <w:r>
              <w:instrText xml:space="preserve"> SEQ Observation \* ARABIC </w:instrText>
            </w:r>
            <w:r>
              <w:fldChar w:fldCharType="separate"/>
            </w:r>
            <w:r>
              <w:t>6</w:t>
            </w:r>
            <w:r>
              <w:fldChar w:fldCharType="end"/>
            </w:r>
            <w:r>
              <w:t>: As an extension of Rel-16 per-span PDCCH monitoring capability, multi-slot PDCCH monitoring capability Alt 2 is not related to a repetition of the same span pattern.</w:t>
            </w:r>
            <w:bookmarkEnd w:id="47"/>
            <w:bookmarkEnd w:id="48"/>
          </w:p>
          <w:bookmarkEnd w:id="49"/>
          <w:p>
            <w:pPr>
              <w:widowControl w:val="0"/>
              <w:rPr>
                <w:lang w:eastAsia="zh-CN"/>
              </w:rPr>
            </w:pPr>
            <w:r>
              <w:t>Therefore, based on the discussion above, we believe that Alt 2 is more efficient and flexible compared to Alt 1.</w:t>
            </w:r>
          </w:p>
          <w:p>
            <w:pPr>
              <w:pStyle w:val="27"/>
              <w:widowControl w:val="0"/>
              <w:spacing w:after="0"/>
              <w:rPr>
                <w:lang w:eastAsia="zh-CN"/>
              </w:rPr>
            </w:pPr>
            <w:bookmarkStart w:id="50" w:name="_Ref68205303"/>
            <w:bookmarkStart w:id="51" w:name="_Toc68530837"/>
            <w:bookmarkStart w:id="52" w:name="_Toc68608256"/>
            <w:bookmarkStart w:id="53" w:name="_Toc79099658"/>
            <w:bookmarkStart w:id="54" w:name="_Toc83573331"/>
            <w:bookmarkStart w:id="55" w:name="_Toc83587361"/>
            <w:bookmarkStart w:id="56" w:name="_Toc83632387"/>
            <w:bookmarkStart w:id="57" w:name="_Toc68608268"/>
            <w:bookmarkStart w:id="58" w:name="_Toc68608206"/>
            <w:bookmarkStart w:id="59" w:name="_Toc68552634"/>
            <w:bookmarkStart w:id="60" w:name="_Toc78736002"/>
            <w:bookmarkStart w:id="61" w:name="_Toc79147719"/>
            <w:bookmarkStart w:id="62" w:name="_Toc68262156"/>
            <w:bookmarkStart w:id="63" w:name="_Toc68262202"/>
            <w:bookmarkStart w:id="64" w:name="_Toc68262215"/>
            <w:bookmarkStart w:id="65" w:name="_Toc68262236"/>
            <w:bookmarkStart w:id="66" w:name="_Toc68262269"/>
            <w:bookmarkStart w:id="67" w:name="_Toc68262407"/>
            <w:bookmarkStart w:id="68" w:name="_Toc68528597"/>
            <w:bookmarkStart w:id="69" w:name="_Toc68530788"/>
            <w:bookmarkStart w:id="70" w:name="_Toc68262116"/>
            <w:bookmarkStart w:id="71" w:name="_Toc68262096"/>
            <w:bookmarkStart w:id="72" w:name="_Toc68261799"/>
            <w:bookmarkStart w:id="73" w:name="P_7"/>
            <w:r>
              <w:t xml:space="preserve">Proposal </w:t>
            </w:r>
            <w:r>
              <w:fldChar w:fldCharType="begin"/>
            </w:r>
            <w:r>
              <w:instrText xml:space="preserve"> SEQ Proposal \* ARABIC </w:instrText>
            </w:r>
            <w:r>
              <w:fldChar w:fldCharType="separate"/>
            </w:r>
            <w:r>
              <w:t>7</w:t>
            </w:r>
            <w:r>
              <w:fldChar w:fldCharType="end"/>
            </w:r>
            <w:bookmarkEnd w:id="50"/>
            <w:r>
              <w:t>: For the definition of multi-slot PDCCH monitoring capability, Alt 2 is supported with the following modification:</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pPr>
              <w:pStyle w:val="73"/>
              <w:widowControl w:val="0"/>
              <w:numPr>
                <w:ilvl w:val="0"/>
                <w:numId w:val="16"/>
              </w:numPr>
              <w:spacing w:line="240" w:lineRule="auto"/>
              <w:rPr>
                <w:b/>
                <w:bCs/>
              </w:rPr>
            </w:pPr>
            <w:r>
              <w:rPr>
                <w:b/>
                <w:bCs/>
              </w:rPr>
              <w:t>Alt 2: Use an (X, Y) span as the baseline to define the new capability</w:t>
            </w:r>
          </w:p>
          <w:p>
            <w:pPr>
              <w:pStyle w:val="73"/>
              <w:widowControl w:val="0"/>
              <w:numPr>
                <w:ilvl w:val="1"/>
                <w:numId w:val="16"/>
              </w:numPr>
              <w:spacing w:line="240" w:lineRule="auto"/>
              <w:rPr>
                <w:b/>
                <w:bCs/>
              </w:rPr>
            </w:pPr>
            <w:r>
              <w:rPr>
                <w:b/>
                <w:bCs/>
              </w:rPr>
              <w:t>X is the minimum time</w:t>
            </w:r>
            <w:r>
              <w:rPr>
                <w:rFonts w:eastAsia="Times New Roman"/>
                <w:b/>
                <w:bCs/>
              </w:rPr>
              <w:t xml:space="preserve"> separation between the start of two consecutive spans</w:t>
            </w:r>
          </w:p>
          <w:p>
            <w:pPr>
              <w:pStyle w:val="73"/>
              <w:widowControl w:val="0"/>
              <w:numPr>
                <w:ilvl w:val="1"/>
                <w:numId w:val="16"/>
              </w:numPr>
              <w:spacing w:line="240" w:lineRule="auto"/>
              <w:rPr>
                <w:b/>
                <w:bCs/>
              </w:rPr>
            </w:pPr>
            <w:r>
              <w:rPr>
                <w:b/>
                <w:bCs/>
              </w:rPr>
              <w:t xml:space="preserve">The capability indicates the BD/CCE budget within a span of at most Y = 1 slot </w:t>
            </w:r>
          </w:p>
          <w:bookmarkEnd w:id="73"/>
          <w:p>
            <w:pPr>
              <w:widowControl w:val="0"/>
              <w:rPr>
                <w:b/>
                <w:bCs/>
              </w:rPr>
            </w:pPr>
          </w:p>
        </w:tc>
      </w:tr>
    </w:tbl>
    <w:p>
      <w:pPr>
        <w:rPr>
          <w:lang w:val="en-GB" w:eastAsia="zh-CN"/>
        </w:rPr>
      </w:pPr>
    </w:p>
    <w:p>
      <w:pPr>
        <w:pStyle w:val="4"/>
        <w:jc w:val="both"/>
        <w:rPr>
          <w:lang w:val="en-GB" w:eastAsia="zh-CN"/>
        </w:rPr>
      </w:pPr>
      <w:r>
        <w:rPr>
          <w:lang w:val="en-GB" w:eastAsia="zh-CN"/>
        </w:rPr>
        <w:t>R1-2110248 (Charter Communications)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rFonts w:ascii="Times" w:hAnsi="Times" w:eastAsia="Times New Roman"/>
                <w:b/>
                <w:bCs/>
                <w:lang w:eastAsia="zh-CN"/>
              </w:rPr>
            </w:pPr>
            <w:r>
              <w:rPr>
                <w:rFonts w:ascii="Times" w:hAnsi="Times" w:eastAsia="Batang"/>
                <w:b/>
                <w:szCs w:val="24"/>
                <w:lang w:eastAsia="zh-CN"/>
              </w:rPr>
              <w:t xml:space="preserve">Observation 2:  </w:t>
            </w:r>
            <w:r>
              <w:rPr>
                <w:rFonts w:ascii="Times" w:hAnsi="Times" w:eastAsia="Times New Roman"/>
                <w:b/>
                <w:bCs/>
                <w:lang w:eastAsia="zh-CN"/>
              </w:rPr>
              <w:t xml:space="preserve">Alt.1 with flexible location for Y-slots cannot solve all the issues of the Alt.1. The flexibility in location of Y-slots can also create new sets of problems.  </w:t>
            </w:r>
          </w:p>
          <w:p>
            <w:pPr>
              <w:widowControl w:val="0"/>
            </w:pPr>
          </w:p>
        </w:tc>
      </w:tr>
    </w:tbl>
    <w:p>
      <w:pPr>
        <w:rPr>
          <w:lang w:val="en-GB" w:eastAsia="zh-CN"/>
        </w:rPr>
      </w:pPr>
    </w:p>
    <w:p>
      <w:pPr>
        <w:pStyle w:val="4"/>
        <w:jc w:val="both"/>
        <w:rPr>
          <w:lang w:val="en-GB" w:eastAsia="zh-CN"/>
        </w:rPr>
      </w:pPr>
      <w:r>
        <w:rPr>
          <w:lang w:val="en-GB" w:eastAsia="zh-CN"/>
        </w:rPr>
        <w:t>R1-2110252 (Panasonic)</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pStyle w:val="30"/>
              <w:widowControl w:val="0"/>
            </w:pPr>
            <w:r>
              <w:t>The multi-slot PDCCH monitoring capability needs to have the balance of two requirements, i.e. the scheduling flexibility for gNB and UE complexity/power consumption reduction for UE. From gNB perspective, the maximum number of BD/CCE per monitoring occasion (MO) in 480 and 960 kHz SCS should be similar to the case of 120 kHz SCS to achieve the similar scheduling flexibility per MO. From UE perspective, multi-slot PDCCH monitoring capability should provide mechanisms to relieve UE monitoring burden and reduce UE power consumption.</w:t>
            </w:r>
          </w:p>
          <w:p>
            <w:pPr>
              <w:pStyle w:val="30"/>
              <w:widowControl w:val="0"/>
            </w:pPr>
            <w:r>
              <w:t xml:space="preserve">To address the above-mentioned requirements, one important design point is to define minimum separation in time between two consecutive spans of MOs. A span, per Rel-16 definition, is a number of consecutive symbols in a slot where the UE is configured to monitor PDCCH. A span starts at a first symbol where a PDCCH MO starts and ends at a last symbol where a PDCCH MO ends. The same definition of span can be used in above 52.6 GHz operation for consistency. </w:t>
            </w:r>
          </w:p>
          <w:p>
            <w:pPr>
              <w:pStyle w:val="30"/>
              <w:widowControl w:val="0"/>
            </w:pPr>
            <w:r>
              <w:t xml:space="preserve">The minimum separation can be readily achieved by Alt 2 with the restriction that Y contains one single span. Considering the fact that one MO has duration up to 3 symbols if legacy CORESET length is reused in above 52.6GHz operation, the duration of a span can be limited to a few symbols as well. Then X in Alt 2 becomes the minimum time separation between the start of two consecutive spans. In terms of the units for defining X and Y, Y should be defined in unit of symbols to allow UE to restrict its monitoring within a few symbols. On the other hand, X can be defined in unit of slots because the separation is expected to be as large as multiple slots. Examples could be (X=4 slots, Y=3 symbols) for 480kHz, and (X=8 slots, Y=3 symbols) for 960kHz. Alternatively, X may be defined in unit of symbols as well. Since in Alt 2, Y is always counted from the start of X, defining X in symbols provide the flexibility to locate MO in other symbols than the first symbol of a slot. However, it is unclear whether such flexibility is needed for above 52.6GHz operation considering the fact that slot length is very short for high SCSs.    </w:t>
            </w:r>
          </w:p>
          <w:p>
            <w:pPr>
              <w:pStyle w:val="30"/>
              <w:widowControl w:val="0"/>
              <w:rPr>
                <w:b/>
                <w:bCs/>
              </w:rPr>
            </w:pPr>
            <w:r>
              <w:rPr>
                <w:b/>
                <w:bCs/>
              </w:rPr>
              <w:t>Proposal 1: For defining multi-slot PDCCH monitoring capability, select Alt 2 with X in slots and Y in symbols and Y containing one short span (up to a few symbols).</w:t>
            </w:r>
          </w:p>
          <w:p>
            <w:pPr>
              <w:pStyle w:val="30"/>
              <w:widowControl w:val="0"/>
            </w:pPr>
            <w:r>
              <w:t xml:space="preserve">On the other hand, considering the fact that Alt 1 was preferred by majority companies [1], we are open to further discuss Alt 1. </w:t>
            </w:r>
          </w:p>
          <w:p>
            <w:pPr>
              <w:pStyle w:val="30"/>
              <w:widowControl w:val="0"/>
            </w:pPr>
            <w:r>
              <w:t xml:space="preserve">As shown in the section 1, some decisions have been made on refining Alt 1 in the previous meeting, e.g. Y will be defined in unit of slot with the range of </w:t>
            </w:r>
            <w:r>
              <w:rPr>
                <w:rFonts w:ascii="Times" w:hAnsi="Times" w:eastAsia="Batang"/>
                <w:szCs w:val="24"/>
                <w:lang w:eastAsia="zh-CN"/>
              </w:rPr>
              <w:t xml:space="preserve">1&lt;=Y&lt;=X/2. </w:t>
            </w:r>
            <w:r>
              <w:t xml:space="preserve">There was also intensive discussion in the previous meeting on whether to fix the location of Y within X. The motivation of having fixed location of Y is to avoid back-to-back monitoring issue which has been acknowledged by companies. But the “fixed location of Y” can be understood in two different ways. The first interpretation is that the location of Y is defined by SFN (similar to the definition of X-slot groups), e.g. the Y slots as the first X slots within the X-slot pattern. The second interpretation is from each UE perspective that the location of Y within X is maintained across different slot groups, but it is not necessarily aligned among different UEs. </w:t>
            </w:r>
          </w:p>
          <w:p>
            <w:pPr>
              <w:pStyle w:val="30"/>
              <w:widowControl w:val="0"/>
            </w:pPr>
            <w:r>
              <w:t>The first interpretation (same location of Y for all UEs), although enjoying its simplicity, would have issue for UE to monitor beam-swept CSS. Considering the fact that different UE might monitor different TDMed-beam for CSS, the same location of Y could end up with certain CSS outside Y. To solve this issue, some company suggested that UE is required to monitor broadcast CSS (e.g. Type0/0A/1(without dedicated RRC config)/2-CSS) even if it is located outside Y. From our opinion, such behavior would basically increase the UE complexity and compromise target of defining multi-slot monitoring. So we don't think it is good idea to introduce such exceptional rule for certain type of CSS.</w:t>
            </w:r>
          </w:p>
          <w:p>
            <w:pPr>
              <w:pStyle w:val="30"/>
              <w:widowControl w:val="0"/>
            </w:pPr>
            <w:r>
              <w:t xml:space="preserve">The second interpretation (different UE has different location of Y), on the other hand, would not need exceptional rule for CSS. However, since different UE can have different location of Y, it introduces extra complexity for network side to keep tracking of location of Y for every UE for scheduling.  </w:t>
            </w:r>
          </w:p>
          <w:p>
            <w:pPr>
              <w:pStyle w:val="30"/>
              <w:widowControl w:val="0"/>
            </w:pPr>
            <w:r>
              <w:t xml:space="preserve">In order to balance the scheduling flexibility and complexity, we propose that the location of Y is determined by the CSS MOs that UE is configured to monitor. Then it is possible to align the location of Y for a group of UEs monitoring the same CSS MOs, if not all the UEs. </w:t>
            </w:r>
          </w:p>
          <w:p>
            <w:pPr>
              <w:pStyle w:val="30"/>
              <w:widowControl w:val="0"/>
            </w:pPr>
            <w:r>
              <w:t xml:space="preserve">After the location of Y is determined based on the CSS MOs, USS MOs can be further included in Y from USS with lower to higher indices. In an ideal case, the location of Y can be chosen to cover all CSS MOs and USS MOs that are configured to the UE. In other words, it implies that gNB by configuration makes sure that all CSS/USS MOs can fall into Y. However, in reality, this may not be always possible, or not an efficient operation even if possible. For example, considering the TDMed-beam transmission of CSS, UE may need to monitor a different slot for CSS when UE’s serving beam is changed. However, for USS, gNB can simply change the serving beam without changing the MO location since USS MO is unicast to the UE. In this case, it can happen that USS MO becomes far away from the CSS MO of the new serving beam such that Y cannot include both CSS and USS MOs anymore. Therefore, the configuration of USS MOs should not be restricted to Y slots. If a certain USS MO cannot be included in Y, it would be dropped after the location of Y is determined. </w:t>
            </w:r>
          </w:p>
          <w:p>
            <w:pPr>
              <w:pStyle w:val="30"/>
              <w:widowControl w:val="0"/>
            </w:pPr>
            <w:r>
              <w:t xml:space="preserve">The following Fig.1 illustrates one example. As shown, in the first slot group (UE is served by yellow beam), the location of Y is the first slot, covering USS1 MO and CSS MO of the yellow beam. UE is not required to monitor USS2 MO because it is outside Y. When UE moves from the coverage of yellow beam to green beam in the second slot group, the corresponding CSS MO location is also changed. Consequently, the location of Y changes as well, to cover the second slot in the second slot group. As a result, USS1 MO is dropped, and USS2 MO will be monitored by the UE.  </w:t>
            </w:r>
          </w:p>
          <w:p>
            <w:pPr>
              <w:pStyle w:val="30"/>
              <w:widowControl w:val="0"/>
            </w:pPr>
          </w:p>
          <w:p>
            <w:pPr>
              <w:pStyle w:val="30"/>
              <w:widowControl w:val="0"/>
            </w:pPr>
          </w:p>
          <w:p>
            <w:pPr>
              <w:pStyle w:val="30"/>
              <w:widowControl w:val="0"/>
            </w:pPr>
            <w:r>
              <w:object>
                <v:shape id="_x0000_i1030" o:spt="75" type="#_x0000_t75" style="height:139.55pt;width:482.15pt;" o:ole="t" filled="f" o:preferrelative="t" stroked="f" coordsize="21600,21600">
                  <v:path/>
                  <v:fill on="f" focussize="0,0"/>
                  <v:stroke on="f" joinstyle="miter"/>
                  <v:imagedata r:id="rId23" o:title=""/>
                  <o:lock v:ext="edit" aspectratio="t"/>
                  <w10:wrap type="none"/>
                  <w10:anchorlock/>
                </v:shape>
                <o:OLEObject Type="Embed" ProgID="Visio.Drawing.15" ShapeID="_x0000_i1030" DrawAspect="Content" ObjectID="_1468075730" r:id="rId22">
                  <o:LockedField>false</o:LockedField>
                </o:OLEObject>
              </w:object>
            </w:r>
          </w:p>
          <w:p>
            <w:pPr>
              <w:pStyle w:val="30"/>
              <w:widowControl w:val="0"/>
            </w:pPr>
          </w:p>
          <w:p>
            <w:pPr>
              <w:pStyle w:val="30"/>
              <w:widowControl w:val="0"/>
              <w:jc w:val="center"/>
            </w:pPr>
            <w:r>
              <w:t>Fig.1 Determination of the location of Y</w:t>
            </w:r>
          </w:p>
          <w:p>
            <w:pPr>
              <w:pStyle w:val="30"/>
              <w:widowControl w:val="0"/>
              <w:rPr>
                <w:b/>
                <w:bCs/>
              </w:rPr>
            </w:pPr>
          </w:p>
          <w:p>
            <w:pPr>
              <w:pStyle w:val="30"/>
              <w:widowControl w:val="0"/>
              <w:rPr>
                <w:b/>
                <w:bCs/>
              </w:rPr>
            </w:pPr>
          </w:p>
          <w:p>
            <w:pPr>
              <w:pStyle w:val="30"/>
              <w:widowControl w:val="0"/>
              <w:rPr>
                <w:b/>
                <w:bCs/>
              </w:rPr>
            </w:pPr>
            <w:r>
              <w:rPr>
                <w:b/>
                <w:bCs/>
              </w:rPr>
              <w:t xml:space="preserve">Proposal 2: For Alt 1, UE determines the location of Y based on the following rule: </w:t>
            </w:r>
          </w:p>
          <w:p>
            <w:pPr>
              <w:pStyle w:val="30"/>
              <w:widowControl w:val="0"/>
              <w:numPr>
                <w:ilvl w:val="0"/>
                <w:numId w:val="29"/>
              </w:numPr>
              <w:autoSpaceDE/>
              <w:autoSpaceDN/>
              <w:adjustRightInd/>
              <w:snapToGrid/>
              <w:spacing w:after="160"/>
              <w:rPr>
                <w:b/>
                <w:bCs/>
              </w:rPr>
            </w:pPr>
            <w:r>
              <w:rPr>
                <w:b/>
                <w:bCs/>
              </w:rPr>
              <w:t>Location of Y should first include all CSS MOs that UE is configured to monitor, then USS MOs can be further included in Y from USS with lower to higher indices. Certain USS MO would be dropped if it cannot be included in Y.</w:t>
            </w:r>
          </w:p>
          <w:p>
            <w:pPr>
              <w:pStyle w:val="30"/>
              <w:widowControl w:val="0"/>
            </w:pPr>
            <w:r>
              <w:t xml:space="preserve">If the Proposal 1that Y contains one single short span for Alt 2 is agreed by RAN1, there is no need for further capability definition discussion within Y. On the other hand, for Alt 1, it has been agreed that Y has range from 1 slot up to X/2 slots. It is our understanding that the underlined assumption is that some symbols of Y may not belong to any span, meaning that UE is not required to monitor every symbol of Y. As a result, it is to be discussed the further capability definition within Y at least for Alt 1. From our point of view, the discussion points include the maximum allowed duration of a MO span and maximum number of allowed MO spans. It also should discuss the minimum time separation between two consecutive MO spans to order to avoid local PDCCH processing overloading issue.  </w:t>
            </w:r>
          </w:p>
          <w:p>
            <w:pPr>
              <w:pStyle w:val="30"/>
              <w:widowControl w:val="0"/>
              <w:rPr>
                <w:b/>
                <w:bCs/>
              </w:rPr>
            </w:pPr>
            <w:r>
              <w:rPr>
                <w:b/>
                <w:bCs/>
              </w:rPr>
              <w:t>Proposal 3: For Alt 1, further discuss capability definition within Y in terms of duration of span, number of spans, and minimum separation between two consecutive spans.</w:t>
            </w:r>
          </w:p>
          <w:p>
            <w:pPr>
              <w:widowControl w:val="0"/>
              <w:rPr>
                <w:rFonts w:eastAsia="Malgun Gothic"/>
                <w:b/>
                <w:bCs/>
                <w:sz w:val="20"/>
                <w:szCs w:val="20"/>
                <w:lang w:eastAsia="ko-KR"/>
              </w:rPr>
            </w:pPr>
          </w:p>
        </w:tc>
      </w:tr>
    </w:tbl>
    <w:p>
      <w:pPr>
        <w:rPr>
          <w:lang w:eastAsia="zh-CN"/>
        </w:rPr>
      </w:pPr>
    </w:p>
    <w:p>
      <w:pPr>
        <w:pStyle w:val="3"/>
      </w:pPr>
      <w:r>
        <w:t>Topic A2: Search Space Configuration/Enhancement</w:t>
      </w:r>
    </w:p>
    <w:p>
      <w:pPr>
        <w:pStyle w:val="4"/>
        <w:jc w:val="both"/>
        <w:rPr>
          <w:lang w:val="en-GB" w:eastAsia="zh-CN"/>
        </w:rPr>
      </w:pPr>
      <w:r>
        <w:rPr>
          <w:lang w:val="en-GB" w:eastAsia="zh-CN"/>
        </w:rPr>
        <w:t>R1-2108768 (Huawei, HiSilicon)</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spacing w:after="180"/>
              <w:rPr>
                <w:rFonts w:eastAsia="宋体"/>
              </w:rPr>
            </w:pPr>
            <w:r>
              <w:rPr>
                <w:rFonts w:eastAsia="宋体"/>
              </w:rPr>
              <w:t>The time domain parameters include periodicity, offset, duration, and monitoring symbols within slot as shown in following table.</w:t>
            </w:r>
          </w:p>
          <w:p>
            <w:pPr>
              <w:widowControl/>
              <w:jc w:val="center"/>
              <w:rPr>
                <w:rFonts w:eastAsia="宋体"/>
                <w:bCs/>
                <w:sz w:val="20"/>
                <w:szCs w:val="20"/>
              </w:rPr>
            </w:pPr>
            <w:r>
              <w:rPr>
                <w:rFonts w:eastAsia="宋体"/>
                <w:b/>
                <w:bCs/>
                <w:sz w:val="20"/>
                <w:szCs w:val="20"/>
              </w:rPr>
              <w:t xml:space="preserve">Table </w:t>
            </w:r>
            <w:r>
              <w:rPr>
                <w:rFonts w:eastAsia="宋体"/>
                <w:b/>
                <w:bCs/>
                <w:sz w:val="20"/>
                <w:szCs w:val="20"/>
              </w:rPr>
              <w:fldChar w:fldCharType="begin"/>
            </w:r>
            <w:r>
              <w:rPr>
                <w:rFonts w:eastAsia="宋体"/>
                <w:b/>
                <w:bCs/>
                <w:sz w:val="20"/>
                <w:szCs w:val="20"/>
              </w:rPr>
              <w:instrText xml:space="preserve"> SEQ Table \* ARABIC </w:instrText>
            </w:r>
            <w:r>
              <w:rPr>
                <w:rFonts w:eastAsia="宋体"/>
                <w:b/>
                <w:bCs/>
                <w:sz w:val="20"/>
                <w:szCs w:val="20"/>
              </w:rPr>
              <w:fldChar w:fldCharType="separate"/>
            </w:r>
            <w:r>
              <w:rPr>
                <w:rFonts w:eastAsia="宋体"/>
                <w:b/>
                <w:bCs/>
                <w:sz w:val="20"/>
                <w:szCs w:val="20"/>
              </w:rPr>
              <w:t>5</w:t>
            </w:r>
            <w:r>
              <w:rPr>
                <w:rFonts w:eastAsia="宋体"/>
                <w:b/>
                <w:bCs/>
                <w:sz w:val="20"/>
                <w:szCs w:val="20"/>
              </w:rPr>
              <w:fldChar w:fldCharType="end"/>
            </w:r>
            <w:r>
              <w:rPr>
                <w:rFonts w:eastAsia="宋体"/>
                <w:b/>
                <w:bCs/>
                <w:sz w:val="20"/>
                <w:szCs w:val="20"/>
              </w:rPr>
              <w:t>. Search space set configuration</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en-GB" w:eastAsia="en-GB"/>
              </w:rPr>
            </w:pPr>
            <w:r>
              <w:rPr>
                <w:rFonts w:ascii="Courier New" w:hAnsi="Courier New" w:eastAsia="Times New Roman"/>
                <w:sz w:val="16"/>
                <w:szCs w:val="20"/>
                <w:lang w:val="en-GB" w:eastAsia="en-GB"/>
              </w:rPr>
              <w:t xml:space="preserve">SearchSpace ::=                         </w:t>
            </w:r>
            <w:r>
              <w:rPr>
                <w:rFonts w:ascii="Courier New" w:hAnsi="Courier New" w:eastAsia="Times New Roman"/>
                <w:color w:val="993366"/>
                <w:sz w:val="16"/>
                <w:szCs w:val="20"/>
                <w:lang w:val="en-GB" w:eastAsia="en-GB"/>
              </w:rPr>
              <w:t>SEQUENCE</w:t>
            </w:r>
            <w:r>
              <w:rPr>
                <w:rFonts w:ascii="Courier New" w:hAnsi="Courier New" w:eastAsia="Times New Roman"/>
                <w:sz w:val="16"/>
                <w:szCs w:val="20"/>
                <w:lang w:val="en-GB" w:eastAsia="en-GB"/>
              </w:rPr>
              <w:t xml:space="preserve"> {</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ind w:firstLine="390"/>
              <w:textAlignment w:val="baseline"/>
              <w:rPr>
                <w:rFonts w:ascii="Courier New" w:hAnsi="Courier New" w:eastAsia="Times New Roman"/>
                <w:sz w:val="16"/>
                <w:szCs w:val="20"/>
                <w:lang w:val="en-GB" w:eastAsia="en-GB"/>
              </w:rPr>
            </w:pPr>
            <w:r>
              <w:rPr>
                <w:rFonts w:ascii="Courier New" w:hAnsi="Courier New" w:eastAsia="Times New Roman"/>
                <w:sz w:val="16"/>
                <w:szCs w:val="20"/>
                <w:lang w:val="en-GB" w:eastAsia="en-GB"/>
              </w:rPr>
              <w:t>searchSpaceId                           SearchSpaceId,</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ind w:firstLine="390"/>
              <w:textAlignment w:val="baseline"/>
              <w:rPr>
                <w:rFonts w:ascii="Courier New" w:hAnsi="Courier New" w:eastAsia="Times New Roman"/>
                <w:color w:val="808080"/>
                <w:sz w:val="16"/>
                <w:szCs w:val="20"/>
                <w:lang w:val="en-GB" w:eastAsia="en-GB"/>
              </w:rPr>
            </w:pPr>
            <w:r>
              <w:rPr>
                <w:rFonts w:ascii="Courier New" w:hAnsi="Courier New" w:eastAsia="Times New Roman"/>
                <w:sz w:val="16"/>
                <w:szCs w:val="20"/>
                <w:lang w:val="en-GB" w:eastAsia="en-GB"/>
              </w:rPr>
              <w:t xml:space="preserve">controlResourceSetId                    ControlResourceSetId             </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ind w:firstLine="390"/>
              <w:textAlignment w:val="baseline"/>
              <w:rPr>
                <w:rFonts w:ascii="Courier New" w:hAnsi="Courier New" w:eastAsia="Times New Roman"/>
                <w:sz w:val="16"/>
                <w:szCs w:val="20"/>
                <w:lang w:val="en-GB" w:eastAsia="en-GB"/>
              </w:rPr>
            </w:pPr>
            <w:r>
              <w:rPr>
                <w:rFonts w:ascii="Courier New" w:hAnsi="Courier New" w:eastAsia="Times New Roman"/>
                <w:sz w:val="16"/>
                <w:szCs w:val="20"/>
                <w:highlight w:val="yellow"/>
                <w:lang w:val="en-GB" w:eastAsia="en-GB"/>
              </w:rPr>
              <w:t>monitoringSlotPeriodicityAndOffset</w:t>
            </w:r>
            <w:r>
              <w:rPr>
                <w:rFonts w:ascii="Courier New" w:hAnsi="Courier New" w:eastAsia="Times New Roman"/>
                <w:sz w:val="16"/>
                <w:szCs w:val="20"/>
                <w:lang w:val="en-GB" w:eastAsia="en-GB"/>
              </w:rPr>
              <w:t xml:space="preserve">      </w:t>
            </w:r>
            <w:r>
              <w:rPr>
                <w:rFonts w:ascii="Courier New" w:hAnsi="Courier New" w:eastAsia="Times New Roman"/>
                <w:color w:val="993366"/>
                <w:sz w:val="16"/>
                <w:szCs w:val="20"/>
                <w:lang w:val="en-GB" w:eastAsia="en-GB"/>
              </w:rPr>
              <w:t>CHOICE</w:t>
            </w:r>
            <w:r>
              <w:rPr>
                <w:rFonts w:ascii="Courier New" w:hAnsi="Courier New" w:eastAsia="Times New Roman"/>
                <w:sz w:val="16"/>
                <w:szCs w:val="20"/>
                <w:lang w:val="en-GB" w:eastAsia="en-GB"/>
              </w:rPr>
              <w:t xml:space="preserve"> {</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en-GB" w:eastAsia="en-GB"/>
              </w:rPr>
              <w:t xml:space="preserve">        </w:t>
            </w:r>
            <w:r>
              <w:rPr>
                <w:rFonts w:ascii="Courier New" w:hAnsi="Courier New" w:eastAsia="Times New Roman"/>
                <w:sz w:val="16"/>
                <w:szCs w:val="20"/>
                <w:lang w:val="de-DE" w:eastAsia="en-GB"/>
              </w:rPr>
              <w:t xml:space="preserve">sl1                                     </w:t>
            </w:r>
            <w:r>
              <w:rPr>
                <w:rFonts w:ascii="Courier New" w:hAnsi="Courier New" w:eastAsia="Times New Roman"/>
                <w:color w:val="993366"/>
                <w:sz w:val="16"/>
                <w:szCs w:val="20"/>
                <w:lang w:val="de-DE" w:eastAsia="en-GB"/>
              </w:rPr>
              <w:t>NULL</w:t>
            </w:r>
            <w:r>
              <w:rPr>
                <w:rFonts w:ascii="Courier New" w:hAnsi="Courier New" w:eastAsia="Times New Roman"/>
                <w:sz w:val="16"/>
                <w:szCs w:val="20"/>
                <w:lang w:val="de-DE" w:eastAsia="en-GB"/>
              </w:rPr>
              <w:t>,</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sl2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(0..1),</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sl4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(0..3),</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sl5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(0..4),</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sl8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(0..7),</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sl10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sl16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(0..15),</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sl20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(0..19),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sl40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(0..39),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sl80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(0..79),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sl160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(0..159),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sl320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(0..319),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sl640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(0..639),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sl1280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(0..1279),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textAlignment w:val="baseline"/>
              <w:rPr>
                <w:rFonts w:ascii="Courier New" w:hAnsi="Courier New" w:eastAsia="Times New Roman"/>
                <w:sz w:val="16"/>
                <w:szCs w:val="20"/>
                <w:lang w:val="de-DE" w:eastAsia="en-GB"/>
              </w:rPr>
            </w:pPr>
            <w:r>
              <w:rPr>
                <w:rFonts w:ascii="Courier New" w:hAnsi="Courier New" w:eastAsia="Times New Roman"/>
                <w:sz w:val="16"/>
                <w:szCs w:val="20"/>
                <w:lang w:val="de-DE" w:eastAsia="en-GB"/>
              </w:rPr>
              <w:t xml:space="preserve">        sl2560                                  </w:t>
            </w:r>
            <w:r>
              <w:rPr>
                <w:rFonts w:ascii="Courier New" w:hAnsi="Courier New" w:eastAsia="Times New Roman"/>
                <w:color w:val="993366"/>
                <w:sz w:val="16"/>
                <w:szCs w:val="20"/>
                <w:lang w:val="de-DE" w:eastAsia="en-GB"/>
              </w:rPr>
              <w:t>INTEGER</w:t>
            </w:r>
            <w:r>
              <w:rPr>
                <w:rFonts w:ascii="Courier New" w:hAnsi="Courier New" w:eastAsia="Times New Roman"/>
                <w:sz w:val="16"/>
                <w:szCs w:val="20"/>
                <w:lang w:val="de-DE" w:eastAsia="en-GB"/>
              </w:rPr>
              <w:t xml:space="preserve"> (0..2559)</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ind w:firstLine="390"/>
              <w:textAlignment w:val="baseline"/>
              <w:rPr>
                <w:rFonts w:ascii="Courier New" w:hAnsi="Courier New" w:eastAsia="Times New Roman"/>
                <w:color w:val="808080"/>
                <w:sz w:val="16"/>
                <w:szCs w:val="20"/>
                <w:lang w:val="en-GB" w:eastAsia="en-GB"/>
              </w:rPr>
            </w:pPr>
            <w:r>
              <w:rPr>
                <w:rFonts w:ascii="Courier New" w:hAnsi="Courier New" w:eastAsia="Times New Roman"/>
                <w:sz w:val="16"/>
                <w:szCs w:val="20"/>
                <w:lang w:val="en-GB" w:eastAsia="en-GB"/>
              </w:rPr>
              <w:t xml:space="preserve">}                                                                             </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ind w:firstLine="390"/>
              <w:textAlignment w:val="baseline"/>
              <w:rPr>
                <w:rFonts w:ascii="Courier New" w:hAnsi="Courier New" w:eastAsia="Times New Roman"/>
                <w:color w:val="808080"/>
                <w:sz w:val="16"/>
                <w:szCs w:val="20"/>
                <w:lang w:val="en-GB" w:eastAsia="en-GB"/>
              </w:rPr>
            </w:pPr>
            <w:r>
              <w:rPr>
                <w:rFonts w:ascii="Courier New" w:hAnsi="Courier New" w:eastAsia="Times New Roman"/>
                <w:sz w:val="16"/>
                <w:szCs w:val="20"/>
                <w:highlight w:val="yellow"/>
                <w:lang w:val="en-GB" w:eastAsia="en-GB"/>
              </w:rPr>
              <w:t>duration</w:t>
            </w:r>
            <w:r>
              <w:rPr>
                <w:rFonts w:ascii="Courier New" w:hAnsi="Courier New" w:eastAsia="Times New Roman"/>
                <w:sz w:val="16"/>
                <w:szCs w:val="20"/>
                <w:lang w:val="en-GB" w:eastAsia="en-GB"/>
              </w:rPr>
              <w:t xml:space="preserve">                                </w:t>
            </w:r>
            <w:r>
              <w:rPr>
                <w:rFonts w:ascii="Courier New" w:hAnsi="Courier New" w:eastAsia="Times New Roman"/>
                <w:color w:val="993366"/>
                <w:sz w:val="16"/>
                <w:szCs w:val="20"/>
                <w:lang w:val="en-GB" w:eastAsia="en-GB"/>
              </w:rPr>
              <w:t>INTEGER</w:t>
            </w:r>
            <w:r>
              <w:rPr>
                <w:rFonts w:ascii="Courier New" w:hAnsi="Courier New" w:eastAsia="Times New Roman"/>
                <w:sz w:val="16"/>
                <w:szCs w:val="20"/>
                <w:lang w:val="en-GB" w:eastAsia="en-GB"/>
              </w:rPr>
              <w:t xml:space="preserve"> (2..2559)                     </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ind w:firstLine="390"/>
              <w:textAlignment w:val="baseline"/>
              <w:rPr>
                <w:rFonts w:ascii="Courier New" w:hAnsi="Courier New" w:eastAsia="Times New Roman"/>
                <w:color w:val="808080"/>
                <w:sz w:val="16"/>
                <w:szCs w:val="20"/>
                <w:lang w:val="en-GB" w:eastAsia="en-GB"/>
              </w:rPr>
            </w:pPr>
            <w:r>
              <w:rPr>
                <w:rFonts w:ascii="Courier New" w:hAnsi="Courier New" w:eastAsia="Times New Roman"/>
                <w:sz w:val="16"/>
                <w:szCs w:val="20"/>
                <w:lang w:val="en-GB" w:eastAsia="en-GB"/>
              </w:rPr>
              <w:t xml:space="preserve">monitoringSymbolsWithinSlot             </w:t>
            </w:r>
            <w:r>
              <w:rPr>
                <w:rFonts w:ascii="Courier New" w:hAnsi="Courier New" w:eastAsia="Times New Roman"/>
                <w:color w:val="993366"/>
                <w:sz w:val="16"/>
                <w:szCs w:val="20"/>
                <w:lang w:val="en-GB" w:eastAsia="en-GB"/>
              </w:rPr>
              <w:t>BIT</w:t>
            </w:r>
            <w:r>
              <w:rPr>
                <w:rFonts w:ascii="Courier New" w:hAnsi="Courier New" w:eastAsia="Times New Roman"/>
                <w:sz w:val="16"/>
                <w:szCs w:val="20"/>
                <w:lang w:val="en-GB" w:eastAsia="en-GB"/>
              </w:rPr>
              <w:t xml:space="preserve"> </w:t>
            </w:r>
            <w:r>
              <w:rPr>
                <w:rFonts w:ascii="Courier New" w:hAnsi="Courier New" w:eastAsia="Times New Roman"/>
                <w:color w:val="993366"/>
                <w:sz w:val="16"/>
                <w:szCs w:val="20"/>
                <w:lang w:val="en-GB" w:eastAsia="en-GB"/>
              </w:rPr>
              <w:t>STRING</w:t>
            </w:r>
            <w:r>
              <w:rPr>
                <w:rFonts w:ascii="Courier New" w:hAnsi="Courier New" w:eastAsia="Times New Roman"/>
                <w:sz w:val="16"/>
                <w:szCs w:val="20"/>
                <w:lang w:val="en-GB" w:eastAsia="en-GB"/>
              </w:rPr>
              <w:t xml:space="preserve"> (</w:t>
            </w:r>
            <w:r>
              <w:rPr>
                <w:rFonts w:ascii="Courier New" w:hAnsi="Courier New" w:eastAsia="Times New Roman"/>
                <w:color w:val="993366"/>
                <w:sz w:val="16"/>
                <w:szCs w:val="20"/>
                <w:lang w:val="en-GB" w:eastAsia="en-GB"/>
              </w:rPr>
              <w:t>SIZE</w:t>
            </w:r>
            <w:r>
              <w:rPr>
                <w:rFonts w:ascii="Courier New" w:hAnsi="Courier New" w:eastAsia="Times New Roman"/>
                <w:sz w:val="16"/>
                <w:szCs w:val="20"/>
                <w:lang w:val="en-GB" w:eastAsia="en-GB"/>
              </w:rPr>
              <w:t xml:space="preserve"> (14))                </w:t>
            </w:r>
          </w:p>
          <w:p>
            <w:pPr>
              <w:widowControl/>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spacing w:line="200" w:lineRule="atLeast"/>
              <w:ind w:firstLine="390"/>
              <w:textAlignment w:val="baseline"/>
              <w:rPr>
                <w:rFonts w:ascii="Courier New" w:hAnsi="Courier New" w:eastAsia="Times New Roman"/>
                <w:sz w:val="16"/>
                <w:szCs w:val="20"/>
                <w:lang w:val="en-GB" w:eastAsia="en-GB"/>
              </w:rPr>
            </w:pPr>
            <w:r>
              <w:rPr>
                <w:rFonts w:ascii="Courier New" w:hAnsi="Courier New" w:eastAsia="Times New Roman"/>
                <w:sz w:val="16"/>
                <w:szCs w:val="20"/>
                <w:lang w:val="en-GB" w:eastAsia="en-GB"/>
              </w:rPr>
              <w:t>…</w:t>
            </w:r>
          </w:p>
          <w:p>
            <w:pPr>
              <w:widowControl/>
              <w:spacing w:before="180" w:after="180"/>
              <w:rPr>
                <w:rFonts w:eastAsia="宋体"/>
              </w:rPr>
            </w:pPr>
            <w:r>
              <w:rPr>
                <w:rFonts w:eastAsia="宋体"/>
                <w:b/>
              </w:rPr>
              <w:t>Periodicity and offset</w:t>
            </w:r>
            <w:r>
              <w:rPr>
                <w:rFonts w:eastAsia="宋体"/>
              </w:rPr>
              <w:t xml:space="preserve">: Assume that multi-slot PDCCH monitoring capability for 480/960 kHz SCS is defined within the first Y slots per X-slot pattern of Alt 1-1 described in section 2.1. Then, a UE can be configured with monitoring periodicity to be integer of X slots so that its monitoring occasion always locates within the Y slots. Moreover, as aforementioned, the number of slots increase by 4/8 times for 480/960 kHz SCS, if the monitoring periodicity of 120 kHz SCS is to be maintained. In order to avoid a large increase of the number of choices in </w:t>
            </w:r>
            <w:r>
              <w:rPr>
                <w:rFonts w:eastAsia="宋体"/>
                <w:i/>
              </w:rPr>
              <w:t>monitoringSlotPeriodicityAndOffset</w:t>
            </w:r>
            <w:r>
              <w:rPr>
                <w:rFonts w:eastAsia="宋体"/>
              </w:rPr>
              <w:t>, the unit of the periodicity could be X-slots instead of one single slot. Similarly, the offset values should also be scaled by X. For example, “sl4” in Table 4 represents a periodicity of 16/32 slots for 480/960 kHz SCS</w:t>
            </w:r>
            <w:r>
              <w:rPr>
                <w:rFonts w:hint="eastAsia" w:eastAsia="宋体"/>
              </w:rPr>
              <w:t>.</w:t>
            </w:r>
            <w:r>
              <w:rPr>
                <w:rFonts w:eastAsia="宋体"/>
              </w:rPr>
              <w:t xml:space="preserve"> In addition, the integers values of (0,1,2,3) for “sl4” correspond to slot#0, slot#3, slot#7, slot#11 with a 16-slot periodicity for 480kHz SCS and slot#0, slot#7, slot#15, slot#23 with a 32-slot periodicity for 960kHz SCS. Furthermore, if monitoring occasions are restricted to be within the first Y&gt;1 slots in a slot group, additional slot-level offsets are needed</w:t>
            </w:r>
            <w:r>
              <w:rPr>
                <w:rFonts w:eastAsia="宋体"/>
                <w:i/>
              </w:rPr>
              <w:t xml:space="preserve">. </w:t>
            </w:r>
            <w:r>
              <w:rPr>
                <w:rFonts w:eastAsia="宋体"/>
              </w:rPr>
              <w:t xml:space="preserve">For example, the number of bits of </w:t>
            </w:r>
            <w:r>
              <w:rPr>
                <w:rFonts w:eastAsia="宋体"/>
                <w:i/>
              </w:rPr>
              <w:t>monitoringSymbolsWithinSlot</w:t>
            </w:r>
            <w:r>
              <w:rPr>
                <w:rFonts w:eastAsia="宋体"/>
              </w:rPr>
              <w:t xml:space="preserve"> can be increased to cover Y slots (e.g., 28 bits for Y=2 slots) or to 56/112 bits to directly indicate the offset within X slots for 480/960 kHz SCS.</w:t>
            </w:r>
          </w:p>
          <w:p>
            <w:pPr>
              <w:widowControl/>
              <w:spacing w:before="180" w:after="180"/>
              <w:rPr>
                <w:rFonts w:eastAsia="宋体"/>
              </w:rPr>
            </w:pPr>
            <w:r>
              <w:rPr>
                <w:rFonts w:eastAsia="宋体"/>
                <w:b/>
              </w:rPr>
              <w:t>Duration</w:t>
            </w:r>
            <w:r>
              <w:rPr>
                <w:rFonts w:eastAsia="宋体"/>
              </w:rPr>
              <w:t xml:space="preserve">: In Rel-15, the duration field in SearchSpace configuration denotes the number of consecutive slots that a SearchSpace lasts in each period. Apparently, the value of duration should be smaller than the periodicity indicated by </w:t>
            </w:r>
            <w:r>
              <w:rPr>
                <w:rFonts w:eastAsia="宋体"/>
                <w:i/>
              </w:rPr>
              <w:t>monitoringSymbolsWithinSlot</w:t>
            </w:r>
            <w:r>
              <w:rPr>
                <w:rFonts w:eastAsia="宋体"/>
              </w:rPr>
              <w:t xml:space="preserve">. In order to reuse the field and the corresponding value defined in Rel-15 for 480/960 kHz SCS, a new interpretation is needed. Specifically, if the PDCCH monitoring capability for 480/960 kHz SCS is the same as that for 120 kHz in a given time duration, the duration can be defined as the number of consecutive X-slots where SearchSpace can be located for 480/960 kHz SCS. Within each X-slots, the monitoring occasions are located in the first Y slots, which is configured by </w:t>
            </w:r>
            <w:r>
              <w:rPr>
                <w:rFonts w:eastAsia="宋体"/>
                <w:i/>
              </w:rPr>
              <w:t>monitoringSymbolsWithinSlot</w:t>
            </w:r>
            <w:r>
              <w:rPr>
                <w:rFonts w:eastAsia="宋体"/>
                <w:color w:val="000000"/>
              </w:rPr>
              <w:t>.</w:t>
            </w:r>
            <w:r>
              <w:rPr>
                <w:rFonts w:eastAsia="宋体"/>
              </w:rPr>
              <w:t xml:space="preserve"> An example is shown for 120 kHz and 480 kHz SCSs in </w:t>
            </w:r>
            <w:r>
              <w:rPr>
                <w:rFonts w:eastAsia="宋体"/>
                <w:color w:val="000000"/>
              </w:rPr>
              <w:fldChar w:fldCharType="begin"/>
            </w:r>
            <w:r>
              <w:rPr>
                <w:rFonts w:eastAsia="宋体"/>
                <w:color w:val="000000"/>
              </w:rPr>
              <w:instrText xml:space="preserve"> REF _Ref68018795 \h </w:instrText>
            </w:r>
            <w:r>
              <w:rPr>
                <w:rFonts w:eastAsia="宋体"/>
                <w:color w:val="000000"/>
              </w:rPr>
              <w:fldChar w:fldCharType="separate"/>
            </w:r>
            <w:r>
              <w:rPr>
                <w:rFonts w:eastAsia="宋体"/>
                <w:b/>
                <w:bCs/>
                <w:sz w:val="20"/>
                <w:szCs w:val="20"/>
              </w:rPr>
              <w:t>Figure 2</w:t>
            </w:r>
            <w:r>
              <w:rPr>
                <w:rFonts w:eastAsia="宋体"/>
                <w:color w:val="000000"/>
              </w:rPr>
              <w:fldChar w:fldCharType="end"/>
            </w:r>
            <w:r>
              <w:rPr>
                <w:rFonts w:eastAsia="宋体"/>
                <w:color w:val="000000"/>
              </w:rPr>
              <w:t>, where T</w:t>
            </w:r>
            <w:r>
              <w:rPr>
                <w:rFonts w:eastAsia="宋体"/>
                <w:color w:val="000000"/>
                <w:vertAlign w:val="subscript"/>
              </w:rPr>
              <w:t>s</w:t>
            </w:r>
            <w:r>
              <w:rPr>
                <w:rFonts w:eastAsia="宋体"/>
                <w:color w:val="000000"/>
              </w:rPr>
              <w:t xml:space="preserve"> denotes the duration of SearchSpace (yellow box), and k</w:t>
            </w:r>
            <w:r>
              <w:rPr>
                <w:rFonts w:eastAsia="宋体"/>
                <w:color w:val="000000"/>
                <w:vertAlign w:val="subscript"/>
              </w:rPr>
              <w:t>s</w:t>
            </w:r>
            <w:r>
              <w:rPr>
                <w:rFonts w:eastAsia="宋体"/>
                <w:color w:val="000000"/>
              </w:rPr>
              <w:t xml:space="preserve"> denotes the periodicity.</w:t>
            </w:r>
          </w:p>
          <w:p>
            <w:pPr>
              <w:widowControl/>
              <w:spacing w:before="180" w:after="180"/>
              <w:jc w:val="center"/>
              <w:rPr>
                <w:rFonts w:eastAsia="宋体"/>
                <w:color w:val="000000"/>
              </w:rPr>
            </w:pPr>
            <w:r>
              <w:rPr>
                <w:rFonts w:eastAsia="宋体"/>
              </w:rPr>
              <w:t xml:space="preserve"> </w:t>
            </w:r>
            <w:r>
              <w:rPr>
                <w:rFonts w:eastAsia="宋体"/>
                <w:lang w:eastAsia="ko-KR"/>
              </w:rPr>
              <w:drawing>
                <wp:inline distT="0" distB="0" distL="0" distR="0">
                  <wp:extent cx="5255895" cy="1991995"/>
                  <wp:effectExtent l="0" t="0" r="1905"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4"/>
                          <a:stretch>
                            <a:fillRect/>
                          </a:stretch>
                        </pic:blipFill>
                        <pic:spPr>
                          <a:xfrm>
                            <a:off x="0" y="0"/>
                            <a:ext cx="5256000" cy="1992281"/>
                          </a:xfrm>
                          <a:prstGeom prst="rect">
                            <a:avLst/>
                          </a:prstGeom>
                        </pic:spPr>
                      </pic:pic>
                    </a:graphicData>
                  </a:graphic>
                </wp:inline>
              </w:drawing>
            </w:r>
          </w:p>
          <w:p>
            <w:pPr>
              <w:widowControl/>
              <w:jc w:val="center"/>
              <w:rPr>
                <w:rFonts w:eastAsia="宋体"/>
                <w:bCs/>
                <w:color w:val="000000"/>
                <w:sz w:val="20"/>
                <w:szCs w:val="20"/>
              </w:rPr>
            </w:pPr>
            <w:bookmarkStart w:id="74" w:name="_Ref68018795"/>
            <w:r>
              <w:rPr>
                <w:rFonts w:eastAsia="宋体"/>
                <w:b/>
                <w:bCs/>
                <w:sz w:val="20"/>
                <w:szCs w:val="20"/>
              </w:rPr>
              <w:t xml:space="preserve">Figure </w:t>
            </w:r>
            <w:r>
              <w:rPr>
                <w:rFonts w:eastAsia="宋体"/>
                <w:b/>
                <w:bCs/>
                <w:sz w:val="20"/>
                <w:szCs w:val="20"/>
              </w:rPr>
              <w:fldChar w:fldCharType="begin"/>
            </w:r>
            <w:r>
              <w:rPr>
                <w:rFonts w:eastAsia="宋体"/>
                <w:b/>
                <w:bCs/>
                <w:sz w:val="20"/>
                <w:szCs w:val="20"/>
              </w:rPr>
              <w:instrText xml:space="preserve"> SEQ Figure \* ARABIC </w:instrText>
            </w:r>
            <w:r>
              <w:rPr>
                <w:rFonts w:eastAsia="宋体"/>
                <w:b/>
                <w:bCs/>
                <w:sz w:val="20"/>
                <w:szCs w:val="20"/>
              </w:rPr>
              <w:fldChar w:fldCharType="separate"/>
            </w:r>
            <w:r>
              <w:rPr>
                <w:rFonts w:eastAsia="宋体"/>
                <w:b/>
                <w:bCs/>
                <w:sz w:val="20"/>
                <w:szCs w:val="20"/>
              </w:rPr>
              <w:t>2</w:t>
            </w:r>
            <w:r>
              <w:rPr>
                <w:rFonts w:eastAsia="宋体"/>
                <w:b/>
                <w:bCs/>
                <w:sz w:val="20"/>
                <w:szCs w:val="20"/>
              </w:rPr>
              <w:fldChar w:fldCharType="end"/>
            </w:r>
            <w:bookmarkEnd w:id="74"/>
            <w:r>
              <w:rPr>
                <w:rFonts w:eastAsia="宋体"/>
                <w:b/>
                <w:bCs/>
                <w:sz w:val="20"/>
                <w:szCs w:val="20"/>
              </w:rPr>
              <w:t xml:space="preserve">. </w:t>
            </w:r>
            <w:r>
              <w:rPr>
                <w:rFonts w:eastAsia="宋体"/>
                <w:b/>
                <w:bCs/>
                <w:color w:val="000000"/>
                <w:sz w:val="20"/>
                <w:szCs w:val="20"/>
              </w:rPr>
              <w:t>TDM-ed search space for different UEs within a monitoring span</w:t>
            </w:r>
          </w:p>
          <w:p>
            <w:pPr>
              <w:widowControl/>
              <w:spacing w:before="180" w:after="180"/>
              <w:rPr>
                <w:rFonts w:eastAsia="宋体"/>
                <w:color w:val="000000"/>
              </w:rPr>
            </w:pP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The time domain parameters of search space set configuration should be revised for multi-slot PDCCH monitoring for 480 kHz and 960 kHz, as follows:</w:t>
            </w:r>
          </w:p>
          <w:p>
            <w:pPr>
              <w:widowControl/>
              <w:numPr>
                <w:ilvl w:val="1"/>
                <w:numId w:val="25"/>
              </w:numPr>
              <w:spacing w:before="180" w:after="180" w:line="240" w:lineRule="auto"/>
              <w:ind w:left="644"/>
              <w:contextualSpacing/>
              <w:jc w:val="both"/>
              <w:rPr>
                <w:rFonts w:eastAsia="宋体"/>
                <w:b/>
                <w:i/>
              </w:rPr>
            </w:pPr>
            <w:r>
              <w:rPr>
                <w:rFonts w:eastAsia="宋体"/>
                <w:b/>
                <w:i/>
              </w:rPr>
              <w:t xml:space="preserve">The unit of monitoringSlotPeriodicityAndOffset is </w:t>
            </w:r>
            <w:r>
              <w:rPr>
                <w:rFonts w:eastAsia="宋体"/>
                <w:b/>
                <w:i/>
                <w:color w:val="000000"/>
              </w:rPr>
              <w:t>changed to X-slots, with X=4 for 480 kHz and X=8 for 960 kHz.</w:t>
            </w:r>
          </w:p>
          <w:p>
            <w:pPr>
              <w:widowControl/>
              <w:numPr>
                <w:ilvl w:val="1"/>
                <w:numId w:val="25"/>
              </w:numPr>
              <w:spacing w:before="180" w:after="180" w:line="240" w:lineRule="auto"/>
              <w:ind w:left="644"/>
              <w:contextualSpacing/>
              <w:jc w:val="both"/>
              <w:rPr>
                <w:rFonts w:eastAsia="宋体"/>
                <w:b/>
                <w:i/>
              </w:rPr>
            </w:pPr>
            <w:r>
              <w:rPr>
                <w:rFonts w:eastAsia="宋体"/>
                <w:b/>
                <w:i/>
                <w:color w:val="000000"/>
              </w:rPr>
              <w:t>The unit of “duration” is changed to X-slots, with X=4 for 480 kHz and X=8 for 960 kHz.</w:t>
            </w:r>
          </w:p>
          <w:p>
            <w:pPr>
              <w:widowControl/>
              <w:numPr>
                <w:ilvl w:val="1"/>
                <w:numId w:val="25"/>
              </w:numPr>
              <w:spacing w:before="180" w:after="180" w:line="240" w:lineRule="auto"/>
              <w:ind w:left="644"/>
              <w:contextualSpacing/>
              <w:jc w:val="both"/>
              <w:rPr>
                <w:rFonts w:eastAsia="宋体"/>
                <w:b/>
                <w:i/>
              </w:rPr>
            </w:pPr>
            <w:r>
              <w:rPr>
                <w:rFonts w:eastAsia="宋体"/>
                <w:b/>
                <w:i/>
              </w:rPr>
              <w:t>Additional slot level offset or extension of monitoringSymbolsWithinSlot is required if monitoring occasions are within the first Y&gt;1 slots in an X-slots pattern</w:t>
            </w:r>
            <w:r>
              <w:rPr>
                <w:rFonts w:hint="eastAsia" w:eastAsia="宋体"/>
                <w:b/>
                <w:i/>
              </w:rPr>
              <w:t>.</w:t>
            </w:r>
            <w:r>
              <w:rPr>
                <w:rFonts w:eastAsia="宋体"/>
                <w:b/>
                <w:i/>
              </w:rPr>
              <w:t xml:space="preserve"> </w:t>
            </w:r>
          </w:p>
          <w:p>
            <w:pPr>
              <w:widowControl w:val="0"/>
              <w:snapToGrid/>
              <w:spacing w:before="180" w:after="180" w:line="240" w:lineRule="auto"/>
              <w:contextualSpacing/>
              <w:jc w:val="both"/>
              <w:rPr>
                <w:i/>
              </w:rPr>
            </w:pPr>
          </w:p>
          <w:p>
            <w:pPr>
              <w:widowControl/>
              <w:rPr>
                <w:rFonts w:eastAsia="宋体"/>
              </w:rPr>
            </w:pPr>
            <w:r>
              <w:rPr>
                <w:rFonts w:eastAsia="宋体"/>
              </w:rPr>
              <w:t xml:space="preserve">In NRU Rel-16, search space set group switching is introduced to balance the UE power consumption on PDCCH monitoring and channel access flexibility on gNB side. The gNB can initiate a DL transmission in the middle of a slot after LBT by configuring mini slot PDCCH monitoring (SSSG#0) to a UE. After detecting a scheduling PDCCH or a DCI format 2_0 with SSSG switching trigger, the UE may switch to SSSG#1 with longer monitoring period within a COT. After the COT ends, the UE switches back to SSSG#0. It takes </w:t>
            </w:r>
            <m:oMath>
              <m:sSub>
                <m:sSubPr>
                  <m:ctrlPr>
                    <w:rPr>
                      <w:rFonts w:ascii="Cambria Math" w:hAnsi="Cambria Math" w:eastAsia="宋体"/>
                      <w:sz w:val="20"/>
                      <w:szCs w:val="20"/>
                    </w:rPr>
                  </m:ctrlPr>
                </m:sSubPr>
                <m:e>
                  <m:r>
                    <w:rPr>
                      <w:rFonts w:ascii="Cambria Math" w:hAnsi="Cambria Math" w:eastAsia="宋体"/>
                      <w:sz w:val="20"/>
                      <w:szCs w:val="20"/>
                    </w:rPr>
                    <m:t>P</m:t>
                  </m:r>
                  <m:ctrlPr>
                    <w:rPr>
                      <w:rFonts w:ascii="Cambria Math" w:hAnsi="Cambria Math" w:eastAsia="宋体"/>
                      <w:sz w:val="20"/>
                      <w:szCs w:val="20"/>
                    </w:rPr>
                  </m:ctrlPr>
                </m:e>
                <m:sub>
                  <m:r>
                    <m:rPr>
                      <m:nor/>
                      <m:sty m:val="p"/>
                    </m:rPr>
                    <w:rPr>
                      <w:rFonts w:ascii="Cambria Math" w:hAnsi="Cambria Math" w:eastAsia="宋体"/>
                      <w:sz w:val="20"/>
                      <w:szCs w:val="20"/>
                    </w:rPr>
                    <m:t>switch</m:t>
                  </m:r>
                  <m:ctrlPr>
                    <w:rPr>
                      <w:rFonts w:ascii="Cambria Math" w:hAnsi="Cambria Math" w:eastAsia="宋体"/>
                      <w:sz w:val="20"/>
                      <w:szCs w:val="20"/>
                    </w:rPr>
                  </m:ctrlPr>
                </m:sub>
              </m:sSub>
            </m:oMath>
            <w:r>
              <w:rPr>
                <w:rFonts w:hint="eastAsia" w:eastAsia="宋体"/>
                <w:b/>
                <w:sz w:val="20"/>
                <w:szCs w:val="20"/>
              </w:rPr>
              <w:t xml:space="preserve"> </w:t>
            </w:r>
            <w:r>
              <w:rPr>
                <w:rFonts w:eastAsia="宋体"/>
                <w:sz w:val="20"/>
                <w:szCs w:val="20"/>
              </w:rPr>
              <w:t>symbols,</w:t>
            </w:r>
            <w:r>
              <w:rPr>
                <w:rFonts w:eastAsia="宋体"/>
              </w:rPr>
              <w:t xml:space="preserve"> as listed in Table 8, for a UE to accomplish a SSSG switching procedure. </w:t>
            </w:r>
          </w:p>
          <w:p>
            <w:pPr>
              <w:widowControl/>
              <w:jc w:val="center"/>
              <w:rPr>
                <w:rFonts w:ascii="Calibri" w:hAnsi="Calibri" w:eastAsia="宋体" w:cs="Calibri"/>
                <w:b/>
                <w:sz w:val="20"/>
                <w:szCs w:val="20"/>
              </w:rPr>
            </w:pPr>
            <w:bookmarkStart w:id="75" w:name="_Ref78228631"/>
            <w:r>
              <w:rPr>
                <w:rFonts w:ascii="Calibri" w:hAnsi="Calibri" w:eastAsia="宋体" w:cs="Calibri"/>
                <w:b/>
                <w:sz w:val="20"/>
                <w:szCs w:val="20"/>
              </w:rPr>
              <w:t xml:space="preserve">Table </w:t>
            </w:r>
            <w:r>
              <w:rPr>
                <w:rFonts w:ascii="Calibri" w:hAnsi="Calibri" w:eastAsia="宋体" w:cs="Calibri"/>
                <w:b/>
                <w:sz w:val="20"/>
                <w:szCs w:val="20"/>
              </w:rPr>
              <w:fldChar w:fldCharType="begin"/>
            </w:r>
            <w:r>
              <w:rPr>
                <w:rFonts w:ascii="Calibri" w:hAnsi="Calibri" w:eastAsia="宋体" w:cs="Calibri"/>
                <w:b/>
                <w:sz w:val="20"/>
                <w:szCs w:val="20"/>
              </w:rPr>
              <w:instrText xml:space="preserve"> SEQ Table \* ARABIC </w:instrText>
            </w:r>
            <w:r>
              <w:rPr>
                <w:rFonts w:ascii="Calibri" w:hAnsi="Calibri" w:eastAsia="宋体" w:cs="Calibri"/>
                <w:b/>
                <w:sz w:val="20"/>
                <w:szCs w:val="20"/>
              </w:rPr>
              <w:fldChar w:fldCharType="separate"/>
            </w:r>
            <w:r>
              <w:rPr>
                <w:rFonts w:ascii="Calibri" w:hAnsi="Calibri" w:eastAsia="宋体" w:cs="Calibri"/>
                <w:b/>
                <w:sz w:val="20"/>
                <w:szCs w:val="20"/>
              </w:rPr>
              <w:t>6</w:t>
            </w:r>
            <w:r>
              <w:rPr>
                <w:rFonts w:ascii="Calibri" w:hAnsi="Calibri" w:eastAsia="宋体" w:cs="Calibri"/>
                <w:b/>
                <w:sz w:val="20"/>
                <w:szCs w:val="20"/>
              </w:rPr>
              <w:fldChar w:fldCharType="end"/>
            </w:r>
            <w:bookmarkEnd w:id="75"/>
            <w:r>
              <w:rPr>
                <w:rFonts w:ascii="Calibri" w:hAnsi="Calibri" w:eastAsia="宋体" w:cs="Calibri"/>
                <w:b/>
                <w:sz w:val="20"/>
                <w:szCs w:val="20"/>
              </w:rPr>
              <w:t xml:space="preserve">. Minimum value of </w:t>
            </w:r>
            <m:oMath>
              <m:sSub>
                <m:sSubPr>
                  <m:ctrlPr>
                    <w:rPr>
                      <w:rFonts w:ascii="Cambria Math" w:hAnsi="Cambria Math" w:eastAsia="宋体" w:cs="Calibri"/>
                      <w:sz w:val="20"/>
                      <w:szCs w:val="20"/>
                    </w:rPr>
                  </m:ctrlPr>
                </m:sSubPr>
                <m:e>
                  <m:r>
                    <w:rPr>
                      <w:rFonts w:ascii="Cambria Math" w:hAnsi="Cambria Math" w:eastAsia="宋体" w:cs="Calibri"/>
                      <w:sz w:val="20"/>
                      <w:szCs w:val="20"/>
                    </w:rPr>
                    <m:t>P</m:t>
                  </m:r>
                  <m:ctrlPr>
                    <w:rPr>
                      <w:rFonts w:ascii="Cambria Math" w:hAnsi="Cambria Math" w:eastAsia="宋体" w:cs="Calibri"/>
                      <w:sz w:val="20"/>
                      <w:szCs w:val="20"/>
                    </w:rPr>
                  </m:ctrlPr>
                </m:e>
                <m:sub>
                  <m:r>
                    <m:rPr>
                      <m:nor/>
                      <m:sty m:val="p"/>
                    </m:rPr>
                    <w:rPr>
                      <w:rFonts w:ascii="Calibri" w:hAnsi="Calibri" w:eastAsia="宋体" w:cs="Calibri"/>
                      <w:sz w:val="20"/>
                      <w:szCs w:val="20"/>
                    </w:rPr>
                    <m:t>switch</m:t>
                  </m:r>
                  <m:ctrlPr>
                    <w:rPr>
                      <w:rFonts w:ascii="Cambria Math" w:hAnsi="Cambria Math" w:eastAsia="宋体" w:cs="Calibri"/>
                      <w:sz w:val="20"/>
                      <w:szCs w:val="20"/>
                    </w:rPr>
                  </m:ctrlPr>
                </m:sub>
              </m:sSub>
            </m:oMath>
            <w:r>
              <w:rPr>
                <w:rFonts w:ascii="Calibri" w:hAnsi="Calibri" w:eastAsia="宋体" w:cs="Calibri"/>
                <w:b/>
                <w:sz w:val="20"/>
                <w:szCs w:val="20"/>
              </w:rPr>
              <w:t xml:space="preserve"> [symbols]</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00"/>
              <w:gridCol w:w="3385"/>
              <w:gridCol w:w="34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300" w:type="dxa"/>
                  <w:shd w:val="clear" w:color="auto" w:fill="E0E0E0"/>
                  <w:vAlign w:val="center"/>
                </w:tcPr>
                <w:p>
                  <w:pPr>
                    <w:keepNext/>
                    <w:keepLines/>
                    <w:jc w:val="center"/>
                    <w:rPr>
                      <w:rFonts w:ascii="Calibri" w:hAnsi="Calibri" w:eastAsia="宋体" w:cs="Calibri"/>
                      <w:b/>
                      <w:sz w:val="20"/>
                      <w:szCs w:val="20"/>
                      <w:lang w:val="en-GB"/>
                    </w:rPr>
                  </w:pPr>
                  <m:oMathPara>
                    <m:oMath>
                      <m:r>
                        <m:rPr>
                          <m:sty m:val="bi"/>
                        </m:rPr>
                        <w:rPr>
                          <w:rFonts w:ascii="Cambria Math" w:hAnsi="Cambria Math" w:eastAsia="宋体" w:cs="Calibri"/>
                          <w:sz w:val="20"/>
                          <w:szCs w:val="20"/>
                          <w:lang w:val="en-GB"/>
                        </w:rPr>
                        <m:t>μ</m:t>
                      </m:r>
                    </m:oMath>
                  </m:oMathPara>
                </w:p>
              </w:tc>
              <w:tc>
                <w:tcPr>
                  <w:tcW w:w="3385" w:type="dxa"/>
                  <w:shd w:val="clear" w:color="auto" w:fill="E0E0E0"/>
                  <w:vAlign w:val="center"/>
                </w:tcPr>
                <w:p>
                  <w:pPr>
                    <w:keepNext/>
                    <w:keepLines/>
                    <w:jc w:val="center"/>
                    <w:rPr>
                      <w:rFonts w:ascii="Calibri" w:hAnsi="Calibri" w:eastAsia="宋体" w:cs="Calibri"/>
                      <w:b/>
                      <w:sz w:val="20"/>
                      <w:szCs w:val="20"/>
                      <w:lang w:val="en-GB"/>
                    </w:rPr>
                  </w:pPr>
                  <w:r>
                    <w:rPr>
                      <w:rFonts w:ascii="Calibri" w:hAnsi="Calibri" w:eastAsia="宋体" w:cs="Calibri"/>
                      <w:b/>
                      <w:sz w:val="20"/>
                      <w:szCs w:val="20"/>
                      <w:lang w:val="en-GB"/>
                    </w:rPr>
                    <w:t xml:space="preserve">Minimum </w:t>
                  </w:r>
                  <m:oMath>
                    <m:sSub>
                      <m:sSubPr>
                        <m:ctrlPr>
                          <w:rPr>
                            <w:rFonts w:ascii="Cambria Math" w:hAnsi="Cambria Math" w:eastAsia="宋体" w:cs="Calibri"/>
                            <w:sz w:val="20"/>
                            <w:szCs w:val="20"/>
                          </w:rPr>
                        </m:ctrlPr>
                      </m:sSubPr>
                      <m:e>
                        <m:r>
                          <w:rPr>
                            <w:rFonts w:ascii="Cambria Math" w:hAnsi="Cambria Math" w:eastAsia="宋体" w:cs="Calibri"/>
                            <w:sz w:val="20"/>
                            <w:szCs w:val="20"/>
                          </w:rPr>
                          <m:t>P</m:t>
                        </m:r>
                        <m:ctrlPr>
                          <w:rPr>
                            <w:rFonts w:ascii="Cambria Math" w:hAnsi="Cambria Math" w:eastAsia="宋体" w:cs="Calibri"/>
                            <w:sz w:val="20"/>
                            <w:szCs w:val="20"/>
                          </w:rPr>
                        </m:ctrlPr>
                      </m:e>
                      <m:sub>
                        <m:r>
                          <m:rPr>
                            <m:nor/>
                            <m:sty m:val="p"/>
                          </m:rPr>
                          <w:rPr>
                            <w:rFonts w:ascii="Calibri" w:hAnsi="Calibri" w:eastAsia="宋体" w:cs="Calibri"/>
                            <w:sz w:val="20"/>
                            <w:szCs w:val="20"/>
                          </w:rPr>
                          <m:t>switch</m:t>
                        </m:r>
                        <m:ctrlPr>
                          <w:rPr>
                            <w:rFonts w:ascii="Cambria Math" w:hAnsi="Cambria Math" w:eastAsia="宋体" w:cs="Calibri"/>
                            <w:sz w:val="20"/>
                            <w:szCs w:val="20"/>
                          </w:rPr>
                        </m:ctrlPr>
                      </m:sub>
                    </m:sSub>
                  </m:oMath>
                  <w:r>
                    <w:rPr>
                      <w:rFonts w:ascii="Calibri" w:hAnsi="Calibri" w:eastAsia="宋体" w:cs="Calibri"/>
                      <w:b/>
                      <w:sz w:val="20"/>
                      <w:szCs w:val="20"/>
                      <w:lang w:val="en-GB"/>
                    </w:rPr>
                    <w:t xml:space="preserve"> value for</w:t>
                  </w:r>
                </w:p>
                <w:p>
                  <w:pPr>
                    <w:keepNext/>
                    <w:keepLines/>
                    <w:jc w:val="center"/>
                    <w:rPr>
                      <w:rFonts w:ascii="Calibri" w:hAnsi="Calibri" w:eastAsia="宋体" w:cs="Calibri"/>
                      <w:b/>
                      <w:sz w:val="20"/>
                      <w:szCs w:val="20"/>
                      <w:lang w:val="en-GB"/>
                    </w:rPr>
                  </w:pPr>
                  <w:r>
                    <w:rPr>
                      <w:rFonts w:ascii="Calibri" w:hAnsi="Calibri" w:eastAsia="宋体" w:cs="Calibri"/>
                      <w:b/>
                      <w:sz w:val="20"/>
                      <w:szCs w:val="20"/>
                      <w:lang w:val="en-GB"/>
                    </w:rPr>
                    <w:t xml:space="preserve"> UE processing capability 1 [symbols]</w:t>
                  </w:r>
                </w:p>
              </w:tc>
              <w:tc>
                <w:tcPr>
                  <w:tcW w:w="3420" w:type="dxa"/>
                  <w:shd w:val="clear" w:color="auto" w:fill="E0E0E0"/>
                  <w:vAlign w:val="center"/>
                </w:tcPr>
                <w:p>
                  <w:pPr>
                    <w:keepNext/>
                    <w:keepLines/>
                    <w:jc w:val="center"/>
                    <w:rPr>
                      <w:rFonts w:ascii="Calibri" w:hAnsi="Calibri" w:eastAsia="宋体" w:cs="Calibri"/>
                      <w:b/>
                      <w:sz w:val="20"/>
                      <w:szCs w:val="20"/>
                      <w:lang w:val="en-GB"/>
                    </w:rPr>
                  </w:pPr>
                  <w:r>
                    <w:rPr>
                      <w:rFonts w:ascii="Calibri" w:hAnsi="Calibri" w:eastAsia="宋体" w:cs="Calibri"/>
                      <w:b/>
                      <w:sz w:val="20"/>
                      <w:szCs w:val="20"/>
                      <w:lang w:val="en-GB"/>
                    </w:rPr>
                    <w:t xml:space="preserve">Minimum </w:t>
                  </w:r>
                  <m:oMath>
                    <m:sSub>
                      <m:sSubPr>
                        <m:ctrlPr>
                          <w:rPr>
                            <w:rFonts w:ascii="Cambria Math" w:hAnsi="Cambria Math" w:eastAsia="宋体" w:cs="Calibri"/>
                            <w:sz w:val="20"/>
                            <w:szCs w:val="20"/>
                          </w:rPr>
                        </m:ctrlPr>
                      </m:sSubPr>
                      <m:e>
                        <m:r>
                          <w:rPr>
                            <w:rFonts w:ascii="Cambria Math" w:hAnsi="Cambria Math" w:eastAsia="宋体" w:cs="Calibri"/>
                            <w:sz w:val="20"/>
                            <w:szCs w:val="20"/>
                          </w:rPr>
                          <m:t>P</m:t>
                        </m:r>
                        <m:ctrlPr>
                          <w:rPr>
                            <w:rFonts w:ascii="Cambria Math" w:hAnsi="Cambria Math" w:eastAsia="宋体" w:cs="Calibri"/>
                            <w:sz w:val="20"/>
                            <w:szCs w:val="20"/>
                          </w:rPr>
                        </m:ctrlPr>
                      </m:e>
                      <m:sub>
                        <m:r>
                          <m:rPr>
                            <m:nor/>
                            <m:sty m:val="p"/>
                          </m:rPr>
                          <w:rPr>
                            <w:rFonts w:ascii="Calibri" w:hAnsi="Calibri" w:eastAsia="宋体" w:cs="Calibri"/>
                            <w:sz w:val="20"/>
                            <w:szCs w:val="20"/>
                          </w:rPr>
                          <m:t>switch</m:t>
                        </m:r>
                        <m:ctrlPr>
                          <w:rPr>
                            <w:rFonts w:ascii="Cambria Math" w:hAnsi="Cambria Math" w:eastAsia="宋体" w:cs="Calibri"/>
                            <w:sz w:val="20"/>
                            <w:szCs w:val="20"/>
                          </w:rPr>
                        </m:ctrlPr>
                      </m:sub>
                    </m:sSub>
                  </m:oMath>
                  <w:r>
                    <w:rPr>
                      <w:rFonts w:ascii="Calibri" w:hAnsi="Calibri" w:eastAsia="宋体" w:cs="Calibri"/>
                      <w:b/>
                      <w:sz w:val="20"/>
                      <w:szCs w:val="20"/>
                      <w:lang w:val="en-GB"/>
                    </w:rPr>
                    <w:t xml:space="preserve"> value for</w:t>
                  </w:r>
                </w:p>
                <w:p>
                  <w:pPr>
                    <w:keepNext/>
                    <w:keepLines/>
                    <w:jc w:val="center"/>
                    <w:rPr>
                      <w:rFonts w:ascii="Calibri" w:hAnsi="Calibri" w:eastAsia="宋体" w:cs="Calibri"/>
                      <w:b/>
                      <w:sz w:val="20"/>
                      <w:szCs w:val="20"/>
                      <w:lang w:val="en-GB"/>
                    </w:rPr>
                  </w:pPr>
                  <w:r>
                    <w:rPr>
                      <w:rFonts w:ascii="Calibri" w:hAnsi="Calibri" w:eastAsia="宋体" w:cs="Calibri"/>
                      <w:b/>
                      <w:sz w:val="20"/>
                      <w:szCs w:val="20"/>
                      <w:lang w:val="en-GB"/>
                    </w:rPr>
                    <w:t xml:space="preserve"> UE processing capability 2 [symbols]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30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0</w:t>
                  </w:r>
                </w:p>
              </w:tc>
              <w:tc>
                <w:tcPr>
                  <w:tcW w:w="338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25</w:t>
                  </w:r>
                </w:p>
              </w:tc>
              <w:tc>
                <w:tcPr>
                  <w:tcW w:w="3420" w:type="dxa"/>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30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1</w:t>
                  </w:r>
                </w:p>
              </w:tc>
              <w:tc>
                <w:tcPr>
                  <w:tcW w:w="338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25</w:t>
                  </w:r>
                </w:p>
              </w:tc>
              <w:tc>
                <w:tcPr>
                  <w:tcW w:w="3420" w:type="dxa"/>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30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w:t>
                  </w:r>
                </w:p>
              </w:tc>
              <w:tc>
                <w:tcPr>
                  <w:tcW w:w="338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25</w:t>
                  </w:r>
                </w:p>
              </w:tc>
              <w:tc>
                <w:tcPr>
                  <w:tcW w:w="3420" w:type="dxa"/>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22</w:t>
                  </w:r>
                </w:p>
              </w:tc>
            </w:tr>
          </w:tbl>
          <w:p>
            <w:pPr>
              <w:widowControl/>
              <w:rPr>
                <w:rFonts w:eastAsia="宋体"/>
              </w:rPr>
            </w:pPr>
          </w:p>
          <w:p>
            <w:pPr>
              <w:widowControl/>
              <w:rPr>
                <w:rFonts w:eastAsia="宋体"/>
              </w:rPr>
            </w:pPr>
            <w:r>
              <w:rPr>
                <w:rFonts w:eastAsia="宋体"/>
              </w:rPr>
              <w:t xml:space="preserve">A slot with 120 kHz SCS has a time duration of about 3 OFDM symbols in a mini-slot with 30 kHz SCS, which brings sufficient flexibility to channel access. Moreover, if slot-based PDCCH monitoring is supported for 480/960 kHz SCS, the PDCCH monitoring periodicity is as small as about 15 us, which is very close to a CCA sensing slot duration. Therefore, there is no need, from the perspective of monitoring periodicity, to introduce SSSG switching between mini-slot monitoring and slot-based monitoring, or between slot-based monitoring and multi-slot monitoring. However, for 480/960 kHz SCS, SSSG switching does save UE power when a multi-slot-based monitoring switch between a small periodicity and a large periodicity. </w:t>
            </w: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 xml:space="preserve">SSSG switching can be supported between two different periodicities of multi-slot-based monitoring in order to save UE power consumption on PDCCH monitoring. </w:t>
            </w:r>
          </w:p>
        </w:tc>
      </w:tr>
    </w:tbl>
    <w:p>
      <w:pPr>
        <w:rPr>
          <w:lang w:eastAsia="zh-CN"/>
        </w:rPr>
      </w:pPr>
    </w:p>
    <w:p>
      <w:pPr>
        <w:pStyle w:val="4"/>
        <w:jc w:val="both"/>
        <w:rPr>
          <w:lang w:val="en-GB" w:eastAsia="zh-CN"/>
        </w:rPr>
      </w:pPr>
      <w:r>
        <w:rPr>
          <w:lang w:val="en-GB" w:eastAsia="zh-CN"/>
        </w:rPr>
        <w:t>R1-2108783 (Futurewei)</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pPr>
            <w:r>
              <w:rPr>
                <w:bCs/>
              </w:rPr>
              <w:t>The time pattern for monitoring PDCCH is configured to a UE by means of search space (SS) sets: common SS (CSS), and UE specific SS (USS). A UE can be configured up to 10 SS sets for each up to four BWPs in a serving cell. The SS set configuration indicates SS type, DCI format(s), monitoring occasions and the number of PDCCH candidates for each aggregation level (AL) in the SS set. A search space is associated with only one CORESET. A control-resource set consists of</w:t>
            </w:r>
            <w:r>
              <w:t xml:space="preserve"> </w:t>
            </w:r>
            <m:oMath>
              <m:sSubSup>
                <m:sSubSupPr>
                  <m:ctrlPr>
                    <w:rPr>
                      <w:rFonts w:ascii="Cambria Math" w:hAnsi="Cambria Math"/>
                      <w:i/>
                    </w:rPr>
                  </m:ctrlPr>
                </m:sSubSupPr>
                <m:e>
                  <m:r>
                    <w:rPr>
                      <w:rFonts w:ascii="Cambria Math" w:hAnsi="Cambria Math"/>
                    </w:rPr>
                    <m:t>N</m:t>
                  </m:r>
                  <m:ctrlPr>
                    <w:rPr>
                      <w:rFonts w:ascii="Cambria Math" w:hAnsi="Cambria Math"/>
                      <w:i/>
                    </w:rPr>
                  </m:ctrlPr>
                </m:e>
                <m:sub>
                  <m:r>
                    <m:rPr>
                      <m:nor/>
                      <m:sty m:val="p"/>
                    </m:rPr>
                    <w:rPr>
                      <w:rFonts w:ascii="Cambria Math" w:hAnsi="Cambria Math"/>
                    </w:rPr>
                    <m:t>RB</m:t>
                  </m:r>
                  <m:ctrlPr>
                    <w:rPr>
                      <w:rFonts w:ascii="Cambria Math" w:hAnsi="Cambria Math"/>
                      <w:i/>
                    </w:rPr>
                  </m:ctrlPr>
                </m:sub>
                <m:sup>
                  <m:r>
                    <m:rPr>
                      <m:nor/>
                      <m:sty m:val="p"/>
                    </m:rPr>
                    <w:rPr>
                      <w:rFonts w:ascii="Cambria Math" w:hAnsi="Cambria Math"/>
                    </w:rPr>
                    <m:t>CORESET</m:t>
                  </m:r>
                  <m:ctrlPr>
                    <w:rPr>
                      <w:rFonts w:ascii="Cambria Math" w:hAnsi="Cambria Math"/>
                      <w:i/>
                    </w:rPr>
                  </m:ctrlPr>
                </m:sup>
              </m:sSubSup>
            </m:oMath>
            <w:r>
              <w:t xml:space="preserve"> </w:t>
            </w:r>
            <w:r>
              <w:rPr>
                <w:bCs/>
              </w:rPr>
              <w:t>resource blocks in the frequency domain and</w:t>
            </w:r>
            <w:r>
              <w:t xml:space="preserve"> </w:t>
            </w:r>
            <m:oMath>
              <m:sSubSup>
                <m:sSubSupPr>
                  <m:ctrlPr>
                    <w:rPr>
                      <w:rFonts w:ascii="Cambria Math" w:hAnsi="Cambria Math"/>
                      <w:i/>
                    </w:rPr>
                  </m:ctrlPr>
                </m:sSubSupPr>
                <m:e>
                  <m:r>
                    <w:rPr>
                      <w:rFonts w:ascii="Cambria Math" w:hAnsi="Cambria Math"/>
                    </w:rPr>
                    <m:t>N</m:t>
                  </m:r>
                  <m:ctrlPr>
                    <w:rPr>
                      <w:rFonts w:ascii="Cambria Math" w:hAnsi="Cambria Math"/>
                      <w:i/>
                    </w:rPr>
                  </m:ctrlPr>
                </m:e>
                <m:sub>
                  <m:r>
                    <m:rPr>
                      <m:nor/>
                      <m:sty m:val="p"/>
                    </m:rPr>
                    <w:rPr>
                      <w:rFonts w:ascii="Cambria Math" w:hAnsi="Cambria Math"/>
                    </w:rPr>
                    <m:t>symb</m:t>
                  </m:r>
                  <m:ctrlPr>
                    <w:rPr>
                      <w:rFonts w:ascii="Cambria Math" w:hAnsi="Cambria Math"/>
                      <w:i/>
                    </w:rPr>
                  </m:ctrlPr>
                </m:sub>
                <m:sup>
                  <m:r>
                    <m:rPr>
                      <m:nor/>
                      <m:sty m:val="p"/>
                    </m:rPr>
                    <w:rPr>
                      <w:rFonts w:ascii="Cambria Math" w:hAnsi="Cambria Math"/>
                    </w:rPr>
                    <m:t>CORESET</m:t>
                  </m:r>
                  <m:ctrlPr>
                    <w:rPr>
                      <w:rFonts w:ascii="Cambria Math" w:hAnsi="Cambria Math"/>
                      <w:i/>
                    </w:rPr>
                  </m:ctrlPr>
                </m:sup>
              </m:sSubSup>
              <m:r>
                <w:rPr>
                  <w:rFonts w:ascii="Cambria Math" w:hAnsi="Cambria Math"/>
                </w:rPr>
                <m:t>∈</m:t>
              </m:r>
              <m:d>
                <m:dPr>
                  <m:begChr m:val="{"/>
                  <m:endChr m:val="}"/>
                  <m:ctrlPr>
                    <w:rPr>
                      <w:rFonts w:ascii="Cambria Math" w:hAnsi="Cambria Math"/>
                      <w:i/>
                    </w:rPr>
                  </m:ctrlPr>
                </m:dPr>
                <m:e>
                  <m:r>
                    <w:rPr>
                      <w:rFonts w:ascii="Cambria Math" w:hAnsi="Cambria Math"/>
                    </w:rPr>
                    <m:t>1,2,3</m:t>
                  </m:r>
                  <m:ctrlPr>
                    <w:rPr>
                      <w:rFonts w:ascii="Cambria Math" w:hAnsi="Cambria Math"/>
                      <w:i/>
                    </w:rPr>
                  </m:ctrlPr>
                </m:e>
              </m:d>
            </m:oMath>
            <w:r>
              <w:t xml:space="preserve"> </w:t>
            </w:r>
            <w:r>
              <w:rPr>
                <w:bCs/>
              </w:rPr>
              <w:t>symbols in the time domain</w:t>
            </w:r>
            <w:r>
              <w:t xml:space="preserve">. A UE monitors a set of PDCCH candidates in one or more CORESETs on the active DL BWP. </w:t>
            </w:r>
          </w:p>
          <w:p>
            <w:pPr>
              <w:widowControl w:val="0"/>
              <w:rPr>
                <w:bCs/>
              </w:rPr>
            </w:pPr>
            <w:r>
              <w:rPr>
                <w:bCs/>
              </w:rPr>
              <w:t>The UE determines what slots to monitor based on the duration, periodicity and offset provided by higher layers. TS 38.331 defines the SearchSpace IE.</w:t>
            </w:r>
          </w:p>
          <w:p>
            <w:pPr>
              <w:pStyle w:val="73"/>
              <w:widowControl w:val="0"/>
              <w:numPr>
                <w:ilvl w:val="0"/>
                <w:numId w:val="55"/>
              </w:numPr>
              <w:snapToGrid/>
              <w:spacing w:after="160"/>
              <w:contextualSpacing/>
              <w:rPr>
                <w:bCs/>
              </w:rPr>
            </w:pPr>
            <w:r>
              <w:rPr>
                <w:bCs/>
                <w:i/>
                <w:iCs/>
              </w:rPr>
              <w:t>duration</w:t>
            </w:r>
            <w:r>
              <w:rPr>
                <w:bCs/>
              </w:rPr>
              <w:t xml:space="preserve"> is the number of consecutive slots that a SearchSpace lasts in every occasion, i.e., upon every period as given in the SlotPeriodicityAndOffset.</w:t>
            </w:r>
          </w:p>
          <w:p>
            <w:pPr>
              <w:pStyle w:val="73"/>
              <w:widowControl w:val="0"/>
              <w:numPr>
                <w:ilvl w:val="0"/>
                <w:numId w:val="55"/>
              </w:numPr>
              <w:snapToGrid/>
              <w:spacing w:after="160"/>
              <w:contextualSpacing/>
              <w:rPr>
                <w:bCs/>
              </w:rPr>
            </w:pPr>
            <w:r>
              <w:rPr>
                <w:bCs/>
                <w:i/>
                <w:iCs/>
              </w:rPr>
              <w:t>monitoringSlotPeriodicityAndOffset</w:t>
            </w:r>
            <w:r>
              <w:rPr>
                <w:bCs/>
              </w:rPr>
              <w:t>: number of slots for PDCCH Monitoring configured as periodicity and offset.</w:t>
            </w:r>
          </w:p>
          <w:p>
            <w:pPr>
              <w:widowControl w:val="0"/>
              <w:rPr>
                <w:bCs/>
              </w:rPr>
            </w:pPr>
            <w:r>
              <w:rPr>
                <w:bCs/>
              </w:rPr>
              <w:t>With Rel 17, the basic pattern is extended to multiple slots, therefore the specified duration is a repetition of the basic pattern and should be a multiple of the basic pattern length. The basic pattern duration in multi-slot PDCCH monitoring corresponds to X value above. The basic pattern duration for multi-slot PDCCH monitoring consists of an active search period (span) and a period where UE can microsleep (X-Y for instance).</w:t>
            </w:r>
          </w:p>
          <w:p>
            <w:pPr>
              <w:widowControl w:val="0"/>
              <w:rPr>
                <w:bCs/>
              </w:rPr>
            </w:pPr>
            <w:r>
              <w:rPr>
                <w:bCs/>
              </w:rPr>
              <w:t>With multi-slot PDCCH monitoring new variables are necessary to describe the extended basic monitoring pattern within a search space duration.</w:t>
            </w:r>
          </w:p>
          <w:p>
            <w:pPr>
              <w:pStyle w:val="73"/>
              <w:widowControl w:val="0"/>
              <w:numPr>
                <w:ilvl w:val="0"/>
                <w:numId w:val="56"/>
              </w:numPr>
              <w:snapToGrid/>
              <w:spacing w:after="160"/>
              <w:contextualSpacing/>
              <w:rPr>
                <w:bCs/>
              </w:rPr>
            </w:pPr>
            <w:r>
              <w:rPr>
                <w:bCs/>
                <w:i/>
                <w:iCs/>
              </w:rPr>
              <w:t>spanDuration</w:t>
            </w:r>
            <w:r>
              <w:rPr>
                <w:bCs/>
              </w:rPr>
              <w:t xml:space="preserve">, represents the number of slots of span duration where PDCCH may be localized </w:t>
            </w:r>
          </w:p>
          <w:p>
            <w:pPr>
              <w:pStyle w:val="73"/>
              <w:widowControl w:val="0"/>
              <w:numPr>
                <w:ilvl w:val="0"/>
                <w:numId w:val="56"/>
              </w:numPr>
              <w:snapToGrid/>
              <w:spacing w:after="160"/>
              <w:contextualSpacing/>
              <w:rPr>
                <w:bCs/>
              </w:rPr>
            </w:pPr>
            <w:r>
              <w:rPr>
                <w:bCs/>
                <w:i/>
                <w:iCs/>
              </w:rPr>
              <w:t>patternDuration,</w:t>
            </w:r>
            <w:r>
              <w:rPr>
                <w:bCs/>
              </w:rPr>
              <w:t xml:space="preserve"> which correspond to X value duration </w:t>
            </w:r>
          </w:p>
          <w:p>
            <w:pPr>
              <w:widowControl w:val="0"/>
              <w:rPr>
                <w:bCs/>
              </w:rPr>
            </w:pPr>
            <w:r>
              <w:rPr>
                <w:bCs/>
              </w:rPr>
              <w:t xml:space="preserve">We note that the existing elements (variables) for search space configuration should keep their definition as the extended basic monitor pattern is repeated for “duration” slots, (duration &gt;X), with periodicity and offset configured as presented in Figure 4.  </w:t>
            </w:r>
          </w:p>
          <w:p>
            <w:pPr>
              <w:keepNext/>
              <w:widowControl w:val="0"/>
            </w:pPr>
            <w:r>
              <w:rPr>
                <w:bCs/>
                <w:lang w:eastAsia="ko-KR"/>
              </w:rPr>
              <w:drawing>
                <wp:inline distT="0" distB="0" distL="0" distR="0">
                  <wp:extent cx="6456680" cy="1285240"/>
                  <wp:effectExtent l="0" t="0" r="127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6538096" cy="1301423"/>
                          </a:xfrm>
                          <a:prstGeom prst="rect">
                            <a:avLst/>
                          </a:prstGeom>
                          <a:noFill/>
                        </pic:spPr>
                      </pic:pic>
                    </a:graphicData>
                  </a:graphic>
                </wp:inline>
              </w:drawing>
            </w:r>
          </w:p>
          <w:p>
            <w:pPr>
              <w:pStyle w:val="27"/>
              <w:widowControl w:val="0"/>
              <w:rPr>
                <w:bCs w:val="0"/>
              </w:rPr>
            </w:pPr>
            <w:r>
              <w:t xml:space="preserve">Figure </w:t>
            </w:r>
            <w:r>
              <w:fldChar w:fldCharType="begin"/>
            </w:r>
            <w:r>
              <w:instrText xml:space="preserve"> SEQ Figure \* ARABIC </w:instrText>
            </w:r>
            <w:r>
              <w:fldChar w:fldCharType="separate"/>
            </w:r>
            <w:r>
              <w:t>4</w:t>
            </w:r>
            <w:r>
              <w:fldChar w:fldCharType="end"/>
            </w:r>
            <w:r>
              <w:t>, Search Space timing</w:t>
            </w:r>
          </w:p>
          <w:p>
            <w:pPr>
              <w:widowControl w:val="0"/>
              <w:rPr>
                <w:bCs/>
              </w:rPr>
            </w:pPr>
            <w:r>
              <w:rPr>
                <w:bCs/>
              </w:rPr>
              <w:t xml:space="preserve"> </w:t>
            </w:r>
          </w:p>
          <w:p>
            <w:pPr>
              <w:widowControl w:val="0"/>
              <w:rPr>
                <w:bCs/>
              </w:rPr>
            </w:pPr>
            <w:r>
              <w:rPr>
                <w:bCs/>
              </w:rPr>
              <w:t xml:space="preserve">In a multi-slot monitoring span UE may be provided with bitmap that indicates the monitoring symbols in each span. We note that this information is already provided in the Rel-15/16 IE by the variable   </w:t>
            </w:r>
            <w:r>
              <w:rPr>
                <w:bCs/>
                <w:i/>
                <w:iCs/>
              </w:rPr>
              <w:t>monitoringSymbolsWithinSlot</w:t>
            </w:r>
            <w:r>
              <w:rPr>
                <w:bCs/>
              </w:rPr>
              <w:t>, which is the first symbol(s) for PDCCH monitoring in the slots configured for PDCCH monitoring. For instance, UE will monitor just the first 3 symbols in each slot of the multi-slot span X=1. Moreover, the PDCCH schedule and monitoring can be further simplified if the CSS and USS are grouped and scheduled at different time either in the same slot or different slots of the span.</w:t>
            </w:r>
          </w:p>
          <w:p>
            <w:pPr>
              <w:widowControl w:val="0"/>
              <w:rPr>
                <w:bCs/>
              </w:rPr>
            </w:pPr>
            <w:r>
              <w:rPr>
                <w:bCs/>
              </w:rPr>
              <w:t>We note that is possible to select between two PDCCH different monitoring behaviors (e.g. per slot vs per multi-slot or per 2 slots vs 4 slots monitoring) through search space set group (SSSG) switching.</w:t>
            </w:r>
          </w:p>
          <w:p>
            <w:pPr>
              <w:widowControl w:val="0"/>
              <w:rPr>
                <w:bCs/>
              </w:rPr>
            </w:pPr>
            <w:r>
              <w:rPr>
                <w:bCs/>
              </w:rPr>
              <w:t>As presented in the Figure 4, a particular case for minimum configurable periodicity of the USS and Type3-PDCCH CSS may be the smallest value X that a UE supports. Therefore, we support the following proposal from [4]:</w:t>
            </w:r>
          </w:p>
          <w:p>
            <w:pPr>
              <w:pStyle w:val="73"/>
              <w:widowControl w:val="0"/>
              <w:autoSpaceDE w:val="0"/>
              <w:autoSpaceDN w:val="0"/>
              <w:adjustRightInd w:val="0"/>
              <w:spacing w:before="120" w:beforeLines="50" w:after="240" w:line="240" w:lineRule="auto"/>
              <w:ind w:left="0"/>
              <w:contextualSpacing/>
              <w:jc w:val="both"/>
              <w:rPr>
                <w:b/>
                <w:i/>
                <w:color w:val="000000"/>
              </w:rPr>
            </w:pPr>
            <w:r>
              <w:rPr>
                <w:b/>
              </w:rPr>
              <w:t>Proposal 7: For each SCS 480 kHz and 960 kHz, the minimum configurable periodicity of the USS and Type3-PDCCH CSS is the smallest value X that a UE supports when reporting its multi-slot PDCCH monitoring capabilities for the corresponding SCS.</w:t>
            </w:r>
          </w:p>
        </w:tc>
      </w:tr>
    </w:tbl>
    <w:p>
      <w:pPr>
        <w:rPr>
          <w:lang w:val="en-GB" w:eastAsia="zh-CN"/>
        </w:rPr>
      </w:pPr>
    </w:p>
    <w:p>
      <w:pPr>
        <w:pStyle w:val="4"/>
        <w:jc w:val="both"/>
        <w:rPr>
          <w:lang w:val="en-GB" w:eastAsia="zh-CN"/>
        </w:rPr>
      </w:pPr>
      <w:r>
        <w:rPr>
          <w:lang w:val="en-GB" w:eastAsia="zh-CN"/>
        </w:rPr>
        <w:t>R1-2108887 (Transsion Holdings)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lang w:eastAsia="zh-CN"/>
              </w:rPr>
            </w:pPr>
            <w:r>
              <w:rPr>
                <w:rFonts w:hint="eastAsia"/>
                <w:lang w:eastAsia="zh-CN"/>
              </w:rPr>
              <w:t xml:space="preserve">In NR, the PDCCH monitoring occasion can be configured by RRC parameter </w:t>
            </w:r>
            <w:r>
              <w:rPr>
                <w:lang w:eastAsia="zh-CN"/>
              </w:rPr>
              <w:t>“</w:t>
            </w:r>
            <w:r>
              <w:rPr>
                <w:rFonts w:hint="eastAsia"/>
                <w:i/>
                <w:iCs/>
                <w:lang w:eastAsia="zh-CN"/>
              </w:rPr>
              <w:t>SearchSpace</w:t>
            </w:r>
            <w:r>
              <w:rPr>
                <w:lang w:eastAsia="zh-CN"/>
              </w:rPr>
              <w:t>”</w:t>
            </w:r>
            <w:r>
              <w:rPr>
                <w:rFonts w:hint="eastAsia"/>
                <w:lang w:eastAsia="zh-CN"/>
              </w:rPr>
              <w:t xml:space="preserve">, which is listed below. </w:t>
            </w:r>
          </w:p>
          <w:p>
            <w:pPr>
              <w:pStyle w:val="103"/>
              <w:widowControl w:val="0"/>
              <w:spacing w:after="120"/>
            </w:pPr>
            <w:r>
              <w:t xml:space="preserve">SearchSpace ::=                         </w:t>
            </w:r>
            <w:r>
              <w:rPr>
                <w:color w:val="993366"/>
              </w:rPr>
              <w:t>SEQUENCE</w:t>
            </w:r>
            <w:r>
              <w:t xml:space="preserve"> {</w:t>
            </w:r>
          </w:p>
          <w:p>
            <w:pPr>
              <w:pStyle w:val="103"/>
              <w:widowControl w:val="0"/>
              <w:spacing w:after="120"/>
            </w:pPr>
            <w:r>
              <w:t xml:space="preserve">    searchSpaceId                           SearchSpaceId,</w:t>
            </w:r>
          </w:p>
          <w:p>
            <w:pPr>
              <w:pStyle w:val="103"/>
              <w:widowControl w:val="0"/>
              <w:spacing w:after="120"/>
              <w:rPr>
                <w:color w:val="808080"/>
              </w:rPr>
            </w:pPr>
            <w:r>
              <w:t xml:space="preserve">    controlResourceSetId                    ControlResourceSetId             </w:t>
            </w:r>
            <w:r>
              <w:rPr>
                <w:color w:val="993366"/>
              </w:rPr>
              <w:t>OPTIONAL</w:t>
            </w:r>
            <w:r>
              <w:t xml:space="preserve">,   </w:t>
            </w:r>
            <w:r>
              <w:rPr>
                <w:color w:val="808080"/>
              </w:rPr>
              <w:t>-- Cond SetupOnly</w:t>
            </w:r>
          </w:p>
          <w:p>
            <w:pPr>
              <w:pStyle w:val="103"/>
              <w:widowControl w:val="0"/>
              <w:spacing w:after="120"/>
            </w:pPr>
            <w:r>
              <w:t xml:space="preserve">    monitoringSlotPeriodicityAndOffset      </w:t>
            </w:r>
            <w:r>
              <w:rPr>
                <w:color w:val="993366"/>
              </w:rPr>
              <w:t>CHOICE</w:t>
            </w:r>
            <w:r>
              <w:t xml:space="preserve"> {</w:t>
            </w:r>
          </w:p>
          <w:p>
            <w:pPr>
              <w:pStyle w:val="103"/>
              <w:widowControl w:val="0"/>
              <w:spacing w:after="120"/>
            </w:pPr>
            <w:r>
              <w:t xml:space="preserve">        sl1                                     </w:t>
            </w:r>
            <w:r>
              <w:rPr>
                <w:color w:val="993366"/>
              </w:rPr>
              <w:t>NULL</w:t>
            </w:r>
            <w:r>
              <w:t>,</w:t>
            </w:r>
          </w:p>
          <w:p>
            <w:pPr>
              <w:pStyle w:val="103"/>
              <w:widowControl w:val="0"/>
              <w:spacing w:after="120"/>
            </w:pPr>
            <w:r>
              <w:t xml:space="preserve">        sl2                                     </w:t>
            </w:r>
            <w:r>
              <w:rPr>
                <w:color w:val="993366"/>
              </w:rPr>
              <w:t>INTEGER</w:t>
            </w:r>
            <w:r>
              <w:t xml:space="preserve"> (0..1),</w:t>
            </w:r>
          </w:p>
          <w:p>
            <w:pPr>
              <w:pStyle w:val="103"/>
              <w:widowControl w:val="0"/>
              <w:spacing w:after="120"/>
              <w:rPr>
                <w:lang w:val="de-DE"/>
              </w:rPr>
            </w:pPr>
            <w:r>
              <w:t xml:space="preserve">        </w:t>
            </w:r>
            <w:r>
              <w:rPr>
                <w:lang w:val="de-DE"/>
              </w:rPr>
              <w:t xml:space="preserve">sl4                                     </w:t>
            </w:r>
            <w:r>
              <w:rPr>
                <w:color w:val="993366"/>
                <w:lang w:val="de-DE"/>
              </w:rPr>
              <w:t>INTEGER</w:t>
            </w:r>
            <w:r>
              <w:rPr>
                <w:lang w:val="de-DE"/>
              </w:rPr>
              <w:t xml:space="preserve"> (0..3),</w:t>
            </w:r>
          </w:p>
          <w:p>
            <w:pPr>
              <w:pStyle w:val="103"/>
              <w:widowControl w:val="0"/>
              <w:spacing w:after="120"/>
              <w:rPr>
                <w:lang w:val="de-DE"/>
              </w:rPr>
            </w:pPr>
            <w:r>
              <w:rPr>
                <w:lang w:val="de-DE"/>
              </w:rPr>
              <w:t xml:space="preserve">        sl5                                     </w:t>
            </w:r>
            <w:r>
              <w:rPr>
                <w:color w:val="993366"/>
                <w:lang w:val="de-DE"/>
              </w:rPr>
              <w:t>INTEGER</w:t>
            </w:r>
            <w:r>
              <w:rPr>
                <w:lang w:val="de-DE"/>
              </w:rPr>
              <w:t xml:space="preserve"> (0..4),</w:t>
            </w:r>
          </w:p>
          <w:p>
            <w:pPr>
              <w:pStyle w:val="103"/>
              <w:widowControl w:val="0"/>
              <w:spacing w:after="120"/>
              <w:rPr>
                <w:lang w:val="de-DE"/>
              </w:rPr>
            </w:pPr>
            <w:r>
              <w:rPr>
                <w:lang w:val="de-DE"/>
              </w:rPr>
              <w:t xml:space="preserve">        sl8                                     </w:t>
            </w:r>
            <w:r>
              <w:rPr>
                <w:color w:val="993366"/>
                <w:lang w:val="de-DE"/>
              </w:rPr>
              <w:t>INTEGER</w:t>
            </w:r>
            <w:r>
              <w:rPr>
                <w:lang w:val="de-DE"/>
              </w:rPr>
              <w:t xml:space="preserve"> (0..7),</w:t>
            </w:r>
          </w:p>
          <w:p>
            <w:pPr>
              <w:pStyle w:val="103"/>
              <w:widowControl w:val="0"/>
              <w:spacing w:after="120"/>
              <w:rPr>
                <w:lang w:val="de-DE"/>
              </w:rPr>
            </w:pPr>
            <w:r>
              <w:rPr>
                <w:lang w:val="de-DE"/>
              </w:rPr>
              <w:t xml:space="preserve">        sl10                                    </w:t>
            </w:r>
            <w:r>
              <w:rPr>
                <w:color w:val="993366"/>
                <w:lang w:val="de-DE"/>
              </w:rPr>
              <w:t>INTEGER</w:t>
            </w:r>
            <w:r>
              <w:rPr>
                <w:lang w:val="de-DE"/>
              </w:rPr>
              <w:t xml:space="preserve"> (0..9),</w:t>
            </w:r>
          </w:p>
          <w:p>
            <w:pPr>
              <w:pStyle w:val="103"/>
              <w:widowControl w:val="0"/>
              <w:spacing w:after="120"/>
              <w:rPr>
                <w:lang w:val="de-DE"/>
              </w:rPr>
            </w:pPr>
            <w:r>
              <w:rPr>
                <w:lang w:val="de-DE"/>
              </w:rPr>
              <w:t xml:space="preserve">        sl16                                    </w:t>
            </w:r>
            <w:r>
              <w:rPr>
                <w:color w:val="993366"/>
                <w:lang w:val="de-DE"/>
              </w:rPr>
              <w:t>INTEGER</w:t>
            </w:r>
            <w:r>
              <w:rPr>
                <w:lang w:val="de-DE"/>
              </w:rPr>
              <w:t xml:space="preserve"> (0..15),</w:t>
            </w:r>
          </w:p>
          <w:p>
            <w:pPr>
              <w:pStyle w:val="103"/>
              <w:widowControl w:val="0"/>
              <w:spacing w:after="120"/>
              <w:rPr>
                <w:lang w:val="de-DE"/>
              </w:rPr>
            </w:pPr>
            <w:r>
              <w:rPr>
                <w:lang w:val="de-DE"/>
              </w:rPr>
              <w:t xml:space="preserve">        sl20                                    </w:t>
            </w:r>
            <w:r>
              <w:rPr>
                <w:color w:val="993366"/>
                <w:lang w:val="de-DE"/>
              </w:rPr>
              <w:t>INTEGER</w:t>
            </w:r>
            <w:r>
              <w:rPr>
                <w:lang w:val="de-DE"/>
              </w:rPr>
              <w:t xml:space="preserve"> (0..19),</w:t>
            </w:r>
          </w:p>
          <w:p>
            <w:pPr>
              <w:pStyle w:val="103"/>
              <w:widowControl w:val="0"/>
              <w:spacing w:after="120"/>
              <w:rPr>
                <w:lang w:val="de-DE"/>
              </w:rPr>
            </w:pPr>
            <w:r>
              <w:rPr>
                <w:lang w:val="de-DE"/>
              </w:rPr>
              <w:t xml:space="preserve">        sl40                                    </w:t>
            </w:r>
            <w:r>
              <w:rPr>
                <w:color w:val="993366"/>
                <w:lang w:val="de-DE"/>
              </w:rPr>
              <w:t>INTEGER</w:t>
            </w:r>
            <w:r>
              <w:rPr>
                <w:lang w:val="de-DE"/>
              </w:rPr>
              <w:t xml:space="preserve"> (0..39),</w:t>
            </w:r>
          </w:p>
          <w:p>
            <w:pPr>
              <w:pStyle w:val="103"/>
              <w:widowControl w:val="0"/>
              <w:spacing w:after="120"/>
              <w:rPr>
                <w:lang w:val="de-DE"/>
              </w:rPr>
            </w:pPr>
            <w:r>
              <w:rPr>
                <w:lang w:val="de-DE"/>
              </w:rPr>
              <w:t xml:space="preserve">        sl80                                    </w:t>
            </w:r>
            <w:r>
              <w:rPr>
                <w:color w:val="993366"/>
                <w:lang w:val="de-DE"/>
              </w:rPr>
              <w:t>INTEGER</w:t>
            </w:r>
            <w:r>
              <w:rPr>
                <w:lang w:val="de-DE"/>
              </w:rPr>
              <w:t xml:space="preserve"> (0..79),</w:t>
            </w:r>
          </w:p>
          <w:p>
            <w:pPr>
              <w:pStyle w:val="103"/>
              <w:widowControl w:val="0"/>
              <w:spacing w:after="120"/>
              <w:rPr>
                <w:lang w:val="de-DE"/>
              </w:rPr>
            </w:pPr>
            <w:r>
              <w:rPr>
                <w:lang w:val="de-DE"/>
              </w:rPr>
              <w:t xml:space="preserve">        sl160                                   </w:t>
            </w:r>
            <w:r>
              <w:rPr>
                <w:color w:val="993366"/>
                <w:lang w:val="de-DE"/>
              </w:rPr>
              <w:t>INTEGER</w:t>
            </w:r>
            <w:r>
              <w:rPr>
                <w:lang w:val="de-DE"/>
              </w:rPr>
              <w:t xml:space="preserve"> (0..159),</w:t>
            </w:r>
          </w:p>
          <w:p>
            <w:pPr>
              <w:pStyle w:val="103"/>
              <w:widowControl w:val="0"/>
              <w:spacing w:after="120"/>
              <w:rPr>
                <w:lang w:val="de-DE"/>
              </w:rPr>
            </w:pPr>
            <w:r>
              <w:rPr>
                <w:lang w:val="de-DE"/>
              </w:rPr>
              <w:t xml:space="preserve">        sl320                                   </w:t>
            </w:r>
            <w:r>
              <w:rPr>
                <w:color w:val="993366"/>
                <w:lang w:val="de-DE"/>
              </w:rPr>
              <w:t>INTEGER</w:t>
            </w:r>
            <w:r>
              <w:rPr>
                <w:lang w:val="de-DE"/>
              </w:rPr>
              <w:t xml:space="preserve"> (0..319),</w:t>
            </w:r>
          </w:p>
          <w:p>
            <w:pPr>
              <w:pStyle w:val="103"/>
              <w:widowControl w:val="0"/>
              <w:spacing w:after="120"/>
              <w:rPr>
                <w:lang w:val="de-DE"/>
              </w:rPr>
            </w:pPr>
            <w:r>
              <w:rPr>
                <w:lang w:val="de-DE"/>
              </w:rPr>
              <w:t xml:space="preserve">        sl640                                   </w:t>
            </w:r>
            <w:r>
              <w:rPr>
                <w:color w:val="993366"/>
                <w:lang w:val="de-DE"/>
              </w:rPr>
              <w:t>INTEGER</w:t>
            </w:r>
            <w:r>
              <w:rPr>
                <w:lang w:val="de-DE"/>
              </w:rPr>
              <w:t xml:space="preserve"> (0..639),</w:t>
            </w:r>
          </w:p>
          <w:p>
            <w:pPr>
              <w:pStyle w:val="103"/>
              <w:widowControl w:val="0"/>
              <w:spacing w:after="120"/>
              <w:rPr>
                <w:lang w:val="de-DE"/>
              </w:rPr>
            </w:pPr>
            <w:r>
              <w:rPr>
                <w:lang w:val="de-DE"/>
              </w:rPr>
              <w:t xml:space="preserve">        sl1280                                  </w:t>
            </w:r>
            <w:r>
              <w:rPr>
                <w:color w:val="993366"/>
                <w:lang w:val="de-DE"/>
              </w:rPr>
              <w:t>INTEGER</w:t>
            </w:r>
            <w:r>
              <w:rPr>
                <w:lang w:val="de-DE"/>
              </w:rPr>
              <w:t xml:space="preserve"> (0..1279),</w:t>
            </w:r>
          </w:p>
          <w:p>
            <w:pPr>
              <w:pStyle w:val="103"/>
              <w:widowControl w:val="0"/>
              <w:spacing w:after="120"/>
            </w:pPr>
            <w:r>
              <w:rPr>
                <w:lang w:val="de-DE"/>
              </w:rPr>
              <w:t xml:space="preserve">        </w:t>
            </w:r>
            <w:r>
              <w:t xml:space="preserve">sl2560                                  </w:t>
            </w:r>
            <w:r>
              <w:rPr>
                <w:color w:val="993366"/>
              </w:rPr>
              <w:t>INTEGER</w:t>
            </w:r>
            <w:r>
              <w:t xml:space="preserve"> (0..2559)</w:t>
            </w:r>
          </w:p>
          <w:p>
            <w:pPr>
              <w:pStyle w:val="103"/>
              <w:widowControl w:val="0"/>
              <w:spacing w:after="120"/>
              <w:rPr>
                <w:color w:val="808080"/>
              </w:rPr>
            </w:pPr>
            <w:r>
              <w:t xml:space="preserve">    }                                                                        </w:t>
            </w:r>
            <w:r>
              <w:rPr>
                <w:color w:val="993366"/>
              </w:rPr>
              <w:t>OPTIONAL</w:t>
            </w:r>
            <w:r>
              <w:t xml:space="preserve">,   </w:t>
            </w:r>
            <w:r>
              <w:rPr>
                <w:color w:val="808080"/>
              </w:rPr>
              <w:t>-- Cond Setup</w:t>
            </w:r>
          </w:p>
          <w:p>
            <w:pPr>
              <w:pStyle w:val="103"/>
              <w:widowControl w:val="0"/>
              <w:spacing w:after="120"/>
              <w:rPr>
                <w:color w:val="808080"/>
              </w:rPr>
            </w:pPr>
            <w:r>
              <w:t xml:space="preserve">    duration                                </w:t>
            </w:r>
            <w:r>
              <w:rPr>
                <w:color w:val="993366"/>
              </w:rPr>
              <w:t>INTEGER</w:t>
            </w:r>
            <w:r>
              <w:t xml:space="preserve"> (2..2559)           </w:t>
            </w:r>
            <w:r>
              <w:rPr>
                <w:rFonts w:hint="eastAsia" w:eastAsia="宋体"/>
                <w:lang w:val="en-US" w:eastAsia="zh-CN"/>
              </w:rPr>
              <w:t xml:space="preserve"> </w:t>
            </w:r>
            <w:r>
              <w:rPr>
                <w:color w:val="993366"/>
              </w:rPr>
              <w:t>OPTIONAL</w:t>
            </w:r>
            <w:r>
              <w:t xml:space="preserve">,   </w:t>
            </w:r>
            <w:r>
              <w:rPr>
                <w:color w:val="808080"/>
              </w:rPr>
              <w:t>-- Need R</w:t>
            </w:r>
          </w:p>
          <w:p>
            <w:pPr>
              <w:pStyle w:val="103"/>
              <w:widowControl w:val="0"/>
              <w:spacing w:after="120"/>
              <w:rPr>
                <w:color w:val="808080"/>
              </w:rPr>
            </w:pPr>
            <w:r>
              <w:t xml:space="preserve">    monitoringSymbolsWithinSlot             </w:t>
            </w:r>
            <w:r>
              <w:rPr>
                <w:color w:val="993366"/>
              </w:rPr>
              <w:t>BIT</w:t>
            </w:r>
            <w:r>
              <w:t xml:space="preserve"> </w:t>
            </w:r>
            <w:r>
              <w:rPr>
                <w:color w:val="993366"/>
              </w:rPr>
              <w:t>STRING</w:t>
            </w:r>
            <w:r>
              <w:t xml:space="preserve"> (</w:t>
            </w:r>
            <w:r>
              <w:rPr>
                <w:color w:val="993366"/>
              </w:rPr>
              <w:t>SIZE</w:t>
            </w:r>
            <w:r>
              <w:t xml:space="preserve"> (14))           </w:t>
            </w:r>
            <w:r>
              <w:rPr>
                <w:color w:val="993366"/>
              </w:rPr>
              <w:t>OPTIONAL</w:t>
            </w:r>
            <w:r>
              <w:t xml:space="preserve">,   </w:t>
            </w:r>
            <w:r>
              <w:rPr>
                <w:color w:val="808080"/>
              </w:rPr>
              <w:t>-- Cond Setup</w:t>
            </w:r>
          </w:p>
          <w:p>
            <w:pPr>
              <w:widowControl w:val="0"/>
              <w:rPr>
                <w:lang w:eastAsia="zh-CN"/>
              </w:rPr>
            </w:pPr>
          </w:p>
          <w:p>
            <w:pPr>
              <w:widowControl w:val="0"/>
              <w:rPr>
                <w:lang w:eastAsia="zh-CN"/>
              </w:rPr>
            </w:pPr>
            <w:r>
              <w:rPr>
                <w:rFonts w:hint="eastAsia"/>
                <w:lang w:eastAsia="zh-CN"/>
              </w:rPr>
              <w:t xml:space="preserve">Regarding the parameter of </w:t>
            </w:r>
            <w:r>
              <w:rPr>
                <w:lang w:eastAsia="zh-CN"/>
              </w:rPr>
              <w:t>“</w:t>
            </w:r>
            <w:r>
              <w:rPr>
                <w:rFonts w:hint="eastAsia"/>
                <w:lang w:eastAsia="zh-CN"/>
              </w:rPr>
              <w:t>monitoringSlotPeriodicityAndOffset</w:t>
            </w:r>
            <w:r>
              <w:rPr>
                <w:lang w:eastAsia="zh-CN"/>
              </w:rPr>
              <w:t>”</w:t>
            </w:r>
            <w:r>
              <w:rPr>
                <w:rFonts w:hint="eastAsia"/>
                <w:lang w:eastAsia="zh-CN"/>
              </w:rPr>
              <w:t xml:space="preserve"> in </w:t>
            </w:r>
            <w:r>
              <w:rPr>
                <w:lang w:eastAsia="zh-CN"/>
              </w:rPr>
              <w:t>“</w:t>
            </w:r>
            <w:r>
              <w:rPr>
                <w:rFonts w:hint="eastAsia"/>
                <w:i/>
                <w:iCs/>
                <w:lang w:eastAsia="zh-CN"/>
              </w:rPr>
              <w:t>SearchSpace</w:t>
            </w:r>
            <w:r>
              <w:rPr>
                <w:lang w:eastAsia="zh-CN"/>
              </w:rPr>
              <w:t>”</w:t>
            </w:r>
            <w:r>
              <w:rPr>
                <w:rFonts w:hint="eastAsia"/>
                <w:lang w:eastAsia="zh-CN"/>
              </w:rPr>
              <w:t xml:space="preserve">, in NR Rel-15 it means the slots for PDCCH monitoring configured as periodicity and the relevant offset. For each slot group, it is better to restrict the PDCCH monitoring occasions within Y slots. Otherwise, the multi-slot PDCCH monitoring capability will be violated. Therefore, the parameter of period in </w:t>
            </w:r>
            <w:r>
              <w:rPr>
                <w:lang w:eastAsia="zh-CN"/>
              </w:rPr>
              <w:t>“</w:t>
            </w:r>
            <w:r>
              <w:rPr>
                <w:rFonts w:hint="eastAsia"/>
                <w:i/>
                <w:iCs/>
                <w:lang w:eastAsia="zh-CN"/>
              </w:rPr>
              <w:t>SearchSpace</w:t>
            </w:r>
            <w:r>
              <w:rPr>
                <w:lang w:eastAsia="zh-CN"/>
              </w:rPr>
              <w:t>”</w:t>
            </w:r>
            <w:r>
              <w:rPr>
                <w:rFonts w:hint="eastAsia"/>
                <w:lang w:eastAsia="zh-CN"/>
              </w:rPr>
              <w:t xml:space="preserve"> should be an integer multiple of X. Meanwhile, to ensure the PDCCH monitoring occasions are located within the Y slots, the offset values in </w:t>
            </w:r>
            <w:r>
              <w:rPr>
                <w:lang w:eastAsia="zh-CN"/>
              </w:rPr>
              <w:t>“</w:t>
            </w:r>
            <w:r>
              <w:rPr>
                <w:rFonts w:hint="eastAsia"/>
                <w:i/>
                <w:iCs/>
                <w:lang w:eastAsia="zh-CN"/>
              </w:rPr>
              <w:t>SearchSpace</w:t>
            </w:r>
            <w:r>
              <w:rPr>
                <w:lang w:eastAsia="zh-CN"/>
              </w:rPr>
              <w:t>”</w:t>
            </w:r>
            <w:r>
              <w:rPr>
                <w:rFonts w:hint="eastAsia"/>
                <w:lang w:eastAsia="zh-CN"/>
              </w:rPr>
              <w:t xml:space="preserve"> should be associated with the position of Y slots within a slot group.  </w:t>
            </w:r>
          </w:p>
          <w:p>
            <w:pPr>
              <w:widowControl w:val="0"/>
              <w:rPr>
                <w:lang w:eastAsia="zh-CN"/>
              </w:rPr>
            </w:pPr>
            <w:r>
              <w:rPr>
                <w:rFonts w:hint="eastAsia"/>
                <w:lang w:eastAsia="zh-CN"/>
              </w:rPr>
              <w:t xml:space="preserve">Regarding the parameter of duration in </w:t>
            </w:r>
            <w:r>
              <w:rPr>
                <w:lang w:eastAsia="zh-CN"/>
              </w:rPr>
              <w:t>“</w:t>
            </w:r>
            <w:r>
              <w:rPr>
                <w:rFonts w:hint="eastAsia"/>
                <w:i/>
                <w:iCs/>
                <w:lang w:eastAsia="zh-CN"/>
              </w:rPr>
              <w:t>SearchSpace</w:t>
            </w:r>
            <w:r>
              <w:rPr>
                <w:lang w:eastAsia="zh-CN"/>
              </w:rPr>
              <w:t>”</w:t>
            </w:r>
            <w:r>
              <w:rPr>
                <w:rFonts w:hint="eastAsia"/>
                <w:lang w:eastAsia="zh-CN"/>
              </w:rPr>
              <w:t xml:space="preserve">, in NR Rel-15 it refers to the number of consecutive slots that a </w:t>
            </w:r>
            <w:r>
              <w:rPr>
                <w:lang w:eastAsia="zh-CN"/>
              </w:rPr>
              <w:t>“</w:t>
            </w:r>
            <w:r>
              <w:rPr>
                <w:rFonts w:hint="eastAsia"/>
                <w:i/>
                <w:iCs/>
                <w:lang w:eastAsia="zh-CN"/>
              </w:rPr>
              <w:t>SearchSpace</w:t>
            </w:r>
            <w:r>
              <w:rPr>
                <w:lang w:eastAsia="zh-CN"/>
              </w:rPr>
              <w:t>”</w:t>
            </w:r>
            <w:r>
              <w:rPr>
                <w:rFonts w:hint="eastAsia"/>
                <w:lang w:eastAsia="zh-CN"/>
              </w:rPr>
              <w:t xml:space="preserve"> lasts in every period. However, for 480kHz SCS and 960kHz SCS, these consecutive slots within a search space period may be located outside the Y consecutive slots within a slot group, which may violet the definition of multi-slot PDCCH monitoring capability. Therefore, a new interpretation of </w:t>
            </w:r>
            <w:r>
              <w:rPr>
                <w:rFonts w:hint="eastAsia"/>
                <w:i/>
                <w:iCs/>
                <w:lang w:eastAsia="zh-CN"/>
              </w:rPr>
              <w:t>duration</w:t>
            </w:r>
            <w:r>
              <w:rPr>
                <w:rFonts w:hint="eastAsia"/>
                <w:lang w:eastAsia="zh-CN"/>
              </w:rPr>
              <w:t xml:space="preserve"> should be defined. Considering the period in </w:t>
            </w:r>
            <w:r>
              <w:rPr>
                <w:lang w:eastAsia="zh-CN"/>
              </w:rPr>
              <w:t>“</w:t>
            </w:r>
            <w:r>
              <w:rPr>
                <w:rFonts w:hint="eastAsia"/>
                <w:i/>
                <w:iCs/>
                <w:lang w:eastAsia="zh-CN"/>
              </w:rPr>
              <w:t>SearchSpace</w:t>
            </w:r>
            <w:r>
              <w:rPr>
                <w:lang w:eastAsia="zh-CN"/>
              </w:rPr>
              <w:t>”</w:t>
            </w:r>
            <w:r>
              <w:rPr>
                <w:rFonts w:hint="eastAsia"/>
                <w:lang w:eastAsia="zh-CN"/>
              </w:rPr>
              <w:t xml:space="preserve"> is defined as the integer multiple of X, it is straight forward to interpret the duration as the number of consecutive slot groups that a </w:t>
            </w:r>
            <w:r>
              <w:rPr>
                <w:lang w:eastAsia="zh-CN"/>
              </w:rPr>
              <w:t>“</w:t>
            </w:r>
            <w:r>
              <w:rPr>
                <w:rFonts w:hint="eastAsia"/>
                <w:i/>
                <w:iCs/>
                <w:lang w:eastAsia="zh-CN"/>
              </w:rPr>
              <w:t>SearchSpace</w:t>
            </w:r>
            <w:r>
              <w:rPr>
                <w:lang w:eastAsia="zh-CN"/>
              </w:rPr>
              <w:t>”</w:t>
            </w:r>
            <w:r>
              <w:rPr>
                <w:rFonts w:hint="eastAsia"/>
                <w:lang w:eastAsia="zh-CN"/>
              </w:rPr>
              <w:t xml:space="preserve"> lasts in every period.   </w:t>
            </w:r>
          </w:p>
          <w:p>
            <w:pPr>
              <w:pStyle w:val="73"/>
              <w:widowControl w:val="0"/>
              <w:autoSpaceDE w:val="0"/>
              <w:autoSpaceDN w:val="0"/>
              <w:adjustRightInd w:val="0"/>
              <w:spacing w:before="120" w:beforeLines="50" w:after="240" w:line="240" w:lineRule="auto"/>
              <w:ind w:left="0"/>
              <w:contextualSpacing/>
              <w:jc w:val="both"/>
              <w:rPr>
                <w:b/>
                <w:i/>
                <w:szCs w:val="20"/>
                <w:lang w:eastAsia="zh-CN"/>
              </w:rPr>
            </w:pPr>
            <w:r>
              <w:rPr>
                <w:b/>
                <w:i/>
                <w:szCs w:val="20"/>
                <w:lang w:eastAsia="zh-CN"/>
              </w:rPr>
              <w:t xml:space="preserve">Proposal </w:t>
            </w:r>
            <w:r>
              <w:rPr>
                <w:rFonts w:hint="eastAsia"/>
                <w:b/>
                <w:i/>
                <w:szCs w:val="20"/>
                <w:lang w:eastAsia="zh-CN"/>
              </w:rPr>
              <w:t>4</w:t>
            </w:r>
            <w:r>
              <w:rPr>
                <w:b/>
                <w:i/>
                <w:szCs w:val="20"/>
                <w:lang w:eastAsia="zh-CN"/>
              </w:rPr>
              <w:t xml:space="preserve">: </w:t>
            </w:r>
            <w:r>
              <w:rPr>
                <w:rFonts w:hint="eastAsia"/>
                <w:b/>
                <w:i/>
                <w:szCs w:val="20"/>
                <w:lang w:eastAsia="zh-CN"/>
              </w:rPr>
              <w:t>The search space configuration should be enhanced to accommodate multi-slot PDCCH monitoring.</w:t>
            </w:r>
          </w:p>
          <w:p>
            <w:pPr>
              <w:widowControl w:val="0"/>
              <w:rPr>
                <w:bCs/>
                <w:iCs/>
                <w:szCs w:val="20"/>
                <w:lang w:eastAsia="zh-CN"/>
              </w:rPr>
            </w:pPr>
            <w:r>
              <w:rPr>
                <w:rFonts w:hint="eastAsia"/>
                <w:bCs/>
                <w:iCs/>
                <w:szCs w:val="20"/>
                <w:lang w:eastAsia="zh-CN"/>
              </w:rPr>
              <w:t>In unlicensed band, it is beneficial to access the channel as soon as possible, when gNB passes the LBT. For this reason, the PDCCH monitoring occasion needs to occur frequently in the time domain. However, frequent monitoring of PDCCH consumes a plenty of power on the UE side, which is not beneficial for UE. In order to resolve this issue, a mechanism of search space set group switching is introduced to balance the channel access possibility from gNB side and the power consumption on PDCCH monitoring of UE side. For 480kHz SCS and 960KHz SCS, assuming X=2, the duration of a slot group is 62.5/31.25 us</w:t>
            </w:r>
            <w:r>
              <w:rPr>
                <w:rFonts w:hint="eastAsia"/>
                <w:szCs w:val="20"/>
                <w:lang w:eastAsia="zh-CN"/>
              </w:rPr>
              <w:t>, which is similar to the length of two or one OFDM symbol for</w:t>
            </w:r>
            <w:r>
              <w:rPr>
                <w:rFonts w:hint="eastAsia"/>
                <w:bCs/>
                <w:iCs/>
                <w:szCs w:val="20"/>
                <w:lang w:eastAsia="zh-CN"/>
              </w:rPr>
              <w:t xml:space="preserve"> 30kHz SCS. Thus, sufficient flexibility in channel access can be ensured even with multi-slot PDCCH monitoring. In additional, supporting slot-based PDCCH monitoring means that additional slot-based PDCCH monitoring capability need to be defined, which requires additional standardization efforts. Therefore, it is not necessary to support search space set group switching between slot-based PDCCH monitoring and multi-slot based PDCCH monitoring.  However, the balance between the channel access possibility and the power consumption on PDCCH monitoring is still needed. The periodicity of different search space set groups can be set differently, e.g.  shorter periodicity can be set for out of COT period and longer periodicity can be set for in-COT period.</w:t>
            </w:r>
          </w:p>
          <w:p>
            <w:pPr>
              <w:widowControl w:val="0"/>
              <w:rPr>
                <w:b/>
                <w:i/>
                <w:szCs w:val="20"/>
                <w:lang w:eastAsia="zh-CN"/>
              </w:rPr>
            </w:pPr>
            <w:r>
              <w:rPr>
                <w:rFonts w:hint="eastAsia"/>
                <w:b/>
                <w:i/>
                <w:szCs w:val="20"/>
                <w:lang w:eastAsia="zh-CN"/>
              </w:rPr>
              <w:t xml:space="preserve">Proposal 5：It is not necessary to support search space set group switching between slot-based PDCCH monitoring and multi-slot PDCCH monitoring.  </w:t>
            </w:r>
          </w:p>
          <w:p>
            <w:pPr>
              <w:widowControl w:val="0"/>
              <w:rPr>
                <w:b/>
                <w:i/>
                <w:szCs w:val="20"/>
                <w:lang w:eastAsia="zh-CN"/>
              </w:rPr>
            </w:pPr>
            <w:r>
              <w:rPr>
                <w:rFonts w:hint="eastAsia"/>
                <w:b/>
                <w:i/>
                <w:szCs w:val="20"/>
                <w:lang w:eastAsia="zh-CN"/>
              </w:rPr>
              <w:t xml:space="preserve">Proposal 6: </w:t>
            </w:r>
            <w:bookmarkStart w:id="76" w:name="OLE_LINK2"/>
            <w:r>
              <w:rPr>
                <w:rFonts w:hint="eastAsia"/>
                <w:b/>
                <w:i/>
                <w:szCs w:val="20"/>
                <w:lang w:eastAsia="zh-CN"/>
              </w:rPr>
              <w:t>Search space set group</w:t>
            </w:r>
            <w:bookmarkEnd w:id="76"/>
            <w:r>
              <w:rPr>
                <w:rFonts w:hint="eastAsia"/>
                <w:b/>
                <w:i/>
                <w:szCs w:val="20"/>
                <w:lang w:eastAsia="zh-CN"/>
              </w:rPr>
              <w:t xml:space="preserve"> switching between different search space set groups configured with different period should be supported.  </w:t>
            </w:r>
          </w:p>
        </w:tc>
      </w:tr>
    </w:tbl>
    <w:p>
      <w:pPr>
        <w:rPr>
          <w:lang w:val="en-GB" w:eastAsia="zh-CN"/>
        </w:rPr>
      </w:pPr>
    </w:p>
    <w:p>
      <w:pPr>
        <w:pStyle w:val="4"/>
        <w:jc w:val="both"/>
        <w:rPr>
          <w:lang w:val="en-GB" w:eastAsia="zh-CN"/>
        </w:rPr>
      </w:pPr>
      <w:r>
        <w:rPr>
          <w:lang w:val="en-GB" w:eastAsia="zh-CN"/>
        </w:rPr>
        <w:t>R1-2108935 (ZTE, Sanechips)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rFonts w:eastAsia="宋体"/>
                <w:bCs/>
                <w:lang w:eastAsia="zh-CN"/>
              </w:rPr>
            </w:pPr>
            <w:r>
              <w:rPr>
                <w:rFonts w:hint="eastAsia" w:eastAsia="宋体"/>
                <w:bCs/>
                <w:lang w:eastAsia="zh-CN"/>
              </w:rPr>
              <w:t xml:space="preserve">If a fixed pattern of slot groups to define the new capability for PDCCH monitoring is adopted, when configuring the search space set by higher layer parameter </w:t>
            </w:r>
            <w:r>
              <w:rPr>
                <w:rFonts w:hint="eastAsia" w:eastAsia="宋体"/>
                <w:bCs/>
                <w:i/>
                <w:iCs/>
                <w:lang w:eastAsia="zh-CN"/>
              </w:rPr>
              <w:t>monitoringSlotPeriodicityAndOffset</w:t>
            </w:r>
            <w:r>
              <w:rPr>
                <w:rFonts w:hint="eastAsia" w:eastAsia="宋体"/>
                <w:bCs/>
                <w:lang w:eastAsia="zh-CN"/>
              </w:rPr>
              <w:t xml:space="preserve">, the gNB needs to ensure that </w:t>
            </w:r>
            <w:r>
              <w:t xml:space="preserve">PDCCH monitoring periodicity </w:t>
            </w:r>
            <m:oMath>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s</m:t>
                  </m:r>
                  <m:ctrlPr>
                    <w:rPr>
                      <w:rFonts w:ascii="Cambria Math" w:hAnsi="Cambria Math"/>
                      <w:i/>
                    </w:rPr>
                  </m:ctrlPr>
                </m:sub>
              </m:sSub>
            </m:oMath>
            <w:r>
              <w:rPr>
                <w:rFonts w:hint="eastAsia" w:hAnsi="Cambria Math" w:eastAsia="宋体"/>
                <w:lang w:eastAsia="zh-CN"/>
              </w:rPr>
              <w:t>,</w:t>
            </w:r>
            <w:r>
              <w:t xml:space="preserve"> </w:t>
            </w:r>
            <w:r>
              <w:rPr>
                <w:rFonts w:hint="eastAsia" w:eastAsia="宋体"/>
                <w:bCs/>
                <w:lang w:eastAsia="zh-CN"/>
              </w:rPr>
              <w:t xml:space="preserve">the duration </w:t>
            </w:r>
            <w:r>
              <w:rPr>
                <w:rFonts w:hint="eastAsia" w:eastAsia="宋体"/>
                <w:bCs/>
                <w:i/>
                <w:iCs/>
                <w:lang w:eastAsia="zh-CN"/>
              </w:rPr>
              <w:t>T</w:t>
            </w:r>
            <w:r>
              <w:rPr>
                <w:rFonts w:hint="eastAsia" w:eastAsia="宋体"/>
                <w:bCs/>
                <w:i/>
                <w:iCs/>
                <w:vertAlign w:val="subscript"/>
                <w:lang w:eastAsia="zh-CN"/>
              </w:rPr>
              <w:t>S</w:t>
            </w:r>
            <w:r>
              <w:rPr>
                <w:rFonts w:hint="eastAsia" w:eastAsia="宋体"/>
                <w:bCs/>
                <w:lang w:eastAsia="zh-CN"/>
              </w:rPr>
              <w:t xml:space="preserve"> is a</w:t>
            </w:r>
            <w:r>
              <w:rPr>
                <w:rFonts w:eastAsia="宋体"/>
                <w:bCs/>
                <w:lang w:eastAsia="zh-CN"/>
              </w:rPr>
              <w:t>n</w:t>
            </w:r>
            <w:r>
              <w:rPr>
                <w:rFonts w:hint="eastAsia" w:eastAsia="宋体"/>
                <w:bCs/>
                <w:lang w:eastAsia="zh-CN"/>
              </w:rPr>
              <w:t xml:space="preserve"> integral multiple of X slots (X slots consists a slot group), or is a</w:t>
            </w:r>
            <w:r>
              <w:rPr>
                <w:rFonts w:eastAsia="宋体"/>
                <w:bCs/>
                <w:lang w:eastAsia="zh-CN"/>
              </w:rPr>
              <w:t>n</w:t>
            </w:r>
            <w:r>
              <w:rPr>
                <w:rFonts w:hint="eastAsia" w:eastAsia="宋体"/>
                <w:bCs/>
                <w:lang w:eastAsia="zh-CN"/>
              </w:rPr>
              <w:t xml:space="preserve"> integral multiple of slot groups, i.e. </w:t>
            </w:r>
            <m:oMath>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s</m:t>
                  </m:r>
                  <m:ctrlPr>
                    <w:rPr>
                      <w:rFonts w:ascii="Cambria Math" w:hAnsi="Cambria Math"/>
                      <w:i/>
                    </w:rPr>
                  </m:ctrlPr>
                </m:sub>
              </m:sSub>
            </m:oMath>
            <w:r>
              <w:rPr>
                <w:rFonts w:hint="eastAsia" w:hAnsi="Cambria Math" w:eastAsia="宋体"/>
                <w:lang w:eastAsia="zh-CN"/>
              </w:rPr>
              <w:t xml:space="preserve"> </w:t>
            </w:r>
            <w:r>
              <w:rPr>
                <w:rFonts w:hint="eastAsia" w:eastAsia="宋体"/>
                <w:bCs/>
                <w:lang w:eastAsia="zh-CN"/>
              </w:rPr>
              <w:t xml:space="preserve">and </w:t>
            </w:r>
            <w:r>
              <w:rPr>
                <w:rFonts w:hint="eastAsia" w:eastAsia="宋体"/>
                <w:bCs/>
                <w:i/>
                <w:iCs/>
                <w:lang w:eastAsia="zh-CN"/>
              </w:rPr>
              <w:t>T</w:t>
            </w:r>
            <w:r>
              <w:rPr>
                <w:rFonts w:hint="eastAsia" w:eastAsia="宋体"/>
                <w:bCs/>
                <w:i/>
                <w:iCs/>
                <w:vertAlign w:val="subscript"/>
                <w:lang w:eastAsia="zh-CN"/>
              </w:rPr>
              <w:t xml:space="preserve">S </w:t>
            </w:r>
            <w:r>
              <w:rPr>
                <w:rFonts w:hint="eastAsia"/>
                <w:lang w:eastAsia="zh-CN"/>
              </w:rPr>
              <w:t>are i</w:t>
            </w:r>
            <w:r>
              <w:rPr>
                <w:rFonts w:hint="eastAsia" w:eastAsia="宋体"/>
                <w:bCs/>
                <w:lang w:eastAsia="zh-CN"/>
              </w:rPr>
              <w:t xml:space="preserve">n the units of slot group. For example, if a slot group includes four slots (X=4), the duration </w:t>
            </w:r>
            <w:r>
              <w:rPr>
                <w:rFonts w:hint="eastAsia" w:eastAsia="宋体"/>
                <w:bCs/>
                <w:i/>
                <w:iCs/>
                <w:lang w:eastAsia="zh-CN"/>
              </w:rPr>
              <w:t>T</w:t>
            </w:r>
            <w:r>
              <w:rPr>
                <w:rFonts w:hint="eastAsia" w:eastAsia="宋体"/>
                <w:bCs/>
                <w:i/>
                <w:iCs/>
                <w:vertAlign w:val="subscript"/>
                <w:lang w:eastAsia="zh-CN"/>
              </w:rPr>
              <w:t>S</w:t>
            </w:r>
            <w:r>
              <w:rPr>
                <w:rFonts w:hint="eastAsia" w:eastAsia="宋体"/>
                <w:bCs/>
                <w:lang w:eastAsia="zh-CN"/>
              </w:rPr>
              <w:t xml:space="preserve"> can be configured as 4, 8, 12, 16, ... of slots. Alternatively, the duration </w:t>
            </w:r>
            <w:r>
              <w:rPr>
                <w:rFonts w:hint="eastAsia" w:eastAsia="宋体"/>
                <w:bCs/>
                <w:i/>
                <w:iCs/>
                <w:lang w:eastAsia="zh-CN"/>
              </w:rPr>
              <w:t>T</w:t>
            </w:r>
            <w:r>
              <w:rPr>
                <w:rFonts w:hint="eastAsia" w:eastAsia="宋体"/>
                <w:bCs/>
                <w:i/>
                <w:iCs/>
                <w:vertAlign w:val="subscript"/>
                <w:lang w:eastAsia="zh-CN"/>
              </w:rPr>
              <w:t>S</w:t>
            </w:r>
            <w:r>
              <w:rPr>
                <w:rFonts w:hint="eastAsia" w:eastAsia="宋体"/>
                <w:bCs/>
                <w:lang w:eastAsia="zh-CN"/>
              </w:rPr>
              <w:t xml:space="preserve"> can be configured as 1, 2, 3, 4, ... of slot groups, i.e. the basic granularity of the duration </w:t>
            </w:r>
            <w:r>
              <w:rPr>
                <w:rFonts w:hint="eastAsia" w:eastAsia="宋体"/>
                <w:bCs/>
                <w:i/>
                <w:iCs/>
                <w:lang w:eastAsia="zh-CN"/>
              </w:rPr>
              <w:t>T</w:t>
            </w:r>
            <w:r>
              <w:rPr>
                <w:rFonts w:hint="eastAsia" w:eastAsia="宋体"/>
                <w:bCs/>
                <w:i/>
                <w:iCs/>
                <w:vertAlign w:val="subscript"/>
                <w:lang w:eastAsia="zh-CN"/>
              </w:rPr>
              <w:t>S</w:t>
            </w:r>
            <w:r>
              <w:rPr>
                <w:rFonts w:hint="eastAsia" w:eastAsia="宋体"/>
                <w:bCs/>
                <w:lang w:eastAsia="zh-CN"/>
              </w:rPr>
              <w:t xml:space="preserve"> should be defined as a slot group. Figure 3 gives one configuration type in a slot group, e.g., PDCCH MO is configured in the first slot within the slot group.</w:t>
            </w:r>
          </w:p>
          <w:p>
            <w:pPr>
              <w:widowControl w:val="0"/>
              <w:jc w:val="both"/>
            </w:pPr>
            <w:r>
              <w:rPr>
                <w:lang w:eastAsia="ko-KR"/>
              </w:rPr>
              <w:drawing>
                <wp:inline distT="0" distB="0" distL="114300" distR="114300">
                  <wp:extent cx="5963285" cy="978535"/>
                  <wp:effectExtent l="0" t="0" r="18415" b="1206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6"/>
                          <a:stretch>
                            <a:fillRect/>
                          </a:stretch>
                        </pic:blipFill>
                        <pic:spPr>
                          <a:xfrm>
                            <a:off x="0" y="0"/>
                            <a:ext cx="5963285" cy="978535"/>
                          </a:xfrm>
                          <a:prstGeom prst="rect">
                            <a:avLst/>
                          </a:prstGeom>
                          <a:noFill/>
                          <a:ln>
                            <a:noFill/>
                          </a:ln>
                        </pic:spPr>
                      </pic:pic>
                    </a:graphicData>
                  </a:graphic>
                </wp:inline>
              </w:drawing>
            </w:r>
          </w:p>
          <w:p>
            <w:pPr>
              <w:widowControl w:val="0"/>
              <w:jc w:val="center"/>
              <w:rPr>
                <w:b/>
                <w:bCs/>
                <w:lang w:eastAsia="zh-CN"/>
              </w:rPr>
            </w:pPr>
            <w:r>
              <w:rPr>
                <w:rFonts w:hint="eastAsia" w:eastAsia="宋体"/>
                <w:b/>
                <w:bCs/>
                <w:lang w:eastAsia="zh-CN"/>
              </w:rPr>
              <w:t>Figure 3: Configurations if a fixed pattern of slot groups is supported</w:t>
            </w:r>
          </w:p>
          <w:p>
            <w:pPr>
              <w:widowControl w:val="0"/>
              <w:jc w:val="both"/>
              <w:rPr>
                <w:rFonts w:eastAsia="宋体"/>
                <w:bCs/>
                <w:lang w:eastAsia="zh-CN"/>
              </w:rPr>
            </w:pPr>
            <w:r>
              <w:rPr>
                <w:rFonts w:hint="eastAsia" w:eastAsia="宋体"/>
                <w:bCs/>
                <w:lang w:eastAsia="zh-CN"/>
              </w:rPr>
              <w:t>Multiple PDSCH/PUSCH scheduling with a single DCI being discussed in agenda item 8.2.5 can not only save DCI overhead, but also reduce PDCCH monitoring frequency without sacrificing scheduling flexibility. Therefore, the design of the new UE capability for PDCCH monitoring, search space set configuration can be considered in combination with multiple PDSCH/PUSCH scheduling by a single DCI.</w:t>
            </w:r>
          </w:p>
          <w:p>
            <w:pPr>
              <w:widowControl w:val="0"/>
              <w:spacing w:after="0" w:line="240" w:lineRule="auto"/>
              <w:jc w:val="both"/>
              <w:rPr>
                <w:b/>
                <w:lang w:eastAsia="zh-CN"/>
              </w:rPr>
            </w:pPr>
            <w:r>
              <w:rPr>
                <w:rFonts w:hint="eastAsia" w:eastAsia="宋体"/>
                <w:b/>
                <w:lang w:eastAsia="zh-CN"/>
              </w:rPr>
              <w:t xml:space="preserve">Proposal </w:t>
            </w:r>
            <w:r>
              <w:rPr>
                <w:rFonts w:eastAsia="宋体"/>
                <w:b/>
                <w:lang w:eastAsia="zh-CN"/>
              </w:rPr>
              <w:t>2</w:t>
            </w:r>
            <w:r>
              <w:rPr>
                <w:rFonts w:hint="eastAsia" w:eastAsia="宋体"/>
                <w:b/>
                <w:lang w:eastAsia="zh-CN"/>
              </w:rPr>
              <w:t xml:space="preserve">: </w:t>
            </w:r>
            <w:r>
              <w:rPr>
                <w:b/>
              </w:rPr>
              <w:t xml:space="preserve">PDCCH monitoring periodicity </w:t>
            </w:r>
            <m:oMath>
              <m:sSub>
                <m:sSubPr>
                  <m:ctrlPr>
                    <w:rPr>
                      <w:rFonts w:ascii="Cambria Math" w:hAnsi="Cambria Math"/>
                      <w:b/>
                      <w:i/>
                    </w:rPr>
                  </m:ctrlPr>
                </m:sSubPr>
                <m:e>
                  <m:r>
                    <m:rPr>
                      <m:sty m:val="bi"/>
                    </m:rPr>
                    <w:rPr>
                      <w:rFonts w:ascii="Cambria Math" w:hAnsi="Cambria Math"/>
                    </w:rPr>
                    <m:t>k</m:t>
                  </m:r>
                  <m:ctrlPr>
                    <w:rPr>
                      <w:rFonts w:ascii="Cambria Math" w:hAnsi="Cambria Math"/>
                      <w:b/>
                      <w:i/>
                    </w:rPr>
                  </m:ctrlPr>
                </m:e>
                <m:sub>
                  <m:r>
                    <m:rPr>
                      <m:sty m:val="bi"/>
                    </m:rPr>
                    <w:rPr>
                      <w:rFonts w:ascii="Cambria Math" w:hAnsi="Cambria Math"/>
                    </w:rPr>
                    <m:t>s</m:t>
                  </m:r>
                  <m:ctrlPr>
                    <w:rPr>
                      <w:rFonts w:ascii="Cambria Math" w:hAnsi="Cambria Math"/>
                      <w:b/>
                      <w:i/>
                    </w:rPr>
                  </m:ctrlPr>
                </m:sub>
              </m:sSub>
            </m:oMath>
            <w:r>
              <w:rPr>
                <w:b/>
              </w:rPr>
              <w:t xml:space="preserve"> </w:t>
            </w:r>
            <w:r>
              <w:rPr>
                <w:rFonts w:hint="eastAsia" w:eastAsia="宋体"/>
                <w:b/>
                <w:lang w:eastAsia="zh-CN"/>
              </w:rPr>
              <w:t xml:space="preserve">and the duration </w:t>
            </w:r>
            <w:r>
              <w:rPr>
                <w:rFonts w:hint="eastAsia" w:eastAsia="宋体"/>
                <w:b/>
                <w:i/>
                <w:iCs/>
                <w:lang w:eastAsia="zh-CN"/>
              </w:rPr>
              <w:t>T</w:t>
            </w:r>
            <w:r>
              <w:rPr>
                <w:rFonts w:hint="eastAsia" w:eastAsia="宋体"/>
                <w:b/>
                <w:i/>
                <w:iCs/>
                <w:vertAlign w:val="subscript"/>
                <w:lang w:eastAsia="zh-CN"/>
              </w:rPr>
              <w:t>S</w:t>
            </w:r>
            <w:r>
              <w:rPr>
                <w:rFonts w:hint="eastAsia"/>
                <w:b/>
                <w:lang w:eastAsia="zh-CN"/>
              </w:rPr>
              <w:t xml:space="preserve"> of the </w:t>
            </w:r>
            <w:r>
              <w:rPr>
                <w:rFonts w:hint="eastAsia" w:eastAsia="宋体"/>
                <w:b/>
                <w:lang w:eastAsia="zh-CN"/>
              </w:rPr>
              <w:t xml:space="preserve">search space sets </w:t>
            </w:r>
            <w:r>
              <w:rPr>
                <w:rFonts w:hint="eastAsia"/>
                <w:b/>
                <w:lang w:eastAsia="zh-CN"/>
              </w:rPr>
              <w:t xml:space="preserve">should be configured as an integral multiple of a slot group, if </w:t>
            </w:r>
            <w:r>
              <w:rPr>
                <w:rFonts w:hint="eastAsia" w:eastAsia="宋体"/>
                <w:b/>
                <w:lang w:eastAsia="zh-CN"/>
              </w:rPr>
              <w:t>a fixed pattern of slot groups to define the new capability for PDCCH monitoring is supported.</w:t>
            </w:r>
          </w:p>
          <w:p>
            <w:pPr>
              <w:widowControl w:val="0"/>
              <w:spacing w:after="0" w:line="240" w:lineRule="auto"/>
              <w:jc w:val="both"/>
              <w:rPr>
                <w:b/>
                <w:lang w:eastAsia="zh-CN"/>
              </w:rPr>
            </w:pPr>
          </w:p>
          <w:p>
            <w:pPr>
              <w:widowControl w:val="0"/>
              <w:jc w:val="both"/>
              <w:rPr>
                <w:lang w:eastAsia="zh-CN"/>
              </w:rPr>
            </w:pPr>
            <w:r>
              <w:rPr>
                <w:lang w:eastAsia="zh-CN"/>
              </w:rPr>
              <w:t>Search Space Set Group</w:t>
            </w:r>
            <w:r>
              <w:rPr>
                <w:rFonts w:hint="eastAsia"/>
                <w:lang w:eastAsia="zh-CN"/>
              </w:rPr>
              <w:t xml:space="preserve"> (SSSG)</w:t>
            </w:r>
            <w:r>
              <w:rPr>
                <w:lang w:eastAsia="zh-CN"/>
              </w:rPr>
              <w:t xml:space="preserve"> Switching was introduced in Rel-16 NR-U.</w:t>
            </w:r>
            <w:r>
              <w:rPr>
                <w:rFonts w:hint="eastAsia"/>
                <w:lang w:eastAsia="zh-CN"/>
              </w:rPr>
              <w:t xml:space="preserve"> In order to reduce access delay and save power, the SSSG monitoring periodicity/granularity is increased or decreased according to the channel access procedure. UE has to support </w:t>
            </w:r>
            <w:r>
              <w:rPr>
                <w:lang w:eastAsia="zh-CN"/>
              </w:rPr>
              <w:t>frequen</w:t>
            </w:r>
            <w:r>
              <w:rPr>
                <w:rFonts w:hint="eastAsia"/>
                <w:lang w:eastAsia="zh-CN"/>
              </w:rPr>
              <w:t xml:space="preserve">t PDCCH monitoring outside gNB-COT and infrequent PDCCH monitoring inside COT. The existing </w:t>
            </w:r>
            <w:r>
              <w:rPr>
                <w:lang w:eastAsia="zh-CN"/>
              </w:rPr>
              <w:t>SSSG switching</w:t>
            </w:r>
            <w:r>
              <w:rPr>
                <w:rFonts w:hint="eastAsia"/>
                <w:lang w:eastAsia="zh-CN"/>
              </w:rPr>
              <w:t xml:space="preserve"> is applied for SCS 15/30/60 kHz, for SSSG switching on large SCS values like 120, 480 and 960 kHz, UE need</w:t>
            </w:r>
            <w:r>
              <w:rPr>
                <w:lang w:eastAsia="zh-CN"/>
              </w:rPr>
              <w:t>s</w:t>
            </w:r>
            <w:r>
              <w:rPr>
                <w:rFonts w:hint="eastAsia"/>
                <w:lang w:eastAsia="zh-CN"/>
              </w:rPr>
              <w:t xml:space="preserve"> to dynamically change between two PDCCH monitoring periodicity/granularity. SSS switching operation is also related to whether per slot PDCCH monitoring is supported. Besides, the switching time </w:t>
            </w:r>
            <m:oMath>
              <m:sSub>
                <m:sSubPr>
                  <m:ctrlPr>
                    <w:rPr>
                      <w:rFonts w:ascii="Cambria Math" w:hAnsi="Cambria Math"/>
                      <w:i/>
                    </w:rPr>
                  </m:ctrlPr>
                </m:sSubPr>
                <m:e>
                  <m:r>
                    <w:rPr>
                      <w:rFonts w:ascii="Cambria Math" w:hAnsi="Cambria Math"/>
                    </w:rPr>
                    <m:t>P</m:t>
                  </m:r>
                  <m:ctrlPr>
                    <w:rPr>
                      <w:rFonts w:ascii="Cambria Math" w:hAnsi="Cambria Math"/>
                      <w:i/>
                    </w:rPr>
                  </m:ctrlPr>
                </m:e>
                <m:sub>
                  <m:r>
                    <w:rPr>
                      <w:rFonts w:ascii="Cambria Math" w:hAnsi="Cambria Math"/>
                    </w:rPr>
                    <m:t>switch</m:t>
                  </m:r>
                  <m:ctrlPr>
                    <w:rPr>
                      <w:rFonts w:ascii="Cambria Math" w:hAnsi="Cambria Math"/>
                      <w:i/>
                    </w:rPr>
                  </m:ctrlPr>
                </m:sub>
              </m:sSub>
            </m:oMath>
            <w:r>
              <w:t xml:space="preserve"> </w:t>
            </w:r>
            <w:r>
              <w:rPr>
                <w:rFonts w:hint="eastAsia"/>
                <w:lang w:eastAsia="zh-CN"/>
              </w:rPr>
              <w:t xml:space="preserve"> with all SCSs supported in above 52.6 GHz needs to be defined if SSSG switching is agreed to be supported. </w:t>
            </w:r>
          </w:p>
          <w:p>
            <w:pPr>
              <w:widowControl w:val="0"/>
              <w:spacing w:before="200" w:after="60" w:line="260" w:lineRule="auto"/>
              <w:jc w:val="both"/>
              <w:rPr>
                <w:rFonts w:eastAsia="宋体"/>
                <w:b/>
                <w:lang w:eastAsia="zh-CN"/>
              </w:rPr>
            </w:pPr>
            <w:r>
              <w:rPr>
                <w:rFonts w:hint="eastAsia" w:eastAsia="宋体"/>
                <w:b/>
                <w:lang w:eastAsia="zh-CN"/>
              </w:rPr>
              <w:t xml:space="preserve">Proposal </w:t>
            </w:r>
            <w:r>
              <w:rPr>
                <w:rFonts w:eastAsia="宋体"/>
                <w:b/>
                <w:lang w:eastAsia="zh-CN"/>
              </w:rPr>
              <w:t>3</w:t>
            </w:r>
            <w:r>
              <w:rPr>
                <w:rFonts w:hint="eastAsia" w:eastAsia="宋体"/>
                <w:b/>
                <w:lang w:eastAsia="zh-CN"/>
              </w:rPr>
              <w:t>: Support SSSG switching for SCS 120/480/960 kHz, and the following points can be further studied:</w:t>
            </w:r>
          </w:p>
          <w:p>
            <w:pPr>
              <w:widowControl w:val="0"/>
              <w:numPr>
                <w:ilvl w:val="0"/>
                <w:numId w:val="21"/>
              </w:numPr>
              <w:autoSpaceDE/>
              <w:autoSpaceDN/>
              <w:adjustRightInd/>
              <w:snapToGrid/>
              <w:spacing w:after="40" w:line="240" w:lineRule="auto"/>
              <w:ind w:left="1260"/>
              <w:jc w:val="both"/>
              <w:rPr>
                <w:rFonts w:eastAsia="宋体"/>
                <w:b/>
                <w:lang w:eastAsia="zh-CN"/>
              </w:rPr>
            </w:pPr>
            <w:r>
              <w:rPr>
                <w:rFonts w:hint="eastAsia" w:eastAsia="宋体"/>
                <w:b/>
                <w:lang w:eastAsia="zh-CN"/>
              </w:rPr>
              <w:t>SSSG switching between two different periodicities of multi-slot PDCCH monitoring or between multi-slot and per-slot monitoring if per-slot monitoring is supported for 480/960 kHz</w:t>
            </w:r>
          </w:p>
          <w:p>
            <w:pPr>
              <w:widowControl w:val="0"/>
              <w:numPr>
                <w:ilvl w:val="0"/>
                <w:numId w:val="21"/>
              </w:numPr>
              <w:autoSpaceDE/>
              <w:autoSpaceDN/>
              <w:adjustRightInd/>
              <w:snapToGrid/>
              <w:spacing w:after="40" w:line="240" w:lineRule="auto"/>
              <w:ind w:left="1260"/>
              <w:jc w:val="both"/>
              <w:rPr>
                <w:rFonts w:eastAsia="宋体"/>
                <w:b/>
                <w:bCs/>
                <w:lang w:eastAsia="zh-CN"/>
              </w:rPr>
            </w:pPr>
            <w:r>
              <w:rPr>
                <w:b/>
                <w:bCs/>
                <w:lang w:eastAsia="zh-CN"/>
              </w:rPr>
              <w:t xml:space="preserve">The switching time </w:t>
            </w:r>
            <m:oMath>
              <m:sSub>
                <m:sSubPr>
                  <m:ctrlPr>
                    <w:rPr>
                      <w:rFonts w:ascii="Cambria Math" w:hAnsi="Cambria Math"/>
                      <w:b/>
                      <w:bCs/>
                      <w:i/>
                    </w:rPr>
                  </m:ctrlPr>
                </m:sSubPr>
                <m:e>
                  <m:r>
                    <m:rPr>
                      <m:sty m:val="bi"/>
                    </m:rPr>
                    <w:rPr>
                      <w:rFonts w:ascii="Cambria Math" w:hAnsi="Cambria Math"/>
                    </w:rPr>
                    <m:t>P</m:t>
                  </m:r>
                  <m:ctrlPr>
                    <w:rPr>
                      <w:rFonts w:ascii="Cambria Math" w:hAnsi="Cambria Math"/>
                      <w:b/>
                      <w:bCs/>
                      <w:i/>
                    </w:rPr>
                  </m:ctrlPr>
                </m:e>
                <m:sub>
                  <m:r>
                    <m:rPr>
                      <m:sty m:val="bi"/>
                    </m:rPr>
                    <w:rPr>
                      <w:rFonts w:ascii="Cambria Math" w:hAnsi="Cambria Math"/>
                    </w:rPr>
                    <m:t>switch</m:t>
                  </m:r>
                  <m:ctrlPr>
                    <w:rPr>
                      <w:rFonts w:ascii="Cambria Math" w:hAnsi="Cambria Math"/>
                      <w:b/>
                      <w:bCs/>
                      <w:i/>
                    </w:rPr>
                  </m:ctrlPr>
                </m:sub>
              </m:sSub>
            </m:oMath>
            <w:r>
              <w:rPr>
                <w:b/>
                <w:bCs/>
              </w:rPr>
              <w:t xml:space="preserve"> </w:t>
            </w:r>
            <w:r>
              <w:rPr>
                <w:b/>
                <w:bCs/>
                <w:lang w:eastAsia="zh-CN"/>
              </w:rPr>
              <w:t xml:space="preserve"> with all SCSs supported in above 52.6 GHz</w:t>
            </w:r>
          </w:p>
          <w:p>
            <w:pPr>
              <w:widowControl w:val="0"/>
              <w:spacing w:after="0" w:line="240" w:lineRule="auto"/>
              <w:jc w:val="both"/>
              <w:rPr>
                <w:b/>
                <w:lang w:eastAsia="zh-CN"/>
              </w:rPr>
            </w:pPr>
          </w:p>
        </w:tc>
      </w:tr>
    </w:tbl>
    <w:p>
      <w:pPr>
        <w:rPr>
          <w:lang w:eastAsia="zh-CN"/>
        </w:rPr>
      </w:pPr>
    </w:p>
    <w:p>
      <w:pPr>
        <w:pStyle w:val="4"/>
        <w:jc w:val="both"/>
        <w:rPr>
          <w:lang w:val="en-GB" w:eastAsia="zh-CN"/>
        </w:rPr>
      </w:pPr>
      <w:r>
        <w:rPr>
          <w:lang w:val="en-GB" w:eastAsia="zh-CN"/>
        </w:rPr>
        <w:t>R1-2108960 (vivo)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spacing w:before="120"/>
              <w:jc w:val="both"/>
              <w:rPr>
                <w:szCs w:val="20"/>
                <w:lang w:eastAsia="zh-CN"/>
              </w:rPr>
            </w:pPr>
            <w:r>
              <w:rPr>
                <w:rFonts w:hint="eastAsia"/>
                <w:szCs w:val="20"/>
                <w:lang w:eastAsia="zh-CN"/>
              </w:rPr>
              <w:t>I</w:t>
            </w:r>
            <w:r>
              <w:rPr>
                <w:szCs w:val="20"/>
                <w:lang w:eastAsia="zh-CN"/>
              </w:rPr>
              <w:t xml:space="preserve">n NR Rel-15&amp;16, the allowed SS period configuration is from 1 slot to 2560 slots as shown below </w:t>
            </w:r>
            <w:r>
              <w:rPr>
                <w:szCs w:val="20"/>
                <w:lang w:eastAsia="zh-CN"/>
              </w:rPr>
              <w:fldChar w:fldCharType="begin"/>
            </w:r>
            <w:r>
              <w:rPr>
                <w:szCs w:val="20"/>
                <w:lang w:eastAsia="zh-CN"/>
              </w:rPr>
              <w:instrText xml:space="preserve"> REF _Ref68104598 \r \h </w:instrText>
            </w:r>
            <w:r>
              <w:rPr>
                <w:szCs w:val="20"/>
                <w:lang w:eastAsia="zh-CN"/>
              </w:rPr>
              <w:fldChar w:fldCharType="separate"/>
            </w:r>
            <w:r>
              <w:rPr>
                <w:szCs w:val="20"/>
                <w:lang w:eastAsia="zh-CN"/>
              </w:rPr>
              <w:t>[8]</w:t>
            </w:r>
            <w:r>
              <w:rPr>
                <w:szCs w:val="20"/>
                <w:lang w:eastAsia="zh-CN"/>
              </w:rPr>
              <w:fldChar w:fldCharType="end"/>
            </w:r>
            <w:r>
              <w:rPr>
                <w:szCs w:val="20"/>
                <w:lang w:eastAsia="zh-CN"/>
              </w:rPr>
              <w:t>. When PDCCH uses 480/960K SCS, there are the following two issues to be considered:</w:t>
            </w:r>
          </w:p>
          <w:p>
            <w:pPr>
              <w:pStyle w:val="73"/>
              <w:widowControl w:val="0"/>
              <w:numPr>
                <w:ilvl w:val="0"/>
                <w:numId w:val="57"/>
              </w:numPr>
              <w:snapToGrid/>
              <w:spacing w:before="120" w:after="120" w:line="240" w:lineRule="auto"/>
              <w:jc w:val="both"/>
              <w:rPr>
                <w:rFonts w:ascii="Times New Roman" w:hAnsi="Times New Roman"/>
                <w:sz w:val="20"/>
                <w:szCs w:val="20"/>
              </w:rPr>
            </w:pPr>
            <w:r>
              <w:rPr>
                <w:rFonts w:hint="eastAsia" w:ascii="Times New Roman" w:hAnsi="Times New Roman"/>
                <w:sz w:val="20"/>
                <w:szCs w:val="20"/>
              </w:rPr>
              <w:t>S</w:t>
            </w:r>
            <w:r>
              <w:rPr>
                <w:rFonts w:ascii="Times New Roman" w:hAnsi="Times New Roman"/>
                <w:sz w:val="20"/>
                <w:szCs w:val="20"/>
              </w:rPr>
              <w:t>maller SS period (e.g. 1 or 2 slots) is not needed for 480/960K SCS with multi-slot-based capability;</w:t>
            </w:r>
          </w:p>
          <w:p>
            <w:pPr>
              <w:pStyle w:val="73"/>
              <w:widowControl w:val="0"/>
              <w:numPr>
                <w:ilvl w:val="0"/>
                <w:numId w:val="57"/>
              </w:numPr>
              <w:snapToGrid/>
              <w:spacing w:before="120" w:after="120" w:line="240" w:lineRule="auto"/>
              <w:jc w:val="both"/>
              <w:rPr>
                <w:rFonts w:ascii="Times New Roman" w:hAnsi="Times New Roman"/>
                <w:sz w:val="20"/>
                <w:szCs w:val="20"/>
              </w:rPr>
            </w:pPr>
            <w:r>
              <w:rPr>
                <w:rFonts w:hint="eastAsia" w:ascii="Times New Roman" w:hAnsi="Times New Roman"/>
                <w:sz w:val="20"/>
                <w:szCs w:val="20"/>
              </w:rPr>
              <w:t>T</w:t>
            </w:r>
            <w:r>
              <w:rPr>
                <w:rFonts w:ascii="Times New Roman" w:hAnsi="Times New Roman"/>
                <w:sz w:val="20"/>
                <w:szCs w:val="20"/>
              </w:rPr>
              <w:t>he largest configurable SS period, i.e. 2560 slots=80/40ms for 480/960K SCS respectively, is not enough for SS configuration.</w:t>
            </w:r>
          </w:p>
          <w:p>
            <w:pPr>
              <w:widowControl w:val="0"/>
              <w:spacing w:before="120"/>
              <w:jc w:val="center"/>
              <w:rPr>
                <w:szCs w:val="20"/>
                <w:lang w:eastAsia="zh-CN"/>
              </w:rPr>
            </w:pPr>
            <w:r>
              <w:rPr>
                <w:lang w:eastAsia="ko-KR"/>
              </w:rPr>
              <w:drawing>
                <wp:inline distT="0" distB="0" distL="0" distR="0">
                  <wp:extent cx="4946650" cy="2734310"/>
                  <wp:effectExtent l="0" t="0" r="6350" b="889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7"/>
                          <a:stretch>
                            <a:fillRect/>
                          </a:stretch>
                        </pic:blipFill>
                        <pic:spPr>
                          <a:xfrm>
                            <a:off x="0" y="0"/>
                            <a:ext cx="4963464" cy="2743471"/>
                          </a:xfrm>
                          <a:prstGeom prst="rect">
                            <a:avLst/>
                          </a:prstGeom>
                        </pic:spPr>
                      </pic:pic>
                    </a:graphicData>
                  </a:graphic>
                </wp:inline>
              </w:drawing>
            </w:r>
          </w:p>
          <w:p>
            <w:pPr>
              <w:widowControl w:val="0"/>
              <w:spacing w:before="120"/>
              <w:jc w:val="both"/>
              <w:rPr>
                <w:b/>
              </w:rPr>
            </w:pPr>
            <w:bookmarkStart w:id="77" w:name="_Ref68103537"/>
            <w:r>
              <w:rPr>
                <w:b/>
              </w:rPr>
              <w:t xml:space="preserve">Proposal </w:t>
            </w:r>
            <w:r>
              <w:rPr>
                <w:b/>
              </w:rPr>
              <w:fldChar w:fldCharType="begin"/>
            </w:r>
            <w:r>
              <w:rPr>
                <w:b/>
              </w:rPr>
              <w:instrText xml:space="preserve"> SEQ Proposal \* ARABIC </w:instrText>
            </w:r>
            <w:r>
              <w:rPr>
                <w:b/>
              </w:rPr>
              <w:fldChar w:fldCharType="separate"/>
            </w:r>
            <w:r>
              <w:rPr>
                <w:b/>
              </w:rPr>
              <w:t>8</w:t>
            </w:r>
            <w:r>
              <w:rPr>
                <w:b/>
              </w:rPr>
              <w:fldChar w:fldCharType="end"/>
            </w:r>
            <w:r>
              <w:rPr>
                <w:b/>
              </w:rPr>
              <w:t>: Search space configuration should be improved for 480K/960K SCS.</w:t>
            </w:r>
            <w:bookmarkEnd w:id="77"/>
          </w:p>
          <w:p>
            <w:pPr>
              <w:widowControl w:val="0"/>
              <w:spacing w:before="120"/>
              <w:jc w:val="both"/>
              <w:rPr>
                <w:b/>
              </w:rPr>
            </w:pPr>
          </w:p>
        </w:tc>
      </w:tr>
    </w:tbl>
    <w:p>
      <w:pPr>
        <w:rPr>
          <w:lang w:eastAsia="zh-CN"/>
        </w:rPr>
      </w:pPr>
    </w:p>
    <w:p>
      <w:pPr>
        <w:pStyle w:val="4"/>
        <w:jc w:val="both"/>
        <w:rPr>
          <w:lang w:val="en-GB" w:eastAsia="zh-CN"/>
        </w:rPr>
      </w:pPr>
      <w:r>
        <w:rPr>
          <w:lang w:val="en-GB" w:eastAsia="zh-CN"/>
        </w:rPr>
        <w:t>R1-2109117 (NEC)</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lang w:val="en-GB"/>
              </w:rPr>
            </w:pPr>
            <w:r>
              <w:rPr>
                <w:lang w:val="en-GB"/>
              </w:rPr>
              <w:t xml:space="preserve">For operation in unlicensed band beyond 52.6GHz, in our understanding, the current SSSG switching can be reused for 120 kHz SCS, since it has been concluded: </w:t>
            </w:r>
            <w:r>
              <w:rPr>
                <w:lang w:eastAsia="zh-CN"/>
              </w:rPr>
              <w:t xml:space="preserve">for 120 kHz SCS, no multi-slot UE capability for PDCCH monitoring is needed. So </w:t>
            </w:r>
            <w:r>
              <w:rPr>
                <w:lang w:val="en-GB"/>
              </w:rPr>
              <w:t>the monitoring capability before and after the switch is the same, both are per-slot based. While for 480 kHz and 960 kHz SCS, PDCCH monitoring capability may be changed along with SSSG switching, e.g. there are 2 configured SSSG, the first search space set defines PDCCH is monitored per 2-slots, and the second set defines PDCCH is monitored per 4-slots, the monitoring time unit and capability is different before and after the switching. If this scenario is supported, how to adapt it to R16 SSSG switching needs to be discussed.</w:t>
            </w:r>
          </w:p>
          <w:p>
            <w:pPr>
              <w:widowControl w:val="0"/>
              <w:jc w:val="both"/>
              <w:rPr>
                <w:b/>
                <w:lang w:val="en-GB"/>
              </w:rPr>
            </w:pPr>
            <w:r>
              <w:rPr>
                <w:b/>
                <w:lang w:val="en-GB"/>
              </w:rPr>
              <w:t>Proposal 3: For operation in unlicensed band with 480 kHz and 960 kHz SCS, consider whether/how to support SSSG switching along with changing different PDCCH monitoring capability.</w:t>
            </w:r>
          </w:p>
          <w:p>
            <w:pPr>
              <w:widowControl w:val="0"/>
              <w:jc w:val="both"/>
              <w:rPr>
                <w:lang w:val="en-GB"/>
              </w:rPr>
            </w:pPr>
          </w:p>
          <w:p>
            <w:pPr>
              <w:widowControl w:val="0"/>
              <w:jc w:val="both"/>
              <w:rPr>
                <w:lang w:val="en-GB"/>
              </w:rPr>
            </w:pPr>
            <w:r>
              <w:rPr>
                <w:rFonts w:hint="eastAsia"/>
                <w:lang w:val="en-GB" w:eastAsia="zh-CN"/>
              </w:rPr>
              <w:t>A</w:t>
            </w:r>
            <w:r>
              <w:rPr>
                <w:lang w:val="en-GB" w:eastAsia="zh-CN"/>
              </w:rPr>
              <w:t xml:space="preserve">s mentioned in [4], in R16, </w:t>
            </w:r>
            <w:r>
              <w:t xml:space="preserve">the switching boundary is the first slot that is at least </w:t>
            </w:r>
            <m:oMath>
              <m:sSub>
                <m:sSubPr>
                  <m:ctrlPr>
                    <w:rPr>
                      <w:rFonts w:ascii="Cambria Math" w:hAnsi="Cambria Math"/>
                    </w:rPr>
                  </m:ctrlPr>
                </m:sSubPr>
                <m:e>
                  <m:r>
                    <w:rPr>
                      <w:rFonts w:ascii="Cambria Math" w:hAnsi="Cambria Math"/>
                    </w:rPr>
                    <m:t>P</m:t>
                  </m:r>
                  <m:ctrlPr>
                    <w:rPr>
                      <w:rFonts w:ascii="Cambria Math" w:hAnsi="Cambria Math"/>
                    </w:rPr>
                  </m:ctrlPr>
                </m:e>
                <m:sub>
                  <m:r>
                    <w:rPr>
                      <w:rFonts w:ascii="Cambria Math" w:hAnsi="Cambria Math"/>
                    </w:rPr>
                    <m:t>switch</m:t>
                  </m:r>
                  <m:ctrlPr>
                    <w:rPr>
                      <w:rFonts w:ascii="Cambria Math" w:hAnsi="Cambria Math"/>
                    </w:rPr>
                  </m:ctrlPr>
                </m:sub>
              </m:sSub>
            </m:oMath>
            <w:r>
              <w:t xml:space="preserve"> symbols after some switch indication and the timer decrement value is counted by slot. </w:t>
            </w:r>
            <w:r>
              <w:rPr>
                <w:lang w:val="en-GB"/>
              </w:rPr>
              <w:t xml:space="preserve">For 480 kHz and 960 kHz SCS, PDCCH monitoring capability is </w:t>
            </w:r>
            <w:r>
              <w:t xml:space="preserve">multi-slot </w:t>
            </w:r>
            <w:r>
              <w:rPr>
                <w:lang w:val="en-GB"/>
              </w:rPr>
              <w:t xml:space="preserve">based, </w:t>
            </w:r>
            <w:r>
              <w:t xml:space="preserve">e.g. 4 slots for 480 kHz SCS and 8 slots for 960 kHz SCS, the switching boundary and the timer counter should be modified to multi-slot </w:t>
            </w:r>
            <w:r>
              <w:rPr>
                <w:lang w:val="en-GB"/>
              </w:rPr>
              <w:t>based accordingly.</w:t>
            </w:r>
          </w:p>
          <w:p>
            <w:pPr>
              <w:widowControl w:val="0"/>
              <w:jc w:val="both"/>
              <w:rPr>
                <w:b/>
                <w:lang w:val="en-GB"/>
              </w:rPr>
            </w:pPr>
            <w:r>
              <w:rPr>
                <w:b/>
                <w:lang w:val="en-GB"/>
              </w:rPr>
              <w:t>Proposal 4: For operation in unlicensed band with 480 kHz and 960 kHz SCS, the switching boundary and the timer counter should be modified to slot group based.</w:t>
            </w:r>
          </w:p>
          <w:p>
            <w:pPr>
              <w:widowControl w:val="0"/>
              <w:jc w:val="both"/>
              <w:rPr>
                <w:lang w:val="en-GB"/>
              </w:rPr>
            </w:pPr>
          </w:p>
          <w:p>
            <w:pPr>
              <w:pStyle w:val="30"/>
              <w:widowControl w:val="0"/>
              <w:spacing w:after="0"/>
              <w:rPr>
                <w:rFonts w:eastAsia="Times New Roman"/>
                <w:sz w:val="22"/>
                <w:szCs w:val="22"/>
                <w:lang w:val="en-GB"/>
              </w:rPr>
            </w:pPr>
            <w:r>
              <w:rPr>
                <w:rFonts w:eastAsia="Times New Roman"/>
                <w:sz w:val="22"/>
                <w:szCs w:val="22"/>
                <w:lang w:val="en-GB"/>
              </w:rPr>
              <w:t>Currently,</w:t>
            </w:r>
            <m:oMath>
              <m:sSub>
                <m:sSubPr>
                  <m:ctrlPr>
                    <w:rPr>
                      <w:rFonts w:ascii="Cambria Math" w:hAnsi="Cambria Math" w:eastAsia="Times New Roman"/>
                      <w:sz w:val="22"/>
                      <w:szCs w:val="22"/>
                      <w:lang w:val="en-GB"/>
                    </w:rPr>
                  </m:ctrlPr>
                </m:sSubPr>
                <m:e>
                  <m:r>
                    <m:rPr>
                      <m:sty m:val="p"/>
                    </m:rPr>
                    <w:rPr>
                      <w:rFonts w:ascii="Cambria Math" w:hAnsi="Cambria Math" w:eastAsia="Times New Roman"/>
                      <w:sz w:val="22"/>
                      <w:szCs w:val="22"/>
                      <w:lang w:val="en-GB"/>
                    </w:rPr>
                    <m:t xml:space="preserve"> </m:t>
                  </m:r>
                  <m:r>
                    <w:rPr>
                      <w:rFonts w:ascii="Cambria Math" w:hAnsi="Cambria Math" w:eastAsia="Times New Roman"/>
                      <w:sz w:val="22"/>
                      <w:szCs w:val="22"/>
                      <w:lang w:val="en-GB"/>
                    </w:rPr>
                    <m:t>P</m:t>
                  </m:r>
                  <m:ctrlPr>
                    <w:rPr>
                      <w:rFonts w:ascii="Cambria Math" w:hAnsi="Cambria Math" w:eastAsia="Times New Roman"/>
                      <w:sz w:val="22"/>
                      <w:szCs w:val="22"/>
                      <w:lang w:val="en-GB"/>
                    </w:rPr>
                  </m:ctrlPr>
                </m:e>
                <m:sub>
                  <m:r>
                    <w:rPr>
                      <w:rFonts w:ascii="Cambria Math" w:hAnsi="Cambria Math" w:eastAsia="Times New Roman"/>
                      <w:sz w:val="22"/>
                      <w:szCs w:val="22"/>
                      <w:lang w:val="en-GB"/>
                    </w:rPr>
                    <m:t>switch</m:t>
                  </m:r>
                  <m:ctrlPr>
                    <w:rPr>
                      <w:rFonts w:ascii="Cambria Math" w:hAnsi="Cambria Math" w:eastAsia="Times New Roman"/>
                      <w:sz w:val="22"/>
                      <w:szCs w:val="22"/>
                      <w:lang w:val="en-GB"/>
                    </w:rPr>
                  </m:ctrlPr>
                </m:sub>
              </m:sSub>
            </m:oMath>
            <w:r>
              <w:rPr>
                <w:rFonts w:eastAsia="Times New Roman"/>
                <w:sz w:val="22"/>
                <w:szCs w:val="22"/>
                <w:lang w:val="en-GB"/>
              </w:rPr>
              <w:t xml:space="preserve">, which means the SSSG switching time, is defined for SCS configuration </w:t>
            </w:r>
            <m:oMath>
              <m:r>
                <m:rPr>
                  <m:sty m:val="p"/>
                </m:rPr>
                <w:rPr>
                  <w:rFonts w:ascii="Cambria Math" w:hAnsi="Cambria Math" w:eastAsia="Times New Roman"/>
                  <w:sz w:val="22"/>
                  <w:szCs w:val="22"/>
                  <w:lang w:val="en-GB"/>
                </w:rPr>
                <w:br w:type="textWrapping"/>
              </m:r>
            </m:oMath>
            <m:oMath>
              <m:r>
                <w:rPr>
                  <w:rFonts w:ascii="Cambria Math" w:hAnsi="Cambria Math" w:eastAsia="Times New Roman"/>
                  <w:sz w:val="22"/>
                  <w:szCs w:val="22"/>
                  <w:lang w:val="en-GB"/>
                </w:rPr>
                <m:t>μ</m:t>
              </m:r>
            </m:oMath>
            <w:r>
              <w:rPr>
                <w:rFonts w:eastAsia="Times New Roman"/>
                <w:sz w:val="22"/>
                <w:szCs w:val="22"/>
                <w:lang w:val="en-GB"/>
              </w:rPr>
              <w:t xml:space="preserve"> = 0,1,2. For new SCSs adopted beyond 52.6GHz, to operate in unlicensed band, SSSG switching time </w:t>
            </w:r>
            <m:oMath>
              <m:sSub>
                <m:sSubPr>
                  <m:ctrlPr>
                    <w:rPr>
                      <w:rFonts w:ascii="Cambria Math" w:hAnsi="Cambria Math" w:eastAsia="Times New Roman"/>
                      <w:sz w:val="22"/>
                      <w:szCs w:val="22"/>
                      <w:lang w:val="en-GB"/>
                    </w:rPr>
                  </m:ctrlPr>
                </m:sSubPr>
                <m:e>
                  <m:r>
                    <m:rPr>
                      <m:sty m:val="p"/>
                    </m:rPr>
                    <w:rPr>
                      <w:rFonts w:ascii="Cambria Math" w:hAnsi="Cambria Math" w:eastAsia="Times New Roman"/>
                      <w:sz w:val="22"/>
                      <w:szCs w:val="22"/>
                      <w:lang w:val="en-GB"/>
                    </w:rPr>
                    <m:t xml:space="preserve"> </m:t>
                  </m:r>
                  <m:r>
                    <w:rPr>
                      <w:rFonts w:ascii="Cambria Math" w:hAnsi="Cambria Math" w:eastAsia="Times New Roman"/>
                      <w:sz w:val="22"/>
                      <w:szCs w:val="22"/>
                      <w:lang w:val="en-GB"/>
                    </w:rPr>
                    <m:t>P</m:t>
                  </m:r>
                  <m:ctrlPr>
                    <w:rPr>
                      <w:rFonts w:ascii="Cambria Math" w:hAnsi="Cambria Math" w:eastAsia="Times New Roman"/>
                      <w:sz w:val="22"/>
                      <w:szCs w:val="22"/>
                      <w:lang w:val="en-GB"/>
                    </w:rPr>
                  </m:ctrlPr>
                </m:e>
                <m:sub>
                  <m:r>
                    <w:rPr>
                      <w:rFonts w:ascii="Cambria Math" w:hAnsi="Cambria Math" w:eastAsia="Times New Roman"/>
                      <w:sz w:val="22"/>
                      <w:szCs w:val="22"/>
                      <w:lang w:val="en-GB"/>
                    </w:rPr>
                    <m:t>switch</m:t>
                  </m:r>
                  <m:ctrlPr>
                    <w:rPr>
                      <w:rFonts w:ascii="Cambria Math" w:hAnsi="Cambria Math" w:eastAsia="Times New Roman"/>
                      <w:sz w:val="22"/>
                      <w:szCs w:val="22"/>
                      <w:lang w:val="en-GB"/>
                    </w:rPr>
                  </m:ctrlPr>
                </m:sub>
              </m:sSub>
            </m:oMath>
            <w:r>
              <w:rPr>
                <w:rFonts w:eastAsia="Times New Roman"/>
                <w:sz w:val="22"/>
                <w:szCs w:val="22"/>
                <w:lang w:val="en-GB"/>
              </w:rPr>
              <w:t xml:space="preserve"> should be defined and added in the table 10.4-1 of </w:t>
            </w:r>
            <w:r>
              <w:rPr>
                <w:sz w:val="22"/>
                <w:szCs w:val="22"/>
                <w:lang w:val="en-GB"/>
              </w:rPr>
              <w:t>TS 38.213[2]</w:t>
            </w:r>
            <w:r>
              <w:rPr>
                <w:rFonts w:eastAsia="Times New Roman"/>
                <w:sz w:val="22"/>
                <w:szCs w:val="22"/>
                <w:lang w:val="en-GB"/>
              </w:rPr>
              <w:t xml:space="preserve">. </w:t>
            </w:r>
          </w:p>
          <w:p>
            <w:pPr>
              <w:widowControl w:val="0"/>
              <w:jc w:val="both"/>
              <w:rPr>
                <w:b/>
                <w:lang w:val="en-GB"/>
              </w:rPr>
            </w:pPr>
            <w:r>
              <w:rPr>
                <w:b/>
                <w:lang w:val="en-GB"/>
              </w:rPr>
              <w:t xml:space="preserve">Proposal 5: Search space set group switching time </w:t>
            </w:r>
            <m:oMath>
              <m:sSub>
                <m:sSubPr>
                  <m:ctrlPr>
                    <w:rPr>
                      <w:rFonts w:ascii="Cambria Math" w:hAnsi="Cambria Math"/>
                      <w:b/>
                      <w:lang w:val="en-GB"/>
                    </w:rPr>
                  </m:ctrlPr>
                </m:sSubPr>
                <m:e>
                  <m:r>
                    <m:rPr>
                      <m:sty m:val="bi"/>
                    </m:rPr>
                    <w:rPr>
                      <w:rFonts w:ascii="Cambria Math" w:hAnsi="Cambria Math"/>
                      <w:lang w:val="en-GB"/>
                    </w:rPr>
                    <m:t>P</m:t>
                  </m:r>
                  <m:ctrlPr>
                    <w:rPr>
                      <w:rFonts w:ascii="Cambria Math" w:hAnsi="Cambria Math"/>
                      <w:b/>
                      <w:lang w:val="en-GB"/>
                    </w:rPr>
                  </m:ctrlPr>
                </m:e>
                <m:sub>
                  <m:r>
                    <m:rPr>
                      <m:sty m:val="bi"/>
                    </m:rPr>
                    <w:rPr>
                      <w:rFonts w:ascii="Cambria Math" w:hAnsi="Cambria Math"/>
                      <w:lang w:val="en-GB"/>
                    </w:rPr>
                    <m:t>switch</m:t>
                  </m:r>
                  <m:ctrlPr>
                    <w:rPr>
                      <w:rFonts w:ascii="Cambria Math" w:hAnsi="Cambria Math"/>
                      <w:b/>
                      <w:lang w:val="en-GB"/>
                    </w:rPr>
                  </m:ctrlPr>
                </m:sub>
              </m:sSub>
            </m:oMath>
            <w:r>
              <w:rPr>
                <w:b/>
                <w:lang w:val="en-GB"/>
              </w:rPr>
              <w:t xml:space="preserve"> should be defined for new SCSs.</w:t>
            </w:r>
          </w:p>
          <w:p>
            <w:pPr>
              <w:pStyle w:val="30"/>
              <w:widowControl w:val="0"/>
              <w:spacing w:after="0"/>
              <w:rPr>
                <w:sz w:val="22"/>
                <w:szCs w:val="22"/>
                <w:lang w:val="en-GB"/>
              </w:rPr>
            </w:pPr>
          </w:p>
          <w:p>
            <w:pPr>
              <w:widowControl w:val="0"/>
              <w:jc w:val="both"/>
              <w:rPr>
                <w:lang w:val="en-GB"/>
              </w:rPr>
            </w:pPr>
            <w:r>
              <w:rPr>
                <w:lang w:val="en-GB"/>
              </w:rPr>
              <w:t>For 480 kHz and 960 kHz SCS, if PDCCH monitoring capability is based on per multi-slot, the UE will decode more DCI than per slot monitoring, the processing time will last longer, and it will have an influence in SSSG switching time estimation. So when we estimate minimum</w:t>
            </w:r>
            <w:r>
              <w:rPr>
                <w:rFonts w:hint="eastAsia"/>
                <w:lang w:val="en-GB" w:eastAsia="zh-CN"/>
              </w:rPr>
              <w:t xml:space="preserve"> </w:t>
            </w:r>
            <w:r>
              <w:rPr>
                <w:lang w:val="en-GB" w:eastAsia="zh-CN"/>
              </w:rPr>
              <w:t>value of</w:t>
            </w:r>
            <m:oMath>
              <m:sSub>
                <m:sSubPr>
                  <m:ctrlPr>
                    <w:rPr>
                      <w:rFonts w:ascii="Cambria Math" w:hAnsi="Cambria Math"/>
                      <w:lang w:val="en-GB"/>
                    </w:rPr>
                  </m:ctrlPr>
                </m:sSubPr>
                <m:e>
                  <m:r>
                    <m:rPr>
                      <m:sty m:val="p"/>
                    </m:rPr>
                    <w:rPr>
                      <w:rFonts w:ascii="Cambria Math" w:hAnsi="Cambria Math"/>
                      <w:lang w:val="en-GB"/>
                    </w:rPr>
                    <m:t xml:space="preserve"> </m:t>
                  </m:r>
                  <m:r>
                    <w:rPr>
                      <w:rFonts w:ascii="Cambria Math" w:hAnsi="Cambria Math"/>
                      <w:lang w:val="en-GB"/>
                    </w:rPr>
                    <m:t>P</m:t>
                  </m:r>
                  <m:ctrlPr>
                    <w:rPr>
                      <w:rFonts w:ascii="Cambria Math" w:hAnsi="Cambria Math"/>
                      <w:lang w:val="en-GB"/>
                    </w:rPr>
                  </m:ctrlPr>
                </m:e>
                <m:sub>
                  <m:r>
                    <w:rPr>
                      <w:rFonts w:ascii="Cambria Math" w:hAnsi="Cambria Math"/>
                      <w:lang w:val="en-GB"/>
                    </w:rPr>
                    <m:t>switch</m:t>
                  </m:r>
                  <m:ctrlPr>
                    <w:rPr>
                      <w:rFonts w:ascii="Cambria Math" w:hAnsi="Cambria Math"/>
                      <w:lang w:val="en-GB"/>
                    </w:rPr>
                  </m:ctrlPr>
                </m:sub>
              </m:sSub>
            </m:oMath>
            <w:r>
              <w:rPr>
                <w:lang w:val="en-GB"/>
              </w:rPr>
              <w:t>, which monitoring capability is the reference, per slot or per multi-slot? It should be determined.</w:t>
            </w:r>
          </w:p>
          <w:p>
            <w:pPr>
              <w:widowControl w:val="0"/>
              <w:jc w:val="both"/>
              <w:rPr>
                <w:b/>
                <w:lang w:val="en-GB"/>
              </w:rPr>
            </w:pPr>
            <w:r>
              <w:rPr>
                <w:b/>
                <w:lang w:val="en-GB"/>
              </w:rPr>
              <w:t xml:space="preserve">Proposal 6: For 480 kHz and 960 kHz SCS, which monitoring capability is the reference to estimate the search space set group switching time </w:t>
            </w:r>
            <m:oMath>
              <m:sSub>
                <m:sSubPr>
                  <m:ctrlPr>
                    <w:rPr>
                      <w:rFonts w:ascii="Cambria Math" w:hAnsi="Cambria Math"/>
                      <w:b/>
                      <w:lang w:val="en-GB"/>
                    </w:rPr>
                  </m:ctrlPr>
                </m:sSubPr>
                <m:e>
                  <m:r>
                    <m:rPr>
                      <m:sty m:val="bi"/>
                    </m:rPr>
                    <w:rPr>
                      <w:rFonts w:ascii="Cambria Math" w:hAnsi="Cambria Math"/>
                      <w:lang w:val="en-GB"/>
                    </w:rPr>
                    <m:t>P</m:t>
                  </m:r>
                  <m:ctrlPr>
                    <w:rPr>
                      <w:rFonts w:ascii="Cambria Math" w:hAnsi="Cambria Math"/>
                      <w:b/>
                      <w:lang w:val="en-GB"/>
                    </w:rPr>
                  </m:ctrlPr>
                </m:e>
                <m:sub>
                  <m:r>
                    <m:rPr>
                      <m:sty m:val="bi"/>
                    </m:rPr>
                    <w:rPr>
                      <w:rFonts w:ascii="Cambria Math" w:hAnsi="Cambria Math"/>
                      <w:lang w:val="en-GB"/>
                    </w:rPr>
                    <m:t>switch</m:t>
                  </m:r>
                  <m:ctrlPr>
                    <w:rPr>
                      <w:rFonts w:ascii="Cambria Math" w:hAnsi="Cambria Math"/>
                      <w:b/>
                      <w:lang w:val="en-GB"/>
                    </w:rPr>
                  </m:ctrlPr>
                </m:sub>
              </m:sSub>
            </m:oMath>
            <w:r>
              <w:rPr>
                <w:b/>
                <w:lang w:val="en-GB"/>
              </w:rPr>
              <w:t xml:space="preserve"> should be determined.</w:t>
            </w:r>
          </w:p>
          <w:p>
            <w:pPr>
              <w:widowControl w:val="0"/>
              <w:jc w:val="both"/>
              <w:rPr>
                <w:b/>
                <w:lang w:val="en-GB"/>
              </w:rPr>
            </w:pPr>
          </w:p>
        </w:tc>
      </w:tr>
    </w:tbl>
    <w:p>
      <w:pPr>
        <w:rPr>
          <w:lang w:eastAsia="zh-CN"/>
        </w:rPr>
      </w:pPr>
    </w:p>
    <w:p>
      <w:pPr>
        <w:pStyle w:val="4"/>
        <w:jc w:val="both"/>
        <w:rPr>
          <w:lang w:val="en-GB" w:eastAsia="zh-CN"/>
        </w:rPr>
      </w:pPr>
      <w:r>
        <w:rPr>
          <w:lang w:val="en-GB" w:eastAsia="zh-CN"/>
        </w:rPr>
        <w:t>R1-2109209 (CATT)</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583" w:type="dxa"/>
            <w:vAlign w:val="center"/>
          </w:tcPr>
          <w:p>
            <w:pPr>
              <w:pStyle w:val="30"/>
              <w:widowControl w:val="0"/>
              <w:rPr>
                <w:lang w:val="en-GB" w:eastAsia="zh-CN"/>
              </w:rPr>
            </w:pPr>
            <w:r>
              <w:rPr>
                <w:rFonts w:hint="eastAsia"/>
                <w:lang w:val="en-GB" w:eastAsia="zh-CN"/>
              </w:rPr>
              <w:t xml:space="preserve">For the Type0-PDCCH CSS set, the UE requires to monitor two consecutive slots for the CORESET of the Type0-PDCCH CSS. </w:t>
            </w:r>
            <w:r>
              <w:rPr>
                <w:lang w:val="en-GB" w:eastAsia="zh-CN"/>
              </w:rPr>
              <w:t xml:space="preserve">When Y at least equals to 2 </w:t>
            </w:r>
            <w:r>
              <w:rPr>
                <w:rFonts w:hint="eastAsia"/>
                <w:lang w:val="en-GB" w:eastAsia="zh-CN"/>
              </w:rPr>
              <w:t>slots</w:t>
            </w:r>
            <w:r>
              <w:rPr>
                <w:lang w:val="en-GB" w:eastAsia="zh-CN"/>
              </w:rPr>
              <w:t xml:space="preserve">, this requirement will be satisfied without any specification change. If Y=1 </w:t>
            </w:r>
            <w:r>
              <w:rPr>
                <w:rFonts w:hint="eastAsia"/>
                <w:lang w:val="en-GB" w:eastAsia="zh-CN"/>
              </w:rPr>
              <w:t>slot</w:t>
            </w:r>
            <w:r>
              <w:rPr>
                <w:lang w:val="en-GB" w:eastAsia="zh-CN"/>
              </w:rPr>
              <w:t xml:space="preserve">, then the requirement of two consecutive </w:t>
            </w:r>
            <w:r>
              <w:rPr>
                <w:rFonts w:hint="eastAsia"/>
                <w:lang w:val="en-GB" w:eastAsia="zh-CN"/>
              </w:rPr>
              <w:t>slots</w:t>
            </w:r>
            <w:r>
              <w:rPr>
                <w:lang w:val="en-GB" w:eastAsia="zh-CN"/>
              </w:rPr>
              <w:t xml:space="preserve"> monitoring cannot be satisfied because at most UE can monitor one </w:t>
            </w:r>
            <w:r>
              <w:rPr>
                <w:rFonts w:hint="eastAsia"/>
                <w:lang w:val="en-GB" w:eastAsia="zh-CN"/>
              </w:rPr>
              <w:t>slot</w:t>
            </w:r>
            <w:r>
              <w:rPr>
                <w:lang w:val="en-GB" w:eastAsia="zh-CN"/>
              </w:rPr>
              <w:t xml:space="preserve"> per slot group.  Note Y=1 </w:t>
            </w:r>
            <w:r>
              <w:rPr>
                <w:rFonts w:hint="eastAsia"/>
                <w:lang w:val="en-GB" w:eastAsia="zh-CN"/>
              </w:rPr>
              <w:t>slot</w:t>
            </w:r>
            <w:r>
              <w:rPr>
                <w:lang w:val="en-GB" w:eastAsia="zh-CN"/>
              </w:rPr>
              <w:t xml:space="preserve"> is a configuration not very useful. Therefore, to avoid specification change, Y&gt;1 </w:t>
            </w:r>
            <w:r>
              <w:rPr>
                <w:rFonts w:hint="eastAsia"/>
                <w:lang w:val="en-GB" w:eastAsia="zh-CN"/>
              </w:rPr>
              <w:t>slot</w:t>
            </w:r>
            <w:r>
              <w:rPr>
                <w:lang w:val="en-GB" w:eastAsia="zh-CN"/>
              </w:rPr>
              <w:t xml:space="preserve"> should be required.  </w:t>
            </w:r>
          </w:p>
          <w:p>
            <w:pPr>
              <w:pStyle w:val="30"/>
              <w:widowControl w:val="0"/>
              <w:rPr>
                <w:b/>
                <w:bCs/>
                <w:i/>
                <w:lang w:eastAsia="zh-CN"/>
              </w:rPr>
            </w:pPr>
            <w:r>
              <w:rPr>
                <w:lang w:val="en-GB" w:eastAsia="zh-CN"/>
              </w:rPr>
              <w:t>O</w:t>
            </w:r>
            <w:r>
              <w:rPr>
                <w:rFonts w:hint="eastAsia"/>
                <w:lang w:val="en-GB" w:eastAsia="zh-CN"/>
              </w:rPr>
              <w:t xml:space="preserve">ne remaining issue is that whether the multi-slot PDCCH monitoring capability can be the default capability for </w:t>
            </w:r>
            <w:r>
              <w:rPr>
                <w:lang w:val="en-GB" w:eastAsia="zh-CN"/>
              </w:rPr>
              <w:t>480 kHz SCS</w:t>
            </w:r>
            <w:r>
              <w:rPr>
                <w:rFonts w:hint="eastAsia"/>
                <w:lang w:val="en-GB" w:eastAsia="zh-CN"/>
              </w:rPr>
              <w:t xml:space="preserve"> and </w:t>
            </w:r>
            <w:r>
              <w:rPr>
                <w:lang w:val="en-GB" w:eastAsia="zh-CN"/>
              </w:rPr>
              <w:t>960 kHz SCS</w:t>
            </w:r>
            <w:r>
              <w:rPr>
                <w:rFonts w:hint="eastAsia"/>
                <w:lang w:val="en-GB" w:eastAsia="zh-CN"/>
              </w:rPr>
              <w:t xml:space="preserve">. </w:t>
            </w:r>
            <w:r>
              <w:rPr>
                <w:lang w:val="en-GB" w:eastAsia="zh-CN"/>
              </w:rPr>
              <w:t>Note previously we suggest not to support per slot monitoring capability definition in Rel-17. If this is the case, then the issue is moot. However, if RAN1 decide to support also support per-slot monitoring, then the default capability, which is assumed when there is no dedicated RRC configuration, should be determined. This is required for certain scenarios, for example during 480</w:t>
            </w:r>
            <w:r>
              <w:rPr>
                <w:rFonts w:hint="eastAsia"/>
                <w:lang w:val="en-GB" w:eastAsia="zh-CN"/>
              </w:rPr>
              <w:t xml:space="preserve"> </w:t>
            </w:r>
            <w:r>
              <w:rPr>
                <w:lang w:val="en-GB" w:eastAsia="zh-CN"/>
              </w:rPr>
              <w:t xml:space="preserve">KHz SCS initial access. Considering that per-slot PDCCH monitoring would be more demanding for the high SCSs, having multi-slot PDCCH monitoring as the default capability is desirable. </w:t>
            </w:r>
          </w:p>
          <w:p>
            <w:pPr>
              <w:pStyle w:val="30"/>
              <w:widowControl w:val="0"/>
              <w:rPr>
                <w:b/>
                <w:bCs/>
                <w:i/>
                <w:lang w:eastAsia="zh-CN"/>
              </w:rPr>
            </w:pPr>
            <w:r>
              <w:rPr>
                <w:b/>
                <w:bCs/>
                <w:i/>
                <w:lang w:eastAsia="zh-CN"/>
              </w:rPr>
              <w:t xml:space="preserve">Proposal </w:t>
            </w:r>
            <w:r>
              <w:rPr>
                <w:rFonts w:hint="eastAsia"/>
                <w:b/>
                <w:bCs/>
                <w:i/>
                <w:lang w:eastAsia="zh-CN"/>
              </w:rPr>
              <w:t xml:space="preserve">5：It is recommended </w:t>
            </w:r>
            <w:r>
              <w:rPr>
                <w:b/>
                <w:bCs/>
                <w:i/>
                <w:lang w:eastAsia="zh-CN"/>
              </w:rPr>
              <w:t xml:space="preserve">that Y &gt; 1 </w:t>
            </w:r>
            <w:r>
              <w:rPr>
                <w:rFonts w:hint="eastAsia"/>
                <w:b/>
                <w:bCs/>
                <w:i/>
                <w:lang w:eastAsia="zh-CN"/>
              </w:rPr>
              <w:t>slot</w:t>
            </w:r>
            <w:r>
              <w:rPr>
                <w:b/>
                <w:bCs/>
                <w:i/>
                <w:lang w:eastAsia="zh-CN"/>
              </w:rPr>
              <w:t xml:space="preserve"> to avoid complex changes for Type0-PDCCH CSS set monitoring rules</w:t>
            </w:r>
            <w:r>
              <w:rPr>
                <w:rFonts w:hint="eastAsia"/>
                <w:b/>
                <w:bCs/>
                <w:i/>
                <w:lang w:eastAsia="zh-CN"/>
              </w:rPr>
              <w:t>.</w:t>
            </w:r>
          </w:p>
          <w:p>
            <w:pPr>
              <w:pStyle w:val="30"/>
              <w:widowControl w:val="0"/>
              <w:rPr>
                <w:lang w:val="en-GB" w:eastAsia="zh-CN"/>
              </w:rPr>
            </w:pPr>
            <w:r>
              <w:rPr>
                <w:b/>
                <w:bCs/>
                <w:i/>
                <w:lang w:eastAsia="zh-CN"/>
              </w:rPr>
              <w:t>Proposal 6</w:t>
            </w:r>
            <w:r>
              <w:rPr>
                <w:rFonts w:hint="eastAsia"/>
                <w:b/>
                <w:bCs/>
                <w:i/>
                <w:lang w:eastAsia="zh-CN"/>
              </w:rPr>
              <w:t>：It is recommended to define multi-slot monitoring capability as the default monitoring capability.</w:t>
            </w:r>
          </w:p>
          <w:p>
            <w:pPr>
              <w:pStyle w:val="30"/>
              <w:widowControl w:val="0"/>
              <w:rPr>
                <w:sz w:val="21"/>
                <w:lang w:eastAsia="zh-CN"/>
              </w:rPr>
            </w:pPr>
            <w:r>
              <w:rPr>
                <w:rFonts w:hint="eastAsia"/>
                <w:sz w:val="21"/>
                <w:lang w:eastAsia="zh-CN"/>
              </w:rPr>
              <w:t>In</w:t>
            </w:r>
            <w:r>
              <w:rPr>
                <w:sz w:val="21"/>
                <w:lang w:eastAsia="zh-CN"/>
              </w:rPr>
              <w:t xml:space="preserve"> Rel-15/16, </w:t>
            </w:r>
            <w:r>
              <w:rPr>
                <w:rFonts w:hint="eastAsia"/>
                <w:sz w:val="21"/>
                <w:lang w:eastAsia="zh-CN"/>
              </w:rPr>
              <w:t xml:space="preserve">the parameter </w:t>
            </w:r>
            <w:r>
              <w:rPr>
                <w:i/>
                <w:sz w:val="21"/>
                <w:lang w:eastAsia="zh-CN"/>
              </w:rPr>
              <w:t>monitoringSymbolsWithinSlot</w:t>
            </w:r>
            <w:r>
              <w:rPr>
                <w:rFonts w:hint="eastAsia"/>
                <w:i/>
                <w:sz w:val="21"/>
                <w:lang w:eastAsia="zh-CN"/>
              </w:rPr>
              <w:t xml:space="preserve"> </w:t>
            </w:r>
            <w:r>
              <w:rPr>
                <w:rFonts w:hint="eastAsia"/>
                <w:sz w:val="21"/>
                <w:lang w:eastAsia="zh-CN"/>
              </w:rPr>
              <w:t>indicates the distribution of MOs within each slot and the length of bitmap is 14. For 480 kHz SCS and 960 kHz SCS</w:t>
            </w:r>
            <w:r>
              <w:rPr>
                <w:sz w:val="21"/>
                <w:lang w:eastAsia="zh-CN"/>
              </w:rPr>
              <w:t>,</w:t>
            </w:r>
            <w:r>
              <w:rPr>
                <w:rFonts w:hint="eastAsia"/>
                <w:sz w:val="21"/>
                <w:lang w:eastAsia="zh-CN"/>
              </w:rPr>
              <w:t xml:space="preserve"> the bitmap with 14bit is not sufficient to indicate the distribution of MO within X-slots. We suggest adding a new bitmap indicating the slots that the search space </w:t>
            </w:r>
            <w:r>
              <w:rPr>
                <w:sz w:val="21"/>
                <w:lang w:eastAsia="zh-CN"/>
              </w:rPr>
              <w:t>exists</w:t>
            </w:r>
            <w:r>
              <w:rPr>
                <w:rFonts w:hint="eastAsia"/>
                <w:sz w:val="21"/>
                <w:lang w:eastAsia="zh-CN"/>
              </w:rPr>
              <w:t xml:space="preserve"> within the multi-slot by </w:t>
            </w:r>
            <w:r>
              <w:rPr>
                <w:rFonts w:hint="eastAsia"/>
                <w:i/>
                <w:sz w:val="21"/>
                <w:lang w:eastAsia="zh-CN"/>
              </w:rPr>
              <w:t>monitoringSlotWithinMulti-Slot</w:t>
            </w:r>
            <w:r>
              <w:rPr>
                <w:rFonts w:hint="eastAsia"/>
                <w:sz w:val="21"/>
                <w:lang w:eastAsia="zh-CN"/>
              </w:rPr>
              <w:t xml:space="preserve">. Thus, the first symbol of the CORESET within multi-slot for PDCCH monitoring can be jointly </w:t>
            </w:r>
            <w:r>
              <w:rPr>
                <w:sz w:val="21"/>
                <w:lang w:eastAsia="zh-CN"/>
              </w:rPr>
              <w:t>indicated</w:t>
            </w:r>
            <w:r>
              <w:rPr>
                <w:rFonts w:hint="eastAsia"/>
                <w:sz w:val="21"/>
                <w:lang w:eastAsia="zh-CN"/>
              </w:rPr>
              <w:t xml:space="preserve"> by the </w:t>
            </w:r>
            <w:r>
              <w:rPr>
                <w:i/>
                <w:sz w:val="21"/>
                <w:lang w:eastAsia="zh-CN"/>
              </w:rPr>
              <w:t xml:space="preserve">monitoringSymbolsWithinSlot </w:t>
            </w:r>
            <w:r>
              <w:rPr>
                <w:rFonts w:hint="eastAsia"/>
                <w:sz w:val="21"/>
                <w:lang w:eastAsia="zh-CN"/>
              </w:rPr>
              <w:t xml:space="preserve">and </w:t>
            </w:r>
            <w:r>
              <w:rPr>
                <w:rFonts w:hint="eastAsia"/>
                <w:i/>
                <w:sz w:val="21"/>
                <w:lang w:eastAsia="zh-CN"/>
              </w:rPr>
              <w:t>monitoringSlotWithinMulti-Slot</w:t>
            </w:r>
            <w:r>
              <w:rPr>
                <w:rFonts w:hint="eastAsia"/>
                <w:sz w:val="21"/>
                <w:lang w:eastAsia="zh-CN"/>
              </w:rPr>
              <w:t xml:space="preserve">. It should be noted </w:t>
            </w:r>
            <w:r>
              <w:rPr>
                <w:sz w:val="21"/>
                <w:lang w:eastAsia="zh-CN"/>
              </w:rPr>
              <w:t xml:space="preserve">when the search space exists in </w:t>
            </w:r>
            <w:r>
              <w:rPr>
                <w:rFonts w:hint="eastAsia"/>
                <w:sz w:val="21"/>
                <w:lang w:eastAsia="zh-CN"/>
              </w:rPr>
              <w:t xml:space="preserve">multiple </w:t>
            </w:r>
            <w:r>
              <w:rPr>
                <w:sz w:val="21"/>
                <w:lang w:eastAsia="zh-CN"/>
              </w:rPr>
              <w:t>slot</w:t>
            </w:r>
            <w:r>
              <w:rPr>
                <w:rFonts w:hint="eastAsia"/>
                <w:sz w:val="21"/>
                <w:lang w:eastAsia="zh-CN"/>
              </w:rPr>
              <w:t>s</w:t>
            </w:r>
            <w:r>
              <w:rPr>
                <w:sz w:val="21"/>
                <w:lang w:eastAsia="zh-CN"/>
              </w:rPr>
              <w:t xml:space="preserve"> within multi-slot</w:t>
            </w:r>
            <w:r>
              <w:rPr>
                <w:rFonts w:hint="eastAsia"/>
                <w:sz w:val="21"/>
                <w:lang w:eastAsia="zh-CN"/>
              </w:rPr>
              <w:t>, the distribution of MOs within each slot is the same</w:t>
            </w:r>
            <w:r>
              <w:rPr>
                <w:sz w:val="21"/>
                <w:lang w:eastAsia="zh-CN"/>
              </w:rPr>
              <w:t>.</w:t>
            </w:r>
          </w:p>
          <w:p>
            <w:pPr>
              <w:pStyle w:val="30"/>
              <w:widowControl w:val="0"/>
              <w:rPr>
                <w:sz w:val="21"/>
                <w:lang w:eastAsia="zh-CN"/>
              </w:rPr>
            </w:pPr>
            <w:r>
              <w:rPr>
                <w:rFonts w:hint="eastAsia"/>
                <w:sz w:val="21"/>
                <w:lang w:eastAsia="zh-CN"/>
              </w:rPr>
              <w:t xml:space="preserve">For </w:t>
            </w:r>
            <w:r>
              <w:rPr>
                <w:sz w:val="21"/>
                <w:lang w:eastAsia="zh-CN"/>
              </w:rPr>
              <w:t>example</w:t>
            </w:r>
            <w:r>
              <w:rPr>
                <w:rFonts w:hint="eastAsia"/>
                <w:sz w:val="21"/>
                <w:lang w:eastAsia="zh-CN"/>
              </w:rPr>
              <w:t xml:space="preserve">, if the UE is </w:t>
            </w:r>
            <w:r>
              <w:rPr>
                <w:sz w:val="21"/>
                <w:lang w:eastAsia="zh-CN"/>
              </w:rPr>
              <w:t>provide</w:t>
            </w:r>
            <w:r>
              <w:rPr>
                <w:rFonts w:hint="eastAsia"/>
                <w:sz w:val="21"/>
                <w:lang w:eastAsia="zh-CN"/>
              </w:rPr>
              <w:t xml:space="preserve">d the following parameter by </w:t>
            </w:r>
            <w:r>
              <w:rPr>
                <w:rFonts w:hint="eastAsia"/>
                <w:i/>
                <w:sz w:val="21"/>
                <w:lang w:eastAsia="zh-CN"/>
              </w:rPr>
              <w:t>SearchSpace</w:t>
            </w:r>
            <w:r>
              <w:rPr>
                <w:rFonts w:hint="eastAsia"/>
                <w:sz w:val="21"/>
                <w:lang w:eastAsia="zh-CN"/>
              </w:rPr>
              <w:t xml:space="preserve">, the PDCCH monitoring will be as shown in </w:t>
            </w:r>
            <w:r>
              <w:rPr>
                <w:sz w:val="21"/>
                <w:lang w:eastAsia="zh-CN"/>
              </w:rPr>
              <w:fldChar w:fldCharType="begin"/>
            </w:r>
            <w:r>
              <w:rPr>
                <w:sz w:val="21"/>
                <w:lang w:eastAsia="zh-CN"/>
              </w:rPr>
              <w:instrText xml:space="preserve"> </w:instrText>
            </w:r>
            <w:r>
              <w:rPr>
                <w:rFonts w:hint="eastAsia"/>
                <w:sz w:val="21"/>
                <w:lang w:eastAsia="zh-CN"/>
              </w:rPr>
              <w:instrText xml:space="preserve">REF _Ref78184451 \h</w:instrText>
            </w:r>
            <w:r>
              <w:rPr>
                <w:sz w:val="21"/>
                <w:lang w:eastAsia="zh-CN"/>
              </w:rPr>
              <w:instrText xml:space="preserve"> </w:instrText>
            </w:r>
            <w:r>
              <w:rPr>
                <w:sz w:val="21"/>
                <w:lang w:eastAsia="zh-CN"/>
              </w:rPr>
              <w:fldChar w:fldCharType="separate"/>
            </w:r>
            <w:r>
              <w:t>Figure 5</w:t>
            </w:r>
            <w:r>
              <w:rPr>
                <w:sz w:val="21"/>
                <w:lang w:eastAsia="zh-CN"/>
              </w:rPr>
              <w:fldChar w:fldCharType="end"/>
            </w:r>
            <w:r>
              <w:rPr>
                <w:rFonts w:hint="eastAsia"/>
                <w:sz w:val="21"/>
                <w:lang w:eastAsia="zh-CN"/>
              </w:rPr>
              <w:t>:</w:t>
            </w:r>
          </w:p>
          <w:p>
            <w:pPr>
              <w:pStyle w:val="73"/>
              <w:widowControl w:val="0"/>
              <w:numPr>
                <w:ilvl w:val="0"/>
                <w:numId w:val="58"/>
              </w:numPr>
              <w:snapToGrid/>
              <w:spacing w:after="200" w:line="276" w:lineRule="auto"/>
              <w:contextualSpacing/>
              <w:jc w:val="both"/>
              <w:rPr>
                <w:sz w:val="21"/>
                <w:lang w:eastAsia="zh-CN"/>
              </w:rPr>
            </w:pPr>
            <w:r>
              <w:rPr>
                <w:rFonts w:ascii="Times New Roman" w:hAnsi="Times New Roman"/>
                <w:i/>
                <w:sz w:val="21"/>
                <w:lang w:eastAsia="zh-CN"/>
              </w:rPr>
              <w:t>monitoringSlotPeriodicityAndOffset:</w:t>
            </w:r>
            <w:r>
              <w:rPr>
                <w:sz w:val="21"/>
                <w:lang w:eastAsia="zh-CN"/>
              </w:rPr>
              <w:t xml:space="preserve"> </w:t>
            </w:r>
            <w:r>
              <w:rPr>
                <w:rFonts w:hint="eastAsia" w:ascii="Times New Roman" w:hAnsi="Times New Roman"/>
                <w:sz w:val="21"/>
                <w:lang w:eastAsia="zh-CN"/>
              </w:rPr>
              <w:t>the periodicity of search space set is 16 slots and the offset is 0.</w:t>
            </w:r>
          </w:p>
          <w:p>
            <w:pPr>
              <w:pStyle w:val="73"/>
              <w:widowControl w:val="0"/>
              <w:numPr>
                <w:ilvl w:val="0"/>
                <w:numId w:val="58"/>
              </w:numPr>
              <w:snapToGrid/>
              <w:spacing w:after="200" w:line="276" w:lineRule="auto"/>
              <w:contextualSpacing/>
              <w:jc w:val="both"/>
              <w:rPr>
                <w:rFonts w:ascii="Times New Roman" w:hAnsi="Times New Roman"/>
                <w:sz w:val="21"/>
                <w:lang w:eastAsia="zh-CN"/>
              </w:rPr>
            </w:pPr>
            <w:r>
              <w:rPr>
                <w:rFonts w:ascii="Times New Roman" w:hAnsi="Times New Roman"/>
                <w:i/>
                <w:sz w:val="21"/>
                <w:lang w:eastAsia="zh-CN"/>
              </w:rPr>
              <w:t>duration</w:t>
            </w:r>
            <w:r>
              <w:rPr>
                <w:rFonts w:ascii="Times New Roman" w:hAnsi="Times New Roman"/>
                <w:sz w:val="21"/>
                <w:lang w:eastAsia="zh-CN"/>
              </w:rPr>
              <w:t xml:space="preserve">: </w:t>
            </w:r>
            <w:r>
              <w:rPr>
                <w:rFonts w:hint="eastAsia" w:ascii="Times New Roman" w:hAnsi="Times New Roman"/>
                <w:sz w:val="21"/>
                <w:lang w:eastAsia="zh-CN"/>
              </w:rPr>
              <w:t xml:space="preserve">the unit of the duration is the multi-slot, the value of the duration is 2. </w:t>
            </w:r>
          </w:p>
          <w:p>
            <w:pPr>
              <w:pStyle w:val="73"/>
              <w:widowControl w:val="0"/>
              <w:numPr>
                <w:ilvl w:val="0"/>
                <w:numId w:val="58"/>
              </w:numPr>
              <w:spacing w:after="200" w:line="276" w:lineRule="auto"/>
              <w:contextualSpacing/>
              <w:jc w:val="both"/>
              <w:rPr>
                <w:lang w:eastAsia="zh-CN"/>
              </w:rPr>
            </w:pPr>
            <w:r>
              <w:rPr>
                <w:rFonts w:ascii="Times New Roman" w:hAnsi="Times New Roman"/>
                <w:i/>
                <w:sz w:val="21"/>
                <w:lang w:eastAsia="zh-CN"/>
              </w:rPr>
              <w:t>monitoringSymbolsWithinSlot</w:t>
            </w:r>
            <w:r>
              <w:rPr>
                <w:rFonts w:ascii="Times New Roman" w:hAnsi="Times New Roman"/>
                <w:sz w:val="21"/>
                <w:lang w:eastAsia="zh-CN"/>
              </w:rPr>
              <w:t>:</w:t>
            </w:r>
            <w:r>
              <w:t xml:space="preserve"> </w:t>
            </w:r>
            <w:r>
              <w:rPr>
                <w:rFonts w:hint="eastAsia" w:ascii="Times New Roman" w:hAnsi="Times New Roman"/>
                <w:sz w:val="21"/>
                <w:lang w:eastAsia="zh-CN"/>
              </w:rPr>
              <w:t>the bitmap of the first symbol MO within each slot is 10001000000000.</w:t>
            </w:r>
          </w:p>
          <w:p>
            <w:pPr>
              <w:pStyle w:val="73"/>
              <w:widowControl w:val="0"/>
              <w:numPr>
                <w:ilvl w:val="0"/>
                <w:numId w:val="58"/>
              </w:numPr>
              <w:spacing w:after="200" w:line="276" w:lineRule="auto"/>
              <w:contextualSpacing/>
              <w:jc w:val="both"/>
              <w:rPr>
                <w:i/>
                <w:sz w:val="21"/>
                <w:lang w:eastAsia="zh-CN"/>
              </w:rPr>
            </w:pPr>
            <w:r>
              <w:rPr>
                <w:rFonts w:hint="eastAsia" w:ascii="Times New Roman" w:hAnsi="Times New Roman"/>
                <w:i/>
                <w:sz w:val="21"/>
                <w:lang w:eastAsia="zh-CN"/>
              </w:rPr>
              <w:t>monitoringSlotWithinMulti-</w:t>
            </w:r>
            <w:r>
              <w:rPr>
                <w:rFonts w:ascii="Times New Roman" w:hAnsi="Times New Roman"/>
                <w:i/>
                <w:sz w:val="21"/>
                <w:lang w:eastAsia="zh-CN"/>
              </w:rPr>
              <w:t>slot</w:t>
            </w:r>
            <w:r>
              <w:rPr>
                <w:rFonts w:ascii="Times New Roman" w:hAnsi="Times New Roman"/>
                <w:sz w:val="21"/>
                <w:lang w:eastAsia="zh-CN"/>
              </w:rPr>
              <w:t>:</w:t>
            </w:r>
            <w:r>
              <w:rPr>
                <w:rFonts w:hint="eastAsia" w:ascii="Times New Roman" w:hAnsi="Times New Roman"/>
                <w:sz w:val="21"/>
                <w:lang w:eastAsia="zh-CN"/>
              </w:rPr>
              <w:t xml:space="preserve"> the bitmap of the slots </w:t>
            </w:r>
            <w:r>
              <w:rPr>
                <w:rFonts w:ascii="Times New Roman" w:hAnsi="Times New Roman"/>
                <w:sz w:val="21"/>
                <w:lang w:eastAsia="zh-CN"/>
              </w:rPr>
              <w:t>that the search space exists</w:t>
            </w:r>
            <w:r>
              <w:rPr>
                <w:rFonts w:hint="eastAsia" w:ascii="Times New Roman" w:hAnsi="Times New Roman"/>
                <w:sz w:val="21"/>
                <w:lang w:eastAsia="zh-CN"/>
              </w:rPr>
              <w:t xml:space="preserve"> is 1100.</w:t>
            </w:r>
          </w:p>
          <w:p>
            <w:pPr>
              <w:pStyle w:val="73"/>
              <w:widowControl w:val="0"/>
              <w:numPr>
                <w:ilvl w:val="0"/>
                <w:numId w:val="58"/>
              </w:numPr>
              <w:spacing w:after="200" w:line="276" w:lineRule="auto"/>
              <w:contextualSpacing/>
              <w:jc w:val="both"/>
              <w:rPr>
                <w:rFonts w:ascii="Times New Roman" w:hAnsi="Times New Roman"/>
                <w:sz w:val="21"/>
                <w:lang w:eastAsia="zh-CN"/>
              </w:rPr>
            </w:pPr>
            <w:r>
              <w:rPr>
                <w:rFonts w:ascii="Times New Roman" w:hAnsi="Times New Roman"/>
                <w:sz w:val="21"/>
                <w:lang w:eastAsia="zh-CN"/>
              </w:rPr>
              <w:t>The same span pattern repeats in every slot.</w:t>
            </w:r>
          </w:p>
          <w:p>
            <w:pPr>
              <w:pStyle w:val="30"/>
              <w:keepNext/>
              <w:widowControl w:val="0"/>
              <w:jc w:val="center"/>
            </w:pPr>
            <w:r>
              <w:t xml:space="preserve"> </w:t>
            </w:r>
            <w:r>
              <w:object>
                <v:shape id="_x0000_i1031" o:spt="75" type="#_x0000_t75" style="height:155.25pt;width:337.5pt;" o:ole="t" filled="f" o:preferrelative="t" stroked="f" coordsize="21600,21600">
                  <v:path/>
                  <v:fill on="f" focussize="0,0"/>
                  <v:stroke on="f" joinstyle="miter"/>
                  <v:imagedata r:id="rId29" o:title=""/>
                  <o:lock v:ext="edit" aspectratio="t"/>
                  <w10:wrap type="none"/>
                  <w10:anchorlock/>
                </v:shape>
                <o:OLEObject Type="Embed" ProgID="Visio.Drawing.11" ShapeID="_x0000_i1031" DrawAspect="Content" ObjectID="_1468075731" r:id="rId28">
                  <o:LockedField>false</o:LockedField>
                </o:OLEObject>
              </w:object>
            </w:r>
          </w:p>
          <w:p>
            <w:pPr>
              <w:pStyle w:val="27"/>
              <w:widowControl w:val="0"/>
              <w:rPr>
                <w:b w:val="0"/>
                <w:lang w:eastAsia="zh-CN"/>
              </w:rPr>
            </w:pPr>
            <w:bookmarkStart w:id="78" w:name="_Ref78184451"/>
            <w:r>
              <w:rPr>
                <w:b w:val="0"/>
              </w:rPr>
              <w:t xml:space="preserve">Figure </w:t>
            </w:r>
            <w:r>
              <w:rPr>
                <w:b w:val="0"/>
              </w:rPr>
              <w:fldChar w:fldCharType="begin"/>
            </w:r>
            <w:r>
              <w:rPr>
                <w:b w:val="0"/>
              </w:rPr>
              <w:instrText xml:space="preserve"> SEQ Figure \* ARABIC </w:instrText>
            </w:r>
            <w:r>
              <w:rPr>
                <w:b w:val="0"/>
              </w:rPr>
              <w:fldChar w:fldCharType="separate"/>
            </w:r>
            <w:r>
              <w:rPr>
                <w:b w:val="0"/>
              </w:rPr>
              <w:t>4</w:t>
            </w:r>
            <w:r>
              <w:rPr>
                <w:b w:val="0"/>
              </w:rPr>
              <w:fldChar w:fldCharType="end"/>
            </w:r>
            <w:bookmarkEnd w:id="78"/>
            <w:r>
              <w:rPr>
                <w:b w:val="0"/>
                <w:lang w:eastAsia="zh-CN"/>
              </w:rPr>
              <w:t>: Search space set configuration for 480 kHz SCS</w:t>
            </w:r>
          </w:p>
          <w:p>
            <w:pPr>
              <w:pStyle w:val="30"/>
              <w:widowControl w:val="0"/>
              <w:rPr>
                <w:b/>
                <w:i/>
                <w:lang w:eastAsia="zh-CN"/>
              </w:rPr>
            </w:pPr>
            <w:r>
              <w:rPr>
                <w:b/>
                <w:i/>
                <w:lang w:eastAsia="zh-CN"/>
              </w:rPr>
              <w:t xml:space="preserve">Proposal </w:t>
            </w:r>
            <w:r>
              <w:rPr>
                <w:rFonts w:hint="eastAsia"/>
                <w:b/>
                <w:i/>
                <w:lang w:eastAsia="zh-CN"/>
              </w:rPr>
              <w:t>7</w:t>
            </w:r>
            <w:r>
              <w:rPr>
                <w:b/>
                <w:i/>
                <w:lang w:eastAsia="zh-CN"/>
              </w:rPr>
              <w:t>：</w:t>
            </w:r>
            <w:r>
              <w:rPr>
                <w:rFonts w:hint="eastAsia"/>
                <w:b/>
                <w:i/>
                <w:lang w:eastAsia="zh-CN"/>
              </w:rPr>
              <w:t>For 480 kHz SCS and 960 kHz SCS, the search space configuration can be enhanced as follows.</w:t>
            </w:r>
          </w:p>
          <w:p>
            <w:pPr>
              <w:pStyle w:val="30"/>
              <w:widowControl w:val="0"/>
              <w:numPr>
                <w:ilvl w:val="0"/>
                <w:numId w:val="59"/>
              </w:numPr>
              <w:autoSpaceDE/>
              <w:autoSpaceDN/>
              <w:adjustRightInd/>
              <w:snapToGrid/>
              <w:spacing w:line="240" w:lineRule="auto"/>
              <w:jc w:val="both"/>
              <w:rPr>
                <w:b/>
                <w:i/>
                <w:lang w:eastAsia="zh-CN"/>
              </w:rPr>
            </w:pPr>
            <w:r>
              <w:rPr>
                <w:rFonts w:hint="eastAsia"/>
                <w:b/>
                <w:i/>
                <w:lang w:eastAsia="zh-CN"/>
              </w:rPr>
              <w:t xml:space="preserve">Modifying the value of </w:t>
            </w:r>
            <w:r>
              <w:rPr>
                <w:b/>
                <w:i/>
                <w:lang w:eastAsia="zh-CN"/>
              </w:rPr>
              <w:t>monitoringSlotPeriodicityAndOffset</w:t>
            </w:r>
            <w:r>
              <w:rPr>
                <w:rFonts w:hint="eastAsia"/>
                <w:b/>
                <w:i/>
                <w:lang w:eastAsia="zh-CN"/>
              </w:rPr>
              <w:t xml:space="preserve"> </w:t>
            </w:r>
            <w:r>
              <w:rPr>
                <w:b/>
                <w:i/>
                <w:lang w:eastAsia="zh-CN"/>
              </w:rPr>
              <w:t>to the</w:t>
            </w:r>
            <w:r>
              <w:rPr>
                <w:rFonts w:hint="eastAsia"/>
                <w:b/>
                <w:i/>
                <w:lang w:eastAsia="zh-CN"/>
              </w:rPr>
              <w:t xml:space="preserve"> integer of the X-slots.</w:t>
            </w:r>
          </w:p>
          <w:p>
            <w:pPr>
              <w:pStyle w:val="30"/>
              <w:widowControl w:val="0"/>
              <w:numPr>
                <w:ilvl w:val="0"/>
                <w:numId w:val="59"/>
              </w:numPr>
              <w:autoSpaceDE/>
              <w:autoSpaceDN/>
              <w:adjustRightInd/>
              <w:snapToGrid/>
              <w:spacing w:line="240" w:lineRule="auto"/>
              <w:jc w:val="both"/>
              <w:rPr>
                <w:b/>
                <w:i/>
                <w:lang w:eastAsia="zh-CN"/>
              </w:rPr>
            </w:pPr>
            <w:r>
              <w:rPr>
                <w:b/>
                <w:i/>
                <w:lang w:eastAsia="zh-CN"/>
              </w:rPr>
              <w:t>Extending</w:t>
            </w:r>
            <w:r>
              <w:rPr>
                <w:rFonts w:hint="eastAsia"/>
                <w:b/>
                <w:i/>
                <w:lang w:eastAsia="zh-CN"/>
              </w:rPr>
              <w:t xml:space="preserve"> the unit of </w:t>
            </w:r>
            <w:r>
              <w:rPr>
                <w:b/>
                <w:i/>
                <w:lang w:eastAsia="zh-CN"/>
              </w:rPr>
              <w:t>duration</w:t>
            </w:r>
            <w:r>
              <w:rPr>
                <w:rFonts w:hint="eastAsia"/>
                <w:b/>
                <w:i/>
                <w:lang w:eastAsia="zh-CN"/>
              </w:rPr>
              <w:t xml:space="preserve"> from slot to X-slots indicating a number of consecutive multi-slot that the search space </w:t>
            </w:r>
            <w:r>
              <w:rPr>
                <w:b/>
                <w:i/>
                <w:lang w:eastAsia="zh-CN"/>
              </w:rPr>
              <w:t>exist</w:t>
            </w:r>
            <w:r>
              <w:rPr>
                <w:rFonts w:hint="eastAsia"/>
                <w:b/>
                <w:i/>
                <w:lang w:eastAsia="zh-CN"/>
              </w:rPr>
              <w:t>s.</w:t>
            </w:r>
          </w:p>
          <w:p>
            <w:pPr>
              <w:pStyle w:val="30"/>
              <w:widowControl w:val="0"/>
              <w:numPr>
                <w:ilvl w:val="0"/>
                <w:numId w:val="59"/>
              </w:numPr>
              <w:autoSpaceDE/>
              <w:autoSpaceDN/>
              <w:adjustRightInd/>
              <w:snapToGrid/>
              <w:spacing w:line="240" w:lineRule="auto"/>
              <w:jc w:val="both"/>
              <w:rPr>
                <w:b/>
                <w:lang w:eastAsia="zh-CN"/>
              </w:rPr>
            </w:pPr>
            <w:r>
              <w:rPr>
                <w:rFonts w:hint="eastAsia"/>
                <w:b/>
                <w:i/>
                <w:lang w:eastAsia="zh-CN"/>
              </w:rPr>
              <w:t>Adding a</w:t>
            </w:r>
            <w:r>
              <w:rPr>
                <w:b/>
                <w:i/>
                <w:lang w:eastAsia="zh-CN"/>
              </w:rPr>
              <w:t xml:space="preserve"> new bitmap </w:t>
            </w:r>
            <w:r>
              <w:rPr>
                <w:rFonts w:hint="eastAsia"/>
                <w:b/>
                <w:i/>
                <w:sz w:val="21"/>
                <w:lang w:eastAsia="zh-CN"/>
              </w:rPr>
              <w:t>monitoringSlotWithinMulti-</w:t>
            </w:r>
            <w:r>
              <w:rPr>
                <w:b/>
                <w:i/>
                <w:sz w:val="21"/>
                <w:lang w:eastAsia="zh-CN"/>
              </w:rPr>
              <w:t>slot</w:t>
            </w:r>
            <w:r>
              <w:rPr>
                <w:b/>
                <w:i/>
                <w:lang w:eastAsia="zh-CN"/>
              </w:rPr>
              <w:t xml:space="preserve"> </w:t>
            </w:r>
            <w:r>
              <w:rPr>
                <w:rFonts w:hint="eastAsia"/>
                <w:b/>
                <w:i/>
                <w:lang w:eastAsia="zh-CN"/>
              </w:rPr>
              <w:t xml:space="preserve">indicating the slot that the search space </w:t>
            </w:r>
            <w:r>
              <w:rPr>
                <w:b/>
                <w:i/>
                <w:lang w:eastAsia="zh-CN"/>
              </w:rPr>
              <w:t>exists</w:t>
            </w:r>
            <w:r>
              <w:rPr>
                <w:rFonts w:hint="eastAsia"/>
                <w:b/>
                <w:i/>
                <w:lang w:eastAsia="zh-CN"/>
              </w:rPr>
              <w:t xml:space="preserve"> within the multi-slot.</w:t>
            </w:r>
          </w:p>
          <w:p>
            <w:pPr>
              <w:pStyle w:val="30"/>
              <w:widowControl w:val="0"/>
              <w:rPr>
                <w:b/>
                <w:lang w:eastAsia="zh-CN"/>
              </w:rPr>
            </w:pPr>
          </w:p>
          <w:p>
            <w:pPr>
              <w:pStyle w:val="30"/>
              <w:widowControl w:val="0"/>
              <w:rPr>
                <w:lang w:eastAsia="zh-CN"/>
              </w:rPr>
            </w:pPr>
            <w:r>
              <w:rPr>
                <w:rFonts w:hint="eastAsia"/>
                <w:lang w:eastAsia="zh-CN"/>
              </w:rPr>
              <w:t>The s</w:t>
            </w:r>
            <w:r>
              <w:rPr>
                <w:lang w:eastAsia="zh-CN"/>
              </w:rPr>
              <w:t xml:space="preserve">earch space </w:t>
            </w:r>
            <w:r>
              <w:rPr>
                <w:rFonts w:hint="eastAsia"/>
                <w:lang w:eastAsia="zh-CN"/>
              </w:rPr>
              <w:t xml:space="preserve">group </w:t>
            </w:r>
            <w:r>
              <w:rPr>
                <w:lang w:eastAsia="zh-CN"/>
              </w:rPr>
              <w:t>set switching</w:t>
            </w:r>
            <w:r>
              <w:rPr>
                <w:rFonts w:hint="eastAsia"/>
                <w:lang w:eastAsia="zh-CN"/>
              </w:rPr>
              <w:t xml:space="preserve"> was introduced in Rel-16 NR-U with 15 kHz SCS, 30 kHz SCS and 30 kHz SCS for dynamic switching between different search </w:t>
            </w:r>
            <w:r>
              <w:rPr>
                <w:lang w:eastAsia="zh-CN"/>
              </w:rPr>
              <w:t>spaces</w:t>
            </w:r>
            <w:r>
              <w:rPr>
                <w:rFonts w:hint="eastAsia"/>
                <w:lang w:eastAsia="zh-CN"/>
              </w:rPr>
              <w:t>. Before the gNB obtains the COT, the frequent monitoring enable the gNB to transmit DCI as soon as possible if gNB</w:t>
            </w:r>
            <w:r>
              <w:rPr>
                <w:lang w:eastAsia="zh-CN"/>
              </w:rPr>
              <w:t>’</w:t>
            </w:r>
            <w:r>
              <w:rPr>
                <w:rFonts w:hint="eastAsia"/>
                <w:lang w:eastAsia="zh-CN"/>
              </w:rPr>
              <w:t>s LBT is successful. However, frequent monitoring is not conducive to power saving of the UE during the COT. When the s</w:t>
            </w:r>
            <w:r>
              <w:rPr>
                <w:lang w:eastAsia="zh-CN"/>
              </w:rPr>
              <w:t xml:space="preserve">earch space </w:t>
            </w:r>
            <w:r>
              <w:rPr>
                <w:rFonts w:hint="eastAsia"/>
                <w:lang w:eastAsia="zh-CN"/>
              </w:rPr>
              <w:t xml:space="preserve">group </w:t>
            </w:r>
            <w:r>
              <w:rPr>
                <w:lang w:eastAsia="zh-CN"/>
              </w:rPr>
              <w:t>set switching</w:t>
            </w:r>
            <w:r>
              <w:rPr>
                <w:rFonts w:hint="eastAsia"/>
                <w:lang w:eastAsia="zh-CN"/>
              </w:rPr>
              <w:t xml:space="preserve"> is </w:t>
            </w:r>
            <w:r>
              <w:rPr>
                <w:lang w:eastAsia="zh-CN"/>
              </w:rPr>
              <w:t>configured</w:t>
            </w:r>
            <w:r>
              <w:rPr>
                <w:rFonts w:hint="eastAsia"/>
                <w:lang w:eastAsia="zh-CN"/>
              </w:rPr>
              <w:t xml:space="preserve">, the gNB can indicate to UE switching between a search space with long </w:t>
            </w:r>
            <w:r>
              <w:rPr>
                <w:rFonts w:hint="eastAsia"/>
                <w:sz w:val="21"/>
                <w:lang w:eastAsia="zh-CN"/>
              </w:rPr>
              <w:t>periodicity</w:t>
            </w:r>
            <w:r>
              <w:rPr>
                <w:rFonts w:hint="eastAsia"/>
                <w:lang w:eastAsia="zh-CN"/>
              </w:rPr>
              <w:t xml:space="preserve"> and a search space with short </w:t>
            </w:r>
            <w:r>
              <w:rPr>
                <w:rFonts w:hint="eastAsia"/>
                <w:sz w:val="21"/>
                <w:lang w:eastAsia="zh-CN"/>
              </w:rPr>
              <w:t>periodicity to meet different scheduling requirements</w:t>
            </w:r>
            <w:r>
              <w:rPr>
                <w:sz w:val="21"/>
                <w:lang w:eastAsia="zh-CN"/>
              </w:rPr>
              <w:t xml:space="preserve">. </w:t>
            </w:r>
            <w:r>
              <w:rPr>
                <w:rFonts w:hint="eastAsia"/>
                <w:lang w:eastAsia="zh-CN"/>
              </w:rPr>
              <w:t>Therefore, we suggest the l</w:t>
            </w:r>
            <w:r>
              <w:rPr>
                <w:lang w:eastAsia="zh-CN"/>
              </w:rPr>
              <w:t xml:space="preserve">egacy SSSG switching mechanism </w:t>
            </w:r>
            <w:r>
              <w:rPr>
                <w:rFonts w:hint="eastAsia"/>
                <w:lang w:eastAsia="zh-CN"/>
              </w:rPr>
              <w:t xml:space="preserve">should </w:t>
            </w:r>
            <w:r>
              <w:rPr>
                <w:lang w:eastAsia="zh-CN"/>
              </w:rPr>
              <w:t>be reused for the 120 kHz SCS, 480 kHz SCS and 960 kHz SCS</w:t>
            </w:r>
            <w:r>
              <w:rPr>
                <w:rFonts w:hint="eastAsia"/>
                <w:lang w:eastAsia="zh-CN"/>
              </w:rPr>
              <w:t xml:space="preserve"> in 60GHz NR-U, as shown in </w:t>
            </w:r>
            <w:r>
              <w:rPr>
                <w:lang w:eastAsia="zh-CN"/>
              </w:rPr>
              <w:fldChar w:fldCharType="begin"/>
            </w:r>
            <w:r>
              <w:rPr>
                <w:lang w:eastAsia="zh-CN"/>
              </w:rPr>
              <w:instrText xml:space="preserve"> </w:instrText>
            </w:r>
            <w:r>
              <w:rPr>
                <w:rFonts w:hint="eastAsia"/>
                <w:lang w:eastAsia="zh-CN"/>
              </w:rPr>
              <w:instrText xml:space="preserve">REF _Ref78217153 \h</w:instrText>
            </w:r>
            <w:r>
              <w:rPr>
                <w:lang w:eastAsia="zh-CN"/>
              </w:rPr>
              <w:instrText xml:space="preserve"> </w:instrText>
            </w:r>
            <w:r>
              <w:rPr>
                <w:lang w:eastAsia="zh-CN"/>
              </w:rPr>
              <w:fldChar w:fldCharType="separate"/>
            </w:r>
            <w:r>
              <w:t>Figure 6</w:t>
            </w:r>
            <w:r>
              <w:rPr>
                <w:lang w:eastAsia="zh-CN"/>
              </w:rPr>
              <w:fldChar w:fldCharType="end"/>
            </w:r>
            <w:r>
              <w:rPr>
                <w:rFonts w:hint="eastAsia"/>
                <w:lang w:eastAsia="zh-CN"/>
              </w:rPr>
              <w:t>.</w:t>
            </w:r>
          </w:p>
          <w:p>
            <w:pPr>
              <w:pStyle w:val="30"/>
              <w:widowControl w:val="0"/>
              <w:rPr>
                <w:i/>
                <w:lang w:eastAsia="zh-CN"/>
              </w:rPr>
            </w:pPr>
            <w:r>
              <w:rPr>
                <w:rFonts w:hint="eastAsia"/>
                <w:b/>
                <w:i/>
                <w:lang w:eastAsia="zh-CN"/>
              </w:rPr>
              <w:t xml:space="preserve">Proposal 8: The </w:t>
            </w:r>
            <w:r>
              <w:rPr>
                <w:b/>
                <w:i/>
                <w:lang w:eastAsia="zh-CN"/>
              </w:rPr>
              <w:t xml:space="preserve">Legacy SSSG switching mechanism </w:t>
            </w:r>
            <w:r>
              <w:rPr>
                <w:rFonts w:hint="eastAsia"/>
                <w:b/>
                <w:i/>
                <w:lang w:eastAsia="zh-CN"/>
              </w:rPr>
              <w:t xml:space="preserve">should </w:t>
            </w:r>
            <w:r>
              <w:rPr>
                <w:b/>
                <w:i/>
                <w:lang w:eastAsia="zh-CN"/>
              </w:rPr>
              <w:t>be reused for the 120 kHz SCS, 480 kHz SCS and 960 kHz SCS</w:t>
            </w:r>
            <w:r>
              <w:rPr>
                <w:rFonts w:hint="eastAsia"/>
                <w:b/>
                <w:i/>
                <w:lang w:eastAsia="zh-CN"/>
              </w:rPr>
              <w:t xml:space="preserve"> in 60 GHz NR-U.</w:t>
            </w:r>
          </w:p>
          <w:p>
            <w:pPr>
              <w:pStyle w:val="30"/>
              <w:widowControl w:val="0"/>
              <w:tabs>
                <w:tab w:val="left" w:pos="8537"/>
              </w:tabs>
              <w:rPr>
                <w:lang w:eastAsia="zh-CN"/>
              </w:rPr>
            </w:pPr>
            <w:r>
              <w:rPr>
                <w:lang w:eastAsia="zh-CN"/>
              </w:rPr>
              <w:t>I</w:t>
            </w:r>
            <w:r>
              <w:rPr>
                <w:rFonts w:hint="eastAsia"/>
                <w:lang w:eastAsia="zh-CN"/>
              </w:rPr>
              <w:t xml:space="preserve">t has been agreed that </w:t>
            </w:r>
            <w:r>
              <w:rPr>
                <w:lang w:eastAsia="zh-CN"/>
              </w:rPr>
              <w:t>the BD/CCE budget</w:t>
            </w:r>
            <w:r>
              <w:rPr>
                <w:rFonts w:hint="eastAsia"/>
                <w:lang w:eastAsia="zh-CN"/>
              </w:rPr>
              <w:t xml:space="preserve"> for 120 kHz SCS in </w:t>
            </w:r>
            <w:r>
              <w:rPr>
                <w:lang w:eastAsia="zh-CN"/>
              </w:rPr>
              <w:t>52.6-71 GHz</w:t>
            </w:r>
            <w:r>
              <w:rPr>
                <w:rFonts w:hint="eastAsia"/>
                <w:lang w:eastAsia="zh-CN"/>
              </w:rPr>
              <w:t xml:space="preserve"> is the same as that for </w:t>
            </w:r>
            <w:r>
              <w:rPr>
                <w:lang w:eastAsia="zh-CN"/>
              </w:rPr>
              <w:t>120 kHz in FR2</w:t>
            </w:r>
            <w:r>
              <w:rPr>
                <w:rFonts w:hint="eastAsia"/>
                <w:lang w:eastAsia="zh-CN"/>
              </w:rPr>
              <w:t xml:space="preserve">. Thus, we believe 120 kHz SCS in </w:t>
            </w:r>
            <w:r>
              <w:rPr>
                <w:lang w:eastAsia="zh-CN"/>
              </w:rPr>
              <w:t>52.6-71 GHz</w:t>
            </w:r>
            <w:r>
              <w:rPr>
                <w:rFonts w:hint="eastAsia"/>
                <w:lang w:eastAsia="zh-CN"/>
              </w:rPr>
              <w:t xml:space="preserve"> </w:t>
            </w:r>
            <w:r>
              <w:rPr>
                <w:lang w:eastAsia="zh-CN"/>
              </w:rPr>
              <w:t>doesn’t</w:t>
            </w:r>
            <w:r>
              <w:rPr>
                <w:rFonts w:hint="eastAsia"/>
                <w:lang w:eastAsia="zh-CN"/>
              </w:rPr>
              <w:t xml:space="preserve"> support the monitoring capability of the span defined in Rel-16 just like </w:t>
            </w:r>
            <w:r>
              <w:rPr>
                <w:lang w:eastAsia="zh-CN"/>
              </w:rPr>
              <w:t>120 kHz in FR2</w:t>
            </w:r>
            <w:r>
              <w:rPr>
                <w:rFonts w:hint="eastAsia"/>
                <w:lang w:eastAsia="zh-CN"/>
              </w:rPr>
              <w:t xml:space="preserve">. The PDCCH monitoring </w:t>
            </w:r>
            <w:r>
              <w:rPr>
                <w:lang w:eastAsia="zh-CN"/>
              </w:rPr>
              <w:t>capability</w:t>
            </w:r>
            <w:r>
              <w:rPr>
                <w:rFonts w:hint="eastAsia"/>
                <w:lang w:eastAsia="zh-CN"/>
              </w:rPr>
              <w:t xml:space="preserve"> for 120 kHz SCS is the baseline for study of the PDCCH monitoring </w:t>
            </w:r>
            <w:r>
              <w:rPr>
                <w:lang w:eastAsia="zh-CN"/>
              </w:rPr>
              <w:t>capability</w:t>
            </w:r>
            <w:r>
              <w:rPr>
                <w:rFonts w:hint="eastAsia"/>
                <w:lang w:eastAsia="zh-CN"/>
              </w:rPr>
              <w:t xml:space="preserve"> for 480 kHz SCS and 960 kHz SCS. The motivation to </w:t>
            </w:r>
            <w:r>
              <w:rPr>
                <w:lang w:eastAsia="zh-CN"/>
              </w:rPr>
              <w:t>support</w:t>
            </w:r>
            <w:r>
              <w:rPr>
                <w:rFonts w:hint="eastAsia"/>
                <w:lang w:eastAsia="zh-CN"/>
              </w:rPr>
              <w:t xml:space="preserve"> single slot PDCCH </w:t>
            </w:r>
            <w:r>
              <w:rPr>
                <w:lang w:eastAsia="zh-CN"/>
              </w:rPr>
              <w:t>monitoring</w:t>
            </w:r>
            <w:r>
              <w:rPr>
                <w:rFonts w:hint="eastAsia"/>
                <w:lang w:eastAsia="zh-CN"/>
              </w:rPr>
              <w:t xml:space="preserve"> </w:t>
            </w:r>
            <w:r>
              <w:rPr>
                <w:lang w:eastAsia="zh-CN"/>
              </w:rPr>
              <w:t>capability</w:t>
            </w:r>
            <w:r>
              <w:rPr>
                <w:rFonts w:hint="eastAsia"/>
                <w:lang w:eastAsia="zh-CN"/>
              </w:rPr>
              <w:t xml:space="preserve"> for 480 kHz SCS and 960 kHz SCS out of the COT is not clear. It is not necessary to enhance t</w:t>
            </w:r>
            <w:r>
              <w:rPr>
                <w:lang w:eastAsia="zh-CN"/>
              </w:rPr>
              <w:t>he SSSG switching</w:t>
            </w:r>
            <w:r>
              <w:rPr>
                <w:rFonts w:hint="eastAsia"/>
                <w:lang w:eastAsia="zh-CN"/>
              </w:rPr>
              <w:t xml:space="preserve"> to support dynamic </w:t>
            </w:r>
            <w:r>
              <w:rPr>
                <w:lang w:eastAsia="zh-CN"/>
              </w:rPr>
              <w:t>switching between single slot PDCCH capability and multi-slot PDCCH capability</w:t>
            </w:r>
            <w:r>
              <w:rPr>
                <w:rFonts w:hint="eastAsia"/>
                <w:lang w:eastAsia="zh-CN"/>
              </w:rPr>
              <w:t xml:space="preserve"> for 480 kHz SCS and 960 kHz SCS.</w:t>
            </w:r>
          </w:p>
          <w:p>
            <w:pPr>
              <w:pStyle w:val="30"/>
              <w:widowControl w:val="0"/>
              <w:rPr>
                <w:b/>
                <w:i/>
                <w:lang w:eastAsia="zh-CN"/>
              </w:rPr>
            </w:pPr>
            <w:r>
              <w:rPr>
                <w:b/>
                <w:i/>
                <w:lang w:eastAsia="zh-CN"/>
              </w:rPr>
              <w:t>Proposal</w:t>
            </w:r>
            <w:r>
              <w:rPr>
                <w:rFonts w:hint="eastAsia"/>
                <w:b/>
                <w:i/>
                <w:lang w:eastAsia="zh-CN"/>
              </w:rPr>
              <w:t xml:space="preserve"> 9</w:t>
            </w:r>
            <w:r>
              <w:rPr>
                <w:b/>
                <w:i/>
                <w:lang w:eastAsia="zh-CN"/>
              </w:rPr>
              <w:t xml:space="preserve">: SSSG switching is not required to be enhanced to support the switching between </w:t>
            </w:r>
            <w:r>
              <w:rPr>
                <w:rFonts w:hint="eastAsia"/>
                <w:b/>
                <w:i/>
                <w:lang w:eastAsia="zh-CN"/>
              </w:rPr>
              <w:t>single slot PDCCH capability and multi-slot PDCCH capability 480 kHz SCS and 960 kHz SCS</w:t>
            </w:r>
            <w:r>
              <w:rPr>
                <w:b/>
                <w:i/>
                <w:lang w:eastAsia="zh-CN"/>
              </w:rPr>
              <w:t>.</w:t>
            </w:r>
          </w:p>
          <w:p>
            <w:pPr>
              <w:pStyle w:val="30"/>
              <w:widowControl/>
              <w:rPr>
                <w:b/>
                <w:lang w:eastAsia="zh-CN"/>
              </w:rPr>
            </w:pPr>
          </w:p>
        </w:tc>
      </w:tr>
    </w:tbl>
    <w:p>
      <w:pPr>
        <w:pStyle w:val="4"/>
        <w:jc w:val="both"/>
        <w:rPr>
          <w:lang w:val="en-GB" w:eastAsia="zh-CN"/>
        </w:rPr>
      </w:pPr>
      <w:r>
        <w:rPr>
          <w:lang w:val="en-GB" w:eastAsia="zh-CN"/>
        </w:rPr>
        <w:t>R1-2109402 (Xiaomi)</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jc w:val="both"/>
              <w:rPr>
                <w:lang w:eastAsia="zh-CN"/>
              </w:rPr>
            </w:pPr>
            <w:r>
              <w:rPr>
                <w:lang w:eastAsia="zh-CN"/>
              </w:rPr>
              <w:t xml:space="preserve">How to make sure the CSS, especially for CSS </w:t>
            </w:r>
            <w:r>
              <w:rPr>
                <w:rFonts w:hint="eastAsia"/>
                <w:lang w:eastAsia="zh-CN"/>
              </w:rPr>
              <w:t>before</w:t>
            </w:r>
            <w:r>
              <w:rPr>
                <w:lang w:eastAsia="zh-CN"/>
              </w:rPr>
              <w:t xml:space="preserve"> RRC </w:t>
            </w:r>
            <w:r>
              <w:rPr>
                <w:rFonts w:hint="eastAsia"/>
                <w:lang w:eastAsia="zh-CN"/>
              </w:rPr>
              <w:t>connection,</w:t>
            </w:r>
            <w:r>
              <w:rPr>
                <w:lang w:eastAsia="zh-CN"/>
              </w:rPr>
              <w:t xml:space="preserve"> fall into the Y monitoring occasion as defined by (X/Y) in Alt 1/Alt 2 </w:t>
            </w:r>
            <w:r>
              <w:rPr>
                <w:rFonts w:hint="eastAsia"/>
                <w:lang w:eastAsia="zh-CN"/>
              </w:rPr>
              <w:t>has</w:t>
            </w:r>
            <w:r>
              <w:rPr>
                <w:lang w:eastAsia="zh-CN"/>
              </w:rPr>
              <w:t xml:space="preserve"> been extensively discussed in last meeting</w:t>
            </w:r>
            <w:r>
              <w:rPr>
                <w:rFonts w:hint="eastAsia"/>
                <w:lang w:eastAsia="zh-CN"/>
              </w:rPr>
              <w:t>.</w:t>
            </w:r>
            <w:r>
              <w:rPr>
                <w:lang w:eastAsia="zh-CN"/>
              </w:rPr>
              <w:t xml:space="preserve"> From our view the first thing that needs to considered is, whether multi-slot PDCCH monitoring capability is a mandatory capability that should be applied for RRC idle mode, or it is just a capability applied for RRC connected mode. </w:t>
            </w:r>
          </w:p>
          <w:p>
            <w:pPr>
              <w:widowControl w:val="0"/>
              <w:jc w:val="both"/>
              <w:rPr>
                <w:lang w:eastAsia="zh-CN"/>
              </w:rPr>
            </w:pPr>
            <w:r>
              <w:rPr>
                <w:lang w:eastAsia="zh-CN"/>
              </w:rPr>
              <w:t xml:space="preserve">A similar PDCCH symbol-level PDCCH monitoring span has been discussed </w:t>
            </w:r>
            <w:r>
              <w:rPr>
                <w:rFonts w:hint="eastAsia"/>
                <w:lang w:eastAsia="zh-CN"/>
              </w:rPr>
              <w:t>and</w:t>
            </w:r>
            <w:r>
              <w:rPr>
                <w:lang w:eastAsia="zh-CN"/>
              </w:rPr>
              <w:t xml:space="preserve"> </w:t>
            </w:r>
            <w:r>
              <w:rPr>
                <w:rFonts w:hint="eastAsia"/>
                <w:lang w:eastAsia="zh-CN"/>
              </w:rPr>
              <w:t>introduced</w:t>
            </w:r>
            <w:r>
              <w:rPr>
                <w:lang w:eastAsia="zh-CN"/>
              </w:rPr>
              <w:t xml:space="preserve"> in R16 URLLC</w:t>
            </w:r>
            <w:r>
              <w:rPr>
                <w:rFonts w:hint="eastAsia"/>
                <w:lang w:eastAsia="zh-CN"/>
              </w:rPr>
              <w:t>.</w:t>
            </w:r>
            <w:r>
              <w:rPr>
                <w:lang w:eastAsia="zh-CN"/>
              </w:rPr>
              <w:t xml:space="preserve"> And in that WI, R15 </w:t>
            </w:r>
            <w:r>
              <w:rPr>
                <w:rFonts w:hint="eastAsia"/>
                <w:lang w:eastAsia="zh-CN"/>
              </w:rPr>
              <w:t>slot</w:t>
            </w:r>
            <w:r>
              <w:rPr>
                <w:lang w:eastAsia="zh-CN"/>
              </w:rPr>
              <w:t xml:space="preserve"> </w:t>
            </w:r>
            <w:r>
              <w:rPr>
                <w:rFonts w:hint="eastAsia"/>
                <w:lang w:eastAsia="zh-CN"/>
              </w:rPr>
              <w:t>level</w:t>
            </w:r>
            <w:r>
              <w:rPr>
                <w:lang w:eastAsia="zh-CN"/>
              </w:rPr>
              <w:t xml:space="preserve"> PDCCH </w:t>
            </w:r>
            <w:r>
              <w:rPr>
                <w:rFonts w:hint="eastAsia"/>
                <w:lang w:eastAsia="zh-CN"/>
              </w:rPr>
              <w:t>monitoring</w:t>
            </w:r>
            <w:r>
              <w:rPr>
                <w:lang w:eastAsia="zh-CN"/>
              </w:rPr>
              <w:t xml:space="preserve"> </w:t>
            </w:r>
            <w:r>
              <w:rPr>
                <w:rFonts w:hint="eastAsia"/>
                <w:lang w:eastAsia="zh-CN"/>
              </w:rPr>
              <w:t>capability</w:t>
            </w:r>
            <w:r>
              <w:rPr>
                <w:lang w:eastAsia="zh-CN"/>
              </w:rPr>
              <w:t xml:space="preserve"> </w:t>
            </w:r>
            <w:r>
              <w:rPr>
                <w:rFonts w:hint="eastAsia"/>
                <w:lang w:eastAsia="zh-CN"/>
              </w:rPr>
              <w:t>is</w:t>
            </w:r>
            <w:r>
              <w:rPr>
                <w:lang w:eastAsia="zh-CN"/>
              </w:rPr>
              <w:t xml:space="preserve"> </w:t>
            </w:r>
            <w:r>
              <w:rPr>
                <w:rFonts w:hint="eastAsia"/>
                <w:lang w:eastAsia="zh-CN"/>
              </w:rPr>
              <w:t>a</w:t>
            </w:r>
            <w:r>
              <w:rPr>
                <w:lang w:eastAsia="zh-CN"/>
              </w:rPr>
              <w:t xml:space="preserve"> mandatory capability that should be applied in RRC idle mode, and if UE is configured with </w:t>
            </w:r>
            <w:r>
              <w:rPr>
                <w:i/>
              </w:rPr>
              <w:t>r16monitoringcapability</w:t>
            </w:r>
            <w:r>
              <w:rPr>
                <w:lang w:eastAsia="zh-CN"/>
              </w:rPr>
              <w:t>, UE will apply symbol-level span PDCCH monitoring capability, which is only possible in RRC connected mode. And in this case, how to guarantee CSS, especially CSS before RRC connection, and USS fall into the PDCCH monitoring span is up to gNB implementation.</w:t>
            </w:r>
          </w:p>
          <w:p>
            <w:pPr>
              <w:widowControl w:val="0"/>
              <w:jc w:val="both"/>
              <w:rPr>
                <w:lang w:eastAsia="zh-CN"/>
              </w:rPr>
            </w:pPr>
            <w:r>
              <w:rPr>
                <w:lang w:eastAsia="zh-CN"/>
              </w:rPr>
              <w:t>I</w:t>
            </w:r>
            <w:r>
              <w:rPr>
                <w:rFonts w:hint="eastAsia"/>
                <w:lang w:eastAsia="zh-CN"/>
              </w:rPr>
              <w:t>f</w:t>
            </w:r>
            <w:r>
              <w:rPr>
                <w:lang w:eastAsia="zh-CN"/>
              </w:rPr>
              <w:t xml:space="preserve"> </w:t>
            </w:r>
            <w:r>
              <w:rPr>
                <w:rFonts w:hint="eastAsia"/>
                <w:lang w:eastAsia="zh-CN"/>
              </w:rPr>
              <w:t>w</w:t>
            </w:r>
            <w:r>
              <w:rPr>
                <w:lang w:eastAsia="zh-CN"/>
              </w:rPr>
              <w:t>e determine that multi-slot PDCCH monitoring capability is a capability that only can be used after corresponding UE capability reporting and gNB configuration, that is multi-slot PDCCH monitoring capability is only for RRC connected, then for RRC idle mode, UE should apply single-slot PDCCH monitoring similar as in R15, which we slightly prefer, since it is easy to guarantee CSS reception by single-slot PDCCH monitoring.</w:t>
            </w:r>
          </w:p>
          <w:p>
            <w:pPr>
              <w:widowControl w:val="0"/>
              <w:jc w:val="both"/>
              <w:rPr>
                <w:lang w:eastAsia="zh-CN"/>
              </w:rPr>
            </w:pPr>
            <w:r>
              <w:rPr>
                <w:b/>
                <w:i/>
                <w:lang w:eastAsia="zh-CN"/>
              </w:rPr>
              <w:t xml:space="preserve">Proposal 3: RAN1 needs to decide whether multi-slot PDCCH monitoring capability is mandatory applied </w:t>
            </w:r>
            <w:r>
              <w:rPr>
                <w:rFonts w:hint="eastAsia"/>
                <w:b/>
                <w:i/>
                <w:lang w:eastAsia="zh-CN"/>
              </w:rPr>
              <w:t>in</w:t>
            </w:r>
            <w:r>
              <w:rPr>
                <w:b/>
                <w:i/>
                <w:lang w:eastAsia="zh-CN"/>
              </w:rPr>
              <w:t xml:space="preserve"> RRC idle mode. If not, single-slot PDCCH monitoring capability, which is quite easy to handle CSS receiving, should be defined for NR 52.6-71GHz.</w:t>
            </w:r>
          </w:p>
          <w:p>
            <w:pPr>
              <w:widowControl w:val="0"/>
              <w:jc w:val="both"/>
              <w:rPr>
                <w:lang w:eastAsia="zh-CN"/>
              </w:rPr>
            </w:pPr>
            <w:r>
              <w:rPr>
                <w:lang w:eastAsia="zh-CN"/>
              </w:rPr>
              <w:t xml:space="preserve">If we determine that multi-slot PDCCH monitoring capability is mandatory for RRC idle, then a suitable mandatory multi-slot PDCCH monitoring pattern should be designed to guarantee Type #0/0-A/1/2 CSS </w:t>
            </w:r>
            <w:r>
              <w:rPr>
                <w:rFonts w:hint="eastAsia"/>
                <w:lang w:eastAsia="zh-CN"/>
              </w:rPr>
              <w:t>reception</w:t>
            </w:r>
            <w:r>
              <w:rPr>
                <w:lang w:eastAsia="zh-CN"/>
              </w:rPr>
              <w:t xml:space="preserve"> in the first place. Take Type #0 CSS </w:t>
            </w:r>
            <w:r>
              <w:rPr>
                <w:rFonts w:hint="eastAsia"/>
                <w:lang w:eastAsia="zh-CN"/>
              </w:rPr>
              <w:t>as</w:t>
            </w:r>
            <w:r>
              <w:rPr>
                <w:lang w:eastAsia="zh-CN"/>
              </w:rPr>
              <w:t xml:space="preserve"> an example,</w:t>
            </w:r>
            <w:r>
              <w:rPr>
                <w:rFonts w:hint="eastAsia"/>
                <w:lang w:eastAsia="zh-CN"/>
              </w:rPr>
              <w:t xml:space="preserve"> SSB/corset 0 multiplexing pattern 1</w:t>
            </w:r>
            <w:r>
              <w:rPr>
                <w:lang w:eastAsia="zh-CN"/>
              </w:rPr>
              <w:t>,</w:t>
            </w:r>
            <w:r>
              <w:rPr>
                <w:rFonts w:hint="eastAsia"/>
                <w:lang w:eastAsia="zh-CN"/>
              </w:rPr>
              <w:t xml:space="preserve"> index=4</w:t>
            </w:r>
            <w:r>
              <w:rPr>
                <w:lang w:eastAsia="zh-CN"/>
              </w:rPr>
              <w:t xml:space="preserve"> of the </w:t>
            </w:r>
            <w:r>
              <w:rPr>
                <w:rFonts w:hint="eastAsia"/>
                <w:lang w:eastAsia="zh-CN"/>
              </w:rPr>
              <w:t>Table 13-11</w:t>
            </w:r>
            <w:r>
              <w:rPr>
                <w:lang w:eastAsia="zh-CN"/>
              </w:rPr>
              <w:t xml:space="preserve"> TS 38.213, total SSB number is 8, 15KHz SCS for CORESET 0 with 2 symbol length. The time domain location of Type #0 CSS </w:t>
            </w:r>
            <w:r>
              <w:rPr>
                <w:rFonts w:hint="eastAsia"/>
                <w:lang w:eastAsia="zh-CN"/>
              </w:rPr>
              <w:t>corresponding</w:t>
            </w:r>
            <w:r>
              <w:rPr>
                <w:lang w:eastAsia="zh-CN"/>
              </w:rPr>
              <w:t xml:space="preserve"> </w:t>
            </w:r>
            <w:r>
              <w:rPr>
                <w:rFonts w:hint="eastAsia"/>
                <w:lang w:eastAsia="zh-CN"/>
              </w:rPr>
              <w:t>to</w:t>
            </w:r>
            <w:r>
              <w:rPr>
                <w:lang w:eastAsia="zh-CN"/>
              </w:rPr>
              <w:t xml:space="preserve"> each SSB are,</w:t>
            </w:r>
          </w:p>
          <w:p>
            <w:pPr>
              <w:widowControl w:val="0"/>
              <w:jc w:val="both"/>
              <w:rPr>
                <w:lang w:eastAsia="zh-CN"/>
              </w:rPr>
            </w:pPr>
            <w:r>
              <w:rPr>
                <w:rFonts w:hint="eastAsia"/>
                <w:lang w:eastAsia="zh-CN"/>
              </w:rPr>
              <w:t>S</w:t>
            </w:r>
            <w:r>
              <w:rPr>
                <w:lang w:eastAsia="zh-CN"/>
              </w:rPr>
              <w:t>SB 0: symbol 0/1 on slot 5, 6 of even SFN</w:t>
            </w:r>
          </w:p>
          <w:p>
            <w:pPr>
              <w:widowControl w:val="0"/>
              <w:jc w:val="both"/>
              <w:rPr>
                <w:lang w:eastAsia="zh-CN"/>
              </w:rPr>
            </w:pPr>
            <w:r>
              <w:rPr>
                <w:rFonts w:hint="eastAsia"/>
                <w:lang w:eastAsia="zh-CN"/>
              </w:rPr>
              <w:t>S</w:t>
            </w:r>
            <w:r>
              <w:rPr>
                <w:lang w:eastAsia="zh-CN"/>
              </w:rPr>
              <w:t>SB 1: symbol 0/1 on slot 6, 7 of even SFN</w:t>
            </w:r>
          </w:p>
          <w:p>
            <w:pPr>
              <w:widowControl w:val="0"/>
              <w:jc w:val="both"/>
              <w:rPr>
                <w:lang w:eastAsia="zh-CN"/>
              </w:rPr>
            </w:pPr>
            <w:r>
              <w:rPr>
                <w:rFonts w:hint="eastAsia"/>
                <w:lang w:eastAsia="zh-CN"/>
              </w:rPr>
              <w:t>S</w:t>
            </w:r>
            <w:r>
              <w:rPr>
                <w:lang w:eastAsia="zh-CN"/>
              </w:rPr>
              <w:t>SB 2: symbol 0/1 on slot 7, 8 of even SFN</w:t>
            </w:r>
          </w:p>
          <w:p>
            <w:pPr>
              <w:widowControl w:val="0"/>
              <w:jc w:val="both"/>
              <w:rPr>
                <w:lang w:eastAsia="zh-CN"/>
              </w:rPr>
            </w:pPr>
            <w:r>
              <w:rPr>
                <w:rFonts w:hint="eastAsia"/>
                <w:lang w:eastAsia="zh-CN"/>
              </w:rPr>
              <w:t>S</w:t>
            </w:r>
            <w:r>
              <w:rPr>
                <w:lang w:eastAsia="zh-CN"/>
              </w:rPr>
              <w:t>SB 3: symbol 0/1 on slot 8, 9 of even SFN</w:t>
            </w:r>
          </w:p>
          <w:p>
            <w:pPr>
              <w:widowControl w:val="0"/>
              <w:jc w:val="both"/>
              <w:rPr>
                <w:lang w:eastAsia="zh-CN"/>
              </w:rPr>
            </w:pPr>
            <w:r>
              <w:rPr>
                <w:rFonts w:hint="eastAsia"/>
                <w:lang w:eastAsia="zh-CN"/>
              </w:rPr>
              <w:t>S</w:t>
            </w:r>
            <w:r>
              <w:rPr>
                <w:lang w:eastAsia="zh-CN"/>
              </w:rPr>
              <w:t>SB 4: symbol 0/1 on slot 9 of even SFN and symbol 0/1 on slot 0 of odd SFN</w:t>
            </w:r>
          </w:p>
          <w:p>
            <w:pPr>
              <w:widowControl w:val="0"/>
              <w:jc w:val="both"/>
              <w:rPr>
                <w:lang w:eastAsia="zh-CN"/>
              </w:rPr>
            </w:pPr>
            <w:r>
              <w:rPr>
                <w:rFonts w:hint="eastAsia"/>
                <w:lang w:eastAsia="zh-CN"/>
              </w:rPr>
              <w:t>S</w:t>
            </w:r>
            <w:r>
              <w:rPr>
                <w:lang w:eastAsia="zh-CN"/>
              </w:rPr>
              <w:t>SB 5: symbol 0/1 on slot 0, 1 of odd SFN</w:t>
            </w:r>
          </w:p>
          <w:p>
            <w:pPr>
              <w:widowControl w:val="0"/>
              <w:jc w:val="both"/>
              <w:rPr>
                <w:lang w:eastAsia="zh-CN"/>
              </w:rPr>
            </w:pPr>
            <w:r>
              <w:rPr>
                <w:rFonts w:hint="eastAsia"/>
                <w:lang w:eastAsia="zh-CN"/>
              </w:rPr>
              <w:t>S</w:t>
            </w:r>
            <w:r>
              <w:rPr>
                <w:lang w:eastAsia="zh-CN"/>
              </w:rPr>
              <w:t>SB 6: symbol 0/1 on slot 1, 2 of odd SFN</w:t>
            </w:r>
          </w:p>
          <w:p>
            <w:pPr>
              <w:widowControl w:val="0"/>
              <w:jc w:val="both"/>
              <w:rPr>
                <w:lang w:eastAsia="zh-CN"/>
              </w:rPr>
            </w:pPr>
            <w:r>
              <w:rPr>
                <w:rFonts w:hint="eastAsia"/>
                <w:lang w:eastAsia="zh-CN"/>
              </w:rPr>
              <w:t>S</w:t>
            </w:r>
            <w:r>
              <w:rPr>
                <w:lang w:eastAsia="zh-CN"/>
              </w:rPr>
              <w:t>SB 7: symbol 0/1 on slot 2, 3 of odd SFN</w:t>
            </w:r>
          </w:p>
          <w:p>
            <w:pPr>
              <w:widowControl w:val="0"/>
              <w:jc w:val="both"/>
              <w:rPr>
                <w:lang w:eastAsia="zh-CN"/>
              </w:rPr>
            </w:pPr>
            <w:r>
              <w:rPr>
                <w:lang w:eastAsia="zh-CN"/>
              </w:rPr>
              <w:t xml:space="preserve">It can be seen that on different SSB beams, Type #0 CSS is scattered on almost every slot within a frame. To make sure an idle UE can monitor Type #0 CSS on any SSB beam, the location of Y slots should be floating. So in Alt 1 with a floating Y, or Alt 2 </w:t>
            </w:r>
            <w:r>
              <w:rPr>
                <w:rFonts w:hint="eastAsia"/>
                <w:lang w:eastAsia="zh-CN"/>
              </w:rPr>
              <w:t xml:space="preserve">can </w:t>
            </w:r>
            <w:r>
              <w:rPr>
                <w:lang w:eastAsia="zh-CN"/>
              </w:rPr>
              <w:t>be adopted for receiving CSS in idle mode.</w:t>
            </w:r>
          </w:p>
          <w:p>
            <w:pPr>
              <w:widowControl w:val="0"/>
              <w:jc w:val="both"/>
              <w:rPr>
                <w:lang w:eastAsia="zh-CN"/>
              </w:rPr>
            </w:pPr>
            <w:r>
              <w:rPr>
                <w:b/>
                <w:i/>
                <w:lang w:eastAsia="zh-CN"/>
              </w:rPr>
              <w:t xml:space="preserve">Proposal 4: If to apply multi-slot PDCCH monitoring capability in RRC idle mode, the location of Y slots should </w:t>
            </w:r>
            <w:r>
              <w:rPr>
                <w:rFonts w:hint="eastAsia"/>
                <w:b/>
                <w:i/>
                <w:lang w:eastAsia="zh-CN"/>
              </w:rPr>
              <w:t>not</w:t>
            </w:r>
            <w:r>
              <w:rPr>
                <w:b/>
                <w:i/>
                <w:lang w:eastAsia="zh-CN"/>
              </w:rPr>
              <w:t xml:space="preserve"> </w:t>
            </w:r>
            <w:r>
              <w:rPr>
                <w:rFonts w:hint="eastAsia"/>
                <w:b/>
                <w:i/>
                <w:lang w:eastAsia="zh-CN"/>
              </w:rPr>
              <w:t>be</w:t>
            </w:r>
            <w:r>
              <w:rPr>
                <w:b/>
                <w:i/>
                <w:lang w:eastAsia="zh-CN"/>
              </w:rPr>
              <w:t xml:space="preserve"> in fixed location within X slot-group.</w:t>
            </w:r>
            <w:r>
              <w:t xml:space="preserve"> </w:t>
            </w:r>
            <w:r>
              <w:rPr>
                <w:b/>
                <w:i/>
                <w:lang w:eastAsia="zh-CN"/>
              </w:rPr>
              <w:t>Alt 1 with a floating Y, or Alt 2 can be adopted at least for receiving CSS in idle mode.</w:t>
            </w:r>
          </w:p>
          <w:p>
            <w:pPr>
              <w:widowControl w:val="0"/>
              <w:jc w:val="both"/>
              <w:rPr>
                <w:lang w:eastAsia="zh-CN"/>
              </w:rPr>
            </w:pPr>
            <w:r>
              <w:rPr>
                <w:lang w:eastAsia="zh-CN"/>
              </w:rPr>
              <w:t xml:space="preserve">In RRC connected mode, USS and some CSS will be configured in addition to the already existed Type #0/0-A/1/2 CSS. To make sure that UE can monitor USS/CSS in the Y slots within X </w:t>
            </w:r>
            <w:r>
              <w:rPr>
                <w:rFonts w:hint="eastAsia"/>
                <w:lang w:eastAsia="zh-CN"/>
              </w:rPr>
              <w:t>slot-group</w:t>
            </w:r>
            <w:r>
              <w:rPr>
                <w:lang w:eastAsia="zh-CN"/>
              </w:rPr>
              <w:t>(or at least X slot-group in Alt 2)</w:t>
            </w:r>
            <w:r>
              <w:rPr>
                <w:rFonts w:hint="eastAsia"/>
                <w:lang w:eastAsia="zh-CN"/>
              </w:rPr>
              <w:t>,</w:t>
            </w:r>
            <w:r>
              <w:rPr>
                <w:lang w:eastAsia="zh-CN"/>
              </w:rPr>
              <w:t xml:space="preserve"> USS</w:t>
            </w:r>
            <w:r>
              <w:rPr>
                <w:rFonts w:hint="eastAsia"/>
                <w:lang w:eastAsia="zh-CN"/>
              </w:rPr>
              <w:t>/</w:t>
            </w:r>
            <w:r>
              <w:rPr>
                <w:lang w:eastAsia="zh-CN"/>
              </w:rPr>
              <w:t>CSS should have harmonized periodicity, that is the periodicity of USS</w:t>
            </w:r>
            <w:r>
              <w:rPr>
                <w:rFonts w:hint="eastAsia"/>
                <w:lang w:eastAsia="zh-CN"/>
              </w:rPr>
              <w:t>/</w:t>
            </w:r>
            <w:r>
              <w:rPr>
                <w:lang w:eastAsia="zh-CN"/>
              </w:rPr>
              <w:t>configured CSS is integer factor or multiple of the periodicity of Type #0/0-A/1/2 CSS. That means, the configuration of USS/CSS should be based on the Type #0/0-A/1/2 CSS, a</w:t>
            </w:r>
            <w:r>
              <w:rPr>
                <w:rFonts w:hint="eastAsia"/>
                <w:lang w:eastAsia="zh-CN"/>
              </w:rPr>
              <w:t>s</w:t>
            </w:r>
            <w:r>
              <w:rPr>
                <w:lang w:eastAsia="zh-CN"/>
              </w:rPr>
              <w:t xml:space="preserve"> shown in Fig 2.</w:t>
            </w:r>
          </w:p>
          <w:p>
            <w:pPr>
              <w:widowControl w:val="0"/>
              <w:jc w:val="both"/>
              <w:rPr>
                <w:lang w:eastAsia="zh-CN"/>
              </w:rPr>
            </w:pPr>
            <w:r>
              <w:rPr>
                <w:b/>
                <w:i/>
                <w:lang w:eastAsia="zh-CN"/>
              </w:rPr>
              <w:t>Proposal 5:  To make sure USS/CSS can fall into Y slots, the periodicity of USS/configured CSS should be integer factor or multiple of the periodicity of Type #0/0-A/1/2 CSS.</w:t>
            </w:r>
          </w:p>
          <w:p>
            <w:pPr>
              <w:widowControl w:val="0"/>
              <w:jc w:val="center"/>
            </w:pPr>
            <w:r>
              <w:object>
                <v:shape id="_x0000_i1032" o:spt="75" type="#_x0000_t75" style="height:108.85pt;width:498.2pt;" o:ole="t" filled="f" o:preferrelative="t" stroked="f" coordsize="21600,21600">
                  <v:path/>
                  <v:fill on="f" focussize="0,0"/>
                  <v:stroke on="f" joinstyle="miter"/>
                  <v:imagedata r:id="rId31" o:title=""/>
                  <o:lock v:ext="edit" aspectratio="t"/>
                  <w10:wrap type="none"/>
                  <w10:anchorlock/>
                </v:shape>
                <o:OLEObject Type="Embed" ProgID="Visio.Drawing.15" ShapeID="_x0000_i1032" DrawAspect="Content" ObjectID="_1468075732" r:id="rId30">
                  <o:LockedField>false</o:LockedField>
                </o:OLEObject>
              </w:object>
            </w:r>
          </w:p>
          <w:p>
            <w:pPr>
              <w:widowControl w:val="0"/>
              <w:jc w:val="center"/>
            </w:pPr>
            <w:r>
              <w:t>Fig 2</w:t>
            </w:r>
            <w:r>
              <w:rPr>
                <w:rFonts w:hint="eastAsia"/>
                <w:lang w:eastAsia="zh-CN"/>
              </w:rPr>
              <w:t>.</w:t>
            </w:r>
            <w:r>
              <w:t xml:space="preserve"> </w:t>
            </w:r>
            <w:r>
              <w:rPr>
                <w:lang w:eastAsia="zh-CN"/>
              </w:rPr>
              <w:t>USS</w:t>
            </w:r>
            <w:r>
              <w:rPr>
                <w:rFonts w:hint="eastAsia"/>
                <w:lang w:eastAsia="zh-CN"/>
              </w:rPr>
              <w:t>/</w:t>
            </w:r>
            <w:r>
              <w:rPr>
                <w:lang w:eastAsia="zh-CN"/>
              </w:rPr>
              <w:t>CSS with harmonized periodicity</w:t>
            </w:r>
          </w:p>
          <w:p>
            <w:pPr>
              <w:widowControl w:val="0"/>
              <w:jc w:val="both"/>
              <w:rPr>
                <w:lang w:eastAsia="zh-CN"/>
              </w:rPr>
            </w:pPr>
            <w:r>
              <w:rPr>
                <w:lang w:eastAsia="zh-CN"/>
              </w:rPr>
              <w:t xml:space="preserve">But only harmonized SS configuration is not enough, it also depends on the value of (X/Y) to decide whether USS/CSS can fall into the Y slots. If Alt 1 is adopted, to guarantee CSS/USS </w:t>
            </w:r>
            <w:r>
              <w:rPr>
                <w:rFonts w:hint="eastAsia"/>
                <w:lang w:eastAsia="zh-CN"/>
              </w:rPr>
              <w:t>monitoring</w:t>
            </w:r>
            <w:r>
              <w:rPr>
                <w:lang w:eastAsia="zh-CN"/>
              </w:rPr>
              <w:t xml:space="preserve"> </w:t>
            </w:r>
            <w:r>
              <w:rPr>
                <w:rFonts w:hint="eastAsia"/>
                <w:lang w:eastAsia="zh-CN"/>
              </w:rPr>
              <w:t>as</w:t>
            </w:r>
            <w:r>
              <w:rPr>
                <w:lang w:eastAsia="zh-CN"/>
              </w:rPr>
              <w:t xml:space="preserve"> shown in </w:t>
            </w:r>
            <w:r>
              <w:rPr>
                <w:rFonts w:hint="eastAsia"/>
                <w:lang w:eastAsia="zh-CN"/>
              </w:rPr>
              <w:t>Fig</w:t>
            </w:r>
            <w:r>
              <w:rPr>
                <w:lang w:eastAsia="zh-CN"/>
              </w:rPr>
              <w:t xml:space="preserve"> 2, X should be equal to the minimum SS periodicity, that is X=5. And a fixed pattern (5/3) will be feasible. But if X is not equal to the minimum SS periodicity, for example, X=4, t</w:t>
            </w:r>
            <w:r>
              <w:rPr>
                <w:rFonts w:hint="eastAsia"/>
                <w:lang w:eastAsia="zh-CN"/>
              </w:rPr>
              <w:t>hen</w:t>
            </w:r>
            <w:r>
              <w:rPr>
                <w:lang w:eastAsia="zh-CN"/>
              </w:rPr>
              <w:t xml:space="preserve"> a floating Y will be needed. I</w:t>
            </w:r>
            <w:r>
              <w:rPr>
                <w:rFonts w:hint="eastAsia"/>
                <w:lang w:eastAsia="zh-CN"/>
              </w:rPr>
              <w:t>f</w:t>
            </w:r>
            <w:r>
              <w:rPr>
                <w:lang w:eastAsia="zh-CN"/>
              </w:rPr>
              <w:t xml:space="preserve"> </w:t>
            </w:r>
            <w:r>
              <w:rPr>
                <w:rFonts w:hint="eastAsia"/>
                <w:lang w:eastAsia="zh-CN"/>
              </w:rPr>
              <w:t>Alt</w:t>
            </w:r>
            <w:r>
              <w:rPr>
                <w:lang w:eastAsia="zh-CN"/>
              </w:rPr>
              <w:t xml:space="preserve"> 2 </w:t>
            </w:r>
            <w:r>
              <w:rPr>
                <w:rFonts w:hint="eastAsia"/>
                <w:lang w:eastAsia="zh-CN"/>
              </w:rPr>
              <w:t>is</w:t>
            </w:r>
            <w:r>
              <w:rPr>
                <w:lang w:eastAsia="zh-CN"/>
              </w:rPr>
              <w:t xml:space="preserve"> </w:t>
            </w:r>
            <w:r>
              <w:rPr>
                <w:rFonts w:hint="eastAsia"/>
                <w:lang w:eastAsia="zh-CN"/>
              </w:rPr>
              <w:t>adopted,</w:t>
            </w:r>
            <w:r>
              <w:rPr>
                <w:lang w:eastAsia="zh-CN"/>
              </w:rPr>
              <w:t xml:space="preserve"> X </w:t>
            </w:r>
            <w:r>
              <w:rPr>
                <w:rFonts w:hint="eastAsia"/>
                <w:lang w:eastAsia="zh-CN"/>
              </w:rPr>
              <w:t>value</w:t>
            </w:r>
            <w:r>
              <w:rPr>
                <w:lang w:eastAsia="zh-CN"/>
              </w:rPr>
              <w:t xml:space="preserve"> no bigger than the minimum SS periodicity (but no smaller than Y) </w:t>
            </w:r>
            <w:r>
              <w:rPr>
                <w:rFonts w:hint="eastAsia"/>
                <w:lang w:eastAsia="zh-CN"/>
              </w:rPr>
              <w:t>will</w:t>
            </w:r>
            <w:r>
              <w:rPr>
                <w:lang w:eastAsia="zh-CN"/>
              </w:rPr>
              <w:t xml:space="preserve"> </w:t>
            </w:r>
            <w:r>
              <w:rPr>
                <w:rFonts w:hint="eastAsia"/>
                <w:lang w:eastAsia="zh-CN"/>
              </w:rPr>
              <w:t>b</w:t>
            </w:r>
            <w:r>
              <w:rPr>
                <w:lang w:eastAsia="zh-CN"/>
              </w:rPr>
              <w:t>e feasible. But if X value is bigger than minimum SS periodicity, then USS/CSS can not always fall into the Y slots.</w:t>
            </w:r>
          </w:p>
          <w:p>
            <w:pPr>
              <w:widowControl w:val="0"/>
              <w:jc w:val="both"/>
              <w:rPr>
                <w:lang w:eastAsia="zh-CN"/>
              </w:rPr>
            </w:pPr>
            <w:r>
              <w:rPr>
                <w:b/>
                <w:i/>
                <w:lang w:eastAsia="zh-CN"/>
              </w:rPr>
              <w:t>Proposal 6: For harmonized USS/CSS periodicity, X in Alt 1 should be equal to the minimum SS periodicity, otherwise, a floating Y is needed. And X in Alt 2 should be no bigger than the minimum SS periodicity.</w:t>
            </w:r>
          </w:p>
          <w:p>
            <w:pPr>
              <w:widowControl w:val="0"/>
              <w:jc w:val="both"/>
              <w:rPr>
                <w:lang w:eastAsia="zh-CN"/>
              </w:rPr>
            </w:pPr>
            <w:r>
              <w:rPr>
                <w:lang w:eastAsia="zh-CN"/>
              </w:rPr>
              <w:t xml:space="preserve">With floating Y, </w:t>
            </w:r>
            <w:r>
              <w:rPr>
                <w:rFonts w:hint="eastAsia"/>
                <w:lang w:eastAsia="zh-CN"/>
              </w:rPr>
              <w:t>there</w:t>
            </w:r>
            <w:r>
              <w:rPr>
                <w:lang w:eastAsia="zh-CN"/>
              </w:rPr>
              <w:t xml:space="preserve"> </w:t>
            </w:r>
            <w:r>
              <w:rPr>
                <w:rFonts w:hint="eastAsia"/>
                <w:lang w:eastAsia="zh-CN"/>
              </w:rPr>
              <w:t>raise</w:t>
            </w:r>
            <w:r>
              <w:rPr>
                <w:lang w:eastAsia="zh-CN"/>
              </w:rPr>
              <w:t xml:space="preserve"> </w:t>
            </w:r>
            <w:r>
              <w:rPr>
                <w:rFonts w:hint="eastAsia"/>
                <w:lang w:eastAsia="zh-CN"/>
              </w:rPr>
              <w:t>the</w:t>
            </w:r>
            <w:r>
              <w:rPr>
                <w:lang w:eastAsia="zh-CN"/>
              </w:rPr>
              <w:t xml:space="preserve"> </w:t>
            </w:r>
            <w:r>
              <w:rPr>
                <w:rFonts w:hint="eastAsia"/>
                <w:lang w:eastAsia="zh-CN"/>
              </w:rPr>
              <w:t>issue</w:t>
            </w:r>
            <w:r>
              <w:rPr>
                <w:lang w:eastAsia="zh-CN"/>
              </w:rPr>
              <w:t xml:space="preserve"> </w:t>
            </w:r>
            <w:r>
              <w:rPr>
                <w:rFonts w:hint="eastAsia"/>
                <w:lang w:eastAsia="zh-CN"/>
              </w:rPr>
              <w:t>that</w:t>
            </w:r>
            <w:r>
              <w:rPr>
                <w:lang w:eastAsia="zh-CN"/>
              </w:rPr>
              <w:t xml:space="preserve"> two monitoring occasion is too close to each other, as shown in Fig.3, and UE may not be able to process PDCCH in so many consecutive slots. Simple solutions may be dropping one of the monitoring occasion. Details or other solutions can be further studied.</w:t>
            </w:r>
          </w:p>
          <w:p>
            <w:pPr>
              <w:widowControl w:val="0"/>
              <w:jc w:val="center"/>
            </w:pPr>
            <w:r>
              <w:object>
                <v:shape id="_x0000_i1033" o:spt="75" type="#_x0000_t75" style="height:132.05pt;width:498.2pt;" o:ole="t" filled="f" o:preferrelative="t" stroked="f" coordsize="21600,21600">
                  <v:path/>
                  <v:fill on="f" focussize="0,0"/>
                  <v:stroke on="f" joinstyle="miter"/>
                  <v:imagedata r:id="rId33" o:title=""/>
                  <o:lock v:ext="edit" aspectratio="t"/>
                  <w10:wrap type="none"/>
                  <w10:anchorlock/>
                </v:shape>
                <o:OLEObject Type="Embed" ProgID="Visio.Drawing.15" ShapeID="_x0000_i1033" DrawAspect="Content" ObjectID="_1468075733" r:id="rId32">
                  <o:LockedField>false</o:LockedField>
                </o:OLEObject>
              </w:object>
            </w:r>
          </w:p>
          <w:p>
            <w:pPr>
              <w:widowControl w:val="0"/>
              <w:jc w:val="center"/>
              <w:rPr>
                <w:lang w:eastAsia="zh-CN"/>
              </w:rPr>
            </w:pPr>
            <w:r>
              <w:t>Fig 3</w:t>
            </w:r>
            <w:r>
              <w:rPr>
                <w:rFonts w:hint="eastAsia"/>
                <w:lang w:eastAsia="zh-CN"/>
              </w:rPr>
              <w:t>.</w:t>
            </w:r>
            <w:r>
              <w:rPr>
                <w:lang w:eastAsia="zh-CN"/>
              </w:rPr>
              <w:t xml:space="preserve"> Two monitoring occasion is too close to each other</w:t>
            </w:r>
          </w:p>
          <w:p>
            <w:pPr>
              <w:widowControl w:val="0"/>
              <w:jc w:val="both"/>
              <w:rPr>
                <w:lang w:eastAsia="zh-CN"/>
              </w:rPr>
            </w:pPr>
            <w:r>
              <w:rPr>
                <w:b/>
                <w:i/>
                <w:lang w:eastAsia="zh-CN"/>
              </w:rPr>
              <w:t xml:space="preserve">Proposal 7: If Alt 1 with floating Y is adopted, how to solve the issue two monitoring occasion is too close to each other. </w:t>
            </w:r>
          </w:p>
          <w:p>
            <w:pPr>
              <w:widowControl w:val="0"/>
              <w:jc w:val="both"/>
              <w:rPr>
                <w:b/>
                <w:i/>
                <w:lang w:eastAsia="zh-CN"/>
              </w:rPr>
            </w:pPr>
            <w:r>
              <w:rPr>
                <w:b/>
                <w:i/>
                <w:lang w:eastAsia="zh-CN"/>
              </w:rPr>
              <w:t xml:space="preserve">Summary: </w:t>
            </w:r>
          </w:p>
          <w:p>
            <w:pPr>
              <w:widowControl w:val="0"/>
              <w:jc w:val="both"/>
              <w:rPr>
                <w:b/>
                <w:i/>
                <w:lang w:eastAsia="zh-CN"/>
              </w:rPr>
            </w:pPr>
            <w:r>
              <w:rPr>
                <w:b/>
                <w:i/>
                <w:lang w:eastAsia="zh-CN"/>
              </w:rPr>
              <w:t>If multi-slot PDCCH monitoring is applied for RRC idle mode, both Alt 1 with floating Y and Alt 2 can be adopted</w:t>
            </w:r>
            <w:r>
              <w:rPr>
                <w:rFonts w:hint="eastAsia"/>
                <w:b/>
                <w:i/>
                <w:lang w:eastAsia="zh-CN"/>
              </w:rPr>
              <w:t>.</w:t>
            </w:r>
          </w:p>
          <w:p>
            <w:pPr>
              <w:widowControl w:val="0"/>
              <w:jc w:val="both"/>
              <w:rPr>
                <w:b/>
                <w:i/>
                <w:lang w:eastAsia="zh-CN"/>
              </w:rPr>
            </w:pPr>
            <w:r>
              <w:rPr>
                <w:b/>
                <w:i/>
                <w:lang w:eastAsia="zh-CN"/>
              </w:rPr>
              <w:t>If multi-slot PDCCH monitoring is applied for RRC connected mode, both Alt 1 and Alt 2 can be adopted under the following two conditions,</w:t>
            </w:r>
          </w:p>
          <w:p>
            <w:pPr>
              <w:widowControl w:val="0"/>
              <w:numPr>
                <w:ilvl w:val="0"/>
                <w:numId w:val="60"/>
              </w:numPr>
              <w:overflowPunct w:val="0"/>
              <w:snapToGrid/>
              <w:spacing w:line="240" w:lineRule="auto"/>
              <w:jc w:val="both"/>
              <w:textAlignment w:val="baseline"/>
              <w:rPr>
                <w:b/>
                <w:i/>
                <w:lang w:eastAsia="zh-CN"/>
              </w:rPr>
            </w:pPr>
            <w:r>
              <w:rPr>
                <w:b/>
                <w:i/>
                <w:lang w:eastAsia="zh-CN"/>
              </w:rPr>
              <w:t>The periodicity of USS/configured CSS should be integer factor or multiple of the periodicity of Type #0/0-A/1/2 CSS</w:t>
            </w:r>
          </w:p>
          <w:p>
            <w:pPr>
              <w:widowControl w:val="0"/>
              <w:numPr>
                <w:ilvl w:val="0"/>
                <w:numId w:val="60"/>
              </w:numPr>
              <w:overflowPunct w:val="0"/>
              <w:snapToGrid/>
              <w:spacing w:line="240" w:lineRule="auto"/>
              <w:jc w:val="both"/>
              <w:textAlignment w:val="baseline"/>
              <w:rPr>
                <w:b/>
                <w:i/>
                <w:lang w:eastAsia="zh-CN"/>
              </w:rPr>
            </w:pPr>
            <w:r>
              <w:rPr>
                <w:b/>
                <w:i/>
                <w:lang w:eastAsia="zh-CN"/>
              </w:rPr>
              <w:t>X in Alt 1 should be equal to the minimum SS periodicity, otherwise, a floating Y is needed; X in Alt 2 should be no bigger than the minimum SS periodicity</w:t>
            </w:r>
          </w:p>
          <w:p>
            <w:pPr>
              <w:widowControl w:val="0"/>
              <w:jc w:val="both"/>
              <w:rPr>
                <w:b/>
                <w:i/>
                <w:lang w:eastAsia="zh-CN"/>
              </w:rPr>
            </w:pPr>
            <w:r>
              <w:rPr>
                <w:b/>
                <w:i/>
                <w:lang w:eastAsia="zh-CN"/>
              </w:rPr>
              <w:t>In general, u</w:t>
            </w:r>
            <w:r>
              <w:rPr>
                <w:rFonts w:hint="eastAsia"/>
                <w:b/>
                <w:i/>
                <w:lang w:eastAsia="zh-CN"/>
              </w:rPr>
              <w:t>nder</w:t>
            </w:r>
            <w:r>
              <w:rPr>
                <w:b/>
                <w:i/>
                <w:lang w:eastAsia="zh-CN"/>
              </w:rPr>
              <w:t xml:space="preserve"> </w:t>
            </w:r>
            <w:r>
              <w:rPr>
                <w:rFonts w:hint="eastAsia"/>
                <w:b/>
                <w:i/>
                <w:lang w:eastAsia="zh-CN"/>
              </w:rPr>
              <w:t>both</w:t>
            </w:r>
            <w:r>
              <w:rPr>
                <w:b/>
                <w:i/>
                <w:lang w:eastAsia="zh-CN"/>
              </w:rPr>
              <w:t xml:space="preserve"> </w:t>
            </w:r>
            <w:r>
              <w:rPr>
                <w:rFonts w:hint="eastAsia"/>
                <w:b/>
                <w:i/>
                <w:lang w:eastAsia="zh-CN"/>
              </w:rPr>
              <w:t>Alt</w:t>
            </w:r>
            <w:r>
              <w:rPr>
                <w:b/>
                <w:i/>
                <w:lang w:eastAsia="zh-CN"/>
              </w:rPr>
              <w:t xml:space="preserve">1 </w:t>
            </w:r>
            <w:r>
              <w:rPr>
                <w:rFonts w:hint="eastAsia"/>
                <w:b/>
                <w:i/>
                <w:lang w:eastAsia="zh-CN"/>
              </w:rPr>
              <w:t>and</w:t>
            </w:r>
            <w:r>
              <w:rPr>
                <w:b/>
                <w:i/>
                <w:lang w:eastAsia="zh-CN"/>
              </w:rPr>
              <w:t xml:space="preserve"> </w:t>
            </w:r>
            <w:r>
              <w:rPr>
                <w:rFonts w:hint="eastAsia"/>
                <w:b/>
                <w:i/>
                <w:lang w:eastAsia="zh-CN"/>
              </w:rPr>
              <w:t>Alt</w:t>
            </w:r>
            <w:r>
              <w:rPr>
                <w:b/>
                <w:i/>
                <w:lang w:eastAsia="zh-CN"/>
              </w:rPr>
              <w:t xml:space="preserve"> 2, gNB should have proper SS configurations that are suitable for the applied multi-slot PDCCH monitoring capability, so that USS/CSS can fall into the Y slots. Otherwise, more complicated solutions will be needed to allow UE to monitor USS/CSS. </w:t>
            </w:r>
          </w:p>
          <w:p>
            <w:pPr>
              <w:pStyle w:val="30"/>
              <w:widowControl w:val="0"/>
              <w:rPr>
                <w:rFonts w:cs="Calibri"/>
                <w:iCs/>
                <w:lang w:val="en-GB" w:eastAsia="zh-CN"/>
              </w:rPr>
            </w:pPr>
            <w:r>
              <w:rPr>
                <w:rFonts w:cs="Calibri"/>
                <w:iCs/>
                <w:lang w:val="en-GB" w:eastAsia="zh-CN"/>
              </w:rPr>
              <w:t xml:space="preserve">Search space </w:t>
            </w:r>
            <w:r>
              <w:t>set group switching</w:t>
            </w:r>
            <w:r>
              <w:rPr>
                <w:rFonts w:cs="Calibri"/>
                <w:iCs/>
                <w:lang w:val="en-GB" w:eastAsia="zh-CN"/>
              </w:rPr>
              <w:t xml:space="preserve"> is introduced in R16 NR-U for power saving propose and group switching time </w:t>
            </w:r>
            <w:r>
              <w:t xml:space="preserve"> </w:t>
            </w:r>
            <m:oMath>
              <m:sSub>
                <m:sSubPr>
                  <m:ctrlPr>
                    <w:rPr>
                      <w:rFonts w:ascii="Cambria Math" w:hAnsi="Cambria Math"/>
                      <w:i/>
                    </w:rPr>
                  </m:ctrlPr>
                </m:sSubPr>
                <m:e>
                  <m:r>
                    <w:rPr>
                      <w:rFonts w:ascii="Cambria Math" w:hAnsi="Cambria Math"/>
                    </w:rPr>
                    <m:t>P</m:t>
                  </m:r>
                  <m:ctrlPr>
                    <w:rPr>
                      <w:rFonts w:ascii="Cambria Math" w:hAnsi="Cambria Math"/>
                      <w:i/>
                    </w:rPr>
                  </m:ctrlPr>
                </m:e>
                <m:sub>
                  <m:r>
                    <w:rPr>
                      <w:rFonts w:ascii="Cambria Math" w:hAnsi="Cambria Math"/>
                    </w:rPr>
                    <m:t>switch</m:t>
                  </m:r>
                  <m:ctrlPr>
                    <w:rPr>
                      <w:rFonts w:ascii="Cambria Math" w:hAnsi="Cambria Math"/>
                      <w:i/>
                    </w:rPr>
                  </m:ctrlPr>
                </m:sub>
              </m:sSub>
            </m:oMath>
            <w:r>
              <w:t xml:space="preserve"> is defined for SCS 15-60kHz</w:t>
            </w:r>
            <w:r>
              <w:rPr>
                <w:rFonts w:hint="eastAsia"/>
                <w:lang w:eastAsia="zh-CN"/>
              </w:rPr>
              <w:t>.</w:t>
            </w:r>
            <w:r>
              <w:rPr>
                <w:lang w:eastAsia="zh-CN"/>
              </w:rPr>
              <w:t xml:space="preserve"> To facilitate unlicensed band operation for </w:t>
            </w:r>
            <w:r>
              <w:rPr>
                <w:rFonts w:cs="Calibri"/>
                <w:iCs/>
                <w:lang w:eastAsia="zh-CN"/>
              </w:rPr>
              <w:t>NR 52.6-71GH</w:t>
            </w:r>
            <w:r>
              <w:rPr>
                <w:rFonts w:hint="eastAsia" w:cs="Calibri"/>
                <w:iCs/>
                <w:lang w:eastAsia="zh-CN"/>
              </w:rPr>
              <w:t>z</w:t>
            </w:r>
            <w:r>
              <w:rPr>
                <w:rFonts w:cs="Calibri"/>
                <w:iCs/>
                <w:lang w:eastAsia="zh-CN"/>
              </w:rPr>
              <w:t xml:space="preserve">, </w:t>
            </w:r>
            <w:r>
              <w:rPr>
                <w:rFonts w:cs="Calibri"/>
                <w:iCs/>
                <w:lang w:val="en-GB" w:eastAsia="zh-CN"/>
              </w:rPr>
              <w:t xml:space="preserve">group switching time </w:t>
            </w:r>
            <w:r>
              <w:t xml:space="preserve"> </w:t>
            </w:r>
            <m:oMath>
              <m:sSub>
                <m:sSubPr>
                  <m:ctrlPr>
                    <w:rPr>
                      <w:rFonts w:ascii="Cambria Math" w:hAnsi="Cambria Math"/>
                      <w:i/>
                    </w:rPr>
                  </m:ctrlPr>
                </m:sSubPr>
                <m:e>
                  <m:r>
                    <w:rPr>
                      <w:rFonts w:ascii="Cambria Math" w:hAnsi="Cambria Math"/>
                    </w:rPr>
                    <m:t>P</m:t>
                  </m:r>
                  <m:ctrlPr>
                    <w:rPr>
                      <w:rFonts w:ascii="Cambria Math" w:hAnsi="Cambria Math"/>
                      <w:i/>
                    </w:rPr>
                  </m:ctrlPr>
                </m:e>
                <m:sub>
                  <m:r>
                    <w:rPr>
                      <w:rFonts w:ascii="Cambria Math" w:hAnsi="Cambria Math"/>
                    </w:rPr>
                    <m:t>switch</m:t>
                  </m:r>
                  <m:ctrlPr>
                    <w:rPr>
                      <w:rFonts w:ascii="Cambria Math" w:hAnsi="Cambria Math"/>
                      <w:i/>
                    </w:rPr>
                  </m:ctrlPr>
                </m:sub>
              </m:sSub>
            </m:oMath>
            <w:r>
              <w:t xml:space="preserve">  should also be defined </w:t>
            </w:r>
            <w:r>
              <w:rPr>
                <w:rFonts w:cs="Calibri"/>
                <w:iCs/>
                <w:lang w:eastAsia="zh-CN"/>
              </w:rPr>
              <w:t>for 120</w:t>
            </w:r>
            <w:r>
              <w:rPr>
                <w:rFonts w:hint="eastAsia" w:cs="Calibri"/>
                <w:iCs/>
                <w:lang w:eastAsia="zh-CN"/>
              </w:rPr>
              <w:t>/</w:t>
            </w:r>
            <w:r>
              <w:rPr>
                <w:rFonts w:cs="Calibri"/>
                <w:iCs/>
                <w:lang w:eastAsia="zh-CN"/>
              </w:rPr>
              <w:t>480/960kHz</w:t>
            </w:r>
            <w:r>
              <w:rPr>
                <w:rFonts w:cs="Calibri"/>
                <w:iCs/>
                <w:lang w:val="en-GB" w:eastAsia="zh-CN"/>
              </w:rPr>
              <w:t xml:space="preserve"> </w:t>
            </w:r>
          </w:p>
          <w:p>
            <w:pPr>
              <w:widowControl w:val="0"/>
              <w:jc w:val="both"/>
              <w:rPr>
                <w:b/>
                <w:i/>
                <w:lang w:eastAsia="zh-CN"/>
              </w:rPr>
            </w:pPr>
            <w:r>
              <w:rPr>
                <w:b/>
                <w:i/>
                <w:lang w:eastAsia="zh-CN"/>
              </w:rPr>
              <w:t xml:space="preserve">Proposal 10: Search space set group switching time </w:t>
            </w:r>
            <m:oMath>
              <m:sSub>
                <m:sSubPr>
                  <m:ctrlPr>
                    <w:rPr>
                      <w:rFonts w:ascii="Cambria Math" w:hAnsi="Cambria Math"/>
                      <w:i/>
                    </w:rPr>
                  </m:ctrlPr>
                </m:sSubPr>
                <m:e>
                  <m:r>
                    <w:rPr>
                      <w:rFonts w:ascii="Cambria Math" w:hAnsi="Cambria Math"/>
                    </w:rPr>
                    <m:t>P</m:t>
                  </m:r>
                  <m:ctrlPr>
                    <w:rPr>
                      <w:rFonts w:ascii="Cambria Math" w:hAnsi="Cambria Math"/>
                      <w:i/>
                    </w:rPr>
                  </m:ctrlPr>
                </m:e>
                <m:sub>
                  <m:r>
                    <w:rPr>
                      <w:rFonts w:ascii="Cambria Math" w:hAnsi="Cambria Math"/>
                    </w:rPr>
                    <m:t>switch</m:t>
                  </m:r>
                  <m:ctrlPr>
                    <w:rPr>
                      <w:rFonts w:ascii="Cambria Math" w:hAnsi="Cambria Math"/>
                      <w:i/>
                    </w:rPr>
                  </m:ctrlPr>
                </m:sub>
              </m:sSub>
            </m:oMath>
            <w:r>
              <w:rPr>
                <w:position w:val="-5"/>
              </w:rPr>
              <w:t xml:space="preserve"> </w:t>
            </w:r>
            <w:r>
              <w:rPr>
                <w:b/>
                <w:i/>
                <w:lang w:eastAsia="zh-CN"/>
              </w:rPr>
              <w:t>should be defined for 120/480/960kHz.</w:t>
            </w:r>
          </w:p>
          <w:p>
            <w:pPr>
              <w:pStyle w:val="30"/>
              <w:widowControl w:val="0"/>
              <w:rPr>
                <w:rFonts w:cs="Calibri"/>
                <w:iCs/>
                <w:lang w:val="en-GB" w:eastAsia="zh-CN"/>
              </w:rPr>
            </w:pPr>
            <w:r>
              <w:rPr>
                <w:rFonts w:cs="Calibri"/>
                <w:iCs/>
                <w:lang w:val="en-GB" w:eastAsia="zh-CN"/>
              </w:rPr>
              <w:t xml:space="preserve">The maximum search space periodicity in current spec is 2560 slots, and with SCS increased to 960kHz, </w:t>
            </w:r>
            <w:r>
              <w:rPr>
                <w:rFonts w:hint="eastAsia" w:cs="Calibri"/>
                <w:iCs/>
                <w:lang w:val="en-GB" w:eastAsia="zh-CN"/>
              </w:rPr>
              <w:t>the</w:t>
            </w:r>
            <w:r>
              <w:rPr>
                <w:rFonts w:cs="Calibri"/>
                <w:iCs/>
                <w:lang w:val="en-GB" w:eastAsia="zh-CN"/>
              </w:rPr>
              <w:t xml:space="preserve"> absolute time of the maximum search space periodicity will be decreased by 8 time</w:t>
            </w:r>
            <w:r>
              <w:rPr>
                <w:rFonts w:hint="eastAsia" w:cs="Calibri"/>
                <w:iCs/>
                <w:lang w:val="en-GB" w:eastAsia="zh-CN"/>
              </w:rPr>
              <w:t>s</w:t>
            </w:r>
            <w:r>
              <w:rPr>
                <w:rFonts w:cs="Calibri"/>
                <w:iCs/>
                <w:lang w:val="en-GB" w:eastAsia="zh-CN"/>
              </w:rPr>
              <w:t>. So new periodicity parameters may need to be introduced for the new SCSs, as well as the search space offset/duration parameters.</w:t>
            </w:r>
          </w:p>
          <w:p>
            <w:pPr>
              <w:widowControl w:val="0"/>
              <w:jc w:val="both"/>
              <w:rPr>
                <w:b/>
                <w:i/>
                <w:lang w:eastAsia="zh-CN"/>
              </w:rPr>
            </w:pPr>
            <w:r>
              <w:rPr>
                <w:b/>
                <w:i/>
                <w:lang w:eastAsia="zh-CN"/>
              </w:rPr>
              <w:t>Proposal 11:</w:t>
            </w:r>
            <w:r>
              <w:t xml:space="preserve"> </w:t>
            </w:r>
            <w:r>
              <w:rPr>
                <w:b/>
                <w:i/>
                <w:lang w:eastAsia="zh-CN"/>
              </w:rPr>
              <w:t>New search space periodicity parameters, as well as the search space offset/duration parameters, may need to be introduced for the new SCSs.</w:t>
            </w:r>
          </w:p>
          <w:p>
            <w:pPr>
              <w:widowControl w:val="0"/>
              <w:jc w:val="both"/>
              <w:rPr>
                <w:b/>
                <w:i/>
                <w:lang w:eastAsia="zh-CN"/>
              </w:rPr>
            </w:pPr>
          </w:p>
        </w:tc>
      </w:tr>
    </w:tbl>
    <w:p>
      <w:pPr>
        <w:rPr>
          <w:lang w:eastAsia="zh-CN"/>
        </w:rPr>
      </w:pPr>
    </w:p>
    <w:p>
      <w:pPr>
        <w:pStyle w:val="4"/>
        <w:jc w:val="both"/>
        <w:rPr>
          <w:lang w:val="en-GB" w:eastAsia="zh-CN"/>
        </w:rPr>
      </w:pPr>
      <w:r>
        <w:rPr>
          <w:lang w:val="en-GB" w:eastAsia="zh-CN"/>
        </w:rPr>
        <w:t>R1-2109477 (Samsung)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rFonts w:eastAsia="MS Mincho" w:cs="Arial"/>
                <w:kern w:val="2"/>
                <w:szCs w:val="20"/>
                <w:lang w:eastAsia="ja-JP"/>
              </w:rPr>
            </w:pPr>
            <w:r>
              <w:rPr>
                <w:rFonts w:eastAsia="MS Mincho" w:cs="Arial"/>
                <w:kern w:val="2"/>
                <w:szCs w:val="20"/>
                <w:lang w:eastAsia="ja-JP"/>
              </w:rPr>
              <w:t xml:space="preserve">The limits for PDCCH candidates/non-overlapping CCEs at high SCS can be defined either per slot or per multi-slot span depending on PDCCH monitoring capabilities. For slot based PDCCH monitoring, the value of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M</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slot</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r>
                <m:rPr>
                  <m:sty m:val="p"/>
                </m:rPr>
                <w:rPr>
                  <w:rFonts w:ascii="Cambria Math" w:hAnsi="Cambria Math" w:eastAsia="MS Mincho" w:cs="Arial"/>
                  <w:kern w:val="2"/>
                  <w:szCs w:val="20"/>
                  <w:lang w:eastAsia="ja-JP"/>
                </w:rPr>
                <m:t xml:space="preserve"> </m:t>
              </m:r>
            </m:oMath>
            <w:r>
              <w:rPr>
                <w:rFonts w:eastAsia="MS Mincho" w:cs="Arial"/>
                <w:kern w:val="2"/>
                <w:szCs w:val="20"/>
                <w:lang w:eastAsia="ja-JP"/>
              </w:rPr>
              <w:t xml:space="preserve">and of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C</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slot</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oMath>
            <w:r>
              <w:rPr>
                <w:rFonts w:eastAsia="MS Mincho" w:cs="Arial"/>
                <w:kern w:val="2"/>
                <w:szCs w:val="20"/>
                <w:lang w:eastAsia="ja-JP"/>
              </w:rPr>
              <w:t xml:space="preserve"> for high SCS should be smaller than the corresponding values for lower SCS in Table 10.1-2 and Table 10.1-3 of [2], respectively. </w:t>
            </w:r>
          </w:p>
          <w:p>
            <w:pPr>
              <w:widowControl w:val="0"/>
              <w:jc w:val="both"/>
              <w:rPr>
                <w:rFonts w:eastAsia="MS Mincho" w:cs="Arial"/>
                <w:kern w:val="2"/>
                <w:szCs w:val="20"/>
                <w:lang w:eastAsia="ja-JP"/>
              </w:rPr>
            </w:pPr>
          </w:p>
          <w:p>
            <w:pPr>
              <w:widowControl w:val="0"/>
              <w:jc w:val="both"/>
              <w:rPr>
                <w:rFonts w:eastAsia="MS Mincho" w:cs="Arial"/>
                <w:kern w:val="2"/>
                <w:szCs w:val="20"/>
                <w:lang w:eastAsia="ja-JP"/>
              </w:rPr>
            </w:pPr>
            <w:r>
              <w:rPr>
                <w:rFonts w:eastAsia="MS Mincho" w:cs="Arial"/>
                <w:kern w:val="2"/>
                <w:szCs w:val="20"/>
                <w:lang w:eastAsia="ja-JP"/>
              </w:rPr>
              <w:t xml:space="preserve">For multi-slot span based PDCCH monitoring, the limits for PDCCH candidates/non-overlapping CCEs can be defined per combination of (X, Y). Similar to multi-symbol span based PDCCH monitoring in NR Rel-16,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M</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Y</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r>
                <m:rPr>
                  <m:sty m:val="p"/>
                </m:rPr>
                <w:rPr>
                  <w:rFonts w:ascii="Cambria Math" w:hAnsi="Cambria Math" w:eastAsia="MS Mincho" w:cs="Arial"/>
                  <w:kern w:val="2"/>
                  <w:szCs w:val="20"/>
                  <w:lang w:eastAsia="ja-JP"/>
                </w:rPr>
                <m:t xml:space="preserve"> </m:t>
              </m:r>
            </m:oMath>
            <w:r>
              <w:rPr>
                <w:rFonts w:eastAsia="MS Mincho" w:cs="Arial"/>
                <w:kern w:val="2"/>
                <w:szCs w:val="20"/>
                <w:lang w:eastAsia="ja-JP"/>
              </w:rPr>
              <w:t xml:space="preserve">and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C</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Y</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oMath>
            <w:r>
              <w:rPr>
                <w:rFonts w:eastAsia="MS Mincho" w:cs="Arial"/>
                <w:kern w:val="2"/>
                <w:szCs w:val="20"/>
                <w:lang w:eastAsia="ja-JP"/>
              </w:rPr>
              <w:t xml:space="preserve"> are determined according to the selection of multi-slot span gap, X, and multi-slot span duration, Y. The larger the X or Y a UE supports, the larger the values of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M</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Y</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r>
                <m:rPr>
                  <m:sty m:val="p"/>
                </m:rPr>
                <w:rPr>
                  <w:rFonts w:ascii="Cambria Math" w:hAnsi="Cambria Math" w:eastAsia="MS Mincho" w:cs="Arial"/>
                  <w:kern w:val="2"/>
                  <w:szCs w:val="20"/>
                  <w:lang w:eastAsia="ja-JP"/>
                </w:rPr>
                <m:t xml:space="preserve"> </m:t>
              </m:r>
            </m:oMath>
            <w:r>
              <w:rPr>
                <w:rFonts w:eastAsia="MS Mincho" w:cs="Arial"/>
                <w:kern w:val="2"/>
                <w:szCs w:val="20"/>
                <w:lang w:eastAsia="ja-JP"/>
              </w:rPr>
              <w:t xml:space="preserve">and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C</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Y</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oMath>
            <w:r>
              <w:rPr>
                <w:rFonts w:eastAsia="MS Mincho" w:cs="Arial"/>
                <w:kern w:val="2"/>
                <w:szCs w:val="20"/>
                <w:lang w:eastAsia="ja-JP"/>
              </w:rPr>
              <w:t xml:space="preserve"> can be. </w:t>
            </w:r>
          </w:p>
          <w:p>
            <w:pPr>
              <w:widowControl w:val="0"/>
              <w:jc w:val="both"/>
              <w:rPr>
                <w:rFonts w:eastAsia="MS Mincho" w:cs="Arial"/>
                <w:kern w:val="2"/>
                <w:szCs w:val="20"/>
                <w:lang w:eastAsia="ja-JP"/>
              </w:rPr>
            </w:pPr>
          </w:p>
          <w:p>
            <w:pPr>
              <w:widowControl w:val="0"/>
              <w:jc w:val="both"/>
              <w:rPr>
                <w:rFonts w:eastAsia="MS Mincho" w:cs="Arial"/>
                <w:kern w:val="2"/>
                <w:szCs w:val="20"/>
                <w:lang w:eastAsia="ja-JP"/>
              </w:rPr>
            </w:pPr>
            <w:r>
              <w:rPr>
                <w:rFonts w:eastAsia="MS Mincho" w:cs="Arial"/>
                <w:kern w:val="2"/>
                <w:szCs w:val="20"/>
                <w:lang w:eastAsia="ja-JP"/>
              </w:rPr>
              <w:t xml:space="preserve">As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M</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slot</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oMath>
            <w:r>
              <w:rPr>
                <w:rFonts w:eastAsia="MS Mincho" w:cs="Arial"/>
                <w:kern w:val="2"/>
                <w:szCs w:val="20"/>
                <w:lang w:eastAsia="ja-JP"/>
              </w:rPr>
              <w:t xml:space="preserve"> and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C</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slot</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oMath>
            <w:r>
              <w:rPr>
                <w:rFonts w:eastAsia="MS Mincho" w:cs="Arial"/>
                <w:kern w:val="2"/>
                <w:szCs w:val="20"/>
                <w:lang w:eastAsia="ja-JP"/>
              </w:rPr>
              <w:t xml:space="preserve"> are small for SCS of 120 KHz, further reduction is not practically possible for higher SCS as PDCCH blocking may become an issue particularly when considering support of CSS sets, support of PDCCH candidates for multiple CCE aggregation levels, and application of the PDCCH overbooking procedure per search space set.. Therefore,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M</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Y</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r>
                <m:rPr>
                  <m:sty m:val="p"/>
                </m:rPr>
                <w:rPr>
                  <w:rFonts w:ascii="Cambria Math" w:hAnsi="Cambria Math" w:eastAsia="MS Mincho" w:cs="Arial"/>
                  <w:kern w:val="2"/>
                  <w:szCs w:val="20"/>
                  <w:lang w:eastAsia="ja-JP"/>
                </w:rPr>
                <m:t xml:space="preserve"> </m:t>
              </m:r>
            </m:oMath>
            <w:r>
              <w:rPr>
                <w:rFonts w:eastAsia="MS Mincho" w:cs="Arial"/>
                <w:kern w:val="2"/>
                <w:szCs w:val="20"/>
                <w:lang w:eastAsia="ja-JP"/>
              </w:rPr>
              <w:t xml:space="preserve">and </w:t>
            </w:r>
            <m:oMath>
              <m:sSubSup>
                <m:sSubSupPr>
                  <m:ctrlPr>
                    <w:rPr>
                      <w:rFonts w:ascii="Cambria Math" w:hAnsi="Cambria Math" w:eastAsia="MS Mincho" w:cs="Arial"/>
                      <w:kern w:val="2"/>
                      <w:szCs w:val="20"/>
                      <w:lang w:eastAsia="ja-JP"/>
                    </w:rPr>
                  </m:ctrlPr>
                </m:sSubSupPr>
                <m:e>
                  <m:r>
                    <w:rPr>
                      <w:rFonts w:ascii="Cambria Math" w:hAnsi="Cambria Math" w:eastAsia="MS Mincho" w:cs="Arial"/>
                      <w:kern w:val="2"/>
                      <w:szCs w:val="20"/>
                      <w:lang w:eastAsia="ja-JP"/>
                    </w:rPr>
                    <m:t>C</m:t>
                  </m:r>
                  <m:ctrlPr>
                    <w:rPr>
                      <w:rFonts w:ascii="Cambria Math" w:hAnsi="Cambria Math" w:eastAsia="MS Mincho" w:cs="Arial"/>
                      <w:kern w:val="2"/>
                      <w:szCs w:val="20"/>
                      <w:lang w:eastAsia="ja-JP"/>
                    </w:rPr>
                  </m:ctrlPr>
                </m:e>
                <m:sub>
                  <m:r>
                    <w:rPr>
                      <w:rFonts w:ascii="Cambria Math" w:hAnsi="Cambria Math" w:eastAsia="MS Mincho" w:cs="Arial"/>
                      <w:kern w:val="2"/>
                      <w:szCs w:val="20"/>
                      <w:lang w:eastAsia="ja-JP"/>
                    </w:rPr>
                    <m:t>PDCCH</m:t>
                  </m:r>
                  <m:ctrlPr>
                    <w:rPr>
                      <w:rFonts w:ascii="Cambria Math" w:hAnsi="Cambria Math" w:eastAsia="MS Mincho" w:cs="Arial"/>
                      <w:kern w:val="2"/>
                      <w:szCs w:val="20"/>
                      <w:lang w:eastAsia="ja-JP"/>
                    </w:rPr>
                  </m:ctrlPr>
                </m:sub>
                <m:sup>
                  <m:r>
                    <w:rPr>
                      <w:rFonts w:ascii="Cambria Math" w:hAnsi="Cambria Math" w:eastAsia="MS Mincho" w:cs="Arial"/>
                      <w:kern w:val="2"/>
                      <w:szCs w:val="20"/>
                      <w:lang w:eastAsia="ja-JP"/>
                    </w:rPr>
                    <m:t>max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X</m:t>
                  </m:r>
                  <m:r>
                    <m:rPr>
                      <m:sty m:val="p"/>
                    </m:rPr>
                    <w:rPr>
                      <w:rFonts w:ascii="Cambria Math" w:hAnsi="Cambria Math" w:eastAsia="MS Mincho" w:cs="Arial"/>
                      <w:kern w:val="2"/>
                      <w:szCs w:val="20"/>
                      <w:lang w:eastAsia="ja-JP"/>
                    </w:rPr>
                    <m:t>,</m:t>
                  </m:r>
                  <m:r>
                    <w:rPr>
                      <w:rFonts w:ascii="Cambria Math" w:hAnsi="Cambria Math" w:eastAsia="MS Mincho" w:cs="Arial"/>
                      <w:kern w:val="2"/>
                      <w:szCs w:val="20"/>
                      <w:lang w:eastAsia="ja-JP"/>
                    </w:rPr>
                    <m:t>Y</m:t>
                  </m:r>
                  <m:r>
                    <m:rPr>
                      <m:sty m:val="p"/>
                    </m:rPr>
                    <w:rPr>
                      <w:rFonts w:ascii="Cambria Math" w:hAnsi="Cambria Math" w:eastAsia="MS Mincho" w:cs="Arial"/>
                      <w:kern w:val="2"/>
                      <w:szCs w:val="20"/>
                      <w:lang w:eastAsia="ja-JP"/>
                    </w:rPr>
                    <m:t>), </m:t>
                  </m:r>
                  <m:r>
                    <w:rPr>
                      <w:rFonts w:ascii="Cambria Math" w:hAnsi="Cambria Math" w:eastAsia="MS Mincho" w:cs="Arial"/>
                      <w:kern w:val="2"/>
                      <w:szCs w:val="20"/>
                      <w:lang w:eastAsia="ja-JP"/>
                    </w:rPr>
                    <m:t>μ</m:t>
                  </m:r>
                  <m:ctrlPr>
                    <w:rPr>
                      <w:rFonts w:ascii="Cambria Math" w:hAnsi="Cambria Math" w:eastAsia="MS Mincho" w:cs="Arial"/>
                      <w:kern w:val="2"/>
                      <w:szCs w:val="20"/>
                      <w:lang w:eastAsia="ja-JP"/>
                    </w:rPr>
                  </m:ctrlPr>
                </m:sup>
              </m:sSubSup>
            </m:oMath>
            <w:r>
              <w:rPr>
                <w:rFonts w:eastAsia="MS Mincho" w:cs="Arial"/>
                <w:kern w:val="2"/>
                <w:szCs w:val="20"/>
                <w:lang w:eastAsia="ja-JP"/>
              </w:rPr>
              <w:t xml:space="preserve"> need to be defined per multi-slot span for high SCS, such as </w:t>
            </w:r>
            <m:oMath>
              <m:r>
                <w:rPr>
                  <w:rFonts w:ascii="Cambria Math" w:hAnsi="Cambria Math" w:eastAsia="MS Mincho" w:cs="Arial"/>
                  <w:kern w:val="2"/>
                  <w:szCs w:val="20"/>
                  <w:lang w:eastAsia="ja-JP"/>
                </w:rPr>
                <m:t>μ</m:t>
              </m:r>
              <m:r>
                <m:rPr>
                  <m:sty m:val="p"/>
                </m:rPr>
                <w:rPr>
                  <w:rFonts w:ascii="Cambria Math" w:hAnsi="Cambria Math" w:eastAsia="MS Mincho" w:cs="Arial"/>
                  <w:kern w:val="2"/>
                  <w:szCs w:val="20"/>
                  <w:lang w:eastAsia="ja-JP"/>
                </w:rPr>
                <m:t xml:space="preserve">=5, </m:t>
              </m:r>
              <m:r>
                <w:rPr>
                  <w:rFonts w:ascii="Cambria Math" w:hAnsi="Cambria Math" w:eastAsia="MS Mincho" w:cs="Arial"/>
                  <w:kern w:val="2"/>
                  <w:szCs w:val="20"/>
                  <w:lang w:eastAsia="ja-JP"/>
                </w:rPr>
                <m:t>or</m:t>
              </m:r>
              <m:r>
                <m:rPr>
                  <m:sty m:val="p"/>
                </m:rPr>
                <w:rPr>
                  <w:rFonts w:ascii="Cambria Math" w:hAnsi="Cambria Math" w:eastAsia="MS Mincho" w:cs="Arial"/>
                  <w:kern w:val="2"/>
                  <w:szCs w:val="20"/>
                  <w:lang w:eastAsia="ja-JP"/>
                </w:rPr>
                <m:t xml:space="preserve"> 6</m:t>
              </m:r>
            </m:oMath>
            <w:r>
              <w:rPr>
                <w:rFonts w:eastAsia="MS Mincho" w:cs="Arial"/>
                <w:kern w:val="2"/>
                <w:szCs w:val="20"/>
                <w:lang w:eastAsia="ja-JP"/>
              </w:rPr>
              <w:t>.</w:t>
            </w:r>
          </w:p>
          <w:p>
            <w:pPr>
              <w:widowControl w:val="0"/>
              <w:rPr>
                <w:b/>
              </w:rPr>
            </w:pPr>
          </w:p>
          <w:p>
            <w:pPr>
              <w:widowControl w:val="0"/>
              <w:jc w:val="both"/>
              <w:rPr>
                <w:b/>
                <w:iCs/>
                <w:u w:val="single"/>
              </w:rPr>
            </w:pPr>
            <w:r>
              <w:rPr>
                <w:b/>
                <w:u w:val="single"/>
              </w:rPr>
              <w:t xml:space="preserve">Proposal 5: Support maximum number </w:t>
            </w:r>
            <m:oMath>
              <m:sSubSup>
                <m:sSubSupPr>
                  <m:ctrlPr>
                    <w:rPr>
                      <w:rFonts w:ascii="Cambria Math" w:hAnsi="Cambria Math"/>
                      <w:b/>
                      <w:i/>
                      <w:iCs/>
                      <w:u w:val="single"/>
                    </w:rPr>
                  </m:ctrlPr>
                </m:sSubSupPr>
                <m:e>
                  <m:r>
                    <m:rPr>
                      <m:sty m:val="bi"/>
                    </m:rPr>
                    <w:rPr>
                      <w:rFonts w:ascii="Cambria Math" w:hAnsi="Cambria Math"/>
                      <w:u w:val="single"/>
                    </w:rPr>
                    <m:t>M</m:t>
                  </m:r>
                  <m:ctrlPr>
                    <w:rPr>
                      <w:rFonts w:ascii="Cambria Math" w:hAnsi="Cambria Math"/>
                      <w:b/>
                      <w:i/>
                      <w:iCs/>
                      <w:u w:val="single"/>
                    </w:rPr>
                  </m:ctrlPr>
                </m:e>
                <m:sub>
                  <m:r>
                    <m:rPr>
                      <m:sty m:val="bi"/>
                    </m:rPr>
                    <w:rPr>
                      <w:rFonts w:ascii="Cambria Math" w:hAnsi="Cambria Math"/>
                      <w:u w:val="single"/>
                    </w:rPr>
                    <m:t>PDCCH</m:t>
                  </m:r>
                  <m:ctrlPr>
                    <w:rPr>
                      <w:rFonts w:ascii="Cambria Math" w:hAnsi="Cambria Math"/>
                      <w:b/>
                      <w:i/>
                      <w:iCs/>
                      <w:u w:val="single"/>
                    </w:rPr>
                  </m:ctrlPr>
                </m:sub>
                <m:sup>
                  <m:r>
                    <m:rPr>
                      <m:sty m:val="bi"/>
                    </m:rPr>
                    <w:rPr>
                      <w:rFonts w:ascii="Cambria Math" w:hAnsi="Cambria Math"/>
                      <w:u w:val="single"/>
                    </w:rPr>
                    <m:t>max,(X,Y), μ</m:t>
                  </m:r>
                  <m:ctrlPr>
                    <w:rPr>
                      <w:rFonts w:ascii="Cambria Math" w:hAnsi="Cambria Math"/>
                      <w:b/>
                      <w:i/>
                      <w:iCs/>
                      <w:u w:val="single"/>
                    </w:rPr>
                  </m:ctrlPr>
                </m:sup>
              </m:sSubSup>
            </m:oMath>
            <w:r>
              <w:rPr>
                <w:b/>
                <w:u w:val="single"/>
              </w:rPr>
              <w:t xml:space="preserve"> of PDCCH candidates, and maximum number </w:t>
            </w:r>
            <m:oMath>
              <m:sSubSup>
                <m:sSubSupPr>
                  <m:ctrlPr>
                    <w:rPr>
                      <w:rFonts w:ascii="Cambria Math" w:hAnsi="Cambria Math"/>
                      <w:b/>
                      <w:i/>
                      <w:iCs/>
                      <w:u w:val="single"/>
                    </w:rPr>
                  </m:ctrlPr>
                </m:sSubSupPr>
                <m:e>
                  <m:r>
                    <m:rPr>
                      <m:sty m:val="bi"/>
                    </m:rPr>
                    <w:rPr>
                      <w:rFonts w:ascii="Cambria Math" w:hAnsi="Cambria Math"/>
                      <w:u w:val="single"/>
                    </w:rPr>
                    <m:t>C</m:t>
                  </m:r>
                  <m:ctrlPr>
                    <w:rPr>
                      <w:rFonts w:ascii="Cambria Math" w:hAnsi="Cambria Math"/>
                      <w:b/>
                      <w:i/>
                      <w:iCs/>
                      <w:u w:val="single"/>
                    </w:rPr>
                  </m:ctrlPr>
                </m:e>
                <m:sub>
                  <m:r>
                    <m:rPr>
                      <m:sty m:val="bi"/>
                    </m:rPr>
                    <w:rPr>
                      <w:rFonts w:ascii="Cambria Math" w:hAnsi="Cambria Math"/>
                      <w:u w:val="single"/>
                    </w:rPr>
                    <m:t>PDCCH</m:t>
                  </m:r>
                  <m:ctrlPr>
                    <w:rPr>
                      <w:rFonts w:ascii="Cambria Math" w:hAnsi="Cambria Math"/>
                      <w:b/>
                      <w:i/>
                      <w:iCs/>
                      <w:u w:val="single"/>
                    </w:rPr>
                  </m:ctrlPr>
                </m:sub>
                <m:sup>
                  <m:r>
                    <m:rPr>
                      <m:sty m:val="bi"/>
                    </m:rPr>
                    <w:rPr>
                      <w:rFonts w:ascii="Cambria Math" w:hAnsi="Cambria Math"/>
                      <w:u w:val="single"/>
                    </w:rPr>
                    <m:t>max,(X,Y),μ</m:t>
                  </m:r>
                  <m:ctrlPr>
                    <w:rPr>
                      <w:rFonts w:ascii="Cambria Math" w:hAnsi="Cambria Math"/>
                      <w:b/>
                      <w:i/>
                      <w:iCs/>
                      <w:u w:val="single"/>
                    </w:rPr>
                  </m:ctrlPr>
                </m:sup>
              </m:sSubSup>
              <m:r>
                <m:rPr>
                  <m:sty m:val="bi"/>
                </m:rPr>
                <w:rPr>
                  <w:rFonts w:ascii="Cambria Math"/>
                  <w:u w:val="single"/>
                </w:rPr>
                <m:t xml:space="preserve"> </m:t>
              </m:r>
            </m:oMath>
            <w:r>
              <w:rPr>
                <w:b/>
                <w:u w:val="single"/>
              </w:rPr>
              <w:t xml:space="preserve">of non-overlapped CCEs, per multi-slot span for combination (X, Y), where X &gt;1 slots, Y&gt;=1 slots, and </w:t>
            </w:r>
            <m:oMath>
              <m:r>
                <m:rPr>
                  <m:sty m:val="bi"/>
                </m:rPr>
                <w:rPr>
                  <w:rFonts w:ascii="Cambria Math" w:hAnsi="Cambria Math"/>
                  <w:u w:val="single"/>
                </w:rPr>
                <m:t>μ=5, or 6</m:t>
              </m:r>
            </m:oMath>
            <w:r>
              <w:rPr>
                <w:b/>
                <w:iCs/>
                <w:u w:val="single"/>
              </w:rPr>
              <w:t>.</w:t>
            </w:r>
          </w:p>
          <w:p>
            <w:pPr>
              <w:widowControl w:val="0"/>
              <w:tabs>
                <w:tab w:val="left" w:pos="1300"/>
              </w:tabs>
              <w:jc w:val="both"/>
            </w:pPr>
            <w:r>
              <w:t>An issue was raised in RAN1#104bis-e regarding switching PDCCH monitoring capability based on SSSG switching. However, that issue is not valid. Based on Rel-15/16 configuration of PDCCH monitoring capability, a UE does not switch PDCCH monitoring capability based on SSSG switching. SSSG switching is performed within an active DL BWP while PDCCH monitoring capability is configured per DL BWP and applies to all search space sets configurations within the DL BWP. Also, it is possible to extend SSSG switching to support switching of UE PDCCH monitoring capability, if necessary. NR supports switching PDCCH monitoring capabilities based on BWP switching and the same principle can apply for switching PDCCH monitoring capabilities based on SSSG switching. However, the motivation for supporting PDCCH monitoring capability switching without BWP switching needs to be justified first before considering any enhancement on Rel-16 SSSG switching to support PDCCH monitoring capability switching.</w:t>
            </w:r>
          </w:p>
          <w:p>
            <w:pPr>
              <w:widowControl w:val="0"/>
              <w:jc w:val="both"/>
              <w:rPr>
                <w:b/>
                <w:iCs/>
                <w:u w:val="single"/>
              </w:rPr>
            </w:pPr>
          </w:p>
          <w:p>
            <w:pPr>
              <w:widowControl w:val="0"/>
              <w:jc w:val="both"/>
              <w:rPr>
                <w:iCs/>
                <w:u w:val="single"/>
              </w:rPr>
            </w:pPr>
            <w:r>
              <w:rPr>
                <w:b/>
                <w:iCs/>
                <w:u w:val="single"/>
              </w:rPr>
              <w:t xml:space="preserve">Observation 5: </w:t>
            </w:r>
            <w:r>
              <w:rPr>
                <w:iCs/>
                <w:u w:val="single"/>
              </w:rPr>
              <w:t xml:space="preserve">PDCCH monitoring capability switching is supported in NR Rel-16 based on BWP switching. </w:t>
            </w:r>
          </w:p>
          <w:p>
            <w:pPr>
              <w:widowControl w:val="0"/>
              <w:jc w:val="both"/>
              <w:rPr>
                <w:b/>
                <w:iCs/>
                <w:u w:val="single"/>
              </w:rPr>
            </w:pPr>
          </w:p>
          <w:p>
            <w:pPr>
              <w:widowControl w:val="0"/>
              <w:jc w:val="both"/>
              <w:rPr>
                <w:b/>
                <w:iCs/>
                <w:u w:val="single"/>
              </w:rPr>
            </w:pPr>
            <w:r>
              <w:rPr>
                <w:b/>
                <w:iCs/>
                <w:u w:val="single"/>
              </w:rPr>
              <w:t xml:space="preserve">Proposal 6: Further study motivation for enhancement of Rel-16 SSSG switching scheme to support PDCCH monitoring capability switching. </w:t>
            </w:r>
          </w:p>
          <w:p>
            <w:pPr>
              <w:widowControl w:val="0"/>
              <w:jc w:val="both"/>
              <w:rPr>
                <w:lang w:eastAsia="zh-CN"/>
              </w:rPr>
            </w:pPr>
            <w:r>
              <w:rPr>
                <w:lang w:eastAsia="zh-CN"/>
              </w:rPr>
              <w:t xml:space="preserve">To support multi-slot span based PDCCH monitoring, a UE would expect that a time gap between any two consecutive PDCCH monitoring spans is not smaller than the multi-slot span gap X, while any PDCCH monitoring span duration is up to Y slots. PDCCH monitoring occasions are determined according to configured search space sets, where PDCCH monitoring periodicity </w:t>
            </w:r>
            <m:oMath>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s</m:t>
                  </m:r>
                  <m:ctrlPr>
                    <w:rPr>
                      <w:rFonts w:ascii="Cambria Math" w:hAnsi="Cambria Math"/>
                      <w:i/>
                    </w:rPr>
                  </m:ctrlPr>
                </m:sub>
              </m:sSub>
              <m:r>
                <w:rPr>
                  <w:rFonts w:ascii="Cambria Math" w:hAnsi="Cambria Math"/>
                </w:rPr>
                <m:t>,</m:t>
              </m:r>
            </m:oMath>
            <w:r>
              <w:t xml:space="preserve"> and duration </w:t>
            </w:r>
            <m:oMath>
              <m:sSub>
                <m:sSubPr>
                  <m:ctrlPr>
                    <w:rPr>
                      <w:rFonts w:ascii="Cambria Math" w:hAnsi="Cambria Math"/>
                      <w:i/>
                    </w:rPr>
                  </m:ctrlPr>
                </m:sSubPr>
                <m:e>
                  <m:r>
                    <w:rPr>
                      <w:rFonts w:ascii="Cambria Math" w:hAnsi="Cambria Math"/>
                    </w:rPr>
                    <m:t>T</m:t>
                  </m:r>
                  <m:ctrlPr>
                    <w:rPr>
                      <w:rFonts w:ascii="Cambria Math" w:hAnsi="Cambria Math"/>
                      <w:i/>
                    </w:rPr>
                  </m:ctrlPr>
                </m:e>
                <m:sub>
                  <m:r>
                    <w:rPr>
                      <w:rFonts w:ascii="Cambria Math" w:hAnsi="Cambria Math"/>
                    </w:rPr>
                    <m:t>s</m:t>
                  </m:r>
                  <m:ctrlPr>
                    <w:rPr>
                      <w:rFonts w:ascii="Cambria Math" w:hAnsi="Cambria Math"/>
                      <w:i/>
                    </w:rPr>
                  </m:ctrlPr>
                </m:sub>
              </m:sSub>
              <m:r>
                <w:rPr>
                  <w:rFonts w:ascii="Cambria Math" w:hAnsi="Cambria Math"/>
                </w:rPr>
                <m:t xml:space="preserve">, </m:t>
              </m:r>
            </m:oMath>
            <w:r>
              <w:t xml:space="preserve">are configured in  number of slots for a search space set </w:t>
            </w:r>
            <w:r>
              <w:rPr>
                <w:i/>
              </w:rPr>
              <w:t>s</w:t>
            </w:r>
            <w:r>
              <w:t xml:space="preserve">. </w:t>
            </w:r>
            <w:r>
              <w:rPr>
                <w:lang w:eastAsia="zh-CN"/>
              </w:rPr>
              <w:t xml:space="preserve">Two consecutive PDCCH monitoring spans can either be PDCCH monitoring occasions from the same search space set or PDCCH monitoring occasions from different search space sets. Therefore, both intra search space set span gap and inter search space set span gap should be considered – i.e. the span gap should be considered across all search space sets as in Rel-16. </w:t>
            </w:r>
          </w:p>
          <w:p>
            <w:pPr>
              <w:widowControl w:val="0"/>
              <w:jc w:val="both"/>
              <w:rPr>
                <w:lang w:eastAsia="zh-CN"/>
              </w:rPr>
            </w:pPr>
          </w:p>
          <w:p>
            <w:pPr>
              <w:widowControl w:val="0"/>
              <w:jc w:val="both"/>
            </w:pPr>
            <w:r>
              <w:t xml:space="preserve">Figure 2 illustrates an example of multi-slot span based PDCCH monitoring with combination of (X = 4, Y =2), the configuration of search space set 3 is invalid because the two consecutive PDCCH monitoring occasions from search space set 1 and search space set 3 is smaller than X, but is not smaller than Y. </w:t>
            </w:r>
          </w:p>
          <w:p>
            <w:pPr>
              <w:widowControl w:val="0"/>
              <w:rPr>
                <w:lang w:eastAsia="zh-CN"/>
              </w:rPr>
            </w:pPr>
          </w:p>
          <w:p>
            <w:pPr>
              <w:widowControl w:val="0"/>
            </w:pPr>
            <w:r>
              <w:object>
                <v:shape id="_x0000_i1034" o:spt="75" type="#_x0000_t75" style="height:142.3pt;width:481.8pt;" o:ole="t" filled="f" o:preferrelative="t" stroked="f" coordsize="21600,21600">
                  <v:path/>
                  <v:fill on="f" focussize="0,0"/>
                  <v:stroke on="f" joinstyle="miter"/>
                  <v:imagedata r:id="rId35" o:title=""/>
                  <o:lock v:ext="edit" aspectratio="t"/>
                  <w10:wrap type="none"/>
                  <w10:anchorlock/>
                </v:shape>
                <o:OLEObject Type="Embed" ProgID="Visio.Drawing.15" ShapeID="_x0000_i1034" DrawAspect="Content" ObjectID="_1468075734" r:id="rId34">
                  <o:LockedField>false</o:LockedField>
                </o:OLEObject>
              </w:object>
            </w:r>
          </w:p>
          <w:p>
            <w:pPr>
              <w:widowControl w:val="0"/>
              <w:jc w:val="center"/>
              <w:rPr>
                <w:b/>
              </w:rPr>
            </w:pPr>
            <w:r>
              <w:rPr>
                <w:b/>
              </w:rPr>
              <w:t>Figure 2: Illustration of search space set configurations limited by combination of (X = 4, Y =2).</w:t>
            </w:r>
          </w:p>
          <w:p>
            <w:pPr>
              <w:widowControl w:val="0"/>
              <w:rPr>
                <w:lang w:eastAsia="zh-CN"/>
              </w:rPr>
            </w:pPr>
          </w:p>
          <w:p>
            <w:pPr>
              <w:widowControl w:val="0"/>
              <w:jc w:val="both"/>
              <w:rPr>
                <w:lang w:eastAsia="zh-CN"/>
              </w:rPr>
            </w:pPr>
            <w:r>
              <w:rPr>
                <w:lang w:eastAsia="zh-CN"/>
              </w:rPr>
              <w:t xml:space="preserve">For intra search space set span gap, the PDCCH monitoring periodicity of </w:t>
            </w:r>
            <m:oMath>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s</m:t>
                  </m:r>
                  <m:ctrlPr>
                    <w:rPr>
                      <w:rFonts w:ascii="Cambria Math" w:hAnsi="Cambria Math"/>
                      <w:i/>
                    </w:rPr>
                  </m:ctrlPr>
                </m:sub>
              </m:sSub>
            </m:oMath>
            <w:r>
              <w:rPr>
                <w:lang w:eastAsia="zh-CN"/>
              </w:rPr>
              <w:t xml:space="preserve"> slots should be limited by the multi-slot span gap X, while the PDCCH monitoring duration of </w:t>
            </w:r>
            <m:oMath>
              <m:sSub>
                <m:sSubPr>
                  <m:ctrlPr>
                    <w:rPr>
                      <w:rFonts w:ascii="Cambria Math" w:hAnsi="Cambria Math"/>
                      <w:i/>
                    </w:rPr>
                  </m:ctrlPr>
                </m:sSubPr>
                <m:e>
                  <m:r>
                    <w:rPr>
                      <w:rFonts w:ascii="Cambria Math" w:hAnsi="Cambria Math"/>
                    </w:rPr>
                    <m:t>T</m:t>
                  </m:r>
                  <m:ctrlPr>
                    <w:rPr>
                      <w:rFonts w:ascii="Cambria Math" w:hAnsi="Cambria Math"/>
                      <w:i/>
                    </w:rPr>
                  </m:ctrlPr>
                </m:e>
                <m:sub>
                  <m:r>
                    <w:rPr>
                      <w:rFonts w:ascii="Cambria Math" w:hAnsi="Cambria Math"/>
                    </w:rPr>
                    <m:t>s</m:t>
                  </m:r>
                  <m:ctrlPr>
                    <w:rPr>
                      <w:rFonts w:ascii="Cambria Math" w:hAnsi="Cambria Math"/>
                      <w:i/>
                    </w:rPr>
                  </m:ctrlPr>
                </m:sub>
              </m:sSub>
            </m:oMath>
            <w:r>
              <w:rPr>
                <w:lang w:eastAsia="zh-CN"/>
              </w:rPr>
              <w:t xml:space="preserve"> slots should be limited by the multi-slot span Y. Therefore, a PDCCH monitoring periodicity should not be smaller than the multi-slot span gap, i.e. </w:t>
            </w:r>
            <m:oMath>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s</m:t>
                  </m:r>
                  <m:ctrlPr>
                    <w:rPr>
                      <w:rFonts w:ascii="Cambria Math" w:hAnsi="Cambria Math"/>
                      <w:i/>
                    </w:rPr>
                  </m:ctrlPr>
                </m:sub>
              </m:sSub>
              <m:r>
                <w:rPr>
                  <w:rFonts w:ascii="Cambria Math" w:hAnsi="Cambria Math"/>
                </w:rPr>
                <m:t>≥X</m:t>
              </m:r>
            </m:oMath>
            <w:r>
              <w:rPr>
                <w:lang w:eastAsia="zh-CN"/>
              </w:rPr>
              <w:t xml:space="preserve">, while PDCCH monitoring duration is not larger than multi-slot span, i.e. </w:t>
            </w:r>
            <m:oMath>
              <m:sSub>
                <m:sSubPr>
                  <m:ctrlPr>
                    <w:rPr>
                      <w:rFonts w:ascii="Cambria Math" w:hAnsi="Cambria Math"/>
                      <w:i/>
                    </w:rPr>
                  </m:ctrlPr>
                </m:sSubPr>
                <m:e>
                  <m:r>
                    <w:rPr>
                      <w:rFonts w:ascii="Cambria Math" w:hAnsi="Cambria Math"/>
                    </w:rPr>
                    <m:t>T</m:t>
                  </m:r>
                  <m:ctrlPr>
                    <w:rPr>
                      <w:rFonts w:ascii="Cambria Math" w:hAnsi="Cambria Math"/>
                      <w:i/>
                    </w:rPr>
                  </m:ctrlPr>
                </m:e>
                <m:sub>
                  <m:r>
                    <w:rPr>
                      <w:rFonts w:ascii="Cambria Math" w:hAnsi="Cambria Math"/>
                    </w:rPr>
                    <m:t>s</m:t>
                  </m:r>
                  <m:ctrlPr>
                    <w:rPr>
                      <w:rFonts w:ascii="Cambria Math" w:hAnsi="Cambria Math"/>
                      <w:i/>
                    </w:rPr>
                  </m:ctrlPr>
                </m:sub>
              </m:sSub>
              <m:r>
                <m:rPr>
                  <m:sty m:val="p"/>
                </m:rPr>
                <w:rPr>
                  <w:rFonts w:ascii="Cambria Math"/>
                  <w:lang w:eastAsia="zh-CN"/>
                </w:rPr>
                <m:t>≤Y if a PDCCH monitoring span is extended to be Y slots</m:t>
              </m:r>
            </m:oMath>
            <w:r>
              <w:rPr>
                <w:lang w:eastAsia="zh-CN"/>
              </w:rPr>
              <w:t>.</w:t>
            </w:r>
          </w:p>
          <w:p>
            <w:pPr>
              <w:widowControl w:val="0"/>
              <w:jc w:val="both"/>
              <w:rPr>
                <w:lang w:eastAsia="zh-CN"/>
              </w:rPr>
            </w:pPr>
          </w:p>
          <w:p>
            <w:pPr>
              <w:widowControl w:val="0"/>
              <w:jc w:val="both"/>
            </w:pPr>
            <w:r>
              <w:rPr>
                <w:lang w:eastAsia="zh-CN"/>
              </w:rPr>
              <w:t xml:space="preserve">For inter search space set span gap, two consecutive PDCCH monitoring occasions from different search space sets may belong to different PDCCH monitoring spans. In this case, the gap between the two consecutive PDCCH monitoring occasions from search space set </w:t>
            </w:r>
            <w:r>
              <w:rPr>
                <w:i/>
                <w:lang w:eastAsia="zh-CN"/>
              </w:rPr>
              <w:t xml:space="preserve">i </w:t>
            </w:r>
            <w:r>
              <w:rPr>
                <w:lang w:eastAsia="zh-CN"/>
              </w:rPr>
              <w:t xml:space="preserve"> and search space set </w:t>
            </w:r>
            <w:r>
              <w:rPr>
                <w:i/>
                <w:lang w:eastAsia="zh-CN"/>
              </w:rPr>
              <w:t>j</w:t>
            </w:r>
            <w:r>
              <w:rPr>
                <w:lang w:eastAsia="zh-CN"/>
              </w:rPr>
              <w:t xml:space="preserve"> is limited by multi-slot span gap, X, such that </w:t>
            </w:r>
            <m:oMath>
              <m:r>
                <w:rPr>
                  <w:rFonts w:ascii="Cambria Math" w:hAnsi="Cambria Math"/>
                  <w:lang w:eastAsia="zh-CN"/>
                </w:rPr>
                <m:t>|</m:t>
              </m:r>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i</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O</m:t>
                  </m:r>
                  <m:ctrlPr>
                    <w:rPr>
                      <w:rFonts w:ascii="Cambria Math" w:hAnsi="Cambria Math"/>
                      <w:i/>
                    </w:rPr>
                  </m:ctrlPr>
                </m:e>
                <m:sub>
                  <m:r>
                    <w:rPr>
                      <w:rFonts w:ascii="Cambria Math" w:hAnsi="Cambria Math"/>
                    </w:rPr>
                    <m:t>i</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j</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O</m:t>
                  </m:r>
                  <m:ctrlPr>
                    <w:rPr>
                      <w:rFonts w:ascii="Cambria Math" w:hAnsi="Cambria Math"/>
                      <w:i/>
                    </w:rPr>
                  </m:ctrlPr>
                </m:e>
                <m:sub>
                  <m:r>
                    <w:rPr>
                      <w:rFonts w:ascii="Cambria Math" w:hAnsi="Cambria Math"/>
                    </w:rPr>
                    <m:t>j</m:t>
                  </m:r>
                  <m:ctrlPr>
                    <w:rPr>
                      <w:rFonts w:ascii="Cambria Math" w:hAnsi="Cambria Math"/>
                      <w:i/>
                    </w:rPr>
                  </m:ctrlPr>
                </m:sub>
              </m:sSub>
              <m:r>
                <w:rPr>
                  <w:rFonts w:ascii="Cambria Math" w:hAnsi="Cambria Math"/>
                </w:rPr>
                <m:t>)|≥X</m:t>
              </m:r>
            </m:oMath>
            <w:r>
              <w:t xml:space="preserve">, where </w:t>
            </w:r>
            <m:oMath>
              <m:sSub>
                <m:sSubPr>
                  <m:ctrlPr>
                    <w:rPr>
                      <w:rFonts w:ascii="Cambria Math" w:hAnsi="Cambria Math"/>
                      <w:i/>
                    </w:rPr>
                  </m:ctrlPr>
                </m:sSubPr>
                <m:e>
                  <m:r>
                    <w:rPr>
                      <w:rFonts w:ascii="Cambria Math" w:hAnsi="Cambria Math"/>
                    </w:rPr>
                    <m:t>O</m:t>
                  </m:r>
                  <m:ctrlPr>
                    <w:rPr>
                      <w:rFonts w:ascii="Cambria Math" w:hAnsi="Cambria Math"/>
                      <w:i/>
                    </w:rPr>
                  </m:ctrlPr>
                </m:e>
                <m:sub>
                  <m:r>
                    <w:rPr>
                      <w:rFonts w:ascii="Cambria Math" w:hAnsi="Cambria Math"/>
                    </w:rPr>
                    <m:t>i</m:t>
                  </m:r>
                  <m:ctrlPr>
                    <w:rPr>
                      <w:rFonts w:ascii="Cambria Math" w:hAnsi="Cambria Math"/>
                      <w:i/>
                    </w:rPr>
                  </m:ctrlPr>
                </m:sub>
              </m:sSub>
            </m:oMath>
            <w:r>
              <w:t xml:space="preserve"> and </w:t>
            </w:r>
            <m:oMath>
              <m:sSub>
                <m:sSubPr>
                  <m:ctrlPr>
                    <w:rPr>
                      <w:rFonts w:ascii="Cambria Math" w:hAnsi="Cambria Math"/>
                      <w:i/>
                    </w:rPr>
                  </m:ctrlPr>
                </m:sSubPr>
                <m:e>
                  <m:r>
                    <w:rPr>
                      <w:rFonts w:ascii="Cambria Math" w:hAnsi="Cambria Math"/>
                    </w:rPr>
                    <m:t>O</m:t>
                  </m:r>
                  <m:ctrlPr>
                    <w:rPr>
                      <w:rFonts w:ascii="Cambria Math" w:hAnsi="Cambria Math"/>
                      <w:i/>
                    </w:rPr>
                  </m:ctrlPr>
                </m:e>
                <m:sub>
                  <m:r>
                    <w:rPr>
                      <w:rFonts w:ascii="Cambria Math" w:hAnsi="Cambria Math"/>
                    </w:rPr>
                    <m:t>j</m:t>
                  </m:r>
                  <m:ctrlPr>
                    <w:rPr>
                      <w:rFonts w:ascii="Cambria Math" w:hAnsi="Cambria Math"/>
                      <w:i/>
                    </w:rPr>
                  </m:ctrlPr>
                </m:sub>
              </m:sSub>
            </m:oMath>
            <w:r>
              <w:t xml:space="preserve"> are offsets for </w:t>
            </w:r>
            <w:r>
              <w:rPr>
                <w:lang w:eastAsia="zh-CN"/>
              </w:rPr>
              <w:t xml:space="preserve">search space set </w:t>
            </w:r>
            <w:r>
              <w:rPr>
                <w:i/>
                <w:lang w:eastAsia="zh-CN"/>
              </w:rPr>
              <w:t xml:space="preserve">i </w:t>
            </w:r>
            <w:r>
              <w:rPr>
                <w:lang w:eastAsia="zh-CN"/>
              </w:rPr>
              <w:t xml:space="preserve"> and search space set </w:t>
            </w:r>
            <w:r>
              <w:rPr>
                <w:i/>
                <w:lang w:eastAsia="zh-CN"/>
              </w:rPr>
              <w:t>j</w:t>
            </w:r>
            <w:r>
              <w:rPr>
                <w:lang w:eastAsia="zh-CN"/>
              </w:rPr>
              <w:t xml:space="preserve">. In another case, the two consecutive PDCCH monitoring occasions from different search space sets can belong to the same PDCCH monitoring span. In the latter case, the gap between the two consecutive PDCCH monitoring occasions from search space set </w:t>
            </w:r>
            <w:r>
              <w:rPr>
                <w:i/>
                <w:lang w:eastAsia="zh-CN"/>
              </w:rPr>
              <w:t>i</w:t>
            </w:r>
            <w:r>
              <w:rPr>
                <w:lang w:eastAsia="zh-CN"/>
              </w:rPr>
              <w:t xml:space="preserve"> and search space set </w:t>
            </w:r>
            <w:r>
              <w:rPr>
                <w:i/>
                <w:lang w:eastAsia="zh-CN"/>
              </w:rPr>
              <w:t>j</w:t>
            </w:r>
            <w:r>
              <w:rPr>
                <w:lang w:eastAsia="zh-CN"/>
              </w:rPr>
              <w:t xml:space="preserve"> should be limited by multi-slot span duration, Y, such that </w:t>
            </w:r>
            <m:oMath>
              <m:r>
                <w:rPr>
                  <w:rFonts w:ascii="Cambria Math" w:hAnsi="Cambria Math"/>
                  <w:lang w:eastAsia="zh-CN"/>
                </w:rPr>
                <m:t>|</m:t>
              </m:r>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i</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O</m:t>
                  </m:r>
                  <m:ctrlPr>
                    <w:rPr>
                      <w:rFonts w:ascii="Cambria Math" w:hAnsi="Cambria Math"/>
                      <w:i/>
                    </w:rPr>
                  </m:ctrlPr>
                </m:e>
                <m:sub>
                  <m:r>
                    <w:rPr>
                      <w:rFonts w:ascii="Cambria Math" w:hAnsi="Cambria Math"/>
                    </w:rPr>
                    <m:t>i</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j</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O</m:t>
                  </m:r>
                  <m:ctrlPr>
                    <w:rPr>
                      <w:rFonts w:ascii="Cambria Math" w:hAnsi="Cambria Math"/>
                      <w:i/>
                    </w:rPr>
                  </m:ctrlPr>
                </m:e>
                <m:sub>
                  <m:r>
                    <w:rPr>
                      <w:rFonts w:ascii="Cambria Math" w:hAnsi="Cambria Math"/>
                    </w:rPr>
                    <m:t>j</m:t>
                  </m:r>
                  <m:ctrlPr>
                    <w:rPr>
                      <w:rFonts w:ascii="Cambria Math" w:hAnsi="Cambria Math"/>
                      <w:i/>
                    </w:rPr>
                  </m:ctrlPr>
                </m:sub>
              </m:sSub>
              <m:r>
                <w:rPr>
                  <w:rFonts w:ascii="Cambria Math" w:hAnsi="Cambria Math"/>
                </w:rPr>
                <m:t>)|&lt;Y</m:t>
              </m:r>
            </m:oMath>
            <w:r>
              <w:t xml:space="preserve">. For the benefit of simple scheduling and configuration, it’s better to consider applicable values for PDCCH monitoring periodicity to be integer of X. </w:t>
            </w:r>
          </w:p>
          <w:p>
            <w:pPr>
              <w:widowControl w:val="0"/>
              <w:jc w:val="both"/>
            </w:pPr>
          </w:p>
          <w:p>
            <w:pPr>
              <w:widowControl w:val="0"/>
              <w:jc w:val="both"/>
              <w:rPr>
                <w:b/>
                <w:u w:val="single"/>
              </w:rPr>
            </w:pPr>
            <w:r>
              <w:rPr>
                <w:b/>
                <w:u w:val="single"/>
              </w:rPr>
              <w:t xml:space="preserve">Proposal 7: For multi-slot span based PDCCH monitoring based on combination (X, Y), the PDCCH monitoring periodicity is </w:t>
            </w:r>
            <m:oMath>
              <m:sSub>
                <m:sSubPr>
                  <m:ctrlPr>
                    <w:rPr>
                      <w:rFonts w:ascii="Cambria Math" w:hAnsi="Cambria Math"/>
                      <w:b/>
                      <w:i/>
                      <w:u w:val="single"/>
                    </w:rPr>
                  </m:ctrlPr>
                </m:sSubPr>
                <m:e>
                  <m:r>
                    <m:rPr>
                      <m:sty m:val="bi"/>
                    </m:rPr>
                    <w:rPr>
                      <w:rFonts w:ascii="Cambria Math" w:hAnsi="Cambria Math"/>
                      <w:u w:val="single"/>
                    </w:rPr>
                    <m:t>k</m:t>
                  </m:r>
                  <m:ctrlPr>
                    <w:rPr>
                      <w:rFonts w:ascii="Cambria Math" w:hAnsi="Cambria Math"/>
                      <w:b/>
                      <w:i/>
                      <w:u w:val="single"/>
                    </w:rPr>
                  </m:ctrlPr>
                </m:e>
                <m:sub>
                  <m:r>
                    <m:rPr>
                      <m:sty m:val="bi"/>
                    </m:rPr>
                    <w:rPr>
                      <w:rFonts w:ascii="Cambria Math" w:hAnsi="Cambria Math"/>
                      <w:u w:val="single"/>
                    </w:rPr>
                    <m:t>s</m:t>
                  </m:r>
                  <m:ctrlPr>
                    <w:rPr>
                      <w:rFonts w:ascii="Cambria Math" w:hAnsi="Cambria Math"/>
                      <w:b/>
                      <w:i/>
                      <w:u w:val="single"/>
                    </w:rPr>
                  </m:ctrlPr>
                </m:sub>
              </m:sSub>
              <m:r>
                <m:rPr>
                  <m:sty m:val="bi"/>
                </m:rPr>
                <w:rPr>
                  <w:rFonts w:ascii="Cambria Math" w:hAnsi="Cambria Math"/>
                  <w:u w:val="single"/>
                </w:rPr>
                <m:t>=k⋅X</m:t>
              </m:r>
            </m:oMath>
            <w:r>
              <w:rPr>
                <w:b/>
                <w:u w:val="single"/>
              </w:rPr>
              <w:t xml:space="preserve">, </w:t>
            </w:r>
            <m:oMath>
              <m:r>
                <m:rPr>
                  <m:sty m:val="bi"/>
                </m:rPr>
                <w:rPr>
                  <w:rFonts w:ascii="Cambria Math" w:hAnsi="Cambria Math"/>
                  <w:u w:val="single"/>
                </w:rPr>
                <m:t>k=1, 2, …</m:t>
              </m:r>
            </m:oMath>
            <w:r>
              <w:rPr>
                <w:b/>
                <w:u w:val="single"/>
              </w:rPr>
              <w:t xml:space="preserve">, and the PDCCH monitoring duration is </w:t>
            </w:r>
            <m:oMath>
              <m:sSub>
                <m:sSubPr>
                  <m:ctrlPr>
                    <w:rPr>
                      <w:rFonts w:ascii="Cambria Math" w:hAnsi="Cambria Math"/>
                      <w:b/>
                      <w:i/>
                      <w:u w:val="single"/>
                    </w:rPr>
                  </m:ctrlPr>
                </m:sSubPr>
                <m:e>
                  <m:r>
                    <m:rPr>
                      <m:sty m:val="bi"/>
                    </m:rPr>
                    <w:rPr>
                      <w:rFonts w:ascii="Cambria Math" w:hAnsi="Cambria Math"/>
                      <w:u w:val="single"/>
                    </w:rPr>
                    <m:t>T</m:t>
                  </m:r>
                  <m:ctrlPr>
                    <w:rPr>
                      <w:rFonts w:ascii="Cambria Math" w:hAnsi="Cambria Math"/>
                      <w:b/>
                      <w:i/>
                      <w:u w:val="single"/>
                    </w:rPr>
                  </m:ctrlPr>
                </m:e>
                <m:sub>
                  <m:r>
                    <m:rPr>
                      <m:sty m:val="bi"/>
                    </m:rPr>
                    <w:rPr>
                      <w:rFonts w:ascii="Cambria Math" w:hAnsi="Cambria Math"/>
                      <w:u w:val="single"/>
                    </w:rPr>
                    <m:t>s</m:t>
                  </m:r>
                  <m:ctrlPr>
                    <w:rPr>
                      <w:rFonts w:ascii="Cambria Math" w:hAnsi="Cambria Math"/>
                      <w:b/>
                      <w:i/>
                      <w:u w:val="single"/>
                    </w:rPr>
                  </m:ctrlPr>
                </m:sub>
              </m:sSub>
              <m:r>
                <m:rPr>
                  <m:sty m:val="bi"/>
                </m:rPr>
                <w:rPr>
                  <w:rFonts w:hint="eastAsia" w:ascii="Cambria Math" w:hAnsi="Cambria Math"/>
                  <w:u w:val="single"/>
                </w:rPr>
                <m:t>≤</m:t>
              </m:r>
              <m:r>
                <m:rPr>
                  <m:sty m:val="bi"/>
                </m:rPr>
                <w:rPr>
                  <w:rFonts w:ascii="Cambria Math" w:hAnsi="Cambria Math"/>
                  <w:u w:val="single"/>
                </w:rPr>
                <m:t xml:space="preserve">Y </m:t>
              </m:r>
              <m:r>
                <m:rPr>
                  <m:sty m:val="b"/>
                </m:rPr>
                <w:rPr>
                  <w:rFonts w:ascii="Cambria Math" w:hAnsi="Cambria Math"/>
                  <w:u w:val="single"/>
                </w:rPr>
                <m:t>if Y &gt;1 slot</m:t>
              </m:r>
            </m:oMath>
          </w:p>
          <w:p>
            <w:pPr>
              <w:widowControl w:val="0"/>
              <w:snapToGrid/>
              <w:spacing w:line="240" w:lineRule="auto"/>
              <w:jc w:val="both"/>
              <w:rPr>
                <w:b/>
                <w:u w:val="single"/>
              </w:rPr>
            </w:pPr>
          </w:p>
          <w:p>
            <w:pPr>
              <w:widowControl w:val="0"/>
              <w:jc w:val="both"/>
            </w:pPr>
            <w:r>
              <w:t xml:space="preserve">Another PDCCH candidate configuration related aspect impacted by multi-slot based PDCCH monitoring is the determination of CCE locations for a PDCCH candidate. The determination of CCE indexes for a PDCCH candidate is based on a parameter, </w:t>
            </w:r>
            <m:oMath>
              <m:sSub>
                <m:sSubPr>
                  <m:ctrlPr>
                    <w:rPr>
                      <w:rFonts w:ascii="Cambria Math" w:hAnsi="Cambria Math"/>
                      <w:i/>
                    </w:rPr>
                  </m:ctrlPr>
                </m:sSubPr>
                <m:e>
                  <m:r>
                    <w:rPr>
                      <w:rFonts w:ascii="Cambria Math" w:hAnsi="Cambria Math"/>
                    </w:rPr>
                    <m:t>Y</m:t>
                  </m:r>
                  <m:ctrlPr>
                    <w:rPr>
                      <w:rFonts w:ascii="Cambria Math" w:hAnsi="Cambria Math"/>
                      <w:i/>
                    </w:rPr>
                  </m:ctrlPr>
                </m:e>
                <m:sub>
                  <m:r>
                    <w:rPr>
                      <w:rFonts w:ascii="Cambria Math" w:hAnsi="Cambria Math"/>
                    </w:rPr>
                    <m:t>p,</m:t>
                  </m:r>
                  <m:sSubSup>
                    <m:sSubSupPr>
                      <m:ctrlPr>
                        <w:rPr>
                          <w:rFonts w:ascii="Cambria Math" w:hAnsi="Cambria Math"/>
                          <w:i/>
                        </w:rPr>
                      </m:ctrlPr>
                    </m:sSubSupPr>
                    <m:e>
                      <m:r>
                        <w:rPr>
                          <w:rFonts w:ascii="Cambria Math" w:hAnsi="Cambria Math"/>
                        </w:rPr>
                        <m:t>n</m:t>
                      </m:r>
                      <m:ctrlPr>
                        <w:rPr>
                          <w:rFonts w:ascii="Cambria Math" w:hAnsi="Cambria Math"/>
                          <w:i/>
                        </w:rPr>
                      </m:ctrlPr>
                    </m:e>
                    <m:sub>
                      <m:r>
                        <w:rPr>
                          <w:rFonts w:ascii="Cambria Math" w:hAnsi="Cambria Math"/>
                        </w:rPr>
                        <m:t>s,f</m:t>
                      </m:r>
                      <m:ctrlPr>
                        <w:rPr>
                          <w:rFonts w:ascii="Cambria Math" w:hAnsi="Cambria Math"/>
                          <w:i/>
                        </w:rPr>
                      </m:ctrlPr>
                    </m:sub>
                    <m:sup>
                      <m:r>
                        <w:rPr>
                          <w:rFonts w:ascii="Cambria Math" w:hAnsi="Cambria Math"/>
                        </w:rPr>
                        <m:t>μ</m:t>
                      </m:r>
                      <m:ctrlPr>
                        <w:rPr>
                          <w:rFonts w:ascii="Cambria Math" w:hAnsi="Cambria Math"/>
                          <w:i/>
                        </w:rPr>
                      </m:ctrlPr>
                    </m:sup>
                  </m:sSubSup>
                  <m:ctrlPr>
                    <w:rPr>
                      <w:rFonts w:ascii="Cambria Math" w:hAnsi="Cambria Math"/>
                      <w:i/>
                    </w:rPr>
                  </m:ctrlPr>
                </m:sub>
              </m:sSub>
            </m:oMath>
            <w:r>
              <w:t xml:space="preserve">,  where </w:t>
            </w:r>
            <m:oMath>
              <m:sSubSup>
                <m:sSubSupPr>
                  <m:ctrlPr>
                    <w:rPr>
                      <w:rFonts w:ascii="Cambria Math" w:hAnsi="Cambria Math"/>
                      <w:i/>
                    </w:rPr>
                  </m:ctrlPr>
                </m:sSubSupPr>
                <m:e>
                  <m:r>
                    <w:rPr>
                      <w:rFonts w:ascii="Cambria Math" w:hAnsi="Cambria Math"/>
                    </w:rPr>
                    <m:t>n</m:t>
                  </m:r>
                  <m:ctrlPr>
                    <w:rPr>
                      <w:rFonts w:ascii="Cambria Math" w:hAnsi="Cambria Math"/>
                      <w:i/>
                    </w:rPr>
                  </m:ctrlPr>
                </m:e>
                <m:sub>
                  <m:r>
                    <w:rPr>
                      <w:rFonts w:ascii="Cambria Math" w:hAnsi="Cambria Math"/>
                    </w:rPr>
                    <m:t>s,f</m:t>
                  </m:r>
                  <m:ctrlPr>
                    <w:rPr>
                      <w:rFonts w:ascii="Cambria Math" w:hAnsi="Cambria Math"/>
                      <w:i/>
                    </w:rPr>
                  </m:ctrlPr>
                </m:sub>
                <m:sup>
                  <m:r>
                    <w:rPr>
                      <w:rFonts w:ascii="Cambria Math" w:hAnsi="Cambria Math"/>
                    </w:rPr>
                    <m:t>μ</m:t>
                  </m:r>
                  <m:ctrlPr>
                    <w:rPr>
                      <w:rFonts w:ascii="Cambria Math" w:hAnsi="Cambria Math"/>
                      <w:i/>
                    </w:rPr>
                  </m:ctrlPr>
                </m:sup>
              </m:sSubSup>
            </m:oMath>
            <w:r>
              <w:t xml:space="preserve"> is the slot index of the PDCCH monitoring occasion. For multi-slot based PDCCH monitoring and a PDCCH monitoring duration of X&gt;1 slots, the index of the first slot from the X slots is used to determine </w:t>
            </w:r>
            <m:oMath>
              <m:sSub>
                <m:sSubPr>
                  <m:ctrlPr>
                    <w:rPr>
                      <w:rFonts w:ascii="Cambria Math" w:hAnsi="Cambria Math"/>
                      <w:i/>
                    </w:rPr>
                  </m:ctrlPr>
                </m:sSubPr>
                <m:e>
                  <m:r>
                    <w:rPr>
                      <w:rFonts w:ascii="Cambria Math" w:hAnsi="Cambria Math"/>
                    </w:rPr>
                    <m:t>Y</m:t>
                  </m:r>
                  <m:ctrlPr>
                    <w:rPr>
                      <w:rFonts w:ascii="Cambria Math" w:hAnsi="Cambria Math"/>
                      <w:i/>
                    </w:rPr>
                  </m:ctrlPr>
                </m:e>
                <m:sub>
                  <m:r>
                    <w:rPr>
                      <w:rFonts w:ascii="Cambria Math" w:hAnsi="Cambria Math"/>
                    </w:rPr>
                    <m:t>p,</m:t>
                  </m:r>
                  <m:sSubSup>
                    <m:sSubSupPr>
                      <m:ctrlPr>
                        <w:rPr>
                          <w:rFonts w:ascii="Cambria Math" w:hAnsi="Cambria Math"/>
                          <w:i/>
                        </w:rPr>
                      </m:ctrlPr>
                    </m:sSubSupPr>
                    <m:e>
                      <m:r>
                        <w:rPr>
                          <w:rFonts w:ascii="Cambria Math" w:hAnsi="Cambria Math"/>
                        </w:rPr>
                        <m:t>n</m:t>
                      </m:r>
                      <m:ctrlPr>
                        <w:rPr>
                          <w:rFonts w:ascii="Cambria Math" w:hAnsi="Cambria Math"/>
                          <w:i/>
                        </w:rPr>
                      </m:ctrlPr>
                    </m:e>
                    <m:sub>
                      <m:r>
                        <w:rPr>
                          <w:rFonts w:ascii="Cambria Math" w:hAnsi="Cambria Math"/>
                        </w:rPr>
                        <m:t>s,f</m:t>
                      </m:r>
                      <m:ctrlPr>
                        <w:rPr>
                          <w:rFonts w:ascii="Cambria Math" w:hAnsi="Cambria Math"/>
                          <w:i/>
                        </w:rPr>
                      </m:ctrlPr>
                    </m:sub>
                    <m:sup>
                      <m:r>
                        <w:rPr>
                          <w:rFonts w:ascii="Cambria Math" w:hAnsi="Cambria Math"/>
                        </w:rPr>
                        <m:t>μ</m:t>
                      </m:r>
                      <m:ctrlPr>
                        <w:rPr>
                          <w:rFonts w:ascii="Cambria Math" w:hAnsi="Cambria Math"/>
                          <w:i/>
                        </w:rPr>
                      </m:ctrlPr>
                    </m:sup>
                  </m:sSubSup>
                  <m:ctrlPr>
                    <w:rPr>
                      <w:rFonts w:ascii="Cambria Math" w:hAnsi="Cambria Math"/>
                      <w:i/>
                    </w:rPr>
                  </m:ctrlPr>
                </m:sub>
              </m:sSub>
            </m:oMath>
            <w:r>
              <w:t xml:space="preserve">  i.e. </w:t>
            </w:r>
            <m:oMath>
              <m:sSub>
                <m:sSubPr>
                  <m:ctrlPr>
                    <w:rPr>
                      <w:rFonts w:ascii="Cambria Math" w:hAnsi="Cambria Math"/>
                      <w:i/>
                    </w:rPr>
                  </m:ctrlPr>
                </m:sSubPr>
                <m:e>
                  <m:r>
                    <w:rPr>
                      <w:rFonts w:ascii="Cambria Math" w:hAnsi="Cambria Math"/>
                    </w:rPr>
                    <m:t>Y</m:t>
                  </m:r>
                  <m:ctrlPr>
                    <w:rPr>
                      <w:rFonts w:ascii="Cambria Math" w:hAnsi="Cambria Math"/>
                      <w:i/>
                    </w:rPr>
                  </m:ctrlPr>
                </m:e>
                <m:sub>
                  <m:r>
                    <w:rPr>
                      <w:rFonts w:ascii="Cambria Math" w:hAnsi="Cambria Math"/>
                    </w:rPr>
                    <m:t>p,</m:t>
                  </m:r>
                  <m:sSubSup>
                    <m:sSubSupPr>
                      <m:ctrlPr>
                        <w:rPr>
                          <w:rFonts w:ascii="Cambria Math" w:hAnsi="Cambria Math"/>
                          <w:i/>
                        </w:rPr>
                      </m:ctrlPr>
                    </m:sSubSupPr>
                    <m:e>
                      <m:r>
                        <w:rPr>
                          <w:rFonts w:ascii="Cambria Math" w:hAnsi="Cambria Math"/>
                        </w:rPr>
                        <m:t>n</m:t>
                      </m:r>
                      <m:ctrlPr>
                        <w:rPr>
                          <w:rFonts w:ascii="Cambria Math" w:hAnsi="Cambria Math"/>
                          <w:i/>
                        </w:rPr>
                      </m:ctrlPr>
                    </m:e>
                    <m:sub>
                      <m:r>
                        <w:rPr>
                          <w:rFonts w:ascii="Cambria Math" w:hAnsi="Cambria Math"/>
                        </w:rPr>
                        <m:t>s,f</m:t>
                      </m:r>
                      <m:ctrlPr>
                        <w:rPr>
                          <w:rFonts w:ascii="Cambria Math" w:hAnsi="Cambria Math"/>
                          <w:i/>
                        </w:rPr>
                      </m:ctrlPr>
                    </m:sub>
                    <m:sup>
                      <m:r>
                        <w:rPr>
                          <w:rFonts w:ascii="Cambria Math" w:hAnsi="Cambria Math"/>
                        </w:rPr>
                        <m:t>μ</m:t>
                      </m:r>
                      <m:ctrlPr>
                        <w:rPr>
                          <w:rFonts w:ascii="Cambria Math" w:hAnsi="Cambria Math"/>
                          <w:i/>
                        </w:rPr>
                      </m:ctrlPr>
                    </m:sup>
                  </m:sSubSup>
                  <m:ctrlPr>
                    <w:rPr>
                      <w:rFonts w:ascii="Cambria Math" w:hAnsi="Cambria Math"/>
                      <w:i/>
                    </w:rPr>
                  </m:ctrlPr>
                </m:sub>
              </m:sSub>
            </m:oMath>
            <w:r>
              <w:t xml:space="preserve"> is replaced by </w:t>
            </w:r>
            <m:oMath>
              <m:sSub>
                <m:sSubPr>
                  <m:ctrlPr>
                    <w:rPr>
                      <w:rFonts w:ascii="Cambria Math" w:hAnsi="Cambria Math"/>
                      <w:i/>
                    </w:rPr>
                  </m:ctrlPr>
                </m:sSubPr>
                <m:e>
                  <m:r>
                    <w:rPr>
                      <w:rFonts w:ascii="Cambria Math" w:hAnsi="Cambria Math"/>
                    </w:rPr>
                    <m:t>Y</m:t>
                  </m:r>
                  <m:ctrlPr>
                    <w:rPr>
                      <w:rFonts w:ascii="Cambria Math" w:hAnsi="Cambria Math"/>
                      <w:i/>
                    </w:rPr>
                  </m:ctrlPr>
                </m:e>
                <m:sub>
                  <m:r>
                    <w:rPr>
                      <w:rFonts w:ascii="Cambria Math" w:hAnsi="Cambria Math"/>
                    </w:rPr>
                    <m:t>p,X</m:t>
                  </m:r>
                  <m:r>
                    <w:rPr>
                      <w:rFonts w:ascii="Cambria Math" w:hAnsi="Cambria Math"/>
                      <w:lang w:val="en-AU"/>
                    </w:rPr>
                    <m:t>⋅</m:t>
                  </m:r>
                  <m:sSubSup>
                    <m:sSubSupPr>
                      <m:ctrlPr>
                        <w:rPr>
                          <w:rFonts w:ascii="Cambria Math" w:hAnsi="Cambria Math"/>
                          <w:i/>
                        </w:rPr>
                      </m:ctrlPr>
                    </m:sSubSupPr>
                    <m:e>
                      <m:r>
                        <w:rPr>
                          <w:rFonts w:ascii="Cambria Math" w:hAnsi="Cambria Math"/>
                        </w:rPr>
                        <m:t>n</m:t>
                      </m:r>
                      <m:ctrlPr>
                        <w:rPr>
                          <w:rFonts w:ascii="Cambria Math" w:hAnsi="Cambria Math"/>
                          <w:i/>
                        </w:rPr>
                      </m:ctrlPr>
                    </m:e>
                    <m:sub>
                      <m:r>
                        <w:rPr>
                          <w:rFonts w:ascii="Cambria Math" w:hAnsi="Cambria Math"/>
                        </w:rPr>
                        <m:t>s,f</m:t>
                      </m:r>
                      <m:ctrlPr>
                        <w:rPr>
                          <w:rFonts w:ascii="Cambria Math" w:hAnsi="Cambria Math"/>
                          <w:i/>
                        </w:rPr>
                      </m:ctrlPr>
                    </m:sub>
                    <m:sup>
                      <m:r>
                        <w:rPr>
                          <w:rFonts w:ascii="Cambria Math" w:hAnsi="Cambria Math"/>
                        </w:rPr>
                        <m:t>μ</m:t>
                      </m:r>
                      <m:ctrlPr>
                        <w:rPr>
                          <w:rFonts w:ascii="Cambria Math" w:hAnsi="Cambria Math"/>
                          <w:i/>
                        </w:rPr>
                      </m:ctrlPr>
                    </m:sup>
                  </m:sSubSup>
                  <m:ctrlPr>
                    <w:rPr>
                      <w:rFonts w:ascii="Cambria Math" w:hAnsi="Cambria Math"/>
                      <w:i/>
                    </w:rPr>
                  </m:ctrlPr>
                </m:sub>
              </m:sSub>
            </m:oMath>
            <w:r>
              <w:rPr>
                <w:i/>
              </w:rPr>
              <w:t>,</w:t>
            </w:r>
            <w:r>
              <w:t xml:space="preserve"> for each PDCCH monitoring occasion within the X slots; otherwise, with </w:t>
            </w:r>
            <m:oMath>
              <m:sSub>
                <m:sSubPr>
                  <m:ctrlPr>
                    <w:rPr>
                      <w:rFonts w:ascii="Cambria Math" w:hAnsi="Cambria Math"/>
                      <w:i/>
                    </w:rPr>
                  </m:ctrlPr>
                </m:sSubPr>
                <m:e>
                  <m:r>
                    <w:rPr>
                      <w:rFonts w:ascii="Cambria Math" w:hAnsi="Cambria Math"/>
                    </w:rPr>
                    <m:t>Y</m:t>
                  </m:r>
                  <m:ctrlPr>
                    <w:rPr>
                      <w:rFonts w:ascii="Cambria Math" w:hAnsi="Cambria Math"/>
                      <w:i/>
                    </w:rPr>
                  </m:ctrlPr>
                </m:e>
                <m:sub>
                  <m:r>
                    <w:rPr>
                      <w:rFonts w:ascii="Cambria Math" w:hAnsi="Cambria Math"/>
                    </w:rPr>
                    <m:t>p,</m:t>
                  </m:r>
                  <m:sSubSup>
                    <m:sSubSupPr>
                      <m:ctrlPr>
                        <w:rPr>
                          <w:rFonts w:ascii="Cambria Math" w:hAnsi="Cambria Math"/>
                          <w:i/>
                        </w:rPr>
                      </m:ctrlPr>
                    </m:sSubSupPr>
                    <m:e>
                      <m:r>
                        <w:rPr>
                          <w:rFonts w:ascii="Cambria Math" w:hAnsi="Cambria Math"/>
                        </w:rPr>
                        <m:t>n</m:t>
                      </m:r>
                      <m:ctrlPr>
                        <w:rPr>
                          <w:rFonts w:ascii="Cambria Math" w:hAnsi="Cambria Math"/>
                          <w:i/>
                        </w:rPr>
                      </m:ctrlPr>
                    </m:e>
                    <m:sub>
                      <m:r>
                        <w:rPr>
                          <w:rFonts w:ascii="Cambria Math" w:hAnsi="Cambria Math"/>
                        </w:rPr>
                        <m:t>s,f</m:t>
                      </m:r>
                      <m:ctrlPr>
                        <w:rPr>
                          <w:rFonts w:ascii="Cambria Math" w:hAnsi="Cambria Math"/>
                          <w:i/>
                        </w:rPr>
                      </m:ctrlPr>
                    </m:sub>
                    <m:sup>
                      <m:r>
                        <w:rPr>
                          <w:rFonts w:ascii="Cambria Math" w:hAnsi="Cambria Math"/>
                        </w:rPr>
                        <m:t>μ</m:t>
                      </m:r>
                      <m:ctrlPr>
                        <w:rPr>
                          <w:rFonts w:ascii="Cambria Math" w:hAnsi="Cambria Math"/>
                          <w:i/>
                        </w:rPr>
                      </m:ctrlPr>
                    </m:sup>
                  </m:sSubSup>
                  <m:ctrlPr>
                    <w:rPr>
                      <w:rFonts w:ascii="Cambria Math" w:hAnsi="Cambria Math"/>
                      <w:i/>
                    </w:rPr>
                  </m:ctrlPr>
                </m:sub>
              </m:sSub>
            </m:oMath>
            <w:r>
              <w:t xml:space="preserve"> updated per slot and considering the time-first mapping for PDCCH and that Y can be more than 1 slot, the Rel-16 CCE-based structure for PDCCH transmissions cannot be maintained. </w:t>
            </w:r>
          </w:p>
          <w:p>
            <w:pPr>
              <w:widowControl w:val="0"/>
              <w:jc w:val="both"/>
            </w:pPr>
          </w:p>
          <w:p>
            <w:pPr>
              <w:widowControl w:val="0"/>
              <w:jc w:val="both"/>
              <w:rPr>
                <w:b/>
                <w:u w:val="single"/>
              </w:rPr>
            </w:pPr>
            <w:r>
              <w:rPr>
                <w:b/>
                <w:u w:val="single"/>
              </w:rPr>
              <w:t xml:space="preserve">Proposal 9: For multi-slot PDCCH monitoring according to configuration (X, Y), </w:t>
            </w:r>
            <m:oMath>
              <m:sSub>
                <m:sSubPr>
                  <m:ctrlPr>
                    <w:rPr>
                      <w:rFonts w:ascii="Cambria Math" w:hAnsi="Cambria Math"/>
                      <w:b/>
                      <w:i/>
                      <w:u w:val="single"/>
                    </w:rPr>
                  </m:ctrlPr>
                </m:sSubPr>
                <m:e>
                  <m:r>
                    <m:rPr>
                      <m:sty m:val="bi"/>
                    </m:rPr>
                    <w:rPr>
                      <w:rFonts w:ascii="Cambria Math" w:hAnsi="Cambria Math"/>
                      <w:u w:val="single"/>
                    </w:rPr>
                    <m:t>Y</m:t>
                  </m:r>
                  <m:ctrlPr>
                    <w:rPr>
                      <w:rFonts w:ascii="Cambria Math" w:hAnsi="Cambria Math"/>
                      <w:b/>
                      <w:i/>
                      <w:u w:val="single"/>
                    </w:rPr>
                  </m:ctrlPr>
                </m:e>
                <m:sub>
                  <m:r>
                    <m:rPr>
                      <m:sty m:val="bi"/>
                    </m:rPr>
                    <w:rPr>
                      <w:rFonts w:ascii="Cambria Math" w:hAnsi="Cambria Math"/>
                      <w:u w:val="single"/>
                    </w:rPr>
                    <m:t>p,</m:t>
                  </m:r>
                  <m:sSubSup>
                    <m:sSubSupPr>
                      <m:ctrlPr>
                        <w:rPr>
                          <w:rFonts w:ascii="Cambria Math" w:hAnsi="Cambria Math"/>
                          <w:b/>
                          <w:i/>
                          <w:u w:val="single"/>
                        </w:rPr>
                      </m:ctrlPr>
                    </m:sSubSupPr>
                    <m:e>
                      <m:r>
                        <m:rPr>
                          <m:sty m:val="bi"/>
                        </m:rPr>
                        <w:rPr>
                          <w:rFonts w:ascii="Cambria Math" w:hAnsi="Cambria Math"/>
                          <w:u w:val="single"/>
                        </w:rPr>
                        <m:t>n</m:t>
                      </m:r>
                      <m:ctrlPr>
                        <w:rPr>
                          <w:rFonts w:ascii="Cambria Math" w:hAnsi="Cambria Math"/>
                          <w:b/>
                          <w:i/>
                          <w:u w:val="single"/>
                        </w:rPr>
                      </m:ctrlPr>
                    </m:e>
                    <m:sub>
                      <m:r>
                        <m:rPr>
                          <m:sty m:val="bi"/>
                        </m:rPr>
                        <w:rPr>
                          <w:rFonts w:ascii="Cambria Math" w:hAnsi="Cambria Math"/>
                          <w:u w:val="single"/>
                        </w:rPr>
                        <m:t>s,f</m:t>
                      </m:r>
                      <m:ctrlPr>
                        <w:rPr>
                          <w:rFonts w:ascii="Cambria Math" w:hAnsi="Cambria Math"/>
                          <w:b/>
                          <w:i/>
                          <w:u w:val="single"/>
                        </w:rPr>
                      </m:ctrlPr>
                    </m:sub>
                    <m:sup>
                      <m:r>
                        <m:rPr>
                          <m:sty m:val="bi"/>
                        </m:rPr>
                        <w:rPr>
                          <w:rFonts w:ascii="Cambria Math" w:hAnsi="Cambria Math"/>
                          <w:u w:val="single"/>
                        </w:rPr>
                        <m:t>μ</m:t>
                      </m:r>
                      <m:ctrlPr>
                        <w:rPr>
                          <w:rFonts w:ascii="Cambria Math" w:hAnsi="Cambria Math"/>
                          <w:b/>
                          <w:i/>
                          <w:u w:val="single"/>
                        </w:rPr>
                      </m:ctrlPr>
                    </m:sup>
                  </m:sSubSup>
                  <m:ctrlPr>
                    <w:rPr>
                      <w:rFonts w:ascii="Cambria Math" w:hAnsi="Cambria Math"/>
                      <w:b/>
                      <w:i/>
                      <w:u w:val="single"/>
                    </w:rPr>
                  </m:ctrlPr>
                </m:sub>
              </m:sSub>
            </m:oMath>
            <w:r>
              <w:rPr>
                <w:b/>
                <w:u w:val="single"/>
              </w:rPr>
              <w:t xml:space="preserve"> is replaced by </w:t>
            </w:r>
            <m:oMath>
              <m:sSub>
                <m:sSubPr>
                  <m:ctrlPr>
                    <w:rPr>
                      <w:rFonts w:ascii="Cambria Math" w:hAnsi="Cambria Math"/>
                      <w:b/>
                      <w:i/>
                      <w:u w:val="single"/>
                    </w:rPr>
                  </m:ctrlPr>
                </m:sSubPr>
                <m:e>
                  <m:r>
                    <m:rPr>
                      <m:sty m:val="bi"/>
                    </m:rPr>
                    <w:rPr>
                      <w:rFonts w:ascii="Cambria Math" w:hAnsi="Cambria Math"/>
                      <w:u w:val="single"/>
                    </w:rPr>
                    <m:t>Y</m:t>
                  </m:r>
                  <m:ctrlPr>
                    <w:rPr>
                      <w:rFonts w:ascii="Cambria Math" w:hAnsi="Cambria Math"/>
                      <w:b/>
                      <w:i/>
                      <w:u w:val="single"/>
                    </w:rPr>
                  </m:ctrlPr>
                </m:e>
                <m:sub>
                  <m:r>
                    <m:rPr>
                      <m:sty m:val="bi"/>
                    </m:rPr>
                    <w:rPr>
                      <w:rFonts w:ascii="Cambria Math" w:hAnsi="Cambria Math"/>
                      <w:u w:val="single"/>
                    </w:rPr>
                    <m:t>p,X</m:t>
                  </m:r>
                  <m:r>
                    <m:rPr>
                      <m:sty m:val="bi"/>
                    </m:rPr>
                    <w:rPr>
                      <w:rFonts w:ascii="Cambria Math" w:hAnsi="Cambria Math"/>
                      <w:u w:val="single"/>
                      <w:lang w:val="en-AU"/>
                    </w:rPr>
                    <m:t>⋅</m:t>
                  </m:r>
                  <m:sSubSup>
                    <m:sSubSupPr>
                      <m:ctrlPr>
                        <w:rPr>
                          <w:rFonts w:ascii="Cambria Math" w:hAnsi="Cambria Math"/>
                          <w:b/>
                          <w:i/>
                          <w:u w:val="single"/>
                        </w:rPr>
                      </m:ctrlPr>
                    </m:sSubSupPr>
                    <m:e>
                      <m:r>
                        <m:rPr>
                          <m:sty m:val="bi"/>
                        </m:rPr>
                        <w:rPr>
                          <w:rFonts w:ascii="Cambria Math" w:hAnsi="Cambria Math"/>
                          <w:u w:val="single"/>
                        </w:rPr>
                        <m:t>n</m:t>
                      </m:r>
                      <m:ctrlPr>
                        <w:rPr>
                          <w:rFonts w:ascii="Cambria Math" w:hAnsi="Cambria Math"/>
                          <w:b/>
                          <w:i/>
                          <w:u w:val="single"/>
                        </w:rPr>
                      </m:ctrlPr>
                    </m:e>
                    <m:sub>
                      <m:r>
                        <m:rPr>
                          <m:sty m:val="bi"/>
                        </m:rPr>
                        <w:rPr>
                          <w:rFonts w:ascii="Cambria Math" w:hAnsi="Cambria Math"/>
                          <w:u w:val="single"/>
                        </w:rPr>
                        <m:t>s,f</m:t>
                      </m:r>
                      <m:ctrlPr>
                        <w:rPr>
                          <w:rFonts w:ascii="Cambria Math" w:hAnsi="Cambria Math"/>
                          <w:b/>
                          <w:i/>
                          <w:u w:val="single"/>
                        </w:rPr>
                      </m:ctrlPr>
                    </m:sub>
                    <m:sup>
                      <m:r>
                        <m:rPr>
                          <m:sty m:val="bi"/>
                        </m:rPr>
                        <w:rPr>
                          <w:rFonts w:ascii="Cambria Math" w:hAnsi="Cambria Math"/>
                          <w:u w:val="single"/>
                        </w:rPr>
                        <m:t>μ</m:t>
                      </m:r>
                      <m:ctrlPr>
                        <w:rPr>
                          <w:rFonts w:ascii="Cambria Math" w:hAnsi="Cambria Math"/>
                          <w:b/>
                          <w:i/>
                          <w:u w:val="single"/>
                        </w:rPr>
                      </m:ctrlPr>
                    </m:sup>
                  </m:sSubSup>
                  <m:ctrlPr>
                    <w:rPr>
                      <w:rFonts w:ascii="Cambria Math" w:hAnsi="Cambria Math"/>
                      <w:b/>
                      <w:i/>
                      <w:u w:val="single"/>
                    </w:rPr>
                  </m:ctrlPr>
                </m:sub>
              </m:sSub>
            </m:oMath>
            <w:r>
              <w:rPr>
                <w:b/>
                <w:u w:val="single"/>
              </w:rPr>
              <w:t xml:space="preserve"> in the search space equation in [2].  </w:t>
            </w:r>
          </w:p>
          <w:p>
            <w:pPr>
              <w:widowControl w:val="0"/>
              <w:snapToGrid/>
              <w:spacing w:line="240" w:lineRule="auto"/>
              <w:jc w:val="both"/>
              <w:rPr>
                <w:b/>
                <w:u w:val="single"/>
              </w:rPr>
            </w:pPr>
          </w:p>
        </w:tc>
      </w:tr>
    </w:tbl>
    <w:p>
      <w:pPr>
        <w:rPr>
          <w:lang w:eastAsia="zh-CN"/>
        </w:rPr>
      </w:pPr>
    </w:p>
    <w:p>
      <w:pPr>
        <w:pStyle w:val="4"/>
        <w:jc w:val="both"/>
        <w:rPr>
          <w:lang w:val="en-GB" w:eastAsia="zh-CN"/>
        </w:rPr>
      </w:pPr>
      <w:r>
        <w:rPr>
          <w:lang w:val="en-GB" w:eastAsia="zh-CN"/>
        </w:rPr>
        <w:t>R1-2109599 (Intel)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pPr>
            <w:r>
              <w:t xml:space="preserve">According to the revised WID [1], initial access is supported for SCS 480kHz with support of Type0-PDCCH CSS set. Further, for ANR and PCI confusion detection, </w:t>
            </w:r>
            <w:r>
              <w:rPr>
                <w:lang w:eastAsia="ja-JP"/>
              </w:rPr>
              <w:t>Type0-PDCCH SCS set is supported for SCS 480kHz and 960kHz. Therefore, f</w:t>
            </w:r>
            <w:r>
              <w:t xml:space="preserve">or SS/PBCH block and CORESET multiplexing pattern 1 in NR, UE needs to monitor Type 0/0A/1/2 CSS sets with search space set 0 in two consecutive slots. The time position of the two slots depends on the position of the associated with a SS/PBCH block. On the other hand, other CSS/USS sets are configured by high layer parameters </w:t>
            </w:r>
            <w:r>
              <w:rPr>
                <w:bCs/>
                <w:i/>
                <w:lang w:eastAsia="sv-SE"/>
              </w:rPr>
              <w:t>monitoringSlotPeriodicityAndOffset</w:t>
            </w:r>
            <w:r>
              <w:rPr>
                <w:lang w:eastAsia="sv-SE"/>
              </w:rPr>
              <w:t xml:space="preserve"> and </w:t>
            </w:r>
            <w:r>
              <w:rPr>
                <w:i/>
                <w:iCs/>
                <w:lang w:eastAsia="sv-SE"/>
              </w:rPr>
              <w:t>duration</w:t>
            </w:r>
            <w:r>
              <w:t xml:space="preserve">. The combined pattern of slots configured with Type 0/0A/1/2 CSS sets and other CSS/USS sets may satisfy the pattern of the multi-slot PDCCH monitoring capability for a SS/PBCH block of the UE. However, when the SS/PBCH block of the UE changes, the new combined pattern of slots may become invalid for the multi-slot PDCCH monitoring capability. </w:t>
            </w:r>
          </w:p>
          <w:p>
            <w:pPr>
              <w:widowControl w:val="0"/>
              <w:jc w:val="both"/>
              <w:rPr>
                <w:lang w:eastAsia="zh-CN"/>
              </w:rPr>
            </w:pPr>
            <w:r>
              <w:t xml:space="preserve">Instead of reconfiguration of all CSS/USS sets when the SS/PBCH block changes, dropping the PDCCH MOs in a slot can be considered to make the combined pattern valid. However, dropping Type 0/0A/1/2 CSS sets has negative impact on the scheduling of broadcast information. On the other hand, dropping other CSS/USS sets is not desirable for PDSCH/PUSCH scheduling. Since Type 0/0A/1/2 CSS sets only occurs in long cycle, i.e., 20ms, it can be considered to temporarily allow a slot pattern of PDCCH MOs that is different from that of the multi-slot PDCCH monitoring capability around the slot carrying Type 0/0A/1/2 CSS sets. The maximum BDs/CCEs still apply. Such concept is already used in NR FG 3-1. Thought a USS set, Type3 CSS set and type1 CSS set with dedicated RRC configuration is enforced to a fixed position, i.e., the first 3 symbols in a slot, it is allowed that type1 CSS set without dedicated RRC configuration and type 0/0A/2 CSS sets can be in any 3 consecutive symbols in a slot. </w:t>
            </w:r>
          </w:p>
          <w:p>
            <w:pPr>
              <w:widowControl w:val="0"/>
              <w:spacing w:before="240" w:after="0"/>
              <w:jc w:val="both"/>
              <w:rPr>
                <w:b/>
              </w:rPr>
            </w:pPr>
            <w:r>
              <w:rPr>
                <w:b/>
              </w:rPr>
              <w:t xml:space="preserve">Proposal 3: </w:t>
            </w:r>
          </w:p>
          <w:p>
            <w:pPr>
              <w:pStyle w:val="73"/>
              <w:widowControl w:val="0"/>
              <w:numPr>
                <w:ilvl w:val="0"/>
                <w:numId w:val="41"/>
              </w:numPr>
              <w:snapToGrid/>
              <w:spacing w:before="60" w:line="240" w:lineRule="auto"/>
              <w:jc w:val="both"/>
              <w:rPr>
                <w:rFonts w:ascii="Times New Roman" w:hAnsi="Times New Roman"/>
                <w:sz w:val="20"/>
                <w:szCs w:val="20"/>
                <w:lang w:val="en-GB" w:eastAsia="zh-CN"/>
              </w:rPr>
            </w:pPr>
            <w:r>
              <w:rPr>
                <w:rFonts w:ascii="Times New Roman" w:hAnsi="Times New Roman"/>
                <w:sz w:val="20"/>
                <w:szCs w:val="20"/>
                <w:lang w:val="en-GB" w:eastAsia="zh-CN"/>
              </w:rPr>
              <w:t xml:space="preserve">If Type0/0A/2 CSS sets and Type1 CSS set without dedicated RRC configuration are monitored in a slot, configured PDCCH MOs around the slot can be different from that of the multi-slot PDCCH monitoring capability, with the limitation of maximum number of BDs/CCEs. </w:t>
            </w:r>
          </w:p>
          <w:p>
            <w:pPr>
              <w:widowControl w:val="0"/>
              <w:rPr>
                <w:lang w:val="en-GB" w:eastAsia="zh-CN"/>
              </w:rPr>
            </w:pPr>
          </w:p>
          <w:p>
            <w:pPr>
              <w:widowControl w:val="0"/>
              <w:rPr>
                <w:lang w:val="en-GB" w:eastAsia="zh-CN"/>
              </w:rPr>
            </w:pPr>
            <w:r>
              <w:rPr>
                <w:lang w:val="en-GB" w:eastAsia="zh-CN"/>
              </w:rPr>
              <w:t xml:space="preserve">In NR Rel-15, according to the UE capability on the maximum number of BDs/CCEs in a slot, </w:t>
            </w:r>
          </w:p>
          <w:p>
            <w:pPr>
              <w:pStyle w:val="94"/>
              <w:widowControl w:val="0"/>
              <w:numPr>
                <w:ilvl w:val="0"/>
                <w:numId w:val="61"/>
              </w:numPr>
              <w:spacing w:after="120" w:line="240" w:lineRule="auto"/>
              <w:jc w:val="both"/>
              <w:rPr>
                <w:lang w:eastAsia="zh-CN"/>
              </w:rPr>
            </w:pPr>
            <w:r>
              <w:rPr>
                <w:lang w:eastAsia="zh-CN"/>
              </w:rPr>
              <w:t xml:space="preserve">For PCell or PSCell, it is allowed that the configured number of BDs/CCEs in a slot by the configuration of SS set(s) is larger than the corresponding maximum numbers. Certain dropping rule is defined so that the actual number in the slot doesn’t exceed the corresponding maximum numbers. </w:t>
            </w:r>
          </w:p>
          <w:p>
            <w:pPr>
              <w:pStyle w:val="73"/>
              <w:widowControl w:val="0"/>
              <w:numPr>
                <w:ilvl w:val="0"/>
                <w:numId w:val="61"/>
              </w:numPr>
              <w:snapToGrid/>
              <w:spacing w:after="120" w:line="240" w:lineRule="auto"/>
              <w:jc w:val="both"/>
              <w:rPr>
                <w:rFonts w:ascii="Times New Roman" w:hAnsi="Times New Roman"/>
                <w:sz w:val="20"/>
                <w:szCs w:val="20"/>
                <w:lang w:val="en-GB" w:eastAsia="zh-CN"/>
              </w:rPr>
            </w:pPr>
            <w:r>
              <w:rPr>
                <w:rFonts w:ascii="Times New Roman" w:hAnsi="Times New Roman"/>
                <w:sz w:val="20"/>
                <w:szCs w:val="20"/>
                <w:lang w:val="en-GB" w:eastAsia="zh-CN"/>
              </w:rPr>
              <w:t xml:space="preserve">For a SCell, the </w:t>
            </w:r>
            <w:r>
              <w:rPr>
                <w:rFonts w:ascii="Times New Roman" w:hAnsi="Times New Roman" w:eastAsia="宋体"/>
                <w:sz w:val="20"/>
                <w:szCs w:val="20"/>
                <w:lang w:val="en-GB" w:eastAsia="zh-CN"/>
              </w:rPr>
              <w:t>gNB</w:t>
            </w:r>
            <w:r>
              <w:rPr>
                <w:rFonts w:ascii="Times New Roman" w:hAnsi="Times New Roman"/>
                <w:sz w:val="20"/>
                <w:szCs w:val="20"/>
                <w:lang w:val="en-GB" w:eastAsia="zh-CN"/>
              </w:rPr>
              <w:t xml:space="preserve"> should guarantee that the configured </w:t>
            </w:r>
            <w:r>
              <w:rPr>
                <w:rFonts w:ascii="Times New Roman" w:hAnsi="Times New Roman" w:eastAsia="宋体"/>
                <w:sz w:val="20"/>
                <w:szCs w:val="20"/>
                <w:lang w:val="en-GB" w:eastAsia="zh-CN"/>
              </w:rPr>
              <w:t xml:space="preserve">numbers of </w:t>
            </w:r>
            <w:r>
              <w:rPr>
                <w:rFonts w:ascii="Times New Roman" w:hAnsi="Times New Roman"/>
                <w:sz w:val="20"/>
                <w:szCs w:val="20"/>
                <w:lang w:val="en-GB" w:eastAsia="zh-CN"/>
              </w:rPr>
              <w:t xml:space="preserve">BDs/CCEs in a slot </w:t>
            </w:r>
            <w:r>
              <w:rPr>
                <w:rFonts w:ascii="Times New Roman" w:hAnsi="Times New Roman" w:eastAsia="宋体"/>
                <w:sz w:val="20"/>
                <w:szCs w:val="20"/>
                <w:lang w:val="en-GB" w:eastAsia="zh-CN"/>
              </w:rPr>
              <w:t xml:space="preserve">by the configuration of SS set(s) </w:t>
            </w:r>
            <w:r>
              <w:rPr>
                <w:rFonts w:ascii="Times New Roman" w:hAnsi="Times New Roman"/>
                <w:sz w:val="20"/>
                <w:szCs w:val="20"/>
                <w:lang w:val="en-GB" w:eastAsia="zh-CN"/>
              </w:rPr>
              <w:t xml:space="preserve">do not exceed the </w:t>
            </w:r>
            <w:r>
              <w:rPr>
                <w:rFonts w:ascii="Times New Roman" w:hAnsi="Times New Roman" w:eastAsia="宋体"/>
                <w:sz w:val="20"/>
                <w:szCs w:val="20"/>
                <w:lang w:val="en-GB" w:eastAsia="zh-CN"/>
              </w:rPr>
              <w:t>corresponding maximum numbers.</w:t>
            </w:r>
          </w:p>
          <w:p>
            <w:pPr>
              <w:widowControl w:val="0"/>
              <w:jc w:val="both"/>
              <w:rPr>
                <w:lang w:val="en-GB" w:eastAsia="zh-CN"/>
              </w:rPr>
            </w:pPr>
            <w:r>
              <w:rPr>
                <w:lang w:val="en-GB" w:eastAsia="zh-CN"/>
              </w:rPr>
              <w:t xml:space="preserve">The similar rules could be extended to multi-slot PDCCH monitoring capability, </w:t>
            </w:r>
          </w:p>
          <w:p>
            <w:pPr>
              <w:pStyle w:val="94"/>
              <w:widowControl w:val="0"/>
              <w:numPr>
                <w:ilvl w:val="0"/>
                <w:numId w:val="61"/>
              </w:numPr>
              <w:spacing w:after="120" w:line="240" w:lineRule="auto"/>
              <w:jc w:val="both"/>
              <w:rPr>
                <w:lang w:eastAsia="zh-CN"/>
              </w:rPr>
            </w:pPr>
            <w:r>
              <w:rPr>
                <w:lang w:eastAsia="zh-CN"/>
              </w:rPr>
              <w:t xml:space="preserve">For PCell or PSCell, it is allowed that the configured number of BDs/CCEs in a X-slot group by the configuration of SS set(s) is larger than the corresponding maximum numbers. Certain dropping rule is defined so that the actual number in the X-slot group doesn’t exceed the corresponding maximum numbers. </w:t>
            </w:r>
          </w:p>
          <w:p>
            <w:pPr>
              <w:pStyle w:val="94"/>
              <w:widowControl w:val="0"/>
              <w:numPr>
                <w:ilvl w:val="0"/>
                <w:numId w:val="61"/>
              </w:numPr>
              <w:spacing w:after="120" w:line="240" w:lineRule="auto"/>
              <w:jc w:val="both"/>
              <w:rPr>
                <w:lang w:eastAsia="zh-CN"/>
              </w:rPr>
            </w:pPr>
            <w:r>
              <w:rPr>
                <w:lang w:eastAsia="zh-CN"/>
              </w:rPr>
              <w:t>For a SCell, the gNB should guarantee that the configured numbers of BDs/CCEs in a X-slot group by the configuration of SS set(s) do not exceed the corresponding maximum numbers.</w:t>
            </w:r>
          </w:p>
          <w:p>
            <w:pPr>
              <w:widowControl w:val="0"/>
              <w:spacing w:before="240" w:after="0"/>
              <w:jc w:val="both"/>
              <w:rPr>
                <w:b/>
              </w:rPr>
            </w:pPr>
            <w:r>
              <w:rPr>
                <w:b/>
              </w:rPr>
              <w:t xml:space="preserve">Proposal 4: </w:t>
            </w:r>
          </w:p>
          <w:p>
            <w:pPr>
              <w:pStyle w:val="94"/>
              <w:widowControl w:val="0"/>
              <w:numPr>
                <w:ilvl w:val="0"/>
                <w:numId w:val="22"/>
              </w:numPr>
              <w:spacing w:before="60" w:after="0" w:line="240" w:lineRule="auto"/>
              <w:rPr>
                <w:lang w:eastAsia="zh-CN"/>
              </w:rPr>
            </w:pPr>
            <w:r>
              <w:rPr>
                <w:lang w:eastAsia="zh-CN"/>
              </w:rPr>
              <w:t>When multi-slot PDCCH monitoring capability is supported,</w:t>
            </w:r>
          </w:p>
          <w:p>
            <w:pPr>
              <w:pStyle w:val="94"/>
              <w:widowControl w:val="0"/>
              <w:numPr>
                <w:ilvl w:val="1"/>
                <w:numId w:val="22"/>
              </w:numPr>
              <w:spacing w:before="60" w:after="0" w:line="240" w:lineRule="auto"/>
              <w:rPr>
                <w:lang w:eastAsia="zh-CN"/>
              </w:rPr>
            </w:pPr>
            <w:r>
              <w:rPr>
                <w:lang w:eastAsia="zh-CN"/>
              </w:rPr>
              <w:t xml:space="preserve">PDCCH overbooking is supported for PCell or PSCell </w:t>
            </w:r>
          </w:p>
          <w:p>
            <w:pPr>
              <w:pStyle w:val="94"/>
              <w:widowControl w:val="0"/>
              <w:numPr>
                <w:ilvl w:val="1"/>
                <w:numId w:val="22"/>
              </w:numPr>
              <w:spacing w:before="60" w:after="0" w:line="240" w:lineRule="auto"/>
              <w:rPr>
                <w:lang w:eastAsia="zh-CN"/>
              </w:rPr>
            </w:pPr>
            <w:r>
              <w:rPr>
                <w:lang w:eastAsia="zh-CN"/>
              </w:rPr>
              <w:t>For a SCell, the configured BDs/CCEs do not exceed the corresponding maximum numbers.</w:t>
            </w:r>
          </w:p>
          <w:p>
            <w:pPr>
              <w:pStyle w:val="94"/>
              <w:widowControl w:val="0"/>
              <w:spacing w:before="60" w:after="0" w:line="240" w:lineRule="auto"/>
              <w:ind w:left="0" w:firstLine="0"/>
              <w:rPr>
                <w:b/>
                <w:bCs/>
              </w:rPr>
            </w:pPr>
          </w:p>
          <w:p>
            <w:pPr>
              <w:widowControl w:val="0"/>
              <w:jc w:val="both"/>
              <w:rPr>
                <w:lang w:val="en-GB" w:eastAsia="zh-CN"/>
              </w:rPr>
            </w:pPr>
            <w:r>
              <w:rPr>
                <w:lang w:val="en-GB" w:eastAsia="zh-CN"/>
              </w:rPr>
              <w:t xml:space="preserve">The search space set group (SSSG) switching as defined NR-U is shown in Figure 1. The frequent PDCCH monitoring is assumed before gNB gets the channel occupation. For example, search space set with mini-slot level or slot-level PDCCH monitoring can be configured, which is the first search space set group (SSSG). The frequent PDCCH monitoring reduces the delay for gNB to start DL transmission immediately after the LBT is successful. On the other hand, after gNB starts a COT, a second SSSG is configured, which may contain infrequent PDCCH monitoring for power saving. The DL performance for the second SSSG is guaranteed by the configuration of more PDCCH candidates with same or different DCI format in each MO of the second SSSG. </w:t>
            </w:r>
          </w:p>
          <w:p>
            <w:pPr>
              <w:widowControl w:val="0"/>
              <w:jc w:val="center"/>
              <w:rPr>
                <w:lang w:val="en-GB" w:eastAsia="zh-CN"/>
              </w:rPr>
            </w:pPr>
            <w:r>
              <w:object>
                <v:shape id="_x0000_i1035" o:spt="75" type="#_x0000_t75" style="height:99.65pt;width:381.15pt;" o:ole="t" filled="f" o:preferrelative="t" stroked="f" coordsize="21600,21600">
                  <v:path/>
                  <v:fill on="f" focussize="0,0"/>
                  <v:stroke on="f" joinstyle="miter"/>
                  <v:imagedata r:id="rId37" o:title=""/>
                  <o:lock v:ext="edit" aspectratio="t"/>
                  <w10:wrap type="none"/>
                  <w10:anchorlock/>
                </v:shape>
                <o:OLEObject Type="Embed" ProgID="Visio.Drawing.15" ShapeID="_x0000_i1035" DrawAspect="Content" ObjectID="_1468075735" r:id="rId36">
                  <o:LockedField>false</o:LockedField>
                </o:OLEObject>
              </w:object>
            </w:r>
          </w:p>
          <w:p>
            <w:pPr>
              <w:widowControl w:val="0"/>
              <w:jc w:val="center"/>
              <w:rPr>
                <w:b/>
                <w:bCs/>
                <w:lang w:eastAsia="zh-CN"/>
              </w:rPr>
            </w:pPr>
            <w:r>
              <w:rPr>
                <w:b/>
                <w:bCs/>
                <w:lang w:eastAsia="zh-CN"/>
              </w:rPr>
              <w:t>Figure 1: SSSG switching in NR-U</w:t>
            </w:r>
          </w:p>
          <w:p>
            <w:pPr>
              <w:widowControl w:val="0"/>
              <w:jc w:val="both"/>
              <w:rPr>
                <w:lang w:eastAsia="zh-CN"/>
              </w:rPr>
            </w:pPr>
            <w:r>
              <w:rPr>
                <w:lang w:eastAsia="zh-CN"/>
              </w:rPr>
              <w:t xml:space="preserve">Dynamic SSSG switching provides a means to balance the fast channel access right after LBT is successful and effective scheduling and power saving after the COT is obtained. The feature is useful for high frequency too. The configured search space configuration in the two SSSGs has different requirements on the PDCCH monitoring capability. In general, two options can be considered. </w:t>
            </w:r>
          </w:p>
          <w:p>
            <w:pPr>
              <w:pStyle w:val="94"/>
              <w:widowControl w:val="0"/>
              <w:numPr>
                <w:ilvl w:val="0"/>
                <w:numId w:val="61"/>
              </w:numPr>
              <w:spacing w:after="120" w:line="240" w:lineRule="auto"/>
              <w:jc w:val="both"/>
              <w:rPr>
                <w:lang w:eastAsia="zh-CN"/>
              </w:rPr>
            </w:pPr>
            <w:r>
              <w:rPr>
                <w:lang w:eastAsia="zh-CN"/>
              </w:rPr>
              <w:t>Option 1: switching between per-slot PDCCH monitoring capability and multi-slot PDCCH monitoring capabilities</w:t>
            </w:r>
          </w:p>
          <w:p>
            <w:pPr>
              <w:pStyle w:val="94"/>
              <w:widowControl w:val="0"/>
              <w:numPr>
                <w:ilvl w:val="0"/>
                <w:numId w:val="61"/>
              </w:numPr>
              <w:spacing w:after="120" w:line="240" w:lineRule="auto"/>
              <w:jc w:val="both"/>
              <w:rPr>
                <w:lang w:eastAsia="zh-CN"/>
              </w:rPr>
            </w:pPr>
            <w:r>
              <w:rPr>
                <w:lang w:eastAsia="zh-CN"/>
              </w:rPr>
              <w:t>Option 2: switching between two multi-slot PDCCH monitoring capabilities</w:t>
            </w:r>
          </w:p>
          <w:p>
            <w:pPr>
              <w:widowControl w:val="0"/>
              <w:jc w:val="both"/>
              <w:rPr>
                <w:lang w:val="en-GB" w:eastAsia="zh-CN"/>
              </w:rPr>
            </w:pPr>
            <w:r>
              <w:rPr>
                <w:lang w:eastAsia="zh-CN"/>
              </w:rPr>
              <w:t xml:space="preserve">As discussed in Proposal 1, per-slot </w:t>
            </w:r>
            <w:r>
              <w:rPr>
                <w:lang w:val="en-GB" w:eastAsia="zh-CN"/>
              </w:rPr>
              <w:t xml:space="preserve">PDCCH monitoring capability is not preferred due to the limitation of PDCCH monitoring or UE complexity for high SCSs. Therefore, the search space set configuration of the two SSSGs can be configured based on Option 2. </w:t>
            </w:r>
            <w:r>
              <w:rPr>
                <w:lang w:eastAsia="zh-CN"/>
              </w:rPr>
              <w:t>I</w:t>
            </w:r>
            <w:r>
              <w:rPr>
                <w:lang w:val="en-GB" w:eastAsia="zh-CN"/>
              </w:rPr>
              <w:t xml:space="preserve">t is expected that both X and Y are small values to still allow frequent MOs in the first SSSG. On the other hand, the second SSSG relies on a large gap between MOs for the power saving. </w:t>
            </w:r>
          </w:p>
          <w:p>
            <w:pPr>
              <w:widowControl w:val="0"/>
              <w:jc w:val="both"/>
              <w:rPr>
                <w:lang w:eastAsia="zh-CN"/>
              </w:rPr>
            </w:pPr>
            <w:r>
              <w:rPr>
                <w:lang w:eastAsia="zh-CN"/>
              </w:rPr>
              <w:t xml:space="preserve">Based on the above analysis, </w:t>
            </w:r>
            <w:r>
              <w:rPr>
                <w:lang w:val="en-GB" w:eastAsia="zh-CN"/>
              </w:rPr>
              <w:t xml:space="preserve">UE needs to dynamically change its PDCCH monitoring capability together with SSSG switching. </w:t>
            </w:r>
          </w:p>
          <w:p>
            <w:pPr>
              <w:widowControl w:val="0"/>
              <w:spacing w:before="240" w:after="0"/>
              <w:jc w:val="both"/>
              <w:rPr>
                <w:b/>
                <w:bCs/>
                <w:lang w:val="en-GB" w:eastAsia="zh-CN"/>
              </w:rPr>
            </w:pPr>
            <w:r>
              <w:rPr>
                <w:b/>
                <w:bCs/>
                <w:lang w:val="en-GB" w:eastAsia="zh-CN"/>
              </w:rPr>
              <w:t>Proposal 6:</w:t>
            </w:r>
          </w:p>
          <w:p>
            <w:pPr>
              <w:pStyle w:val="94"/>
              <w:widowControl w:val="0"/>
              <w:numPr>
                <w:ilvl w:val="0"/>
                <w:numId w:val="22"/>
              </w:numPr>
              <w:spacing w:before="60" w:after="0" w:line="240" w:lineRule="auto"/>
              <w:rPr>
                <w:lang w:eastAsia="zh-CN"/>
              </w:rPr>
            </w:pPr>
            <w:r>
              <w:rPr>
                <w:lang w:eastAsia="zh-CN"/>
              </w:rPr>
              <w:t xml:space="preserve">Dynamic SSSG switching is supported for all SCSs 120, 240 and 960kHz. </w:t>
            </w:r>
          </w:p>
          <w:p>
            <w:pPr>
              <w:pStyle w:val="94"/>
              <w:widowControl w:val="0"/>
              <w:numPr>
                <w:ilvl w:val="0"/>
                <w:numId w:val="22"/>
              </w:numPr>
              <w:spacing w:before="60" w:after="0" w:line="240" w:lineRule="auto"/>
              <w:rPr>
                <w:lang w:eastAsia="zh-CN"/>
              </w:rPr>
            </w:pPr>
            <w:r>
              <w:rPr>
                <w:lang w:eastAsia="zh-CN"/>
              </w:rPr>
              <w:t>The search space set configurations of the two SSSG can correspond to two different combinations (X, Y) of the multi-slot PDCCH monitoring capabilities</w:t>
            </w:r>
          </w:p>
          <w:p>
            <w:pPr>
              <w:pStyle w:val="94"/>
              <w:widowControl w:val="0"/>
              <w:spacing w:before="60" w:after="0" w:line="240" w:lineRule="auto"/>
              <w:ind w:left="0" w:firstLine="0"/>
              <w:rPr>
                <w:b/>
                <w:bCs/>
              </w:rPr>
            </w:pPr>
          </w:p>
          <w:p>
            <w:pPr>
              <w:widowControl w:val="0"/>
              <w:jc w:val="both"/>
            </w:pPr>
            <w:r>
              <w:t>In NR, a search space (SS) set could be configured for the UE to monitor PDCCH. Up to 10 SS sets can be configured for each DL BWP in a serving cell. The time domain pattern of a SS set is configured by the following RRC parameters</w:t>
            </w:r>
          </w:p>
          <w:p>
            <w:pPr>
              <w:pStyle w:val="94"/>
              <w:widowControl w:val="0"/>
              <w:spacing w:after="120"/>
              <w:ind w:left="572"/>
              <w:rPr>
                <w:i/>
              </w:rPr>
            </w:pPr>
            <w:r>
              <w:t>-</w:t>
            </w:r>
            <w:r>
              <w:tab/>
            </w:r>
            <w:r>
              <w:t xml:space="preserve">a PDCCH monitoring periodicity of </w:t>
            </w:r>
            <m:oMath>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s</m:t>
                  </m:r>
                  <m:ctrlPr>
                    <w:rPr>
                      <w:rFonts w:ascii="Cambria Math" w:hAnsi="Cambria Math"/>
                      <w:i/>
                    </w:rPr>
                  </m:ctrlPr>
                </m:sub>
              </m:sSub>
            </m:oMath>
            <w:r>
              <w:t xml:space="preserve"> slots and a PDCCH monitoring offset of </w:t>
            </w:r>
            <m:oMath>
              <m:sSub>
                <m:sSubPr>
                  <m:ctrlPr>
                    <w:rPr>
                      <w:rFonts w:ascii="Cambria Math" w:hAnsi="Cambria Math"/>
                      <w:i/>
                    </w:rPr>
                  </m:ctrlPr>
                </m:sSubPr>
                <m:e>
                  <m:r>
                    <w:rPr>
                      <w:rFonts w:ascii="Cambria Math" w:hAnsi="Cambria Math"/>
                    </w:rPr>
                    <m:t>o</m:t>
                  </m:r>
                  <m:ctrlPr>
                    <w:rPr>
                      <w:rFonts w:ascii="Cambria Math" w:hAnsi="Cambria Math"/>
                      <w:i/>
                    </w:rPr>
                  </m:ctrlPr>
                </m:e>
                <m:sub>
                  <m:r>
                    <w:rPr>
                      <w:rFonts w:ascii="Cambria Math" w:hAnsi="Cambria Math"/>
                    </w:rPr>
                    <m:t>s</m:t>
                  </m:r>
                  <m:ctrlPr>
                    <w:rPr>
                      <w:rFonts w:ascii="Cambria Math" w:hAnsi="Cambria Math"/>
                      <w:i/>
                    </w:rPr>
                  </m:ctrlPr>
                </m:sub>
              </m:sSub>
            </m:oMath>
            <w:r>
              <w:t xml:space="preserve"> slots, by </w:t>
            </w:r>
            <w:r>
              <w:rPr>
                <w:i/>
              </w:rPr>
              <w:t>monitoringSlotPeriodicityAndOffset</w:t>
            </w:r>
          </w:p>
          <w:p>
            <w:pPr>
              <w:pStyle w:val="94"/>
              <w:widowControl w:val="0"/>
              <w:spacing w:after="120"/>
              <w:ind w:left="572"/>
            </w:pPr>
            <w:r>
              <w:t>-</w:t>
            </w:r>
            <w:r>
              <w:tab/>
            </w:r>
            <w:r>
              <w:t xml:space="preserve">a PDCCH monitoring pattern within a slot, indicating first symbol(s) of the CORESET within a slot for PDCCH monitoring, by </w:t>
            </w:r>
            <w:r>
              <w:rPr>
                <w:i/>
              </w:rPr>
              <w:t>monitoringSymbolsWithinSlot</w:t>
            </w:r>
            <w:r>
              <w:t xml:space="preserve"> </w:t>
            </w:r>
          </w:p>
          <w:p>
            <w:pPr>
              <w:pStyle w:val="94"/>
              <w:widowControl w:val="0"/>
              <w:spacing w:after="120"/>
              <w:ind w:left="572"/>
            </w:pPr>
            <w:r>
              <w:t>-</w:t>
            </w:r>
            <w:r>
              <w:tab/>
            </w:r>
            <w:r>
              <w:t xml:space="preserve">a duration of </w:t>
            </w:r>
            <m:oMath>
              <m:sSub>
                <m:sSubPr>
                  <m:ctrlPr>
                    <w:rPr>
                      <w:rFonts w:ascii="Cambria Math" w:hAnsi="Cambria Math"/>
                      <w:i/>
                    </w:rPr>
                  </m:ctrlPr>
                </m:sSubPr>
                <m:e>
                  <m:r>
                    <w:rPr>
                      <w:rFonts w:ascii="Cambria Math" w:hAnsi="Cambria Math"/>
                    </w:rPr>
                    <m:t>T</m:t>
                  </m:r>
                  <m:ctrlPr>
                    <w:rPr>
                      <w:rFonts w:ascii="Cambria Math" w:hAnsi="Cambria Math"/>
                      <w:i/>
                    </w:rPr>
                  </m:ctrlPr>
                </m:e>
                <m:sub>
                  <m:r>
                    <w:rPr>
                      <w:rFonts w:ascii="Cambria Math" w:hAnsi="Cambria Math"/>
                    </w:rPr>
                    <m:t>s</m:t>
                  </m:r>
                  <m:ctrlPr>
                    <w:rPr>
                      <w:rFonts w:ascii="Cambria Math" w:hAnsi="Cambria Math"/>
                      <w:i/>
                    </w:rPr>
                  </m:ctrlPr>
                </m:sub>
              </m:sSub>
              <m:r>
                <w:rPr>
                  <w:rFonts w:ascii="Cambria Math" w:hAnsi="Cambria Math"/>
                </w:rPr>
                <m:t>&lt;</m:t>
              </m:r>
              <m:sSub>
                <m:sSubPr>
                  <m:ctrlPr>
                    <w:rPr>
                      <w:rFonts w:ascii="Cambria Math" w:hAnsi="Cambria Math"/>
                      <w:i/>
                    </w:rPr>
                  </m:ctrlPr>
                </m:sSubPr>
                <m:e>
                  <m:r>
                    <w:rPr>
                      <w:rFonts w:ascii="Cambria Math" w:hAnsi="Cambria Math"/>
                    </w:rPr>
                    <m:t>k</m:t>
                  </m:r>
                  <m:ctrlPr>
                    <w:rPr>
                      <w:rFonts w:ascii="Cambria Math" w:hAnsi="Cambria Math"/>
                      <w:i/>
                    </w:rPr>
                  </m:ctrlPr>
                </m:e>
                <m:sub>
                  <m:r>
                    <w:rPr>
                      <w:rFonts w:ascii="Cambria Math" w:hAnsi="Cambria Math"/>
                    </w:rPr>
                    <m:t>s</m:t>
                  </m:r>
                  <m:ctrlPr>
                    <w:rPr>
                      <w:rFonts w:ascii="Cambria Math" w:hAnsi="Cambria Math"/>
                      <w:i/>
                    </w:rPr>
                  </m:ctrlPr>
                </m:sub>
              </m:sSub>
            </m:oMath>
            <w:r>
              <w:t xml:space="preserve"> slots indicating a number of slots that the search space set </w:t>
            </w:r>
            <m:oMath>
              <m:r>
                <w:rPr>
                  <w:rFonts w:ascii="Cambria Math" w:hAnsi="Cambria Math"/>
                </w:rPr>
                <m:t>s</m:t>
              </m:r>
            </m:oMath>
            <w:r>
              <w:t xml:space="preserve"> exists by </w:t>
            </w:r>
            <w:r>
              <w:rPr>
                <w:i/>
              </w:rPr>
              <w:t>duration</w:t>
            </w:r>
          </w:p>
          <w:p>
            <w:pPr>
              <w:pStyle w:val="209"/>
              <w:widowControl w:val="0"/>
              <w:spacing w:after="120"/>
              <w:ind w:left="0"/>
              <w:jc w:val="both"/>
              <w:rPr>
                <w:rFonts w:ascii="Times New Roman" w:hAnsi="Times New Roman" w:cs="Times New Roman"/>
                <w:sz w:val="20"/>
                <w:szCs w:val="20"/>
              </w:rPr>
            </w:pPr>
            <w:r>
              <w:rPr>
                <w:rFonts w:ascii="Times New Roman" w:hAnsi="Times New Roman" w:cs="Times New Roman"/>
                <w:sz w:val="20"/>
                <w:szCs w:val="20"/>
              </w:rPr>
              <w:t xml:space="preserve">Specifically, 3 cases for SS set configuration within a slot are supported by parameter </w:t>
            </w:r>
            <w:r>
              <w:rPr>
                <w:rFonts w:ascii="Times New Roman" w:hAnsi="Times New Roman" w:cs="Times New Roman"/>
                <w:i/>
                <w:sz w:val="20"/>
                <w:szCs w:val="20"/>
              </w:rPr>
              <w:t>monitoringSymbolsWithinSlot</w:t>
            </w:r>
            <w:r>
              <w:rPr>
                <w:rFonts w:ascii="Times New Roman" w:hAnsi="Times New Roman" w:cs="Times New Roman"/>
                <w:sz w:val="20"/>
                <w:szCs w:val="20"/>
              </w:rPr>
              <w:t>,</w:t>
            </w:r>
          </w:p>
          <w:p>
            <w:pPr>
              <w:pStyle w:val="209"/>
              <w:widowControl w:val="0"/>
              <w:numPr>
                <w:ilvl w:val="0"/>
                <w:numId w:val="62"/>
              </w:numPr>
              <w:spacing w:after="120" w:line="240" w:lineRule="auto"/>
              <w:ind w:left="648"/>
              <w:jc w:val="both"/>
              <w:rPr>
                <w:rFonts w:ascii="Times New Roman" w:hAnsi="Times New Roman" w:cs="Times New Roman"/>
                <w:sz w:val="20"/>
                <w:szCs w:val="20"/>
              </w:rPr>
            </w:pPr>
            <w:r>
              <w:rPr>
                <w:rFonts w:ascii="Times New Roman" w:hAnsi="Times New Roman" w:cs="Times New Roman"/>
                <w:sz w:val="20"/>
                <w:szCs w:val="20"/>
              </w:rPr>
              <w:t>Case 1: PDCCH monitoring of all SS sets monitored in a slot occurs within 3 consecutive OFDM symbols that have fixed positions in each slot</w:t>
            </w:r>
          </w:p>
          <w:p>
            <w:pPr>
              <w:pStyle w:val="209"/>
              <w:widowControl w:val="0"/>
              <w:numPr>
                <w:ilvl w:val="1"/>
                <w:numId w:val="62"/>
              </w:numPr>
              <w:spacing w:after="120" w:line="240" w:lineRule="auto"/>
              <w:ind w:left="1368"/>
              <w:jc w:val="both"/>
              <w:rPr>
                <w:rFonts w:ascii="Times New Roman" w:hAnsi="Times New Roman" w:cs="Times New Roman"/>
                <w:sz w:val="20"/>
                <w:szCs w:val="20"/>
              </w:rPr>
            </w:pPr>
            <w:r>
              <w:rPr>
                <w:rFonts w:ascii="Times New Roman" w:hAnsi="Times New Roman" w:cs="Times New Roman"/>
                <w:sz w:val="20"/>
                <w:szCs w:val="20"/>
              </w:rPr>
              <w:t>Case 1-1: PDCCH monitoring limited to within first three OFDM symbols of a slot</w:t>
            </w:r>
          </w:p>
          <w:p>
            <w:pPr>
              <w:pStyle w:val="209"/>
              <w:widowControl w:val="0"/>
              <w:numPr>
                <w:ilvl w:val="1"/>
                <w:numId w:val="62"/>
              </w:numPr>
              <w:spacing w:after="120" w:line="240" w:lineRule="auto"/>
              <w:ind w:left="1368"/>
              <w:jc w:val="both"/>
              <w:rPr>
                <w:rFonts w:ascii="Times New Roman" w:hAnsi="Times New Roman" w:cs="Times New Roman"/>
                <w:sz w:val="20"/>
                <w:szCs w:val="20"/>
              </w:rPr>
            </w:pPr>
            <w:r>
              <w:rPr>
                <w:rFonts w:ascii="Times New Roman" w:hAnsi="Times New Roman" w:cs="Times New Roman"/>
                <w:sz w:val="20"/>
                <w:szCs w:val="20"/>
              </w:rPr>
              <w:t>Case 1-2: PDCCH monitoring on any span of up to 3 consecutive OFDM symbols of a slot</w:t>
            </w:r>
          </w:p>
          <w:p>
            <w:pPr>
              <w:pStyle w:val="209"/>
              <w:widowControl w:val="0"/>
              <w:numPr>
                <w:ilvl w:val="2"/>
                <w:numId w:val="62"/>
              </w:numPr>
              <w:spacing w:after="120" w:line="240" w:lineRule="auto"/>
              <w:ind w:left="2088"/>
              <w:jc w:val="both"/>
              <w:rPr>
                <w:rFonts w:ascii="Times New Roman" w:hAnsi="Times New Roman" w:cs="Times New Roman"/>
                <w:sz w:val="20"/>
                <w:szCs w:val="20"/>
              </w:rPr>
            </w:pPr>
            <w:r>
              <w:rPr>
                <w:rFonts w:ascii="Times New Roman" w:hAnsi="Times New Roman" w:cs="Times New Roman"/>
                <w:sz w:val="20"/>
                <w:szCs w:val="20"/>
              </w:rPr>
              <w:t>For a given UE, all search space configurations are within the same span of 3 consecutive OFDM symbols in the slot</w:t>
            </w:r>
          </w:p>
          <w:p>
            <w:pPr>
              <w:pStyle w:val="209"/>
              <w:widowControl w:val="0"/>
              <w:numPr>
                <w:ilvl w:val="0"/>
                <w:numId w:val="62"/>
              </w:numPr>
              <w:spacing w:after="120" w:line="240" w:lineRule="auto"/>
              <w:ind w:left="648"/>
              <w:jc w:val="both"/>
              <w:rPr>
                <w:rFonts w:ascii="Times New Roman" w:hAnsi="Times New Roman" w:cs="Times New Roman"/>
                <w:sz w:val="20"/>
                <w:szCs w:val="20"/>
              </w:rPr>
            </w:pPr>
            <w:r>
              <w:rPr>
                <w:rFonts w:ascii="Times New Roman" w:hAnsi="Times New Roman" w:cs="Times New Roman"/>
                <w:sz w:val="20"/>
                <w:szCs w:val="20"/>
              </w:rPr>
              <w:t>Case 2: PDCCH monitoring cases other than Case 1</w:t>
            </w:r>
          </w:p>
          <w:p>
            <w:pPr>
              <w:widowControl w:val="0"/>
              <w:jc w:val="both"/>
              <w:rPr>
                <w:lang w:eastAsia="zh-CN"/>
              </w:rPr>
            </w:pPr>
            <w:r>
              <w:rPr>
                <w:lang w:eastAsia="zh-CN"/>
              </w:rPr>
              <w:t xml:space="preserve">Case 1-1 is the basic PDCCH monitoring occasion(s) in the beginning of a slot, which should be supported for high SCS. Case 2 is to configure more frequent PDCCH MOs within a slot, which is targeted to reduce scheduling latency. This is </w:t>
            </w:r>
            <w:r>
              <w:t>important</w:t>
            </w:r>
            <w:r>
              <w:rPr>
                <w:lang w:eastAsia="zh-CN"/>
              </w:rPr>
              <w:t xml:space="preserve"> especially for low SCS, e.g. 15kHz or 30kHz. On the other hand, it is not necessary for a high SCS, e.g. 480kHz or 960kHz, given that the slot length is quite short, i.e. 1/32ms or 1/64ms. In this case, there is no clear </w:t>
            </w:r>
            <w:r>
              <w:t xml:space="preserve">motivation to allow full flexibility on the positions of PDCCH MO(s) in a slot, i.e. Case 2. Therefore, restriction on PDCCH MOs in a slot can simplify UE implementation without performance degradation. </w:t>
            </w:r>
          </w:p>
          <w:p>
            <w:pPr>
              <w:widowControl w:val="0"/>
              <w:spacing w:before="240" w:after="0"/>
              <w:jc w:val="both"/>
              <w:rPr>
                <w:b/>
                <w:bCs/>
              </w:rPr>
            </w:pPr>
            <w:r>
              <w:rPr>
                <w:b/>
                <w:bCs/>
                <w:lang w:val="en-GB" w:eastAsia="zh-CN"/>
              </w:rPr>
              <w:t>Proposal</w:t>
            </w:r>
            <w:r>
              <w:rPr>
                <w:b/>
                <w:bCs/>
              </w:rPr>
              <w:t xml:space="preserve"> 7: </w:t>
            </w:r>
          </w:p>
          <w:p>
            <w:pPr>
              <w:pStyle w:val="94"/>
              <w:widowControl w:val="0"/>
              <w:numPr>
                <w:ilvl w:val="0"/>
                <w:numId w:val="22"/>
              </w:numPr>
              <w:spacing w:before="60" w:after="0" w:line="240" w:lineRule="auto"/>
            </w:pPr>
            <w:r>
              <w:t xml:space="preserve">On the </w:t>
            </w:r>
            <w:r>
              <w:rPr>
                <w:lang w:eastAsia="zh-CN"/>
              </w:rPr>
              <w:t>PDCCH</w:t>
            </w:r>
            <w:r>
              <w:t xml:space="preserve"> monitoring occasion in a slot</w:t>
            </w:r>
          </w:p>
          <w:p>
            <w:pPr>
              <w:pStyle w:val="94"/>
              <w:widowControl w:val="0"/>
              <w:numPr>
                <w:ilvl w:val="1"/>
                <w:numId w:val="22"/>
              </w:numPr>
              <w:spacing w:before="60" w:after="0" w:line="240" w:lineRule="auto"/>
              <w:rPr>
                <w:lang w:eastAsia="zh-CN"/>
              </w:rPr>
            </w:pPr>
            <w:r>
              <w:rPr>
                <w:lang w:eastAsia="zh-CN"/>
              </w:rPr>
              <w:t>Case 1-1 is supported for all SCS 120kHz, 480kHz and 960kHz</w:t>
            </w:r>
          </w:p>
          <w:p>
            <w:pPr>
              <w:pStyle w:val="94"/>
              <w:widowControl w:val="0"/>
              <w:numPr>
                <w:ilvl w:val="1"/>
                <w:numId w:val="22"/>
              </w:numPr>
              <w:spacing w:before="60" w:after="0" w:line="240" w:lineRule="auto"/>
              <w:rPr>
                <w:lang w:eastAsia="zh-CN"/>
              </w:rPr>
            </w:pPr>
            <w:r>
              <w:rPr>
                <w:lang w:eastAsia="zh-CN"/>
              </w:rPr>
              <w:t>Case 2 is supported for SCS 120kHz</w:t>
            </w:r>
          </w:p>
          <w:p>
            <w:pPr>
              <w:pStyle w:val="94"/>
              <w:widowControl w:val="0"/>
              <w:numPr>
                <w:ilvl w:val="1"/>
                <w:numId w:val="22"/>
              </w:numPr>
              <w:spacing w:before="60" w:after="0" w:line="240" w:lineRule="auto"/>
            </w:pPr>
            <w:r>
              <w:rPr>
                <w:lang w:eastAsia="zh-CN"/>
              </w:rPr>
              <w:t>Case 2 is</w:t>
            </w:r>
            <w:r>
              <w:t xml:space="preserve"> not supported for SCS 480/960kHz</w:t>
            </w:r>
          </w:p>
          <w:p>
            <w:pPr>
              <w:pStyle w:val="94"/>
              <w:widowControl w:val="0"/>
              <w:spacing w:before="60" w:after="0" w:line="240" w:lineRule="auto"/>
              <w:ind w:left="0" w:firstLine="0"/>
              <w:rPr>
                <w:b/>
                <w:bCs/>
              </w:rPr>
            </w:pPr>
          </w:p>
          <w:p>
            <w:pPr>
              <w:widowControl w:val="0"/>
              <w:jc w:val="both"/>
              <w:rPr>
                <w:lang w:eastAsia="zh-CN"/>
              </w:rPr>
            </w:pPr>
            <w:r>
              <w:rPr>
                <w:lang w:eastAsia="zh-CN"/>
              </w:rPr>
              <w:t>With the existing SS set configuration, up to 40 SS sets need to be configured to achieve the MO pattern in Figure 1. On the other hand, considering different DCI formats (fallback DCI or normal DCI) and different type of SS set (USS, CSS type0/0A/1/2, CSS type3 with different DCI formats), the required number of SS sets must be much higher than 40. The main drawback of the current SS set configuration comes from the parameter ‘</w:t>
            </w:r>
            <w:r>
              <w:rPr>
                <w:i/>
                <w:iCs/>
                <w:lang w:eastAsia="zh-CN"/>
              </w:rPr>
              <w:t>duration</w:t>
            </w:r>
            <w:r>
              <w:rPr>
                <w:lang w:eastAsia="zh-CN"/>
              </w:rPr>
              <w:t>’</w:t>
            </w:r>
            <w:r>
              <w:rPr>
                <w:i/>
                <w:iCs/>
                <w:lang w:eastAsia="zh-CN"/>
              </w:rPr>
              <w:t xml:space="preserve"> </w:t>
            </w:r>
            <w:r>
              <w:rPr>
                <w:lang w:eastAsia="zh-CN"/>
              </w:rPr>
              <w:t>which is defined as a number of consecutive slots.</w:t>
            </w:r>
            <w:r>
              <w:rPr>
                <w:i/>
                <w:iCs/>
                <w:lang w:eastAsia="zh-CN"/>
              </w:rPr>
              <w:t xml:space="preserve"> </w:t>
            </w:r>
            <w:r>
              <w:rPr>
                <w:lang w:eastAsia="zh-CN"/>
              </w:rPr>
              <w:t>To support the MO pattern for SCS 960kHz in Figure 1, a simple extension is to allocate a MO in every N slot, instead of consecutive slot allocation. The parameter ‘</w:t>
            </w:r>
            <w:r>
              <w:rPr>
                <w:i/>
                <w:iCs/>
                <w:lang w:eastAsia="zh-CN"/>
              </w:rPr>
              <w:t>duration</w:t>
            </w:r>
            <w:r>
              <w:rPr>
                <w:lang w:eastAsia="zh-CN"/>
              </w:rPr>
              <w:t xml:space="preserve">’ is still needed but can be reinterpreted as the window that MOs may be allocated, e.g. the DL period in a TDD period. Denote the number of slots that are configured with MOs of the USS set as M, then </w:t>
            </w:r>
            <m:oMath>
              <m:r>
                <w:rPr>
                  <w:rFonts w:ascii="Cambria Math" w:hAnsi="Cambria Math"/>
                  <w:lang w:eastAsia="zh-CN"/>
                </w:rPr>
                <m:t>duration=N∙M</m:t>
              </m:r>
            </m:oMath>
            <w:r>
              <w:rPr>
                <w:lang w:eastAsia="zh-CN"/>
              </w:rPr>
              <w:t xml:space="preserve">. N should larger than or equal to value X that is used in the definition of multi-slot PDCCH monitoring capability. </w:t>
            </w:r>
          </w:p>
          <w:p>
            <w:pPr>
              <w:widowControl w:val="0"/>
              <w:jc w:val="both"/>
              <w:rPr>
                <w:b/>
                <w:bCs/>
              </w:rPr>
            </w:pPr>
            <w:r>
              <w:rPr>
                <w:b/>
                <w:bCs/>
              </w:rPr>
              <w:t xml:space="preserve">Proposal 8: </w:t>
            </w:r>
          </w:p>
          <w:p>
            <w:pPr>
              <w:pStyle w:val="94"/>
              <w:widowControl w:val="0"/>
              <w:numPr>
                <w:ilvl w:val="0"/>
                <w:numId w:val="22"/>
              </w:numPr>
              <w:spacing w:before="60" w:after="0" w:line="240" w:lineRule="auto"/>
              <w:jc w:val="both"/>
            </w:pPr>
            <w:r>
              <w:t>Within a period of a SS set configuration</w:t>
            </w:r>
          </w:p>
          <w:p>
            <w:pPr>
              <w:pStyle w:val="94"/>
              <w:widowControl w:val="0"/>
              <w:numPr>
                <w:ilvl w:val="1"/>
                <w:numId w:val="22"/>
              </w:numPr>
              <w:spacing w:before="60" w:after="0" w:line="240" w:lineRule="auto"/>
              <w:jc w:val="both"/>
              <w:rPr>
                <w:lang w:eastAsia="zh-CN"/>
              </w:rPr>
            </w:pPr>
            <w:r>
              <w:rPr>
                <w:lang w:eastAsia="zh-CN"/>
              </w:rPr>
              <w:t xml:space="preserve">The parameter ‘duration’ is reinterpreted as a window on which MOs may be configured. </w:t>
            </w:r>
          </w:p>
          <w:p>
            <w:pPr>
              <w:pStyle w:val="94"/>
              <w:widowControl w:val="0"/>
              <w:numPr>
                <w:ilvl w:val="1"/>
                <w:numId w:val="22"/>
              </w:numPr>
              <w:spacing w:before="60" w:after="0" w:line="240" w:lineRule="auto"/>
              <w:jc w:val="both"/>
              <w:rPr>
                <w:lang w:eastAsia="zh-CN"/>
              </w:rPr>
            </w:pPr>
            <w:r>
              <w:rPr>
                <w:lang w:eastAsia="zh-CN"/>
              </w:rPr>
              <w:t xml:space="preserve">One slot in every N slots within the window is configured with PDCCH MOs, N&gt;=X. </w:t>
            </w:r>
          </w:p>
          <w:p>
            <w:pPr>
              <w:pStyle w:val="94"/>
              <w:widowControl w:val="0"/>
              <w:spacing w:before="60" w:after="0" w:line="240" w:lineRule="auto"/>
              <w:ind w:left="0" w:firstLine="0"/>
              <w:rPr>
                <w:b/>
                <w:bCs/>
              </w:rPr>
            </w:pPr>
          </w:p>
        </w:tc>
      </w:tr>
    </w:tbl>
    <w:p>
      <w:pPr>
        <w:rPr>
          <w:lang w:eastAsia="zh-CN"/>
        </w:rPr>
      </w:pPr>
    </w:p>
    <w:p>
      <w:pPr>
        <w:pStyle w:val="4"/>
        <w:jc w:val="both"/>
        <w:rPr>
          <w:lang w:val="en-GB" w:eastAsia="zh-CN"/>
        </w:rPr>
      </w:pPr>
      <w:r>
        <w:rPr>
          <w:lang w:val="en-GB" w:eastAsia="zh-CN"/>
        </w:rPr>
        <w:t>R1-2109666 (NTT DOCOMO)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rPr>
                <w:szCs w:val="18"/>
              </w:rPr>
            </w:pPr>
            <w:r>
              <w:rPr>
                <w:szCs w:val="18"/>
              </w:rPr>
              <w:t>In Rel-16 NR-U, SSSG switching was introduced to change the PDCCH monitoring periodicity between inside and outside the COT for the sake of energy saving.</w:t>
            </w:r>
            <w:r>
              <w:rPr>
                <w:rFonts w:hint="eastAsia"/>
                <w:szCs w:val="18"/>
              </w:rPr>
              <w:t xml:space="preserve"> </w:t>
            </w:r>
            <w:r>
              <w:rPr>
                <w:szCs w:val="18"/>
              </w:rPr>
              <w:t>For the same reason as NR-U, SSSG switching is beneficial for operation with shared spectrum of 60 GHz band.</w:t>
            </w:r>
            <w:r>
              <w:rPr>
                <w:rFonts w:hint="eastAsia"/>
                <w:szCs w:val="18"/>
              </w:rPr>
              <w:t xml:space="preserve"> </w:t>
            </w:r>
            <w:r>
              <w:rPr>
                <w:szCs w:val="18"/>
              </w:rPr>
              <w:t xml:space="preserve">Accordingly, SSSG switching should be supported for 52.6-71 GHz frequency band operation considering the operation with shared spectrum </w:t>
            </w:r>
            <w:r>
              <w:rPr>
                <w:rFonts w:hint="eastAsia"/>
                <w:szCs w:val="18"/>
              </w:rPr>
              <w:t>i</w:t>
            </w:r>
            <w:r>
              <w:rPr>
                <w:szCs w:val="18"/>
              </w:rPr>
              <w:t>n 60 GHz band.</w:t>
            </w:r>
          </w:p>
          <w:p>
            <w:pPr>
              <w:widowControl w:val="0"/>
              <w:rPr>
                <w:szCs w:val="18"/>
              </w:rPr>
            </w:pPr>
            <w:r>
              <w:rPr>
                <w:szCs w:val="18"/>
              </w:rPr>
              <w:t xml:space="preserve">In the current specification, the SSSG switching time </w:t>
            </w:r>
            <m:oMath>
              <m:sSub>
                <m:sSubPr>
                  <m:ctrlPr>
                    <w:rPr>
                      <w:rFonts w:ascii="Cambria Math" w:hAnsi="Cambria Math"/>
                      <w:bCs/>
                      <w:szCs w:val="18"/>
                    </w:rPr>
                  </m:ctrlPr>
                </m:sSubPr>
                <m:e>
                  <m:r>
                    <w:rPr>
                      <w:rFonts w:ascii="Cambria Math" w:hAnsi="Cambria Math"/>
                      <w:szCs w:val="18"/>
                    </w:rPr>
                    <m:t>P</m:t>
                  </m:r>
                  <m:ctrlPr>
                    <w:rPr>
                      <w:rFonts w:ascii="Cambria Math" w:hAnsi="Cambria Math"/>
                      <w:bCs/>
                      <w:szCs w:val="18"/>
                    </w:rPr>
                  </m:ctrlPr>
                </m:e>
                <m:sub>
                  <m:r>
                    <w:rPr>
                      <w:rFonts w:ascii="Cambria Math" w:hAnsi="Cambria Math"/>
                      <w:szCs w:val="18"/>
                    </w:rPr>
                    <m:t>switch</m:t>
                  </m:r>
                  <m:ctrlPr>
                    <w:rPr>
                      <w:rFonts w:ascii="Cambria Math" w:hAnsi="Cambria Math"/>
                      <w:bCs/>
                      <w:szCs w:val="18"/>
                    </w:rPr>
                  </m:ctrlPr>
                </m:sub>
              </m:sSub>
            </m:oMath>
            <w:r>
              <w:rPr>
                <w:rFonts w:hint="eastAsia"/>
                <w:bCs/>
                <w:szCs w:val="18"/>
              </w:rPr>
              <w:t xml:space="preserve"> </w:t>
            </w:r>
            <w:r>
              <w:rPr>
                <w:bCs/>
                <w:szCs w:val="18"/>
              </w:rPr>
              <w:t xml:space="preserve">is specified for 15/30/60 kHz SCS. To support the SSSG switching, at least </w:t>
            </w:r>
            <m:oMath>
              <m:sSub>
                <m:sSubPr>
                  <m:ctrlPr>
                    <w:rPr>
                      <w:rFonts w:ascii="Cambria Math" w:hAnsi="Cambria Math"/>
                      <w:bCs/>
                      <w:szCs w:val="18"/>
                    </w:rPr>
                  </m:ctrlPr>
                </m:sSubPr>
                <m:e>
                  <m:r>
                    <w:rPr>
                      <w:rFonts w:ascii="Cambria Math" w:hAnsi="Cambria Math"/>
                      <w:szCs w:val="18"/>
                    </w:rPr>
                    <m:t>P</m:t>
                  </m:r>
                  <m:ctrlPr>
                    <w:rPr>
                      <w:rFonts w:ascii="Cambria Math" w:hAnsi="Cambria Math"/>
                      <w:bCs/>
                      <w:szCs w:val="18"/>
                    </w:rPr>
                  </m:ctrlPr>
                </m:e>
                <m:sub>
                  <m:r>
                    <w:rPr>
                      <w:rFonts w:ascii="Cambria Math" w:hAnsi="Cambria Math"/>
                      <w:szCs w:val="18"/>
                    </w:rPr>
                    <m:t>switch</m:t>
                  </m:r>
                  <m:ctrlPr>
                    <w:rPr>
                      <w:rFonts w:ascii="Cambria Math" w:hAnsi="Cambria Math"/>
                      <w:bCs/>
                      <w:szCs w:val="18"/>
                    </w:rPr>
                  </m:ctrlPr>
                </m:sub>
              </m:sSub>
            </m:oMath>
            <w:r>
              <w:rPr>
                <w:rFonts w:hint="eastAsia"/>
                <w:bCs/>
                <w:szCs w:val="18"/>
              </w:rPr>
              <w:t xml:space="preserve"> </w:t>
            </w:r>
            <w:r>
              <w:rPr>
                <w:bCs/>
                <w:szCs w:val="18"/>
              </w:rPr>
              <w:t>should be discussed for 120/480/960 kHz SCS.</w:t>
            </w:r>
          </w:p>
          <w:p>
            <w:pPr>
              <w:widowControl w:val="0"/>
              <w:rPr>
                <w:szCs w:val="18"/>
              </w:rPr>
            </w:pPr>
            <w:r>
              <w:rPr>
                <w:szCs w:val="18"/>
              </w:rPr>
              <w:t>In addition, some companies proposed at the previous meeting that single-slot PDCCH monitoring capability and multi-slot PDCCH monitoring capability can be switched associated with SSSG configuration. This function can be supported, however, the SSSG switching for high SCS and single-slot and multi-slot capability switching associated with SSSG configuration should be discussed separately.</w:t>
            </w:r>
          </w:p>
          <w:p>
            <w:pPr>
              <w:widowControl w:val="0"/>
              <w:rPr>
                <w:szCs w:val="18"/>
              </w:rPr>
            </w:pPr>
          </w:p>
          <w:p>
            <w:pPr>
              <w:widowControl w:val="0"/>
              <w:rPr>
                <w:i/>
                <w:iCs/>
                <w:szCs w:val="18"/>
              </w:rPr>
            </w:pPr>
            <w:r>
              <w:rPr>
                <w:b/>
                <w:bCs/>
                <w:i/>
                <w:iCs/>
                <w:szCs w:val="18"/>
              </w:rPr>
              <w:t>Proposal 6:</w:t>
            </w:r>
            <w:r>
              <w:rPr>
                <w:i/>
                <w:iCs/>
                <w:szCs w:val="18"/>
              </w:rPr>
              <w:t xml:space="preserve"> </w:t>
            </w:r>
            <w:bookmarkStart w:id="79" w:name="_Hlk79054602"/>
            <w:r>
              <w:rPr>
                <w:i/>
                <w:iCs/>
                <w:szCs w:val="18"/>
              </w:rPr>
              <w:t>SSSG switching should be supported for 120/480/960 kHz SCS.</w:t>
            </w:r>
            <w:bookmarkEnd w:id="79"/>
          </w:p>
          <w:p>
            <w:pPr>
              <w:pStyle w:val="73"/>
              <w:widowControl w:val="0"/>
              <w:numPr>
                <w:ilvl w:val="0"/>
                <w:numId w:val="25"/>
              </w:numPr>
              <w:snapToGrid/>
              <w:spacing w:after="80" w:line="240" w:lineRule="auto"/>
              <w:rPr>
                <w:szCs w:val="18"/>
              </w:rPr>
            </w:pPr>
            <w:r>
              <w:rPr>
                <w:i/>
                <w:iCs/>
                <w:szCs w:val="18"/>
              </w:rPr>
              <w:t xml:space="preserve">At least search space set group switching time </w:t>
            </w:r>
            <w:r>
              <w:rPr>
                <w:bCs/>
              </w:rPr>
              <w:t xml:space="preserve"> </w:t>
            </w:r>
            <m:oMath>
              <m:sSub>
                <m:sSubPr>
                  <m:ctrlPr>
                    <w:rPr>
                      <w:rFonts w:ascii="Cambria Math" w:hAnsi="Cambria Math"/>
                      <w:bCs/>
                    </w:rPr>
                  </m:ctrlPr>
                </m:sSubPr>
                <m:e>
                  <m:r>
                    <w:rPr>
                      <w:rFonts w:ascii="Cambria Math" w:hAnsi="Cambria Math"/>
                    </w:rPr>
                    <m:t>P</m:t>
                  </m:r>
                  <m:ctrlPr>
                    <w:rPr>
                      <w:rFonts w:ascii="Cambria Math" w:hAnsi="Cambria Math"/>
                      <w:bCs/>
                    </w:rPr>
                  </m:ctrlPr>
                </m:e>
                <m:sub>
                  <m:r>
                    <w:rPr>
                      <w:rFonts w:ascii="Cambria Math" w:hAnsi="Cambria Math"/>
                    </w:rPr>
                    <m:t>switch</m:t>
                  </m:r>
                  <m:ctrlPr>
                    <w:rPr>
                      <w:rFonts w:ascii="Cambria Math" w:hAnsi="Cambria Math"/>
                      <w:bCs/>
                    </w:rPr>
                  </m:ctrlPr>
                </m:sub>
              </m:sSub>
            </m:oMath>
            <w:r>
              <w:rPr>
                <w:i/>
                <w:iCs/>
                <w:szCs w:val="18"/>
              </w:rPr>
              <w:t xml:space="preserve"> should be defined.</w:t>
            </w:r>
          </w:p>
          <w:p>
            <w:pPr>
              <w:pStyle w:val="221"/>
              <w:widowControl w:val="0"/>
              <w:snapToGrid w:val="0"/>
              <w:spacing w:line="240" w:lineRule="auto"/>
              <w:ind w:firstLine="0"/>
              <w:contextualSpacing w:val="0"/>
              <w:rPr>
                <w:rFonts w:eastAsiaTheme="minorEastAsia"/>
                <w:b/>
                <w:sz w:val="24"/>
                <w:szCs w:val="24"/>
                <w:lang w:eastAsia="ja-JP"/>
              </w:rPr>
            </w:pPr>
          </w:p>
        </w:tc>
      </w:tr>
    </w:tbl>
    <w:p>
      <w:pPr>
        <w:rPr>
          <w:lang w:eastAsia="zh-CN"/>
        </w:rPr>
      </w:pPr>
    </w:p>
    <w:p>
      <w:pPr>
        <w:pStyle w:val="4"/>
        <w:jc w:val="both"/>
        <w:rPr>
          <w:lang w:val="en-GB" w:eastAsia="zh-CN"/>
        </w:rPr>
      </w:pPr>
      <w:r>
        <w:rPr>
          <w:lang w:val="en-GB" w:eastAsia="zh-CN"/>
        </w:rPr>
        <w:t>R1-2109778 (Sony)</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after="80"/>
              <w:rPr>
                <w:sz w:val="20"/>
                <w:lang w:eastAsia="zh-CN"/>
              </w:rPr>
            </w:pPr>
            <w:r>
              <w:rPr>
                <w:sz w:val="20"/>
                <w:szCs w:val="20"/>
                <w:lang w:eastAsia="zh-CN"/>
              </w:rPr>
              <w:t>For multi-slot monitoring, there also had</w:t>
            </w:r>
            <w:r>
              <w:rPr>
                <w:sz w:val="20"/>
                <w:lang w:eastAsia="zh-CN"/>
              </w:rPr>
              <w:t xml:space="preserve"> been some discussions from RAN1#104 on </w:t>
            </w:r>
            <w:r>
              <w:rPr>
                <w:sz w:val="20"/>
                <w:szCs w:val="20"/>
                <w:lang w:eastAsia="zh-CN"/>
              </w:rPr>
              <w:t xml:space="preserve">monitoring </w:t>
            </w:r>
            <w:r>
              <w:rPr>
                <w:sz w:val="20"/>
                <w:lang w:eastAsia="zh-CN"/>
              </w:rPr>
              <w:t>location and duration of OFDM symbols:</w:t>
            </w:r>
          </w:p>
          <w:tbl>
            <w:tblPr>
              <w:tblStyle w:val="51"/>
              <w:tblW w:w="0" w:type="auto"/>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9259"/>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602" w:hRule="atLeast"/>
              </w:trPr>
              <w:tc>
                <w:tcPr>
                  <w:tcW w:w="9259" w:type="dxa"/>
                </w:tcPr>
                <w:p>
                  <w:pPr>
                    <w:rPr>
                      <w:sz w:val="20"/>
                      <w:szCs w:val="20"/>
                    </w:rPr>
                  </w:pPr>
                  <w:r>
                    <w:rPr>
                      <w:rFonts w:cs="Calibri"/>
                      <w:sz w:val="20"/>
                      <w:szCs w:val="20"/>
                      <w:lang w:eastAsia="zh-CN"/>
                    </w:rPr>
                    <w:t>Further discussion on multi-slot span capabilities, monitoring periodicities, corresponding number and location of OFDM symbols for Cases 1-1 and 1-2.</w:t>
                  </w:r>
                </w:p>
                <w:p>
                  <w:pPr>
                    <w:pStyle w:val="209"/>
                    <w:numPr>
                      <w:ilvl w:val="0"/>
                      <w:numId w:val="63"/>
                    </w:numPr>
                    <w:spacing w:after="120"/>
                    <w:jc w:val="both"/>
                    <w:rPr>
                      <w:rFonts w:ascii="Times New Roman" w:hAnsi="Times New Roman" w:cs="Times New Roman"/>
                      <w:sz w:val="20"/>
                      <w:szCs w:val="20"/>
                    </w:rPr>
                  </w:pPr>
                  <w:r>
                    <w:rPr>
                      <w:rFonts w:ascii="Times New Roman" w:hAnsi="Times New Roman" w:cs="Times New Roman"/>
                      <w:sz w:val="20"/>
                      <w:szCs w:val="20"/>
                    </w:rPr>
                    <w:t>Case 1: PDCCH monitoring of all SS sets monitored in a slot occurs within 3 consecutive OFDM symbols that have fixed positions in each slot</w:t>
                  </w:r>
                </w:p>
                <w:p>
                  <w:pPr>
                    <w:pStyle w:val="209"/>
                    <w:numPr>
                      <w:ilvl w:val="1"/>
                      <w:numId w:val="63"/>
                    </w:numPr>
                    <w:spacing w:after="120"/>
                    <w:jc w:val="both"/>
                    <w:rPr>
                      <w:rFonts w:ascii="Times New Roman" w:hAnsi="Times New Roman" w:cs="Times New Roman"/>
                      <w:sz w:val="20"/>
                      <w:szCs w:val="20"/>
                    </w:rPr>
                  </w:pPr>
                  <w:r>
                    <w:rPr>
                      <w:rFonts w:ascii="Times New Roman" w:hAnsi="Times New Roman" w:cs="Times New Roman"/>
                      <w:sz w:val="20"/>
                      <w:szCs w:val="20"/>
                    </w:rPr>
                    <w:t>Case 1-1: PDCCH monitoring limited to within first three OFDM symbols of a slot</w:t>
                  </w:r>
                </w:p>
                <w:p>
                  <w:pPr>
                    <w:pStyle w:val="209"/>
                    <w:numPr>
                      <w:ilvl w:val="1"/>
                      <w:numId w:val="63"/>
                    </w:numPr>
                    <w:spacing w:after="120"/>
                    <w:jc w:val="both"/>
                    <w:rPr>
                      <w:rFonts w:ascii="Times New Roman" w:hAnsi="Times New Roman" w:cs="Times New Roman"/>
                      <w:sz w:val="20"/>
                      <w:szCs w:val="20"/>
                    </w:rPr>
                  </w:pPr>
                  <w:r>
                    <w:rPr>
                      <w:rFonts w:ascii="Times New Roman" w:hAnsi="Times New Roman" w:cs="Times New Roman"/>
                      <w:sz w:val="20"/>
                      <w:szCs w:val="20"/>
                    </w:rPr>
                    <w:t>Case 1-2: PDCCH monitoring on any span of up to 3 consecutive OFDM symbols of a slot</w:t>
                  </w:r>
                </w:p>
                <w:p>
                  <w:pPr>
                    <w:pStyle w:val="209"/>
                    <w:numPr>
                      <w:ilvl w:val="2"/>
                      <w:numId w:val="63"/>
                    </w:numPr>
                    <w:spacing w:after="120"/>
                    <w:jc w:val="both"/>
                    <w:rPr>
                      <w:rFonts w:ascii="Times New Roman" w:hAnsi="Times New Roman" w:cs="Times New Roman"/>
                      <w:sz w:val="20"/>
                      <w:szCs w:val="20"/>
                    </w:rPr>
                  </w:pPr>
                  <w:r>
                    <w:rPr>
                      <w:rFonts w:ascii="Times New Roman" w:hAnsi="Times New Roman" w:cs="Times New Roman"/>
                      <w:sz w:val="20"/>
                      <w:szCs w:val="20"/>
                    </w:rPr>
                    <w:t>For a given UE, all search space configurations are within the same span of 3 consecutive OFDM symbols in the slot</w:t>
                  </w:r>
                </w:p>
                <w:p>
                  <w:pPr>
                    <w:pStyle w:val="209"/>
                    <w:numPr>
                      <w:ilvl w:val="0"/>
                      <w:numId w:val="63"/>
                    </w:numPr>
                    <w:spacing w:after="120"/>
                    <w:jc w:val="both"/>
                  </w:pPr>
                  <w:r>
                    <w:rPr>
                      <w:rFonts w:ascii="Times New Roman" w:hAnsi="Times New Roman" w:cs="Times New Roman"/>
                      <w:sz w:val="20"/>
                      <w:szCs w:val="20"/>
                    </w:rPr>
                    <w:t>Case 2: PDCCH monitoring cases other than Case 1</w:t>
                  </w:r>
                </w:p>
              </w:tc>
            </w:tr>
          </w:tbl>
          <w:p>
            <w:pPr>
              <w:widowControl w:val="0"/>
              <w:spacing w:after="80"/>
              <w:rPr>
                <w:sz w:val="20"/>
                <w:szCs w:val="20"/>
              </w:rPr>
            </w:pPr>
            <w:r>
              <w:rPr>
                <w:sz w:val="20"/>
                <w:szCs w:val="20"/>
              </w:rPr>
              <w:t>With a limited location of PDCCH monitoring, Case 1-1 is simple for realization, while Case 1-2</w:t>
            </w:r>
            <w:r>
              <w:rPr>
                <w:sz w:val="20"/>
                <w:szCs w:val="20"/>
                <w:lang w:eastAsia="zh-CN"/>
              </w:rPr>
              <w:t xml:space="preserve"> is</w:t>
            </w:r>
            <w:r>
              <w:rPr>
                <w:sz w:val="20"/>
                <w:szCs w:val="20"/>
              </w:rPr>
              <w:t xml:space="preserve"> more flexible for gNB scheduling. Thus, we suggest Case 1-1 can be the baseline, and Case 1-2 can be discussed with further benefits evaluation of flexible scheduling.</w:t>
            </w:r>
          </w:p>
          <w:p>
            <w:pPr>
              <w:pStyle w:val="73"/>
              <w:widowControl w:val="0"/>
              <w:numPr>
                <w:ilvl w:val="0"/>
                <w:numId w:val="64"/>
              </w:numPr>
              <w:snapToGrid/>
              <w:spacing w:after="80" w:line="240" w:lineRule="auto"/>
              <w:ind w:left="0" w:firstLine="0"/>
              <w:jc w:val="both"/>
              <w:rPr>
                <w:szCs w:val="20"/>
              </w:rPr>
            </w:pPr>
            <w:r>
              <w:rPr>
                <w:rFonts w:ascii="Times New Roman" w:hAnsi="Times New Roman"/>
                <w:b/>
                <w:bCs/>
                <w:szCs w:val="20"/>
              </w:rPr>
              <w:t>:</w:t>
            </w:r>
            <w:r>
              <w:rPr>
                <w:rFonts w:ascii="Times New Roman" w:hAnsi="Times New Roman" w:eastAsia="MS Gothic"/>
                <w:b/>
                <w:bCs/>
                <w:szCs w:val="20"/>
                <w:lang w:eastAsia="ja-JP"/>
              </w:rPr>
              <w:t xml:space="preserve"> PDCCH monitoring limited to within the first several OFDM symbols of a slot can be supported as the baseline.  </w:t>
            </w:r>
          </w:p>
          <w:p>
            <w:pPr>
              <w:widowControl w:val="0"/>
              <w:rPr>
                <w:sz w:val="20"/>
                <w:szCs w:val="20"/>
                <w:lang w:eastAsia="zh-CN"/>
              </w:rPr>
            </w:pPr>
            <w:r>
              <w:rPr>
                <w:sz w:val="20"/>
                <w:szCs w:val="20"/>
                <w:lang w:eastAsia="zh-CN"/>
              </w:rPr>
              <w:t xml:space="preserve">As aforementioned, large SCSs with 480kHz and 960kHz cause a relatively short time duration of a symbol. Therefore, if CORESET duration remains up to 3 symbols as in R16, the real-time duration for PDCCH monitoring is quite small, which also puts extra time limitation of UE blind decoding. Therefore, we suggest a large CORESET duration with more than 3 symbols for SCS 480kHz and 960kHz alleviate UE processing capability for PDCCH decoding. Thus, we suggest PDCCH monitoring with a maximum duration of more than 3 OFDM symbols per PDCCH monitoring occasion. </w:t>
            </w:r>
          </w:p>
          <w:p>
            <w:pPr>
              <w:pStyle w:val="73"/>
              <w:widowControl w:val="0"/>
              <w:numPr>
                <w:ilvl w:val="0"/>
                <w:numId w:val="64"/>
              </w:numPr>
              <w:snapToGrid/>
              <w:spacing w:after="80" w:line="240" w:lineRule="auto"/>
              <w:ind w:left="0" w:firstLine="0"/>
              <w:jc w:val="both"/>
              <w:rPr>
                <w:rFonts w:ascii="Times New Roman" w:hAnsi="Times New Roman" w:eastAsia="MS Gothic"/>
                <w:b/>
                <w:bCs/>
                <w:szCs w:val="20"/>
                <w:lang w:eastAsia="ja-JP"/>
              </w:rPr>
            </w:pPr>
            <w:bookmarkStart w:id="80" w:name="_Hlk83627394"/>
            <w:r>
              <w:rPr>
                <w:rFonts w:ascii="Times New Roman" w:hAnsi="Times New Roman" w:eastAsia="MS Gothic"/>
                <w:b/>
                <w:bCs/>
                <w:szCs w:val="20"/>
                <w:lang w:eastAsia="ja-JP"/>
              </w:rPr>
              <w:t xml:space="preserve">: If CORESET duration remains up to 3 symbols as in R16, the real-time duration for PDCCH monitoring is quite small due to the short symbol duration with large SCS. </w:t>
            </w:r>
          </w:p>
          <w:p>
            <w:pPr>
              <w:pStyle w:val="73"/>
              <w:widowControl w:val="0"/>
              <w:spacing w:after="80"/>
              <w:ind w:left="0"/>
              <w:rPr>
                <w:rFonts w:ascii="Times New Roman" w:hAnsi="Times New Roman" w:eastAsia="MS Gothic"/>
                <w:b/>
                <w:bCs/>
                <w:szCs w:val="20"/>
                <w:lang w:eastAsia="ja-JP"/>
              </w:rPr>
            </w:pPr>
            <w:r>
              <w:rPr>
                <w:rFonts w:ascii="Times New Roman" w:hAnsi="Times New Roman"/>
                <w:b/>
                <w:bCs/>
                <w:szCs w:val="20"/>
                <w:u w:val="single"/>
              </w:rPr>
              <w:t>Proposal 2:</w:t>
            </w:r>
            <w:r>
              <w:rPr>
                <w:rFonts w:ascii="Times New Roman" w:hAnsi="Times New Roman" w:eastAsia="MS Gothic"/>
                <w:b/>
                <w:bCs/>
                <w:szCs w:val="20"/>
                <w:lang w:eastAsia="ja-JP"/>
              </w:rPr>
              <w:t xml:space="preserve"> PDCCH monitoring with a maximum duration of more than 3 OFDM symbols per PDCCH monitoring occasion is more suitable.</w:t>
            </w:r>
          </w:p>
          <w:bookmarkEnd w:id="80"/>
          <w:p>
            <w:pPr>
              <w:pStyle w:val="73"/>
              <w:widowControl w:val="0"/>
              <w:spacing w:after="80"/>
              <w:ind w:left="0"/>
              <w:rPr>
                <w:szCs w:val="20"/>
              </w:rPr>
            </w:pPr>
          </w:p>
          <w:p>
            <w:pPr>
              <w:widowControl w:val="0"/>
              <w:rPr>
                <w:color w:val="000000" w:themeColor="text1"/>
                <w:lang w:eastAsia="ja-JP"/>
                <w14:textFill>
                  <w14:solidFill>
                    <w14:schemeClr w14:val="tx1"/>
                  </w14:solidFill>
                </w14:textFill>
              </w:rPr>
            </w:pPr>
            <w:r>
              <w:rPr>
                <w:color w:val="000000" w:themeColor="text1"/>
                <w:lang w:eastAsia="zh-CN"/>
                <w14:textFill>
                  <w14:solidFill>
                    <w14:schemeClr w14:val="tx1"/>
                  </w14:solidFill>
                </w14:textFill>
              </w:rPr>
              <w:t>A</w:t>
            </w:r>
            <w:r>
              <w:rPr>
                <w:color w:val="000000" w:themeColor="text1"/>
                <w:lang w:eastAsia="ja-JP"/>
                <w14:textFill>
                  <w14:solidFill>
                    <w14:schemeClr w14:val="tx1"/>
                  </w14:solidFill>
                </w14:textFill>
              </w:rPr>
              <w:t xml:space="preserve">lthough monitoring flexibility is not a big issue through multi-slot monitoring configuration stated in previous section, if more monitoring flexibility and lower power consumption of UE are required, more than one multi-slot monitoring capacities, i.e. multi (X,Y) combinations may be needed. In such cases, SSSG switching among different multi-slot monitoring capacities needs to be considered. </w:t>
            </w:r>
          </w:p>
          <w:p>
            <w:pPr>
              <w:widowControl w:val="0"/>
              <w:rPr>
                <w:rFonts w:eastAsia="MS Mincho"/>
                <w:color w:val="000000" w:themeColor="text1"/>
                <w:lang w:eastAsia="ja-JP"/>
                <w14:textFill>
                  <w14:solidFill>
                    <w14:schemeClr w14:val="tx1"/>
                  </w14:solidFill>
                </w14:textFill>
              </w:rPr>
            </w:pPr>
            <w:r>
              <w:rPr>
                <w:color w:val="000000" w:themeColor="text1"/>
                <w:lang w:eastAsia="ja-JP"/>
                <w14:textFill>
                  <w14:solidFill>
                    <w14:schemeClr w14:val="tx1"/>
                  </w14:solidFill>
                </w14:textFill>
              </w:rPr>
              <w:t xml:space="preserve">Besides, there also had </w:t>
            </w:r>
            <w:r>
              <w:rPr>
                <w:rFonts w:hint="eastAsia"/>
                <w:color w:val="000000" w:themeColor="text1"/>
                <w:lang w:eastAsia="zh-CN"/>
                <w14:textFill>
                  <w14:solidFill>
                    <w14:schemeClr w14:val="tx1"/>
                  </w14:solidFill>
                </w14:textFill>
              </w:rPr>
              <w:t>some</w:t>
            </w:r>
            <w:r>
              <w:rPr>
                <w:color w:val="000000" w:themeColor="text1"/>
                <w:lang w:eastAsia="ja-JP"/>
                <w14:textFill>
                  <w14:solidFill>
                    <w14:schemeClr w14:val="tx1"/>
                  </w14:solidFill>
                </w14:textFill>
              </w:rPr>
              <w:t xml:space="preserve"> discussions on SSS configuration from RAN1#106, and whether to apply multi-slot PDCCH monitoring at all times and for all search spaces are still FFS. This means, there could be possibility for some SSS not supporting multi-slot PDCCH monitoring, and per-slot, even mini-slot monitoring or other non multi-slot monitoring may be supported by these SSS. Therefore, SSSG switching among different types of monitoring capacities should be considered also. </w:t>
            </w:r>
          </w:p>
          <w:tbl>
            <w:tblPr>
              <w:tblStyle w:val="51"/>
              <w:tblW w:w="0" w:type="auto"/>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9259"/>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602" w:hRule="atLeast"/>
              </w:trPr>
              <w:tc>
                <w:tcPr>
                  <w:tcW w:w="9259" w:type="dxa"/>
                </w:tcPr>
                <w:p>
                  <w:pPr>
                    <w:rPr>
                      <w:color w:val="000000" w:themeColor="text1"/>
                      <w:lang w:eastAsia="zh-CN"/>
                      <w14:textFill>
                        <w14:solidFill>
                          <w14:schemeClr w14:val="tx1"/>
                        </w14:solidFill>
                      </w14:textFill>
                    </w:rPr>
                  </w:pPr>
                  <w:r>
                    <w:rPr>
                      <w:color w:val="000000" w:themeColor="text1"/>
                      <w:highlight w:val="green"/>
                      <w:lang w:eastAsia="zh-CN"/>
                      <w14:textFill>
                        <w14:solidFill>
                          <w14:schemeClr w14:val="tx1"/>
                        </w14:solidFill>
                      </w14:textFill>
                    </w:rPr>
                    <w:t>Agreement:</w:t>
                  </w:r>
                </w:p>
                <w:p>
                  <w:pPr>
                    <w:numPr>
                      <w:ilvl w:val="0"/>
                      <w:numId w:val="63"/>
                    </w:numPr>
                    <w:autoSpaceDE/>
                    <w:autoSpaceDN/>
                    <w:adjustRightInd/>
                    <w:snapToGrid/>
                    <w:spacing w:after="0" w:line="240" w:lineRule="auto"/>
                    <w:rPr>
                      <w:rFonts w:cs="Calibri"/>
                      <w:color w:val="000000" w:themeColor="text1"/>
                      <w:sz w:val="20"/>
                      <w:szCs w:val="20"/>
                      <w:lang w:eastAsia="zh-CN"/>
                      <w14:textFill>
                        <w14:solidFill>
                          <w14:schemeClr w14:val="tx1"/>
                        </w14:solidFill>
                      </w14:textFill>
                    </w:rPr>
                  </w:pPr>
                  <w:r>
                    <w:rPr>
                      <w:rFonts w:cs="Calibri"/>
                      <w:color w:val="000000" w:themeColor="text1"/>
                      <w:sz w:val="20"/>
                      <w:szCs w:val="20"/>
                      <w:lang w:eastAsia="zh-CN"/>
                      <w14:textFill>
                        <w14:solidFill>
                          <w14:schemeClr w14:val="tx1"/>
                        </w14:solidFill>
                      </w14:textFill>
                    </w:rPr>
                    <w:t>A UE supporting 480 kHz SCS supports multi-slot PDCCH monitoring for 480 kHz SCS.</w:t>
                  </w:r>
                </w:p>
                <w:p>
                  <w:pPr>
                    <w:numPr>
                      <w:ilvl w:val="0"/>
                      <w:numId w:val="63"/>
                    </w:numPr>
                    <w:autoSpaceDE/>
                    <w:autoSpaceDN/>
                    <w:adjustRightInd/>
                    <w:snapToGrid/>
                    <w:spacing w:after="0" w:line="240" w:lineRule="auto"/>
                    <w:rPr>
                      <w:rFonts w:cs="Calibri"/>
                      <w:color w:val="000000" w:themeColor="text1"/>
                      <w:sz w:val="20"/>
                      <w:szCs w:val="20"/>
                      <w:lang w:eastAsia="zh-CN"/>
                      <w14:textFill>
                        <w14:solidFill>
                          <w14:schemeClr w14:val="tx1"/>
                        </w14:solidFill>
                      </w14:textFill>
                    </w:rPr>
                  </w:pPr>
                  <w:r>
                    <w:rPr>
                      <w:rFonts w:cs="Calibri"/>
                      <w:color w:val="000000" w:themeColor="text1"/>
                      <w:sz w:val="20"/>
                      <w:szCs w:val="20"/>
                      <w:lang w:eastAsia="zh-CN"/>
                      <w14:textFill>
                        <w14:solidFill>
                          <w14:schemeClr w14:val="tx1"/>
                        </w14:solidFill>
                      </w14:textFill>
                    </w:rPr>
                    <w:t>A UE supporting 960 kHz SCS supports multi-slot PDCCH monitoring for 960 kHz SCS.</w:t>
                  </w:r>
                </w:p>
                <w:p>
                  <w:pPr>
                    <w:pStyle w:val="209"/>
                    <w:numPr>
                      <w:ilvl w:val="0"/>
                      <w:numId w:val="63"/>
                    </w:numPr>
                    <w:spacing w:after="120"/>
                    <w:jc w:val="both"/>
                    <w:rPr>
                      <w:color w:val="000000" w:themeColor="text1"/>
                      <w14:textFill>
                        <w14:solidFill>
                          <w14:schemeClr w14:val="tx1"/>
                        </w14:solidFill>
                      </w14:textFill>
                    </w:rPr>
                  </w:pPr>
                  <w:r>
                    <w:rPr>
                      <w:rFonts w:ascii="Times New Roman" w:hAnsi="Times New Roman" w:cs="Calibri"/>
                      <w:color w:val="000000" w:themeColor="text1"/>
                      <w:sz w:val="20"/>
                      <w:szCs w:val="20"/>
                      <w:lang w:eastAsia="zh-CN" w:bidi="ar-SA"/>
                      <w14:textFill>
                        <w14:solidFill>
                          <w14:schemeClr w14:val="tx1"/>
                        </w14:solidFill>
                      </w14:textFill>
                    </w:rPr>
                    <w:t>FFS: whether to apply multi-slot PDCCH monitoring at all times and for all search spaces.</w:t>
                  </w:r>
                </w:p>
              </w:tc>
            </w:tr>
          </w:tbl>
          <w:p>
            <w:pPr>
              <w:widowControl w:val="0"/>
              <w:rPr>
                <w:color w:val="000000" w:themeColor="text1"/>
                <w:lang w:eastAsia="ja-JP"/>
                <w14:textFill>
                  <w14:solidFill>
                    <w14:schemeClr w14:val="tx1"/>
                  </w14:solidFill>
                </w14:textFill>
              </w:rPr>
            </w:pPr>
            <w:r>
              <w:rPr>
                <w:rFonts w:eastAsia="MS Mincho"/>
                <w:color w:val="000000" w:themeColor="text1"/>
                <w:lang w:eastAsia="ja-JP"/>
                <w14:textFill>
                  <w14:solidFill>
                    <w14:schemeClr w14:val="tx1"/>
                  </w14:solidFill>
                </w14:textFill>
              </w:rPr>
              <w:t>For SSSG switching in a</w:t>
            </w:r>
            <w:r>
              <w:rPr>
                <w:color w:val="000000" w:themeColor="text1"/>
                <w:lang w:eastAsia="zh-CN"/>
                <w14:textFill>
                  <w14:solidFill>
                    <w14:schemeClr w14:val="tx1"/>
                  </w14:solidFill>
                </w14:textFill>
              </w:rPr>
              <w:t xml:space="preserve">t least above two cases, </w:t>
            </w:r>
            <w:r>
              <w:rPr>
                <w:color w:val="000000" w:themeColor="text1"/>
                <w:lang w:eastAsia="ja-JP"/>
                <w14:textFill>
                  <w14:solidFill>
                    <w14:schemeClr w14:val="tx1"/>
                  </w14:solidFill>
                </w14:textFill>
              </w:rPr>
              <w:t>one straightforward manner to realize the switching can be to configure SSS with monitoring capacity index. A possible procedure can be as follows: First, When UE reports multi monitoring capabilities, the corresponding monitoring capacit</w:t>
            </w:r>
            <w:r>
              <w:rPr>
                <w:rFonts w:hint="eastAsia"/>
                <w:color w:val="000000" w:themeColor="text1"/>
                <w:lang w:eastAsia="zh-CN"/>
                <w14:textFill>
                  <w14:solidFill>
                    <w14:schemeClr w14:val="tx1"/>
                  </w14:solidFill>
                </w14:textFill>
              </w:rPr>
              <w:t>ies</w:t>
            </w:r>
            <w:r>
              <w:rPr>
                <w:color w:val="000000" w:themeColor="text1"/>
                <w:lang w:eastAsia="ja-JP"/>
                <w14:textFill>
                  <w14:solidFill>
                    <w14:schemeClr w14:val="tx1"/>
                  </w14:solidFill>
                </w14:textFill>
              </w:rPr>
              <w:t xml:space="preserve"> index are also reported. Then, gNB configures each SSS with the associated monitoring capacity index. After SSSG switching is trigged, such as the scheduling needs from gNB or power saving requirement from UE by preferred monitoring capacity index reporting, a DCI with monitoring capability index is scheduled to indicate UE to monitor on SSS with this specified monitoring capability index.</w:t>
            </w:r>
          </w:p>
          <w:p>
            <w:pPr>
              <w:pStyle w:val="73"/>
              <w:widowControl w:val="0"/>
              <w:spacing w:after="80"/>
              <w:ind w:left="0"/>
              <w:rPr>
                <w:rFonts w:ascii="Times New Roman" w:hAnsi="Times New Roman" w:eastAsia="MS Gothic"/>
                <w:b/>
                <w:bCs/>
                <w:szCs w:val="20"/>
                <w:lang w:eastAsia="ja-JP"/>
              </w:rPr>
            </w:pPr>
            <w:r>
              <w:rPr>
                <w:rFonts w:ascii="Times New Roman" w:hAnsi="Times New Roman"/>
                <w:b/>
                <w:bCs/>
                <w:szCs w:val="20"/>
                <w:u w:val="single"/>
              </w:rPr>
              <w:t>Proposal 3:</w:t>
            </w:r>
            <w:r>
              <w:rPr>
                <w:rFonts w:ascii="Times New Roman" w:hAnsi="Times New Roman" w:eastAsia="MS Gothic"/>
                <w:b/>
                <w:bCs/>
                <w:szCs w:val="20"/>
                <w:lang w:eastAsia="ja-JP"/>
              </w:rPr>
              <w:t xml:space="preserve"> SSSG switching can be considered if multi-slot monitoring capacity with multiple (X,Y) or monitoring capacity with multiple types are supported.</w:t>
            </w:r>
          </w:p>
          <w:p>
            <w:pPr>
              <w:pStyle w:val="73"/>
              <w:widowControl w:val="0"/>
              <w:spacing w:after="80"/>
              <w:ind w:left="0"/>
              <w:rPr>
                <w:szCs w:val="20"/>
              </w:rPr>
            </w:pPr>
          </w:p>
        </w:tc>
      </w:tr>
    </w:tbl>
    <w:p>
      <w:pPr>
        <w:rPr>
          <w:lang w:eastAsia="zh-CN"/>
        </w:rPr>
      </w:pPr>
    </w:p>
    <w:p>
      <w:pPr>
        <w:pStyle w:val="4"/>
        <w:jc w:val="both"/>
        <w:rPr>
          <w:lang w:val="en-GB" w:eastAsia="zh-CN"/>
        </w:rPr>
      </w:pPr>
      <w:r>
        <w:rPr>
          <w:lang w:val="en-GB" w:eastAsia="zh-CN"/>
        </w:rPr>
        <w:t>R1-2109898 (Lenovo, Motorola Mobility)</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bCs/>
              </w:rPr>
            </w:pPr>
            <w:r>
              <w:rPr>
                <w:bCs/>
              </w:rPr>
              <w:t xml:space="preserve">In addition to the mechanism for multi-slot PDCCH monitoring, also enhancements will be needed for the search space configuration to better facilitate any of the above alternatives. Currently, three main configuration parameters associated with SS configuration includes PDCCH monitoring periodicity, PDCCH monitoring duration within a period and a bitmap to indicate symbols for PDCCH monitoring within a slot. For any of the above three alternatives, one main criterion is that PDCCH monitoring will be configured across multiple slots (group of slots). Therefore, it would make sense to define periodicity only in multiple of these slot groups. Therefore, minimum periodicity should not be less than the multi-slot duration, for example 4 slots for 480 kHz SCS value and higher values of periodicity should be in multiples of 4 slots. Similarly, the duration should be defined in multiples of slot groups. </w:t>
            </w:r>
          </w:p>
          <w:p>
            <w:pPr>
              <w:widowControl w:val="0"/>
              <w:jc w:val="both"/>
              <w:rPr>
                <w:b/>
                <w:i/>
                <w:iCs/>
              </w:rPr>
            </w:pPr>
            <w:r>
              <w:rPr>
                <w:b/>
                <w:i/>
                <w:iCs/>
                <w:lang w:eastAsia="ja-JP"/>
              </w:rPr>
              <w:t xml:space="preserve">Proposal 2: </w:t>
            </w:r>
            <w:r>
              <w:rPr>
                <w:b/>
                <w:i/>
                <w:iCs/>
              </w:rPr>
              <w:t>For supporting NR between 52.6 GHz and 71 GHz with high subcarrier spacing values including 480kHz and 960kHz, search space configuration should be enhanced to support (or restrict) the PDCCH monitoring periodicity and corresponding duration in multiples of slot groups rather than multiples of slots</w:t>
            </w:r>
          </w:p>
          <w:p>
            <w:pPr>
              <w:widowControl w:val="0"/>
              <w:spacing w:after="0"/>
              <w:jc w:val="both"/>
              <w:rPr>
                <w:rFonts w:asciiTheme="majorBidi" w:hAnsiTheme="majorBidi" w:cstheme="majorBidi"/>
                <w:bCs/>
              </w:rPr>
            </w:pPr>
            <w:r>
              <w:rPr>
                <w:rFonts w:asciiTheme="majorBidi" w:hAnsiTheme="majorBidi" w:cstheme="majorBidi"/>
                <w:bCs/>
              </w:rPr>
              <w:t xml:space="preserve">Furthermore, in order to facilitate the flexibility for configuring any slot (including more than one slot) within a multi-slot duration for PDCCH monitoring occasion, the existing bitmap for symbols in the SS configuration is not efficient. For example, for 8 slots, the bitmap will be 14*8 bits long. Therefore, it would make sense to support additional slot-level bitmap for indicating PDCCH monitoring slots within the multi-slot duration. Then the symbol-level bitmap can be applied only to those slots that are indicated to be monitored. </w:t>
            </w:r>
            <w:bookmarkStart w:id="81" w:name="_Hlk67905373"/>
            <w:r>
              <w:rPr>
                <w:rFonts w:asciiTheme="majorBidi" w:hAnsiTheme="majorBidi" w:cstheme="majorBidi"/>
                <w:bCs/>
              </w:rPr>
              <w:t>For example, if there is a 4-slot monitoring duration, then a slot-level bitmap “1010” would indicate that monitoring occasion is in slot 1 and slot 3</w:t>
            </w:r>
            <w:bookmarkEnd w:id="81"/>
            <w:r>
              <w:rPr>
                <w:rFonts w:asciiTheme="majorBidi" w:hAnsiTheme="majorBidi" w:cstheme="majorBidi"/>
                <w:bCs/>
              </w:rPr>
              <w:t>. And if symbol-level bitmap is “ 11100000000000” is indicated, then that means for slot 1 and slot 3, PDCCH monitoring occasion is in the first 3 symbols, respectively.</w:t>
            </w:r>
          </w:p>
          <w:p>
            <w:pPr>
              <w:widowControl w:val="0"/>
              <w:spacing w:after="0"/>
              <w:jc w:val="both"/>
              <w:rPr>
                <w:rFonts w:asciiTheme="majorBidi" w:hAnsiTheme="majorBidi" w:cstheme="majorBidi"/>
                <w:bCs/>
              </w:rPr>
            </w:pPr>
          </w:p>
          <w:p>
            <w:pPr>
              <w:widowControl w:val="0"/>
              <w:jc w:val="both"/>
              <w:rPr>
                <w:b/>
                <w:i/>
                <w:iCs/>
              </w:rPr>
            </w:pPr>
            <w:r>
              <w:rPr>
                <w:b/>
                <w:i/>
                <w:iCs/>
                <w:lang w:eastAsia="ja-JP"/>
              </w:rPr>
              <w:t xml:space="preserve">Proposal 3: </w:t>
            </w:r>
            <w:r>
              <w:rPr>
                <w:b/>
                <w:i/>
                <w:iCs/>
              </w:rPr>
              <w:t>For supporting NR between 52.6 GHz and 71 GHz with high subcarrier spacing values including 480kHz and 960kHz, search space configuration should be enhanced to support slot-level bitmap to indicate the slots where PDCCH monitoring is configured for a multi-slot PDCCH monitoring (for example, if there is a 4-slot monitoring duration, then a slot-level bitmap “1010” would indicate that monitoring occasion is in slot 1 and slot 3)</w:t>
            </w:r>
          </w:p>
          <w:p>
            <w:pPr>
              <w:widowControl w:val="0"/>
              <w:jc w:val="both"/>
              <w:rPr>
                <w:bCs/>
                <w:lang w:eastAsia="ja-JP"/>
              </w:rPr>
            </w:pPr>
          </w:p>
          <w:p>
            <w:pPr>
              <w:widowControl w:val="0"/>
              <w:jc w:val="both"/>
              <w:rPr>
                <w:bCs/>
                <w:lang w:eastAsia="ja-JP"/>
              </w:rPr>
            </w:pPr>
            <w:r>
              <w:rPr>
                <w:bCs/>
                <w:lang w:eastAsia="ja-JP"/>
              </w:rPr>
              <w:t>In fact, for very high SCS value such as 960kHz, even an entire slot for PDCCH can be considered to allow for only single PDCCH monitoring occasion within a slot.</w:t>
            </w:r>
          </w:p>
          <w:p>
            <w:pPr>
              <w:widowControl w:val="0"/>
              <w:spacing w:after="0"/>
              <w:jc w:val="both"/>
              <w:rPr>
                <w:b/>
                <w:i/>
                <w:iCs/>
              </w:rPr>
            </w:pPr>
            <w:r>
              <w:rPr>
                <w:b/>
                <w:i/>
                <w:iCs/>
                <w:lang w:eastAsia="ja-JP"/>
              </w:rPr>
              <w:t xml:space="preserve">Proposal 5: </w:t>
            </w:r>
            <w:r>
              <w:rPr>
                <w:b/>
                <w:i/>
                <w:iCs/>
              </w:rPr>
              <w:t>For supporting NR between 52.6 GHz and 71 GHz with high subcarrier spacing values including 480kHz and 960kHz, CORESET duration longer than 3 symbols should be supported:</w:t>
            </w:r>
          </w:p>
          <w:p>
            <w:pPr>
              <w:pStyle w:val="73"/>
              <w:widowControl w:val="0"/>
              <w:numPr>
                <w:ilvl w:val="0"/>
                <w:numId w:val="65"/>
              </w:numPr>
              <w:overflowPunct w:val="0"/>
              <w:autoSpaceDE w:val="0"/>
              <w:autoSpaceDN w:val="0"/>
              <w:adjustRightInd w:val="0"/>
              <w:snapToGrid/>
              <w:spacing w:after="180" w:line="240" w:lineRule="auto"/>
              <w:contextualSpacing/>
              <w:jc w:val="both"/>
              <w:textAlignment w:val="baseline"/>
              <w:rPr>
                <w:b/>
                <w:i/>
                <w:iCs/>
              </w:rPr>
            </w:pPr>
            <w:r>
              <w:rPr>
                <w:b/>
                <w:i/>
                <w:iCs/>
              </w:rPr>
              <w:t>FFS: Maximum duration up to 14 symbols in a slot</w:t>
            </w:r>
          </w:p>
          <w:p>
            <w:pPr>
              <w:widowControl w:val="0"/>
              <w:jc w:val="both"/>
              <w:rPr>
                <w:b/>
                <w:i/>
                <w:iCs/>
              </w:rPr>
            </w:pPr>
            <w:r>
              <w:rPr>
                <w:b/>
                <w:i/>
                <w:iCs/>
                <w:lang w:eastAsia="ja-JP"/>
              </w:rPr>
              <w:t xml:space="preserve">Proposal 6: </w:t>
            </w:r>
            <w:r>
              <w:rPr>
                <w:b/>
                <w:i/>
                <w:iCs/>
              </w:rPr>
              <w:t>For supporting NR between 52.6 GHz and 71 GHz with high subcarrier spacing values including 480kHz and 960kHz, CORESET structure with only TDM between the DM-RS symbols and control information should be supported</w:t>
            </w:r>
          </w:p>
          <w:p>
            <w:pPr>
              <w:widowControl w:val="0"/>
              <w:spacing w:after="0"/>
              <w:jc w:val="both"/>
              <w:rPr>
                <w:rFonts w:asciiTheme="majorBidi" w:hAnsiTheme="majorBidi" w:cstheme="majorBidi"/>
                <w:lang w:eastAsia="zh-CN"/>
              </w:rPr>
            </w:pPr>
            <w:r>
              <w:rPr>
                <w:rFonts w:asciiTheme="majorBidi" w:hAnsiTheme="majorBidi" w:cstheme="majorBidi"/>
                <w:lang w:eastAsia="zh-CN"/>
              </w:rPr>
              <w:t>Another issue related to multi-slot PDCCH monitoring that has been discussed is about potential misalignment between CSS and USS. Currently, the alternatives are still being discussed for multi-slot PDCCH monitoring. However, the issue of CSS and USS misalignment can exist for any of these alternatives. From network perspective, it is quite unlikely that it can configure CSS for all the UEs in a cell such that for each UE the CSS is aligned with USS and both CSS and USS always fall within the PDCCH monitoring occasions within multiple slots. Only USS configuration can be ensured by network such that it is always contained within the PDCCH monitoring occasions. However, for CSS, it may or may not fall within the monitoring occasions. Therefore, this issue can arise whenever within multiple slot (group), CSS is also configured.</w:t>
            </w:r>
          </w:p>
          <w:p>
            <w:pPr>
              <w:widowControl w:val="0"/>
              <w:spacing w:after="0"/>
              <w:jc w:val="both"/>
              <w:rPr>
                <w:rFonts w:asciiTheme="majorBidi" w:hAnsiTheme="majorBidi" w:cstheme="majorBidi"/>
                <w:lang w:eastAsia="zh-CN"/>
              </w:rPr>
            </w:pPr>
          </w:p>
          <w:p>
            <w:pPr>
              <w:widowControl w:val="0"/>
              <w:spacing w:after="0"/>
              <w:jc w:val="both"/>
              <w:rPr>
                <w:rFonts w:asciiTheme="majorBidi" w:hAnsiTheme="majorBidi" w:cstheme="majorBidi"/>
                <w:b/>
                <w:bCs/>
                <w:i/>
                <w:iCs/>
                <w:lang w:eastAsia="zh-CN"/>
              </w:rPr>
            </w:pPr>
            <w:r>
              <w:rPr>
                <w:rFonts w:asciiTheme="majorBidi" w:hAnsiTheme="majorBidi" w:cstheme="majorBidi"/>
                <w:b/>
                <w:bCs/>
                <w:i/>
                <w:iCs/>
                <w:lang w:eastAsia="zh-CN"/>
              </w:rPr>
              <w:t>Observation 3: For supporting NR between 52.6 GHz and 71 GHz with high subcarrier spacing values including 480kHz and 960kHz, with multi-slot PDCCH monitoring, it is unlikely to always ensure that CSS and USS are aligned such that both fall within the PDCCH monitoring occasions within multiple slots (slot group).</w:t>
            </w:r>
          </w:p>
          <w:p>
            <w:pPr>
              <w:widowControl w:val="0"/>
              <w:spacing w:after="0"/>
              <w:jc w:val="both"/>
              <w:rPr>
                <w:rFonts w:asciiTheme="majorBidi" w:hAnsiTheme="majorBidi" w:cstheme="majorBidi"/>
                <w:lang w:eastAsia="zh-CN"/>
              </w:rPr>
            </w:pPr>
          </w:p>
          <w:p>
            <w:pPr>
              <w:widowControl w:val="0"/>
              <w:spacing w:after="0"/>
              <w:jc w:val="both"/>
              <w:rPr>
                <w:rFonts w:asciiTheme="majorBidi" w:hAnsiTheme="majorBidi" w:cstheme="majorBidi"/>
                <w:lang w:eastAsia="zh-CN"/>
              </w:rPr>
            </w:pPr>
            <w:r>
              <w:rPr>
                <w:rFonts w:asciiTheme="majorBidi" w:hAnsiTheme="majorBidi" w:cstheme="majorBidi"/>
                <w:lang w:eastAsia="zh-CN"/>
              </w:rPr>
              <w:t>Therefore, some procedure needs to be specified on how to handle such misalignment. One solution that has been discussed is to always prioritize CSS whenever within a slot group, both USS and CSS are configured and if they are misaligned. This has two issues. First, it can be unfair to USS, especially if PDCCH monitoring using USS is associated with some high priority topic. Second, if UE drops/deprioritize USS within the slot group and monitors CSS, it might be outside the originally configured PDCCH monitoring occasion and therefore, it might affect the PDCCH monitoring in the next slot, if the gap is too short between the CSS in one slot and the USS in the next slot. Therefore, this solution is not desirable. One potential solution could be to transmit the control information associated with CSS via USS. Consequently, UE is not required to monitor CSS, but still able to receive the relevant common control information via USS. If the PDCCH monitoring budget is not completely used for USS, then it should be able to additionally accommodate CSS related configuration in USS. However, if the budget is not sufficient for CSS related configuration in USS, then some low-priority USS sets could be deprioritized. But still the others can be monitored.</w:t>
            </w:r>
          </w:p>
          <w:p>
            <w:pPr>
              <w:widowControl w:val="0"/>
              <w:spacing w:after="0"/>
              <w:jc w:val="both"/>
              <w:rPr>
                <w:rFonts w:asciiTheme="majorBidi" w:hAnsiTheme="majorBidi" w:cstheme="majorBidi"/>
                <w:b/>
                <w:bCs/>
                <w:i/>
                <w:iCs/>
                <w:lang w:eastAsia="zh-CN"/>
              </w:rPr>
            </w:pPr>
          </w:p>
          <w:p>
            <w:pPr>
              <w:widowControl w:val="0"/>
              <w:spacing w:after="0"/>
              <w:jc w:val="both"/>
              <w:rPr>
                <w:rFonts w:asciiTheme="majorBidi" w:hAnsiTheme="majorBidi" w:cstheme="majorBidi"/>
                <w:b/>
                <w:bCs/>
                <w:i/>
                <w:iCs/>
                <w:lang w:eastAsia="zh-CN"/>
              </w:rPr>
            </w:pPr>
            <w:r>
              <w:rPr>
                <w:rFonts w:asciiTheme="majorBidi" w:hAnsiTheme="majorBidi" w:cstheme="majorBidi"/>
                <w:b/>
                <w:bCs/>
                <w:i/>
                <w:iCs/>
                <w:lang w:eastAsia="zh-CN"/>
              </w:rPr>
              <w:t>Proposal 8: For supporting NR between 52.6 GHz and 71 GHz with high subcarrier spacing values including 480kHz and 960kHz, with multi-slot PDCCH monitoring, when UE is configured with both USS and CSS within a multi-slot group and if CSS is not aligned with USS and PDCCH monitoring occasions within the group, then support:</w:t>
            </w:r>
          </w:p>
          <w:p>
            <w:pPr>
              <w:pStyle w:val="73"/>
              <w:widowControl w:val="0"/>
              <w:numPr>
                <w:ilvl w:val="0"/>
                <w:numId w:val="25"/>
              </w:numPr>
              <w:overflowPunct w:val="0"/>
              <w:autoSpaceDE w:val="0"/>
              <w:autoSpaceDN w:val="0"/>
              <w:adjustRightInd w:val="0"/>
              <w:snapToGrid/>
              <w:spacing w:line="240" w:lineRule="auto"/>
              <w:contextualSpacing/>
              <w:jc w:val="both"/>
              <w:textAlignment w:val="baseline"/>
              <w:rPr>
                <w:rFonts w:asciiTheme="majorBidi" w:hAnsiTheme="majorBidi" w:cstheme="majorBidi"/>
                <w:b/>
                <w:bCs/>
                <w:i/>
                <w:iCs/>
                <w:lang w:eastAsia="zh-CN"/>
              </w:rPr>
            </w:pPr>
            <w:r>
              <w:rPr>
                <w:rFonts w:asciiTheme="majorBidi" w:hAnsiTheme="majorBidi" w:cstheme="majorBidi"/>
                <w:b/>
                <w:bCs/>
                <w:i/>
                <w:iCs/>
                <w:lang w:eastAsia="zh-CN"/>
              </w:rPr>
              <w:t xml:space="preserve"> the transmission of CSS associated common control information using the budget of USS and;</w:t>
            </w:r>
          </w:p>
          <w:p>
            <w:pPr>
              <w:pStyle w:val="73"/>
              <w:widowControl w:val="0"/>
              <w:numPr>
                <w:ilvl w:val="0"/>
                <w:numId w:val="25"/>
              </w:numPr>
              <w:overflowPunct w:val="0"/>
              <w:autoSpaceDE w:val="0"/>
              <w:autoSpaceDN w:val="0"/>
              <w:adjustRightInd w:val="0"/>
              <w:snapToGrid/>
              <w:spacing w:line="240" w:lineRule="auto"/>
              <w:contextualSpacing/>
              <w:jc w:val="both"/>
              <w:textAlignment w:val="baseline"/>
              <w:rPr>
                <w:rFonts w:asciiTheme="majorBidi" w:hAnsiTheme="majorBidi" w:cstheme="majorBidi"/>
                <w:b/>
                <w:bCs/>
                <w:i/>
                <w:iCs/>
                <w:lang w:eastAsia="zh-CN"/>
              </w:rPr>
            </w:pPr>
            <w:r>
              <w:rPr>
                <w:rFonts w:asciiTheme="majorBidi" w:hAnsiTheme="majorBidi" w:cstheme="majorBidi"/>
                <w:b/>
                <w:bCs/>
                <w:i/>
                <w:iCs/>
                <w:lang w:eastAsia="zh-CN"/>
              </w:rPr>
              <w:t xml:space="preserve"> to not monitor CSS outside the PDCCH monitoring occasions</w:t>
            </w:r>
          </w:p>
          <w:p>
            <w:pPr>
              <w:widowControl w:val="0"/>
              <w:jc w:val="both"/>
              <w:rPr>
                <w:b/>
                <w:i/>
                <w:iCs/>
              </w:rPr>
            </w:pPr>
          </w:p>
        </w:tc>
      </w:tr>
    </w:tbl>
    <w:p>
      <w:pPr>
        <w:rPr>
          <w:lang w:eastAsia="zh-CN"/>
        </w:rPr>
      </w:pPr>
    </w:p>
    <w:p>
      <w:pPr>
        <w:rPr>
          <w:lang w:eastAsia="zh-CN"/>
        </w:rPr>
      </w:pPr>
    </w:p>
    <w:p>
      <w:pPr>
        <w:pStyle w:val="4"/>
        <w:jc w:val="both"/>
        <w:rPr>
          <w:lang w:val="en-GB" w:eastAsia="zh-CN"/>
        </w:rPr>
      </w:pPr>
      <w:r>
        <w:rPr>
          <w:lang w:val="en-GB" w:eastAsia="zh-CN"/>
        </w:rPr>
        <w:t>R1-2109962 (LG)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spacing w:before="120" w:line="240" w:lineRule="auto"/>
              <w:ind w:firstLine="220" w:firstLineChars="100"/>
              <w:rPr>
                <w:rFonts w:eastAsia="Batang"/>
                <w:bCs/>
                <w:lang w:val="zh-CN" w:eastAsia="ko-KR"/>
              </w:rPr>
            </w:pPr>
            <w:r>
              <w:rPr>
                <w:rFonts w:eastAsia="Batang"/>
                <w:lang w:val="zh-CN" w:eastAsia="ko-KR"/>
              </w:rPr>
              <w:t xml:space="preserve">In RAN1#106-e meeting, above agreement was drawn. </w:t>
            </w:r>
            <w:r>
              <w:rPr>
                <w:rFonts w:eastAsia="Batang"/>
                <w:bCs/>
                <w:lang w:val="zh-CN" w:eastAsia="ko-KR"/>
              </w:rPr>
              <w:t>The multi-slot unit PDCCH monitoring operation can reduce the implementation burden of the UE in a short symbol/slot length for 480/960 kHz and expect a power saving effect, and is well suited to the multi-PDSCH scheduling operation. In this respect, applying multi-slot monitoring to a specific time or specific SS may reduce its effectiveness. We believe that the multi-slot monitoring operation should be applied in initial access procedure as well as connected mode, and we prefer not to make an exception to a specific SS set unless a critical issues are identified.</w:t>
            </w:r>
          </w:p>
          <w:p>
            <w:pPr>
              <w:widowControl w:val="0"/>
              <w:spacing w:before="120" w:line="240" w:lineRule="auto"/>
              <w:ind w:firstLine="220" w:firstLineChars="100"/>
              <w:rPr>
                <w:rFonts w:eastAsia="Batang"/>
                <w:b/>
                <w:lang w:eastAsia="ko-KR"/>
              </w:rPr>
            </w:pPr>
            <w:r>
              <w:rPr>
                <w:rFonts w:hint="eastAsia" w:eastAsia="Batang"/>
                <w:b/>
                <w:lang w:eastAsia="ko-KR"/>
              </w:rPr>
              <w:t>P</w:t>
            </w:r>
            <w:r>
              <w:rPr>
                <w:rFonts w:eastAsia="Batang"/>
                <w:b/>
                <w:lang w:eastAsia="ko-KR"/>
              </w:rPr>
              <w:t>roposal #1: Support multi-slot PDCCH monitoring at all times and for all search spaces.</w:t>
            </w:r>
          </w:p>
          <w:p>
            <w:pPr>
              <w:widowControl w:val="0"/>
              <w:spacing w:before="120" w:line="240" w:lineRule="auto"/>
              <w:ind w:firstLine="220" w:firstLineChars="100"/>
              <w:rPr>
                <w:rFonts w:eastAsia="Batang"/>
                <w:lang w:eastAsia="ko-KR"/>
              </w:rPr>
            </w:pPr>
            <w:r>
              <w:rPr>
                <w:rFonts w:eastAsia="Batang"/>
                <w:lang w:eastAsia="ko-KR"/>
              </w:rPr>
              <w:t xml:space="preserve">SS set configuration can also be set appropriately for the slot-group. </w:t>
            </w:r>
            <w:r>
              <w:rPr>
                <w:rFonts w:hint="eastAsia" w:eastAsia="Batang"/>
                <w:lang w:eastAsia="ko-KR"/>
              </w:rPr>
              <w:t>T</w:t>
            </w:r>
            <w:r>
              <w:rPr>
                <w:rFonts w:eastAsia="Batang"/>
                <w:lang w:eastAsia="ko-KR"/>
              </w:rPr>
              <w:t xml:space="preserve">hrough SS set configuration based on slot-group, PDCCH monitoring occasion could be adjusted properly (e.g., restricted), and then, additional power saving effects would be expected. For slot-group based PDCCH monitoring, specifically, </w:t>
            </w:r>
            <w:r>
              <w:rPr>
                <w:rFonts w:eastAsia="Batang"/>
                <w:i/>
                <w:lang w:eastAsia="ko-KR"/>
              </w:rPr>
              <w:t>periodicity</w:t>
            </w:r>
            <w:r>
              <w:rPr>
                <w:rFonts w:eastAsia="Batang"/>
                <w:lang w:eastAsia="ko-KR"/>
              </w:rPr>
              <w:t xml:space="preserve"> could be configured to a value larger than X (or a multiple of X) slots and </w:t>
            </w:r>
            <w:r>
              <w:rPr>
                <w:rFonts w:eastAsia="Batang"/>
                <w:i/>
                <w:lang w:eastAsia="ko-KR"/>
              </w:rPr>
              <w:t>duration</w:t>
            </w:r>
            <w:r>
              <w:rPr>
                <w:rFonts w:eastAsia="Batang"/>
                <w:lang w:eastAsia="ko-KR"/>
              </w:rPr>
              <w:t xml:space="preserve"> could be configured with respect to X (or Y) slots. Moreover, it can be discussed how to handle the case where the configured slot-group boundary does not exactly match to the union of PDCCH MOs based on SS set configurations. In this case, USS dropping could be enhanced with the unaligned region to reduce the number of blind detection effectively. </w:t>
            </w:r>
          </w:p>
          <w:p>
            <w:pPr>
              <w:widowControl w:val="0"/>
              <w:spacing w:before="120" w:line="240" w:lineRule="auto"/>
              <w:ind w:firstLine="220" w:firstLineChars="100"/>
              <w:rPr>
                <w:rFonts w:eastAsia="Batang"/>
                <w:bCs/>
                <w:lang w:eastAsia="ko-KR"/>
              </w:rPr>
            </w:pPr>
            <w:r>
              <w:rPr>
                <w:rFonts w:eastAsia="Batang"/>
                <w:b/>
                <w:lang w:eastAsia="ko-KR"/>
              </w:rPr>
              <w:t xml:space="preserve">Proposal #5: Consider to configure PDCCH monitoring occasions to be compliant with the slot-group (or multiple of slot-groups), by using search space set configuration parameters (e.g., periodicity, offset, and duration). </w:t>
            </w:r>
          </w:p>
          <w:p>
            <w:pPr>
              <w:widowControl w:val="0"/>
              <w:spacing w:before="120" w:line="240" w:lineRule="auto"/>
              <w:ind w:firstLine="220" w:firstLineChars="100"/>
              <w:rPr>
                <w:rFonts w:eastAsia="Batang"/>
                <w:bCs/>
                <w:lang w:eastAsia="ko-KR"/>
              </w:rPr>
            </w:pPr>
          </w:p>
          <w:p>
            <w:pPr>
              <w:widowControl w:val="0"/>
              <w:spacing w:before="120" w:line="240" w:lineRule="auto"/>
              <w:ind w:firstLine="220" w:firstLineChars="100"/>
              <w:rPr>
                <w:rFonts w:eastAsia="Batang"/>
                <w:bCs/>
                <w:lang w:eastAsia="ko-KR"/>
              </w:rPr>
            </w:pPr>
            <w:r>
              <w:rPr>
                <w:rFonts w:eastAsia="Batang"/>
                <w:bCs/>
                <w:lang w:eastAsia="ko-KR"/>
              </w:rPr>
              <w:t>Regarding SSSG switching, in Rel-15/16 NR, one SSSG could be switched to another SSSG at the slot boundary after at least P_switch symbols from the switching triggering. However, if SSSG switching is introduced for multi-slot monitoring in Rel-17, SSSG switching should be performed at the slot-group boundary in order to be compliant with the slot-group. In addition, it may be necessary to discuss the appropriate P_switch values for 480 kHz and 960 kHz.</w:t>
            </w:r>
          </w:p>
          <w:p>
            <w:pPr>
              <w:widowControl w:val="0"/>
              <w:spacing w:before="120" w:line="240" w:lineRule="auto"/>
              <w:ind w:firstLine="220" w:firstLineChars="100"/>
              <w:rPr>
                <w:rFonts w:eastAsia="Batang"/>
                <w:b/>
                <w:lang w:eastAsia="ko-KR"/>
              </w:rPr>
            </w:pPr>
            <w:r>
              <w:rPr>
                <w:rFonts w:eastAsia="Batang"/>
                <w:b/>
                <w:lang w:eastAsia="ko-KR"/>
              </w:rPr>
              <w:t xml:space="preserve">Proposal #6: For 480 kHz or 960 kHz multi-slot monitoring, SSSG switching should be performed at the slot-group boundary, if supported. </w:t>
            </w:r>
          </w:p>
          <w:p>
            <w:pPr>
              <w:widowControl w:val="0"/>
              <w:spacing w:before="120" w:line="240" w:lineRule="auto"/>
              <w:ind w:firstLine="220" w:firstLineChars="100"/>
              <w:rPr>
                <w:rFonts w:eastAsia="Batang"/>
                <w:bCs/>
                <w:lang w:eastAsia="ko-KR"/>
              </w:rPr>
            </w:pPr>
            <w:r>
              <w:rPr>
                <w:rFonts w:eastAsia="Batang"/>
                <w:lang w:eastAsia="ko-KR"/>
              </w:rPr>
              <w:t xml:space="preserve">For SSB/CORESET#0 multiplexing with pattern 1, PDCCH monitoring of Type0-PDCCH CSS set for each SSB index is achieved in two consecutive slots, slot </w:t>
            </w:r>
            <m:oMath>
              <m:sSub>
                <m:sSubPr>
                  <m:ctrlPr>
                    <w:rPr>
                      <w:rFonts w:ascii="Cambria Math" w:hAnsi="Cambria Math" w:eastAsia="Batang"/>
                      <w:lang w:eastAsia="ko-KR"/>
                    </w:rPr>
                  </m:ctrlPr>
                </m:sSubPr>
                <m:e>
                  <m:r>
                    <w:rPr>
                      <w:rFonts w:ascii="Cambria Math" w:hAnsi="Cambria Math" w:eastAsia="Batang"/>
                      <w:lang w:eastAsia="ko-KR"/>
                    </w:rPr>
                    <m:t>n</m:t>
                  </m:r>
                  <m:ctrlPr>
                    <w:rPr>
                      <w:rFonts w:ascii="Cambria Math" w:hAnsi="Cambria Math" w:eastAsia="Batang"/>
                      <w:lang w:eastAsia="ko-KR"/>
                    </w:rPr>
                  </m:ctrlPr>
                </m:e>
                <m:sub>
                  <m:r>
                    <w:rPr>
                      <w:rFonts w:ascii="Cambria Math" w:hAnsi="Cambria Math" w:eastAsia="Batang"/>
                      <w:lang w:eastAsia="ko-KR"/>
                    </w:rPr>
                    <m:t>0</m:t>
                  </m:r>
                  <m:ctrlPr>
                    <w:rPr>
                      <w:rFonts w:ascii="Cambria Math" w:hAnsi="Cambria Math" w:eastAsia="Batang"/>
                      <w:lang w:eastAsia="ko-KR"/>
                    </w:rPr>
                  </m:ctrlPr>
                </m:sub>
              </m:sSub>
            </m:oMath>
            <w:r>
              <w:rPr>
                <w:rFonts w:eastAsia="Batang"/>
                <w:lang w:eastAsia="ko-KR"/>
              </w:rPr>
              <w:t xml:space="preserve"> and slot </w:t>
            </w:r>
            <m:oMath>
              <m:sSub>
                <m:sSubPr>
                  <m:ctrlPr>
                    <w:rPr>
                      <w:rFonts w:ascii="Cambria Math" w:hAnsi="Cambria Math" w:eastAsia="Batang"/>
                      <w:lang w:eastAsia="ko-KR"/>
                    </w:rPr>
                  </m:ctrlPr>
                </m:sSubPr>
                <m:e>
                  <m:r>
                    <w:rPr>
                      <w:rFonts w:ascii="Cambria Math" w:hAnsi="Cambria Math" w:eastAsia="Batang"/>
                      <w:lang w:eastAsia="ko-KR"/>
                    </w:rPr>
                    <m:t>n</m:t>
                  </m:r>
                  <m:ctrlPr>
                    <w:rPr>
                      <w:rFonts w:ascii="Cambria Math" w:hAnsi="Cambria Math" w:eastAsia="Batang"/>
                      <w:lang w:eastAsia="ko-KR"/>
                    </w:rPr>
                  </m:ctrlPr>
                </m:e>
                <m:sub>
                  <m:r>
                    <w:rPr>
                      <w:rFonts w:ascii="Cambria Math" w:hAnsi="Cambria Math" w:eastAsia="Batang"/>
                      <w:lang w:eastAsia="ko-KR"/>
                    </w:rPr>
                    <m:t>0</m:t>
                  </m:r>
                  <m:ctrlPr>
                    <w:rPr>
                      <w:rFonts w:ascii="Cambria Math" w:hAnsi="Cambria Math" w:eastAsia="Batang"/>
                      <w:lang w:eastAsia="ko-KR"/>
                    </w:rPr>
                  </m:ctrlPr>
                </m:sub>
              </m:sSub>
              <m:r>
                <w:rPr>
                  <w:rFonts w:ascii="Cambria Math" w:hAnsi="Cambria Math" w:eastAsia="Batang"/>
                  <w:lang w:eastAsia="ko-KR"/>
                </w:rPr>
                <m:t>+1</m:t>
              </m:r>
            </m:oMath>
            <w:r>
              <w:rPr>
                <w:rFonts w:eastAsia="Batang"/>
                <w:lang w:eastAsia="ko-KR"/>
              </w:rPr>
              <w:t xml:space="preserve">. To avoid PDCCH monitoring over two shortened consecutive slots, PDCCH monitoring over two consecutive slot-groups can be considered for 480kHz and 960kHz. For a given slot index </w:t>
            </w:r>
            <m:oMath>
              <m:sSub>
                <m:sSubPr>
                  <m:ctrlPr>
                    <w:rPr>
                      <w:rFonts w:ascii="Cambria Math" w:hAnsi="Cambria Math" w:eastAsia="Batang"/>
                      <w:lang w:eastAsia="ko-KR"/>
                    </w:rPr>
                  </m:ctrlPr>
                </m:sSubPr>
                <m:e>
                  <m:r>
                    <w:rPr>
                      <w:rFonts w:ascii="Cambria Math" w:hAnsi="Cambria Math" w:eastAsia="Batang"/>
                      <w:lang w:eastAsia="ko-KR"/>
                    </w:rPr>
                    <m:t>n</m:t>
                  </m:r>
                  <m:ctrlPr>
                    <w:rPr>
                      <w:rFonts w:ascii="Cambria Math" w:hAnsi="Cambria Math" w:eastAsia="Batang"/>
                      <w:lang w:eastAsia="ko-KR"/>
                    </w:rPr>
                  </m:ctrlPr>
                </m:e>
                <m:sub>
                  <m:r>
                    <w:rPr>
                      <w:rFonts w:ascii="Cambria Math" w:hAnsi="Cambria Math" w:eastAsia="Batang"/>
                      <w:lang w:eastAsia="ko-KR"/>
                    </w:rPr>
                    <m:t>0</m:t>
                  </m:r>
                  <m:ctrlPr>
                    <w:rPr>
                      <w:rFonts w:ascii="Cambria Math" w:hAnsi="Cambria Math" w:eastAsia="Batang"/>
                      <w:lang w:eastAsia="ko-KR"/>
                    </w:rPr>
                  </m:ctrlPr>
                </m:sub>
              </m:sSub>
            </m:oMath>
            <w:r>
              <w:rPr>
                <w:rFonts w:eastAsia="Batang"/>
                <w:lang w:eastAsia="ko-KR"/>
              </w:rPr>
              <w:t xml:space="preserve"> for </w:t>
            </w:r>
            <w:r>
              <w:t>Type0-PDCCH CSS set monitoring,</w:t>
            </w:r>
            <w:r>
              <w:rPr>
                <w:rFonts w:eastAsia="Batang"/>
                <w:lang w:eastAsia="ko-KR"/>
              </w:rPr>
              <w:t xml:space="preserve"> the next MO can be located in slot index </w:t>
            </w:r>
            <m:oMath>
              <m:sSub>
                <m:sSubPr>
                  <m:ctrlPr>
                    <w:rPr>
                      <w:rFonts w:ascii="Cambria Math" w:hAnsi="Cambria Math" w:eastAsia="Batang"/>
                      <w:lang w:eastAsia="ko-KR"/>
                    </w:rPr>
                  </m:ctrlPr>
                </m:sSubPr>
                <m:e>
                  <m:r>
                    <w:rPr>
                      <w:rFonts w:ascii="Cambria Math" w:hAnsi="Cambria Math" w:eastAsia="Batang"/>
                      <w:lang w:eastAsia="ko-KR"/>
                    </w:rPr>
                    <m:t>n</m:t>
                  </m:r>
                  <m:ctrlPr>
                    <w:rPr>
                      <w:rFonts w:ascii="Cambria Math" w:hAnsi="Cambria Math" w:eastAsia="Batang"/>
                      <w:lang w:eastAsia="ko-KR"/>
                    </w:rPr>
                  </m:ctrlPr>
                </m:e>
                <m:sub>
                  <m:r>
                    <w:rPr>
                      <w:rFonts w:ascii="Cambria Math" w:hAnsi="Cambria Math" w:eastAsia="Batang"/>
                      <w:lang w:eastAsia="ko-KR"/>
                    </w:rPr>
                    <m:t>0</m:t>
                  </m:r>
                  <m:ctrlPr>
                    <w:rPr>
                      <w:rFonts w:ascii="Cambria Math" w:hAnsi="Cambria Math" w:eastAsia="Batang"/>
                      <w:lang w:eastAsia="ko-KR"/>
                    </w:rPr>
                  </m:ctrlPr>
                </m:sub>
              </m:sSub>
              <m:r>
                <w:rPr>
                  <w:rFonts w:ascii="Cambria Math" w:hAnsi="Cambria Math" w:eastAsia="Batang"/>
                  <w:lang w:eastAsia="ko-KR"/>
                </w:rPr>
                <m:t>+M</m:t>
              </m:r>
            </m:oMath>
            <w:r>
              <w:rPr>
                <w:rFonts w:hint="eastAsia" w:eastAsia="Batang"/>
                <w:lang w:eastAsia="ko-KR"/>
              </w:rPr>
              <w:t xml:space="preserve"> where M </w:t>
            </w:r>
            <w:r>
              <w:rPr>
                <w:rFonts w:eastAsia="Batang"/>
                <w:lang w:eastAsia="ko-KR"/>
              </w:rPr>
              <w:t xml:space="preserve">corresponds to the size of slot-group. The slot-group for this case can be determined differently than the slot-group for other types of SS set (e.g., USS). In addition, the size of slot-group can be configured by MIB/SIB1 or be predefined for each SCS, e.g., </w:t>
            </w:r>
            <w:r>
              <w:rPr>
                <w:rFonts w:eastAsia="Batang"/>
                <w:i/>
                <w:lang w:eastAsia="ko-KR"/>
              </w:rPr>
              <w:t>M</w:t>
            </w:r>
            <w:r>
              <w:rPr>
                <w:rFonts w:eastAsia="Batang"/>
                <w:lang w:eastAsia="ko-KR"/>
              </w:rPr>
              <w:t xml:space="preserve">=4 for 480 kHz, </w:t>
            </w:r>
            <w:r>
              <w:rPr>
                <w:rFonts w:eastAsia="Batang"/>
                <w:i/>
                <w:lang w:eastAsia="ko-KR"/>
              </w:rPr>
              <w:t>M</w:t>
            </w:r>
            <w:r>
              <w:rPr>
                <w:rFonts w:eastAsia="Batang"/>
                <w:lang w:eastAsia="ko-KR"/>
              </w:rPr>
              <w:t>=8 for 960 kHz.</w:t>
            </w:r>
          </w:p>
          <w:p>
            <w:pPr>
              <w:widowControl w:val="0"/>
              <w:spacing w:before="120" w:line="240" w:lineRule="auto"/>
              <w:ind w:firstLine="220" w:firstLineChars="100"/>
              <w:rPr>
                <w:rFonts w:eastAsia="Batang"/>
                <w:b/>
                <w:lang w:eastAsia="ko-KR"/>
              </w:rPr>
            </w:pPr>
            <w:r>
              <w:rPr>
                <w:rFonts w:eastAsia="Batang"/>
                <w:b/>
                <w:lang w:eastAsia="ko-KR"/>
              </w:rPr>
              <w:t xml:space="preserve">Proposal #7: Multi-slot monitoring of Type0-PDCCH CSS for SSB/CORESET#0 multiplexing pattern 1 should be considered </w:t>
            </w:r>
            <w:r>
              <w:rPr>
                <w:rFonts w:hint="eastAsia" w:eastAsia="Batang"/>
                <w:b/>
                <w:lang w:eastAsia="ko-KR"/>
              </w:rPr>
              <w:t>for</w:t>
            </w:r>
            <w:r>
              <w:rPr>
                <w:rFonts w:eastAsia="Batang"/>
                <w:b/>
                <w:lang w:eastAsia="ko-KR"/>
              </w:rPr>
              <w:t xml:space="preserve"> 480 kHz or 960 kHz SCS.</w:t>
            </w:r>
          </w:p>
          <w:p>
            <w:pPr>
              <w:widowControl w:val="0"/>
              <w:spacing w:before="120" w:line="240" w:lineRule="auto"/>
              <w:rPr>
                <w:rFonts w:eastAsia="Batang"/>
                <w:b/>
                <w:lang w:eastAsia="ko-KR"/>
              </w:rPr>
            </w:pPr>
          </w:p>
        </w:tc>
      </w:tr>
    </w:tbl>
    <w:p>
      <w:pPr>
        <w:rPr>
          <w:lang w:eastAsia="zh-CN"/>
        </w:rPr>
      </w:pPr>
    </w:p>
    <w:p>
      <w:pPr>
        <w:pStyle w:val="4"/>
        <w:jc w:val="both"/>
        <w:rPr>
          <w:lang w:val="en-GB" w:eastAsia="zh-CN"/>
        </w:rPr>
      </w:pPr>
      <w:r>
        <w:rPr>
          <w:lang w:val="en-GB" w:eastAsia="zh-CN"/>
        </w:rPr>
        <w:t>R1-2109993 (Sharp)</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The search space for single-slot monitoring of 15~120 kHz SCS is specified by the parameter "</w:t>
            </w:r>
            <w:r>
              <w:rPr>
                <w:rFonts w:eastAsiaTheme="minorEastAsia"/>
                <w:i/>
                <w:sz w:val="24"/>
                <w:szCs w:val="24"/>
                <w:lang w:val="en-GB" w:eastAsia="ja-JP"/>
              </w:rPr>
              <w:t>monitoringSlotPeriodicityAndOffset</w:t>
            </w:r>
            <w:r>
              <w:rPr>
                <w:rFonts w:eastAsiaTheme="minorEastAsia"/>
                <w:sz w:val="24"/>
                <w:szCs w:val="24"/>
                <w:lang w:val="en-GB" w:eastAsia="ja-JP"/>
              </w:rPr>
              <w:t>", "</w:t>
            </w:r>
            <w:r>
              <w:rPr>
                <w:rFonts w:eastAsiaTheme="minorEastAsia"/>
                <w:i/>
                <w:sz w:val="24"/>
                <w:szCs w:val="24"/>
                <w:lang w:val="en-GB" w:eastAsia="ja-JP"/>
              </w:rPr>
              <w:t>duration</w:t>
            </w:r>
            <w:r>
              <w:rPr>
                <w:rFonts w:eastAsiaTheme="minorEastAsia"/>
                <w:sz w:val="24"/>
                <w:szCs w:val="24"/>
                <w:lang w:val="en-GB" w:eastAsia="ja-JP"/>
              </w:rPr>
              <w:t>" and "</w:t>
            </w:r>
            <w:r>
              <w:rPr>
                <w:rFonts w:eastAsiaTheme="minorEastAsia"/>
                <w:i/>
                <w:sz w:val="24"/>
                <w:szCs w:val="24"/>
                <w:lang w:val="en-GB" w:eastAsia="ja-JP"/>
              </w:rPr>
              <w:t>monitoringSymbolsWithinSlot</w:t>
            </w:r>
            <w:r>
              <w:rPr>
                <w:rFonts w:eastAsiaTheme="minorEastAsia"/>
                <w:sz w:val="24"/>
                <w:szCs w:val="24"/>
                <w:lang w:val="en-GB" w:eastAsia="ja-JP"/>
              </w:rPr>
              <w:t>". However, since multi-slot monitoring at 480 kHz and 960 kHz basically monitors every multiple of X slots, such as 4 or 8, there are many periods that cannot be specified by the value of these parameters. Therefore, it is necessary to create an alternative parameter or revise parameter which matches the multi-slot monitoring.</w:t>
            </w:r>
          </w:p>
          <w:p>
            <w:pPr>
              <w:pStyle w:val="221"/>
              <w:widowControl w:val="0"/>
              <w:snapToGrid w:val="0"/>
              <w:spacing w:line="240" w:lineRule="auto"/>
              <w:ind w:firstLine="0"/>
              <w:contextualSpacing w:val="0"/>
              <w:jc w:val="center"/>
              <w:rPr>
                <w:rFonts w:eastAsiaTheme="minorEastAsia"/>
                <w:b/>
                <w:sz w:val="24"/>
                <w:szCs w:val="24"/>
                <w:lang w:val="en-GB" w:eastAsia="ja-JP"/>
              </w:rPr>
            </w:pPr>
            <w:r>
              <w:rPr>
                <w:rFonts w:eastAsiaTheme="minorEastAsia"/>
                <w:sz w:val="24"/>
                <w:szCs w:val="24"/>
                <w:lang w:eastAsia="ko-KR"/>
              </w:rPr>
              <w:drawing>
                <wp:inline distT="0" distB="0" distL="0" distR="0">
                  <wp:extent cx="3568700" cy="202501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639649" cy="2065811"/>
                          </a:xfrm>
                          <a:prstGeom prst="rect">
                            <a:avLst/>
                          </a:prstGeom>
                          <a:noFill/>
                          <a:ln>
                            <a:noFill/>
                          </a:ln>
                        </pic:spPr>
                      </pic:pic>
                    </a:graphicData>
                  </a:graphic>
                </wp:inline>
              </w:drawing>
            </w:r>
            <w:r>
              <w:rPr>
                <w:rFonts w:eastAsiaTheme="minorEastAsia"/>
                <w:sz w:val="24"/>
                <w:szCs w:val="24"/>
                <w:lang w:val="en-GB" w:eastAsia="ja-JP"/>
              </w:rPr>
              <w:br w:type="textWrapping"/>
            </w:r>
            <w:r>
              <w:rPr>
                <w:rFonts w:eastAsiaTheme="minorEastAsia"/>
                <w:b/>
                <w:sz w:val="24"/>
                <w:szCs w:val="24"/>
                <w:lang w:val="en-GB" w:eastAsia="ja-JP"/>
              </w:rPr>
              <w:t>Figure 2: SearchSpace parameters that need to be rebuilt or revised.</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b/>
                <w:sz w:val="24"/>
                <w:szCs w:val="24"/>
                <w:lang w:val="en-GB" w:eastAsia="ja-JP"/>
              </w:rPr>
              <w:t>Proposal 7: Search Space should be modified to match multi-slot monitoring</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 xml:space="preserve">In AI 8.2.1, it </w:t>
            </w:r>
            <w:r>
              <w:rPr>
                <w:rFonts w:hint="eastAsia" w:eastAsiaTheme="minorEastAsia"/>
                <w:sz w:val="24"/>
                <w:szCs w:val="24"/>
                <w:lang w:val="en-GB" w:eastAsia="ja-JP"/>
              </w:rPr>
              <w:t>was agreed to support Type0-PDCCH CSS</w:t>
            </w:r>
            <w:r>
              <w:rPr>
                <w:rFonts w:eastAsiaTheme="minorEastAsia"/>
                <w:sz w:val="24"/>
                <w:szCs w:val="24"/>
                <w:lang w:val="en-GB" w:eastAsia="ja-JP"/>
              </w:rPr>
              <w:t xml:space="preserve"> of 480 kHz and 960 kHz SCS</w:t>
            </w:r>
            <w:r>
              <w:rPr>
                <w:rFonts w:hint="eastAsia" w:eastAsiaTheme="minorEastAsia"/>
                <w:sz w:val="24"/>
                <w:szCs w:val="24"/>
                <w:lang w:val="en-GB" w:eastAsia="ja-JP"/>
              </w:rPr>
              <w:t xml:space="preserve"> for </w:t>
            </w:r>
            <w:r>
              <w:rPr>
                <w:rFonts w:eastAsiaTheme="minorEastAsia"/>
                <w:sz w:val="24"/>
                <w:szCs w:val="24"/>
                <w:lang w:val="en-GB" w:eastAsia="ja-JP"/>
              </w:rPr>
              <w:t>initial access in addition to 120 kHz SCS in the frequency band above 52.6 GHz. For Type0-PDCCH CSS with SSB-CORESET multiplexing pattern 1, a UE needs to monitor two consecutive slots (n</w:t>
            </w:r>
            <w:r>
              <w:rPr>
                <w:rFonts w:eastAsiaTheme="minorEastAsia"/>
                <w:sz w:val="24"/>
                <w:szCs w:val="24"/>
                <w:vertAlign w:val="subscript"/>
                <w:lang w:val="en-GB" w:eastAsia="ja-JP"/>
              </w:rPr>
              <w:t>0</w:t>
            </w:r>
            <w:r>
              <w:rPr>
                <w:rFonts w:eastAsiaTheme="minorEastAsia"/>
                <w:sz w:val="24"/>
                <w:szCs w:val="24"/>
                <w:lang w:val="en-GB" w:eastAsia="ja-JP"/>
              </w:rPr>
              <w:t xml:space="preserve"> and n</w:t>
            </w:r>
            <w:r>
              <w:rPr>
                <w:rFonts w:eastAsiaTheme="minorEastAsia"/>
                <w:sz w:val="24"/>
                <w:szCs w:val="24"/>
                <w:vertAlign w:val="subscript"/>
                <w:lang w:val="en-GB" w:eastAsia="ja-JP"/>
              </w:rPr>
              <w:t>0</w:t>
            </w:r>
            <w:r>
              <w:rPr>
                <w:rFonts w:eastAsiaTheme="minorEastAsia"/>
                <w:sz w:val="24"/>
                <w:szCs w:val="24"/>
                <w:lang w:val="en-GB" w:eastAsia="ja-JP"/>
              </w:rPr>
              <w:t>+1 slots) in the current specification. Since the proposed multi-slot monitoring cannot support monitoring of two consecutive slots, the Type0-PDCCH CSS should be redesigned. For example, the slot indices for monitoring the Type0-PDCCH CSS could be n</w:t>
            </w:r>
            <w:r>
              <w:rPr>
                <w:rFonts w:eastAsiaTheme="minorEastAsia"/>
                <w:sz w:val="24"/>
                <w:szCs w:val="24"/>
                <w:vertAlign w:val="subscript"/>
                <w:lang w:val="en-GB" w:eastAsia="ja-JP"/>
              </w:rPr>
              <w:t>0</w:t>
            </w:r>
            <w:r>
              <w:rPr>
                <w:rFonts w:eastAsiaTheme="minorEastAsia"/>
                <w:sz w:val="24"/>
                <w:szCs w:val="24"/>
                <w:lang w:val="en-GB" w:eastAsia="ja-JP"/>
              </w:rPr>
              <w:t xml:space="preserve"> and n</w:t>
            </w:r>
            <w:r>
              <w:rPr>
                <w:rFonts w:eastAsiaTheme="minorEastAsia"/>
                <w:sz w:val="24"/>
                <w:szCs w:val="24"/>
                <w:vertAlign w:val="subscript"/>
                <w:lang w:val="en-GB" w:eastAsia="ja-JP"/>
              </w:rPr>
              <w:t>0</w:t>
            </w:r>
            <w:r>
              <w:rPr>
                <w:rFonts w:eastAsiaTheme="minorEastAsia"/>
                <w:sz w:val="24"/>
                <w:szCs w:val="24"/>
                <w:lang w:val="en-GB" w:eastAsia="ja-JP"/>
              </w:rPr>
              <w:t>+X instead of n</w:t>
            </w:r>
            <w:r>
              <w:rPr>
                <w:rFonts w:eastAsiaTheme="minorEastAsia"/>
                <w:sz w:val="24"/>
                <w:szCs w:val="24"/>
                <w:vertAlign w:val="subscript"/>
                <w:lang w:val="en-GB" w:eastAsia="ja-JP"/>
              </w:rPr>
              <w:t>0</w:t>
            </w:r>
            <w:r>
              <w:rPr>
                <w:rFonts w:eastAsiaTheme="minorEastAsia"/>
                <w:sz w:val="24"/>
                <w:szCs w:val="24"/>
                <w:lang w:val="en-GB" w:eastAsia="ja-JP"/>
              </w:rPr>
              <w:t xml:space="preserve"> and n</w:t>
            </w:r>
            <w:r>
              <w:rPr>
                <w:rFonts w:eastAsiaTheme="minorEastAsia"/>
                <w:sz w:val="24"/>
                <w:szCs w:val="24"/>
                <w:vertAlign w:val="subscript"/>
                <w:lang w:val="en-GB" w:eastAsia="ja-JP"/>
              </w:rPr>
              <w:t>0</w:t>
            </w:r>
            <w:r>
              <w:rPr>
                <w:rFonts w:eastAsiaTheme="minorEastAsia"/>
                <w:sz w:val="24"/>
                <w:szCs w:val="24"/>
                <w:lang w:val="en-GB" w:eastAsia="ja-JP"/>
              </w:rPr>
              <w:t>+1.</w:t>
            </w:r>
            <w:r>
              <w:t xml:space="preserve"> </w:t>
            </w:r>
            <w:r>
              <w:rPr>
                <w:rFonts w:eastAsiaTheme="minorEastAsia"/>
                <w:sz w:val="24"/>
                <w:szCs w:val="24"/>
                <w:lang w:val="en-GB" w:eastAsia="ja-JP"/>
              </w:rPr>
              <w:t>However, SSBs transmitted between n</w:t>
            </w:r>
            <w:r>
              <w:rPr>
                <w:rFonts w:eastAsiaTheme="minorEastAsia"/>
                <w:sz w:val="24"/>
                <w:szCs w:val="24"/>
                <w:vertAlign w:val="subscript"/>
                <w:lang w:val="en-GB" w:eastAsia="ja-JP"/>
              </w:rPr>
              <w:t>0</w:t>
            </w:r>
            <w:r>
              <w:rPr>
                <w:rFonts w:eastAsiaTheme="minorEastAsia"/>
                <w:sz w:val="24"/>
                <w:szCs w:val="24"/>
                <w:lang w:val="en-GB" w:eastAsia="ja-JP"/>
              </w:rPr>
              <w:t xml:space="preserve"> and n</w:t>
            </w:r>
            <w:r>
              <w:rPr>
                <w:rFonts w:eastAsiaTheme="minorEastAsia"/>
                <w:sz w:val="24"/>
                <w:szCs w:val="24"/>
                <w:vertAlign w:val="subscript"/>
                <w:lang w:val="en-GB" w:eastAsia="ja-JP"/>
              </w:rPr>
              <w:t>0</w:t>
            </w:r>
            <w:r>
              <w:rPr>
                <w:rFonts w:eastAsiaTheme="minorEastAsia"/>
                <w:sz w:val="24"/>
                <w:szCs w:val="24"/>
                <w:lang w:val="en-GB" w:eastAsia="ja-JP"/>
              </w:rPr>
              <w:t>+X slots would not be available since SSBs of 480 kHz and 960 kHz SCS are discussed to be transmitted on a slot-by-slot basis.</w:t>
            </w:r>
          </w:p>
          <w:p>
            <w:pPr>
              <w:pStyle w:val="221"/>
              <w:widowControl w:val="0"/>
              <w:snapToGrid w:val="0"/>
              <w:spacing w:line="240" w:lineRule="auto"/>
              <w:ind w:firstLine="0"/>
              <w:contextualSpacing w:val="0"/>
              <w:rPr>
                <w:rFonts w:eastAsiaTheme="minorEastAsia"/>
                <w:b/>
                <w:sz w:val="24"/>
                <w:szCs w:val="24"/>
                <w:lang w:val="en-GB" w:eastAsia="ja-JP"/>
              </w:rPr>
            </w:pPr>
            <w:r>
              <w:rPr>
                <w:rFonts w:eastAsiaTheme="minorEastAsia"/>
                <w:b/>
                <w:sz w:val="24"/>
                <w:szCs w:val="24"/>
                <w:lang w:val="en-GB" w:eastAsia="ja-JP"/>
              </w:rPr>
              <w:t>Observation 3: Type0-PDCCH CSS should be redesigned.</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 xml:space="preserve">SSSG switching was originally introduced for Rel-16 NR-U. The motivation was to enable dynamic switching between frequent PDCCH monitoring (e.g., out of COT) and infrequent PDCCH monitoring (e.g., within COT) that may consume less UE power. The benefit of reducing power consumption by dynamic SSSG switching is even significant for higher SCSs of 480 kHz and 960 kHz where slots are shorter, in addition to the original motivation for NR-U. Therefore, SSSG switching should also be used for 480kHz/960kHz SCS. </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In FR2-2 operation, since the PDCCH monitoring capability is on a multi-slot basis at 480 kHz/960 kHz SCS, the processing load may locally exceed the capability of the UE during SSSG switching. In other words, there is a potential back-to-back problem when performing SSSG switching with multi-slot monitoring.</w:t>
            </w:r>
          </w:p>
          <w:p>
            <w:pPr>
              <w:pStyle w:val="221"/>
              <w:widowControl w:val="0"/>
              <w:snapToGrid w:val="0"/>
              <w:spacing w:line="240" w:lineRule="auto"/>
              <w:ind w:firstLine="0"/>
              <w:contextualSpacing w:val="0"/>
              <w:rPr>
                <w:rFonts w:eastAsiaTheme="minorEastAsia"/>
                <w:b/>
                <w:sz w:val="24"/>
                <w:szCs w:val="24"/>
                <w:lang w:val="en-GB" w:eastAsia="ja-JP"/>
              </w:rPr>
            </w:pPr>
            <w:r>
              <w:rPr>
                <w:rFonts w:eastAsiaTheme="minorEastAsia"/>
                <w:b/>
                <w:sz w:val="24"/>
                <w:szCs w:val="24"/>
                <w:lang w:val="en-GB" w:eastAsia="ja-JP"/>
              </w:rPr>
              <w:t xml:space="preserve">Proposal 8: We support SSSG switching with enhancements for 120kHz/480kHz/960kHz SCS. </w:t>
            </w:r>
          </w:p>
          <w:p>
            <w:pPr>
              <w:pStyle w:val="221"/>
              <w:widowControl w:val="0"/>
              <w:snapToGrid w:val="0"/>
              <w:spacing w:line="240" w:lineRule="auto"/>
              <w:ind w:firstLine="0"/>
              <w:contextualSpacing w:val="0"/>
              <w:rPr>
                <w:rFonts w:eastAsiaTheme="minorEastAsia"/>
                <w:b/>
                <w:sz w:val="24"/>
                <w:szCs w:val="24"/>
                <w:lang w:val="en-GB" w:eastAsia="ja-JP"/>
              </w:rPr>
            </w:pPr>
            <w:r>
              <w:rPr>
                <w:rFonts w:eastAsiaTheme="minorEastAsia"/>
                <w:b/>
                <w:sz w:val="24"/>
                <w:szCs w:val="24"/>
                <w:lang w:val="en-GB" w:eastAsia="ja-JP"/>
              </w:rPr>
              <w:t>Observation 4: Potential back-to-back problem during SSSG switching in multi-slot monitoring should be investigated.</w:t>
            </w:r>
          </w:p>
          <w:p>
            <w:pPr>
              <w:pStyle w:val="221"/>
              <w:widowControl w:val="0"/>
              <w:snapToGrid w:val="0"/>
              <w:spacing w:line="240" w:lineRule="auto"/>
              <w:ind w:firstLine="0"/>
              <w:contextualSpacing w:val="0"/>
              <w:rPr>
                <w:rFonts w:eastAsiaTheme="minorEastAsia"/>
                <w:b/>
                <w:sz w:val="24"/>
                <w:szCs w:val="24"/>
                <w:lang w:val="en-GB" w:eastAsia="ja-JP"/>
              </w:rPr>
            </w:pPr>
          </w:p>
        </w:tc>
      </w:tr>
    </w:tbl>
    <w:p>
      <w:pPr>
        <w:rPr>
          <w:lang w:eastAsia="zh-CN"/>
        </w:rPr>
      </w:pPr>
    </w:p>
    <w:p>
      <w:pPr>
        <w:pStyle w:val="4"/>
        <w:jc w:val="both"/>
        <w:rPr>
          <w:lang w:val="en-GB" w:eastAsia="zh-CN"/>
        </w:rPr>
      </w:pPr>
      <w:r>
        <w:rPr>
          <w:lang w:val="en-GB" w:eastAsia="zh-CN"/>
        </w:rPr>
        <w:t>R1-2110022 (Apple)</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jc w:val="both"/>
              <w:rPr>
                <w:i/>
                <w:iCs/>
              </w:rPr>
            </w:pPr>
            <w:r>
              <w:rPr>
                <w:b/>
                <w:bCs/>
                <w:i/>
                <w:iCs/>
              </w:rPr>
              <w:t>Proposal 5:</w:t>
            </w:r>
            <w:r>
              <w:rPr>
                <w:i/>
                <w:iCs/>
              </w:rPr>
              <w:t xml:space="preserve"> For Alt-1, the positions of CSS and USS in Y should be clarified based on both network flexibility and UE power consumption. </w:t>
            </w:r>
          </w:p>
          <w:p>
            <w:pPr>
              <w:widowControl w:val="0"/>
              <w:jc w:val="both"/>
              <w:rPr>
                <w:i/>
                <w:iCs/>
              </w:rPr>
            </w:pPr>
          </w:p>
          <w:p>
            <w:pPr>
              <w:widowControl w:val="0"/>
              <w:jc w:val="both"/>
              <w:rPr>
                <w:i/>
                <w:iCs/>
              </w:rPr>
            </w:pPr>
            <w:r>
              <w:rPr>
                <w:b/>
                <w:bCs/>
                <w:i/>
                <w:iCs/>
              </w:rPr>
              <w:t>Proposal 6:</w:t>
            </w:r>
            <w:r>
              <w:rPr>
                <w:i/>
                <w:iCs/>
              </w:rPr>
              <w:t xml:space="preserve"> For Type0/0A/1(without dedicated RRC config)/2-CSS) enhance the default CSS configuration to ensure that the monitoring occasion is compatible with Alt 1 with fixed Y locations</w:t>
            </w:r>
          </w:p>
          <w:p>
            <w:pPr>
              <w:widowControl w:val="0"/>
              <w:jc w:val="both"/>
              <w:rPr>
                <w:i/>
                <w:iCs/>
              </w:rPr>
            </w:pPr>
          </w:p>
          <w:p>
            <w:pPr>
              <w:widowControl w:val="0"/>
              <w:jc w:val="both"/>
              <w:rPr>
                <w:i/>
                <w:iCs/>
              </w:rPr>
            </w:pPr>
            <w:r>
              <w:rPr>
                <w:b/>
                <w:bCs/>
                <w:i/>
                <w:iCs/>
              </w:rPr>
              <w:t>Proposal 7:</w:t>
            </w:r>
            <w:r>
              <w:rPr>
                <w:i/>
                <w:iCs/>
              </w:rPr>
              <w:t xml:space="preserve"> there is no need to increase the CORESET duration i.e., the maximum CORESET duration ≤ 3.</w:t>
            </w:r>
          </w:p>
          <w:p>
            <w:pPr>
              <w:widowControl w:val="0"/>
              <w:jc w:val="both"/>
            </w:pPr>
            <w:r>
              <w:t xml:space="preserve">In Rel-16, the switching boundary and the timer decrement value are on the order of slots. In the case of MSM PDCCH monitoring, as the PDCCH may be on the order of multiple slots, both the switching boundary and the timer decrements can be modified to be on the order of multi-slots as needed. The effect of MSM on the transition boundary and the time unit of multiple slots (4 slot) is illustrated in </w:t>
            </w:r>
            <w:r>
              <w:fldChar w:fldCharType="begin"/>
            </w:r>
            <w:r>
              <w:instrText xml:space="preserve"> REF _Ref68624864 \h  \* MERGEFORMAT </w:instrText>
            </w:r>
            <w:r>
              <w:fldChar w:fldCharType="separate"/>
            </w:r>
            <w:r>
              <w:t>Figure 1</w:t>
            </w:r>
            <w:r>
              <w:fldChar w:fldCharType="end"/>
            </w:r>
            <w:r>
              <w:t>.</w:t>
            </w:r>
          </w:p>
          <w:p>
            <w:pPr>
              <w:widowControl w:val="0"/>
              <w:jc w:val="both"/>
              <w:rPr>
                <w:i/>
              </w:rPr>
            </w:pPr>
          </w:p>
          <w:p>
            <w:pPr>
              <w:keepNext/>
              <w:widowControl w:val="0"/>
              <w:jc w:val="both"/>
            </w:pPr>
            <w:r>
              <w:rPr>
                <w:i/>
                <w:lang w:eastAsia="ko-KR"/>
              </w:rPr>
              <w:drawing>
                <wp:inline distT="0" distB="0" distL="0" distR="0">
                  <wp:extent cx="5943600" cy="861695"/>
                  <wp:effectExtent l="0" t="0" r="0" b="1905"/>
                  <wp:docPr id="23" name="Picture 23"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chart&#10;&#10;Description automatically generated"/>
                          <pic:cNvPicPr>
                            <a:picLocks noChangeAspect="1"/>
                          </pic:cNvPicPr>
                        </pic:nvPicPr>
                        <pic:blipFill>
                          <a:blip r:embed="rId39"/>
                          <a:stretch>
                            <a:fillRect/>
                          </a:stretch>
                        </pic:blipFill>
                        <pic:spPr>
                          <a:xfrm>
                            <a:off x="0" y="0"/>
                            <a:ext cx="5943600" cy="861695"/>
                          </a:xfrm>
                          <a:prstGeom prst="rect">
                            <a:avLst/>
                          </a:prstGeom>
                        </pic:spPr>
                      </pic:pic>
                    </a:graphicData>
                  </a:graphic>
                </wp:inline>
              </w:drawing>
            </w:r>
          </w:p>
          <w:p>
            <w:pPr>
              <w:pStyle w:val="27"/>
              <w:widowControl w:val="0"/>
            </w:pPr>
            <w:bookmarkStart w:id="82" w:name="_Ref68624864"/>
            <w:r>
              <w:t xml:space="preserve">Figure </w:t>
            </w:r>
            <w:r>
              <w:fldChar w:fldCharType="begin"/>
            </w:r>
            <w:r>
              <w:instrText xml:space="preserve"> SEQ Figure \* ARABIC </w:instrText>
            </w:r>
            <w:r>
              <w:fldChar w:fldCharType="separate"/>
            </w:r>
            <w:r>
              <w:t>1</w:t>
            </w:r>
            <w:r>
              <w:fldChar w:fldCharType="end"/>
            </w:r>
            <w:bookmarkEnd w:id="82"/>
            <w:r>
              <w:t>: Example of SSSG switching with multi-slot monitoring limitations</w:t>
            </w:r>
          </w:p>
          <w:p>
            <w:pPr>
              <w:widowControl w:val="0"/>
            </w:pPr>
          </w:p>
          <w:p>
            <w:pPr>
              <w:widowControl w:val="0"/>
              <w:rPr>
                <w:i/>
                <w:iCs/>
              </w:rPr>
            </w:pPr>
            <w:r>
              <w:rPr>
                <w:b/>
                <w:bCs/>
                <w:i/>
                <w:iCs/>
              </w:rPr>
              <w:t>Proposal 14:</w:t>
            </w:r>
            <w:r>
              <w:rPr>
                <w:i/>
                <w:iCs/>
              </w:rPr>
              <w:t xml:space="preserve"> Consider the effect of the change in SCS and of MSS PDCCH monitoring on SSSG switching.</w:t>
            </w:r>
          </w:p>
          <w:p>
            <w:pPr>
              <w:widowControl/>
              <w:rPr>
                <w:i/>
                <w:iCs/>
              </w:rPr>
            </w:pPr>
          </w:p>
        </w:tc>
      </w:tr>
    </w:tbl>
    <w:p>
      <w:pPr>
        <w:rPr>
          <w:lang w:eastAsia="zh-CN"/>
        </w:rPr>
      </w:pPr>
    </w:p>
    <w:p>
      <w:pPr>
        <w:pStyle w:val="4"/>
        <w:jc w:val="both"/>
        <w:rPr>
          <w:lang w:val="en-GB" w:eastAsia="zh-CN"/>
        </w:rPr>
      </w:pPr>
      <w:r>
        <w:rPr>
          <w:lang w:val="en-GB" w:eastAsia="zh-CN"/>
        </w:rPr>
        <w:t>R1-2110110 (Convida Wireless)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spacing w:line="276" w:lineRule="auto"/>
            </w:pPr>
            <w:r>
              <w:t xml:space="preserve">Since common CORESET configuration and search space are shared by multiple UEs in a serving cell, so accordingly, network need to take care alignment with all UEs for this configuration like PDCCH control region for RAR/paging system information. To support more flexible scheduling for single DCI scheduling multi-PDSCH, the starting location (or slot offset) for slot group in a frame may need to be studied. For example, </w:t>
            </w:r>
            <m:oMath>
              <m:sSubSup>
                <m:sSubSupPr>
                  <m:ctrlPr>
                    <w:rPr>
                      <w:rFonts w:ascii="Cambria Math" w:hAnsi="Cambria Math"/>
                      <w:i/>
                    </w:rPr>
                  </m:ctrlPr>
                </m:sSubSupPr>
                <m:e>
                  <m:r>
                    <w:rPr>
                      <w:rFonts w:ascii="Cambria Math" w:hAnsi="Cambria Math"/>
                    </w:rPr>
                    <m:t>N</m:t>
                  </m:r>
                  <m:ctrlPr>
                    <w:rPr>
                      <w:rFonts w:ascii="Cambria Math" w:hAnsi="Cambria Math"/>
                      <w:i/>
                    </w:rPr>
                  </m:ctrlPr>
                </m:e>
                <m:sub>
                  <m:r>
                    <m:rPr>
                      <m:sty m:val="p"/>
                    </m:rPr>
                    <w:rPr>
                      <w:rFonts w:ascii="Cambria Math" w:hAnsi="Cambria Math"/>
                    </w:rPr>
                    <m:t>slot</m:t>
                  </m:r>
                  <m:ctrlPr>
                    <w:rPr>
                      <w:rFonts w:ascii="Cambria Math" w:hAnsi="Cambria Math"/>
                      <w:i/>
                    </w:rPr>
                  </m:ctrlPr>
                </m:sub>
                <m:sup>
                  <m:r>
                    <m:rPr>
                      <m:sty m:val="p"/>
                    </m:rPr>
                    <w:rPr>
                      <w:rFonts w:ascii="Cambria Math" w:hAnsi="Cambria Math"/>
                    </w:rPr>
                    <m:t>frame</m:t>
                  </m:r>
                  <m:r>
                    <w:rPr>
                      <w:rFonts w:ascii="Cambria Math" w:hAnsi="Cambria Math"/>
                    </w:rPr>
                    <m:t>,μ</m:t>
                  </m:r>
                  <m:ctrlPr>
                    <w:rPr>
                      <w:rFonts w:ascii="Cambria Math" w:hAnsi="Cambria Math"/>
                      <w:i/>
                    </w:rPr>
                  </m:ctrlPr>
                </m:sup>
              </m:sSubSup>
            </m:oMath>
            <w:r>
              <w:t xml:space="preserve"> is equal to 640 for SCS = 960 KHz. For this case, it can have 8 (mod 8) different possible (slot) offset for slot group in a frame as shown in </w:t>
            </w:r>
            <w:r>
              <w:fldChar w:fldCharType="begin"/>
            </w:r>
            <w:r>
              <w:instrText xml:space="preserve"> REF _Ref83933743 \h  \* MERGEFORMAT </w:instrText>
            </w:r>
            <w:r>
              <w:fldChar w:fldCharType="separate"/>
            </w:r>
            <w:r>
              <w:rPr>
                <w:iCs/>
              </w:rPr>
              <w:t>Figure 2</w:t>
            </w:r>
            <w:r>
              <w:fldChar w:fldCharType="end"/>
            </w:r>
            <w:r>
              <w:t xml:space="preserve">. </w:t>
            </w:r>
          </w:p>
          <w:p>
            <w:pPr>
              <w:widowControl w:val="0"/>
              <w:spacing w:line="276" w:lineRule="auto"/>
              <w:jc w:val="center"/>
            </w:pPr>
            <w:r>
              <w:t xml:space="preserve"> </w:t>
            </w:r>
            <w:r>
              <w:object>
                <v:shape id="_x0000_i1036" o:spt="75" type="#_x0000_t75" style="height:370.6pt;width:444.65pt;" o:ole="t" filled="f" o:preferrelative="t" stroked="f" coordsize="21600,21600">
                  <v:path/>
                  <v:fill on="f" focussize="0,0"/>
                  <v:stroke on="f" joinstyle="miter"/>
                  <v:imagedata r:id="rId41" o:title=""/>
                  <o:lock v:ext="edit" aspectratio="t"/>
                  <w10:wrap type="none"/>
                  <w10:anchorlock/>
                </v:shape>
                <o:OLEObject Type="Embed" ProgID="Visio.Drawing.15" ShapeID="_x0000_i1036" DrawAspect="Content" ObjectID="_1468075736" r:id="rId40">
                  <o:LockedField>false</o:LockedField>
                </o:OLEObject>
              </w:object>
            </w:r>
          </w:p>
          <w:p>
            <w:pPr>
              <w:widowControl w:val="0"/>
              <w:tabs>
                <w:tab w:val="left" w:pos="7406"/>
              </w:tabs>
              <w:spacing w:line="360" w:lineRule="auto"/>
              <w:jc w:val="center"/>
              <w:rPr>
                <w:bCs/>
                <w:iCs/>
              </w:rPr>
            </w:pPr>
            <w:bookmarkStart w:id="83" w:name="_Ref83933743"/>
            <w:r>
              <w:rPr>
                <w:b/>
                <w:iCs/>
              </w:rPr>
              <w:t xml:space="preserve">Figure </w:t>
            </w:r>
            <w:r>
              <w:rPr>
                <w:b/>
                <w:iCs/>
              </w:rPr>
              <w:fldChar w:fldCharType="begin"/>
            </w:r>
            <w:r>
              <w:rPr>
                <w:b/>
                <w:iCs/>
              </w:rPr>
              <w:instrText xml:space="preserve"> SEQ Figure \* ARABIC </w:instrText>
            </w:r>
            <w:r>
              <w:rPr>
                <w:b/>
                <w:iCs/>
              </w:rPr>
              <w:fldChar w:fldCharType="separate"/>
            </w:r>
            <w:r>
              <w:rPr>
                <w:b/>
                <w:iCs/>
              </w:rPr>
              <w:t>2</w:t>
            </w:r>
            <w:r>
              <w:rPr>
                <w:b/>
                <w:iCs/>
              </w:rPr>
              <w:fldChar w:fldCharType="end"/>
            </w:r>
            <w:bookmarkEnd w:id="83"/>
            <w:r>
              <w:rPr>
                <w:bCs/>
                <w:iCs/>
              </w:rPr>
              <w:t>: Different staring slot(s) for slot group with SCS = 960 KHz and the slot group is aligned with the slot boundary.</w:t>
            </w:r>
          </w:p>
          <w:p>
            <w:pPr>
              <w:widowControl w:val="0"/>
              <w:spacing w:after="0" w:line="360" w:lineRule="auto"/>
              <w:rPr>
                <w:b/>
                <w:i/>
                <w:lang w:eastAsia="zh-CN"/>
              </w:rPr>
            </w:pPr>
            <w:r>
              <w:rPr>
                <w:b/>
                <w:i/>
              </w:rPr>
              <w:t>Proposal 2</w:t>
            </w:r>
            <w:r>
              <w:rPr>
                <w:b/>
                <w:i/>
                <w:lang w:eastAsia="zh-CN"/>
              </w:rPr>
              <w:t xml:space="preserve">. To support more flexible scheduling for single DCI scheduling multi-PDSCH, the starting slot location in a frame for slot group can be studied for NR from 52.6 to 71 GHz. </w:t>
            </w:r>
          </w:p>
          <w:p>
            <w:pPr>
              <w:widowControl/>
              <w:rPr>
                <w:i/>
                <w:iCs/>
              </w:rPr>
            </w:pPr>
          </w:p>
        </w:tc>
      </w:tr>
    </w:tbl>
    <w:p>
      <w:pPr>
        <w:rPr>
          <w:lang w:eastAsia="zh-CN"/>
        </w:rPr>
      </w:pPr>
    </w:p>
    <w:p>
      <w:pPr>
        <w:pStyle w:val="4"/>
        <w:jc w:val="both"/>
        <w:rPr>
          <w:lang w:val="en-GB" w:eastAsia="zh-CN"/>
        </w:rPr>
      </w:pPr>
      <w:r>
        <w:rPr>
          <w:lang w:val="en-GB" w:eastAsia="zh-CN"/>
        </w:rPr>
        <w:t>R1-2110173 (Qualcomm)</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pPr>
            <w:r>
              <w:t>As we discussed, one of the key motivations of multi-slot PDCCH monitoring is the improved scheduling flexibility by not reducing the maximum number of BD/CCEs per monitoring occasion (MO). Another important motivation, which should not be overlooked, is the enhanced power efficiency. In general, by separating two PDCCH MOs far enough, the micro-sleep opportunity increases. For example, if there is only one PDCCH MO or one span of up to 3 symbols within X = 4 slots for 480 kHz SCS and X = 8 slots for 960 kHz SCS, at least the same micro-sleep opportunity as that of 120 kHz SCS is guaranteed. Since 480 kHz or 960 kHz SCSs can support a larger bandwidth (i.e., larger portion of RF power in overall power consumption) compared to 120 kHz SCS, the same micro-sleep opportunity may be translated to a higher power saving gain. On the contrary, a larger number of MOs dispersed within X slots may adversely impact the power efficiency by requiring UE</w:t>
            </w:r>
          </w:p>
          <w:p>
            <w:pPr>
              <w:pStyle w:val="73"/>
              <w:widowControl w:val="0"/>
              <w:numPr>
                <w:ilvl w:val="0"/>
                <w:numId w:val="66"/>
              </w:numPr>
              <w:snapToGrid/>
              <w:spacing w:line="240" w:lineRule="auto"/>
              <w:jc w:val="both"/>
            </w:pPr>
            <w:r>
              <w:t>to keep the RF frontend blocks active for a longer time,</w:t>
            </w:r>
          </w:p>
          <w:p>
            <w:pPr>
              <w:pStyle w:val="73"/>
              <w:widowControl w:val="0"/>
              <w:numPr>
                <w:ilvl w:val="0"/>
                <w:numId w:val="66"/>
              </w:numPr>
              <w:snapToGrid/>
              <w:spacing w:line="240" w:lineRule="auto"/>
              <w:jc w:val="both"/>
            </w:pPr>
            <w:r>
              <w:t xml:space="preserve">to repeat ramping up and down its frontend blocks more often, and </w:t>
            </w:r>
          </w:p>
          <w:p>
            <w:pPr>
              <w:pStyle w:val="73"/>
              <w:widowControl w:val="0"/>
              <w:numPr>
                <w:ilvl w:val="0"/>
                <w:numId w:val="66"/>
              </w:numPr>
              <w:snapToGrid/>
              <w:spacing w:line="240" w:lineRule="auto"/>
              <w:jc w:val="both"/>
            </w:pPr>
            <w:r>
              <w:t>to perform more FFT operation across MOs.</w:t>
            </w:r>
          </w:p>
          <w:p>
            <w:pPr>
              <w:pStyle w:val="27"/>
              <w:widowControl w:val="0"/>
            </w:pPr>
            <w:bookmarkStart w:id="84" w:name="_Toc83573334"/>
            <w:bookmarkStart w:id="85" w:name="_Toc83587364"/>
            <w:bookmarkStart w:id="86" w:name="_Toc83632390"/>
            <w:bookmarkStart w:id="87" w:name="O_1"/>
            <w:r>
              <w:t xml:space="preserve">Observation </w:t>
            </w:r>
            <w:r>
              <w:fldChar w:fldCharType="begin"/>
            </w:r>
            <w:r>
              <w:instrText xml:space="preserve"> SEQ Observation \* ARABIC </w:instrText>
            </w:r>
            <w:r>
              <w:fldChar w:fldCharType="separate"/>
            </w:r>
            <w:r>
              <w:t>1</w:t>
            </w:r>
            <w:r>
              <w:fldChar w:fldCharType="end"/>
            </w:r>
            <w:r>
              <w:t>: More than one PDCCH monitoring occasion or span dispersed within a X-slot duration may adversely impact the power efficiency.</w:t>
            </w:r>
            <w:bookmarkEnd w:id="84"/>
            <w:bookmarkEnd w:id="85"/>
            <w:bookmarkEnd w:id="86"/>
          </w:p>
          <w:bookmarkEnd w:id="87"/>
          <w:p>
            <w:pPr>
              <w:widowControl w:val="0"/>
            </w:pPr>
            <w:r>
              <w:t xml:space="preserve">Therefore, keeping the value of Y as small as possible, e.g., Y = 1 slot, is desirable from the power saving perspective. In RAN1 #106-e, however, some concerns were raised with supporting a small value of Y. First of all, with a small Y, the flexibility is limited for the network to spread out the USS MOs within the Y slots, e.g., in a staggered manner across UEs. This issue may be addressed by allowing a flexible position of the Y slots within a X slot group for Alt 1 (i.e., fixed pattern of slot groups), and is not present for Alt 2 (i.e., (X, Y) span-based). Furthermore, due to the concern on power consumption and pipelining of processes, supporting additional X values (as discussed in Section </w:t>
            </w:r>
            <w:r>
              <w:fldChar w:fldCharType="begin"/>
            </w:r>
            <w:r>
              <w:instrText xml:space="preserve"> REF _Ref83569260 \r \h </w:instrText>
            </w:r>
            <w:r>
              <w:fldChar w:fldCharType="separate"/>
            </w:r>
            <w:r>
              <w:t>2.1.1</w:t>
            </w:r>
            <w:r>
              <w:fldChar w:fldCharType="end"/>
            </w:r>
            <w:r>
              <w:t xml:space="preserve">) would be a better strategy to improve the scheduling flexibility, rather than increasing Y. Also, it was pointed out that the alignment of USS and CSS MOs within the Y slots would be challenging if Y is small. Although there were different views on whether the CSS MOs should also be placed within the same Y slots as USS MOs, if they should be aligned, the issue cannot be fully resolved unless X = Y and persists in common for Alt 1 and Alt 2. Thus, an enhancement of CSS, in particular Type0/0A CSS is necessary, as will be discussed in Section </w:t>
            </w:r>
            <w:r>
              <w:fldChar w:fldCharType="begin"/>
            </w:r>
            <w:r>
              <w:instrText xml:space="preserve"> REF _Ref83569844 \r \h </w:instrText>
            </w:r>
            <w:r>
              <w:fldChar w:fldCharType="separate"/>
            </w:r>
            <w:r>
              <w:t>2.1.5</w:t>
            </w:r>
            <w:r>
              <w:fldChar w:fldCharType="end"/>
            </w:r>
            <w:r>
              <w:t>.</w:t>
            </w:r>
          </w:p>
          <w:p>
            <w:pPr>
              <w:widowControl w:val="0"/>
            </w:pPr>
            <w:r>
              <w:t>Based on the discussion above, there is little motivation for supporting a value of Y larger than 1 slot.</w:t>
            </w:r>
          </w:p>
          <w:p>
            <w:pPr>
              <w:pStyle w:val="27"/>
              <w:widowControl w:val="0"/>
              <w:spacing w:after="0"/>
              <w:jc w:val="left"/>
            </w:pPr>
            <w:bookmarkStart w:id="88" w:name="_Ref83573348"/>
            <w:bookmarkStart w:id="89" w:name="_Toc83573329"/>
            <w:bookmarkStart w:id="90" w:name="_Toc83632385"/>
            <w:bookmarkStart w:id="91" w:name="_Toc83587359"/>
            <w:bookmarkStart w:id="92" w:name="P_5"/>
            <w:r>
              <w:t xml:space="preserve">Proposal </w:t>
            </w:r>
            <w:r>
              <w:fldChar w:fldCharType="begin"/>
            </w:r>
            <w:r>
              <w:instrText xml:space="preserve"> SEQ Proposal \* ARABIC </w:instrText>
            </w:r>
            <w:r>
              <w:fldChar w:fldCharType="separate"/>
            </w:r>
            <w:r>
              <w:t>5</w:t>
            </w:r>
            <w:r>
              <w:fldChar w:fldCharType="end"/>
            </w:r>
            <w:bookmarkEnd w:id="88"/>
            <w:r>
              <w:t>: The value of Y is no larger than 1 slot:</w:t>
            </w:r>
            <w:bookmarkEnd w:id="89"/>
            <w:bookmarkEnd w:id="90"/>
            <w:bookmarkEnd w:id="91"/>
          </w:p>
          <w:p>
            <w:pPr>
              <w:pStyle w:val="73"/>
              <w:widowControl w:val="0"/>
              <w:numPr>
                <w:ilvl w:val="0"/>
                <w:numId w:val="67"/>
              </w:numPr>
              <w:snapToGrid/>
              <w:spacing w:line="240" w:lineRule="auto"/>
              <w:rPr>
                <w:b/>
                <w:bCs/>
              </w:rPr>
            </w:pPr>
            <w:r>
              <w:rPr>
                <w:b/>
                <w:bCs/>
              </w:rPr>
              <w:t>Alt 1: Y = 1 slot,</w:t>
            </w:r>
          </w:p>
          <w:p>
            <w:pPr>
              <w:pStyle w:val="73"/>
              <w:widowControl w:val="0"/>
              <w:numPr>
                <w:ilvl w:val="0"/>
                <w:numId w:val="67"/>
              </w:numPr>
              <w:snapToGrid/>
              <w:spacing w:after="120" w:line="240" w:lineRule="auto"/>
              <w:rPr>
                <w:b/>
                <w:bCs/>
                <w:lang w:val="fr-FR"/>
              </w:rPr>
            </w:pPr>
            <w:r>
              <w:rPr>
                <w:b/>
                <w:bCs/>
                <w:lang w:val="fr-FR"/>
              </w:rPr>
              <w:t xml:space="preserve">Alt 2: Y </w:t>
            </w:r>
            <w:r>
              <w:rPr>
                <w:rFonts w:hint="eastAsia"/>
                <w:b/>
                <w:bCs/>
                <w:lang w:val="fr-FR"/>
              </w:rPr>
              <w:t>≤</w:t>
            </w:r>
            <w:r>
              <w:rPr>
                <w:b/>
                <w:bCs/>
                <w:lang w:val="fr-FR"/>
              </w:rPr>
              <w:t xml:space="preserve"> 14 symbols (e.g., Y = 3 symbols).</w:t>
            </w:r>
          </w:p>
          <w:bookmarkEnd w:id="92"/>
          <w:p>
            <w:pPr>
              <w:pStyle w:val="27"/>
              <w:widowControl w:val="0"/>
              <w:jc w:val="left"/>
              <w:rPr>
                <w:lang w:val="fr-FR"/>
              </w:rPr>
            </w:pPr>
          </w:p>
          <w:p>
            <w:pPr>
              <w:widowControl w:val="0"/>
            </w:pPr>
            <w:r>
              <w:t>For a UE indicating a capability of multi-slot PDCCH monitoring according to more than one (X, Y) combinations, switching between the two different PDCCH monitoring behaviors associated with different (X, Y) combinations may be required. For instance, for the operation in FR2-2 unlicensed band, more frequent PDCCH occasions (i.e., a smaller value of X) would be necessary so that the gNB can start transmitting PDCCH as early as possible after LBT success. On the other hand, for data transmission and reception during a COT, a larger value of X may be assumed at least for the power efficient operation. In Rel-16 per-span PDCCH monitoring, among the multiple supported (X, Y) combinations, the actually used is determined by a search space configuration. That is, if a configuration of search space sets complies with multiple combinations (X, Y) for a BWP, the one associated with the largest maximum number of BD/CCE is applied for the BWP. Different BWPs can be associated with different (X, Y) combinations. Applying the same principle to Rel-17 multi-slot PDCCH monitoring, by changing the search space set configuration across BWPs, the switching between two different PDCCH monitoring behaviors can be through BWP switching.</w:t>
            </w:r>
          </w:p>
          <w:p>
            <w:pPr>
              <w:widowControl w:val="0"/>
            </w:pPr>
            <w:r>
              <w:t>As an alternative switching mechanism, particularly for the unlicensed band operation, search space set group switching within a BWP can be considered. In this case, each search space set group may be configured to comply with different combinations (X, Y). For example, search space set group 0 (i.e., the default group) can be configured with per-slot PDCCH monitoring (i.e., X = 1) and used when the UE is outside the channel occupancy time. On the other hand, search space set group 1 can be configured with multi-slot PDCCH monitoring and used during a COT. Although search space set group switching has dedicatedly been used for NR-U operation in Rel-16, the discussion on the extension for licensed band operation is in progress in Rel-17 UE power saving WI. Therefore, if supported for the licensed band operation, search space set group switching will provide more dynamic transition between two different PDCCH monitoring behaviors, both for unlicensed and licensed band operation.</w:t>
            </w:r>
          </w:p>
          <w:p>
            <w:pPr>
              <w:pStyle w:val="27"/>
              <w:widowControl w:val="0"/>
              <w:jc w:val="left"/>
            </w:pPr>
            <w:bookmarkStart w:id="93" w:name="_Toc83632386"/>
            <w:bookmarkStart w:id="94" w:name="_Toc83587360"/>
            <w:bookmarkStart w:id="95" w:name="_Toc83573330"/>
            <w:bookmarkStart w:id="96" w:name="P_6"/>
            <w:r>
              <w:t xml:space="preserve">Proposal </w:t>
            </w:r>
            <w:r>
              <w:fldChar w:fldCharType="begin"/>
            </w:r>
            <w:r>
              <w:instrText xml:space="preserve"> SEQ Proposal \* ARABIC </w:instrText>
            </w:r>
            <w:r>
              <w:fldChar w:fldCharType="separate"/>
            </w:r>
            <w:r>
              <w:t>6</w:t>
            </w:r>
            <w:r>
              <w:fldChar w:fldCharType="end"/>
            </w:r>
            <w:r>
              <w:t>: For a UE s supporting more than one (X, Y) combinations, support a dynamic switching mechanism between different PDCCH monitoring behaviors according to different (X, Y) combinations.</w:t>
            </w:r>
            <w:bookmarkEnd w:id="93"/>
            <w:bookmarkEnd w:id="94"/>
            <w:bookmarkEnd w:id="95"/>
          </w:p>
          <w:bookmarkEnd w:id="96"/>
          <w:p>
            <w:pPr>
              <w:pStyle w:val="27"/>
              <w:widowControl w:val="0"/>
              <w:jc w:val="left"/>
            </w:pPr>
            <w:bookmarkStart w:id="97" w:name="_Toc83573335"/>
            <w:bookmarkStart w:id="98" w:name="_Toc83632391"/>
            <w:bookmarkStart w:id="99" w:name="_Toc83587365"/>
            <w:bookmarkStart w:id="100" w:name="O_2"/>
            <w:r>
              <w:t xml:space="preserve">Observation </w:t>
            </w:r>
            <w:r>
              <w:fldChar w:fldCharType="begin"/>
            </w:r>
            <w:r>
              <w:instrText xml:space="preserve"> SEQ Observation \* ARABIC </w:instrText>
            </w:r>
            <w:r>
              <w:fldChar w:fldCharType="separate"/>
            </w:r>
            <w:r>
              <w:t>2</w:t>
            </w:r>
            <w:r>
              <w:fldChar w:fldCharType="end"/>
            </w:r>
            <w:r>
              <w:t>: Bandwidth part switching and search space set group switching mechanisms can be considered as candidate switching mechanism between different PDCCH monitoring behaviors.</w:t>
            </w:r>
            <w:bookmarkEnd w:id="97"/>
            <w:bookmarkEnd w:id="98"/>
            <w:bookmarkEnd w:id="99"/>
          </w:p>
          <w:bookmarkEnd w:id="100"/>
          <w:p>
            <w:pPr>
              <w:widowControl w:val="0"/>
            </w:pPr>
          </w:p>
          <w:p>
            <w:pPr>
              <w:widowControl w:val="0"/>
            </w:pPr>
            <w:r>
              <w:t xml:space="preserve">To address the issues, some enhancement and modification for the CSS design is necessary. The enhancement should be applied to search space set #0 configured by </w:t>
            </w:r>
            <w:r>
              <w:rPr>
                <w:i/>
                <w:iCs/>
              </w:rPr>
              <w:t>PDCCH-ConfigSIB1</w:t>
            </w:r>
            <w:r>
              <w:t xml:space="preserve"> in </w:t>
            </w:r>
            <w:r>
              <w:rPr>
                <w:i/>
                <w:iCs/>
              </w:rPr>
              <w:t>MIB</w:t>
            </w:r>
            <w:r>
              <w:t xml:space="preserve"> or by </w:t>
            </w:r>
            <w:r>
              <w:rPr>
                <w:i/>
                <w:iCs/>
              </w:rPr>
              <w:t>searchSpaceZero</w:t>
            </w:r>
            <w:r>
              <w:t xml:space="preserve"> in </w:t>
            </w:r>
            <w:r>
              <w:rPr>
                <w:i/>
                <w:iCs/>
              </w:rPr>
              <w:t>PDCCH-ConfigCommon</w:t>
            </w:r>
            <w:r>
              <w:t xml:space="preserve">, as well as other common search spaces than SS set #0 configured by </w:t>
            </w:r>
            <w:r>
              <w:rPr>
                <w:i/>
                <w:iCs/>
              </w:rPr>
              <w:t>commonSearchSpaceList</w:t>
            </w:r>
            <w:r>
              <w:t xml:space="preserve"> in </w:t>
            </w:r>
            <w:r>
              <w:rPr>
                <w:i/>
                <w:iCs/>
              </w:rPr>
              <w:t>PDCCH-ConfigCommon</w:t>
            </w:r>
            <w:r>
              <w:t>. Different candidate approaches would be considered to address the issues.</w:t>
            </w:r>
            <w:r>
              <w:rPr>
                <w:b/>
                <w:bCs/>
              </w:rPr>
              <w:t xml:space="preserve"> </w:t>
            </w:r>
          </w:p>
          <w:p>
            <w:pPr>
              <w:widowControl w:val="0"/>
              <w:rPr>
                <w:b/>
                <w:bCs/>
                <w:u w:val="single"/>
              </w:rPr>
            </w:pPr>
            <w:r>
              <w:rPr>
                <w:b/>
                <w:bCs/>
                <w:u w:val="single"/>
              </w:rPr>
              <w:t>Alt 1: New CSS design</w:t>
            </w:r>
          </w:p>
          <w:p>
            <w:pPr>
              <w:widowControl w:val="0"/>
              <w:ind w:left="288"/>
            </w:pPr>
            <w:r>
              <w:t xml:space="preserve">As discussed in Issue 1 above, for SSB-CORESET multiplexing pattern 1, the existing SS set #0 design requires the UE to monitor two consecutive slots, slot </w:t>
            </w:r>
            <m:oMath>
              <m:sSub>
                <m:sSubPr>
                  <m:ctrlPr>
                    <w:rPr>
                      <w:rFonts w:ascii="Cambria Math" w:hAnsi="Cambria Math"/>
                      <w:i/>
                    </w:rPr>
                  </m:ctrlPr>
                </m:sSubPr>
                <m:e>
                  <m:r>
                    <w:rPr>
                      <w:rFonts w:ascii="Cambria Math" w:hAnsi="Cambria Math"/>
                    </w:rPr>
                    <m:t>n</m:t>
                  </m:r>
                  <m:ctrlPr>
                    <w:rPr>
                      <w:rFonts w:ascii="Cambria Math" w:hAnsi="Cambria Math"/>
                      <w:i/>
                    </w:rPr>
                  </m:ctrlPr>
                </m:e>
                <m:sub>
                  <m:r>
                    <w:rPr>
                      <w:rFonts w:ascii="Cambria Math" w:hAnsi="Cambria Math"/>
                    </w:rPr>
                    <m:t>0</m:t>
                  </m:r>
                  <m:ctrlPr>
                    <w:rPr>
                      <w:rFonts w:ascii="Cambria Math" w:hAnsi="Cambria Math"/>
                      <w:i/>
                    </w:rPr>
                  </m:ctrlPr>
                </m:sub>
              </m:sSub>
            </m:oMath>
            <w:r>
              <w:t xml:space="preserve"> and slot </w:t>
            </w:r>
            <m:oMath>
              <m:sSub>
                <m:sSubPr>
                  <m:ctrlPr>
                    <w:rPr>
                      <w:rFonts w:ascii="Cambria Math" w:hAnsi="Cambria Math"/>
                      <w:i/>
                    </w:rPr>
                  </m:ctrlPr>
                </m:sSubPr>
                <m:e>
                  <m:r>
                    <w:rPr>
                      <w:rFonts w:ascii="Cambria Math" w:hAnsi="Cambria Math"/>
                    </w:rPr>
                    <m:t>n</m:t>
                  </m:r>
                  <m:ctrlPr>
                    <w:rPr>
                      <w:rFonts w:ascii="Cambria Math" w:hAnsi="Cambria Math"/>
                      <w:i/>
                    </w:rPr>
                  </m:ctrlPr>
                </m:e>
                <m:sub>
                  <m:r>
                    <w:rPr>
                      <w:rFonts w:ascii="Cambria Math" w:hAnsi="Cambria Math"/>
                    </w:rPr>
                    <m:t>0</m:t>
                  </m:r>
                  <m:ctrlPr>
                    <w:rPr>
                      <w:rFonts w:ascii="Cambria Math" w:hAnsi="Cambria Math"/>
                      <w:i/>
                    </w:rPr>
                  </m:ctrlPr>
                </m:sub>
              </m:sSub>
              <m:r>
                <w:rPr>
                  <w:rFonts w:ascii="Cambria Math" w:hAnsi="Cambria Math"/>
                </w:rPr>
                <m:t>+1</m:t>
              </m:r>
            </m:oMath>
            <w:r>
              <w:t xml:space="preserve">, which is not compliant with multi-slot PDCCH monitoring. Thus, to address the issue, a new design of SS set #0 may require the UE to monitor two non-consecutive slots, i.e., slot </w:t>
            </w:r>
            <m:oMath>
              <m:sSub>
                <m:sSubPr>
                  <m:ctrlPr>
                    <w:rPr>
                      <w:rFonts w:ascii="Cambria Math" w:hAnsi="Cambria Math"/>
                      <w:i/>
                    </w:rPr>
                  </m:ctrlPr>
                </m:sSubPr>
                <m:e>
                  <m:r>
                    <w:rPr>
                      <w:rFonts w:ascii="Cambria Math" w:hAnsi="Cambria Math"/>
                    </w:rPr>
                    <m:t>n</m:t>
                  </m:r>
                  <m:ctrlPr>
                    <w:rPr>
                      <w:rFonts w:ascii="Cambria Math" w:hAnsi="Cambria Math"/>
                      <w:i/>
                    </w:rPr>
                  </m:ctrlPr>
                </m:e>
                <m:sub>
                  <m:r>
                    <w:rPr>
                      <w:rFonts w:ascii="Cambria Math" w:hAnsi="Cambria Math"/>
                    </w:rPr>
                    <m:t>0</m:t>
                  </m:r>
                  <m:ctrlPr>
                    <w:rPr>
                      <w:rFonts w:ascii="Cambria Math" w:hAnsi="Cambria Math"/>
                      <w:i/>
                    </w:rPr>
                  </m:ctrlPr>
                </m:sub>
              </m:sSub>
            </m:oMath>
            <w:r>
              <w:t xml:space="preserve"> and slot </w:t>
            </w:r>
            <m:oMath>
              <m:sSub>
                <m:sSubPr>
                  <m:ctrlPr>
                    <w:rPr>
                      <w:rFonts w:ascii="Cambria Math" w:hAnsi="Cambria Math"/>
                      <w:i/>
                    </w:rPr>
                  </m:ctrlPr>
                </m:sSubPr>
                <m:e>
                  <m:r>
                    <w:rPr>
                      <w:rFonts w:ascii="Cambria Math" w:hAnsi="Cambria Math"/>
                    </w:rPr>
                    <m:t>n</m:t>
                  </m:r>
                  <m:ctrlPr>
                    <w:rPr>
                      <w:rFonts w:ascii="Cambria Math" w:hAnsi="Cambria Math"/>
                      <w:i/>
                    </w:rPr>
                  </m:ctrlPr>
                </m:e>
                <m:sub>
                  <m:r>
                    <w:rPr>
                      <w:rFonts w:ascii="Cambria Math" w:hAnsi="Cambria Math"/>
                    </w:rPr>
                    <m:t>0</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X</m:t>
                  </m:r>
                  <m:ctrlPr>
                    <w:rPr>
                      <w:rFonts w:ascii="Cambria Math" w:hAnsi="Cambria Math"/>
                      <w:i/>
                    </w:rPr>
                  </m:ctrlPr>
                </m:e>
                <m:sub>
                  <m:r>
                    <w:rPr>
                      <w:rFonts w:ascii="Cambria Math" w:hAnsi="Cambria Math"/>
                    </w:rPr>
                    <m:t>0</m:t>
                  </m:r>
                  <m:ctrlPr>
                    <w:rPr>
                      <w:rFonts w:ascii="Cambria Math" w:hAnsi="Cambria Math"/>
                      <w:i/>
                    </w:rPr>
                  </m:ctrlPr>
                </m:sub>
              </m:sSub>
            </m:oMath>
            <w:r>
              <w:t xml:space="preserve">, where </w:t>
            </w:r>
            <m:oMath>
              <m:sSub>
                <m:sSubPr>
                  <m:ctrlPr>
                    <w:rPr>
                      <w:rFonts w:ascii="Cambria Math" w:hAnsi="Cambria Math"/>
                      <w:i/>
                    </w:rPr>
                  </m:ctrlPr>
                </m:sSubPr>
                <m:e>
                  <m:r>
                    <w:rPr>
                      <w:rFonts w:ascii="Cambria Math" w:hAnsi="Cambria Math"/>
                    </w:rPr>
                    <m:t>X</m:t>
                  </m:r>
                  <m:ctrlPr>
                    <w:rPr>
                      <w:rFonts w:ascii="Cambria Math" w:hAnsi="Cambria Math"/>
                      <w:i/>
                    </w:rPr>
                  </m:ctrlPr>
                </m:e>
                <m:sub>
                  <m:r>
                    <w:rPr>
                      <w:rFonts w:ascii="Cambria Math" w:hAnsi="Cambria Math"/>
                    </w:rPr>
                    <m:t>0</m:t>
                  </m:r>
                  <m:ctrlPr>
                    <w:rPr>
                      <w:rFonts w:ascii="Cambria Math" w:hAnsi="Cambria Math"/>
                      <w:i/>
                    </w:rPr>
                  </m:ctrlPr>
                </m:sub>
              </m:sSub>
            </m:oMath>
            <w:r>
              <w:t xml:space="preserve"> satisfies the default UE capability, e.g., </w:t>
            </w:r>
            <m:oMath>
              <m:sSub>
                <m:sSubPr>
                  <m:ctrlPr>
                    <w:rPr>
                      <w:rFonts w:ascii="Cambria Math" w:hAnsi="Cambria Math"/>
                      <w:i/>
                    </w:rPr>
                  </m:ctrlPr>
                </m:sSubPr>
                <m:e>
                  <m:r>
                    <w:rPr>
                      <w:rFonts w:ascii="Cambria Math" w:hAnsi="Cambria Math"/>
                    </w:rPr>
                    <m:t>X</m:t>
                  </m:r>
                  <m:ctrlPr>
                    <w:rPr>
                      <w:rFonts w:ascii="Cambria Math" w:hAnsi="Cambria Math"/>
                      <w:i/>
                    </w:rPr>
                  </m:ctrlPr>
                </m:e>
                <m:sub>
                  <m:r>
                    <w:rPr>
                      <w:rFonts w:ascii="Cambria Math" w:hAnsi="Cambria Math"/>
                    </w:rPr>
                    <m:t>0</m:t>
                  </m:r>
                  <m:ctrlPr>
                    <w:rPr>
                      <w:rFonts w:ascii="Cambria Math" w:hAnsi="Cambria Math"/>
                      <w:i/>
                    </w:rPr>
                  </m:ctrlPr>
                </m:sub>
              </m:sSub>
              <m:r>
                <w:rPr>
                  <w:rFonts w:ascii="Cambria Math" w:hAnsi="Cambria Math"/>
                </w:rPr>
                <m:t>=4</m:t>
              </m:r>
            </m:oMath>
            <w:r>
              <w:t xml:space="preserve"> for 480 kHz and </w:t>
            </w:r>
            <m:oMath>
              <m:sSub>
                <m:sSubPr>
                  <m:ctrlPr>
                    <w:rPr>
                      <w:rFonts w:ascii="Cambria Math" w:hAnsi="Cambria Math"/>
                      <w:i/>
                    </w:rPr>
                  </m:ctrlPr>
                </m:sSubPr>
                <m:e>
                  <m:r>
                    <w:rPr>
                      <w:rFonts w:ascii="Cambria Math" w:hAnsi="Cambria Math"/>
                    </w:rPr>
                    <m:t>X</m:t>
                  </m:r>
                  <m:ctrlPr>
                    <w:rPr>
                      <w:rFonts w:ascii="Cambria Math" w:hAnsi="Cambria Math"/>
                      <w:i/>
                    </w:rPr>
                  </m:ctrlPr>
                </m:e>
                <m:sub>
                  <m:r>
                    <w:rPr>
                      <w:rFonts w:ascii="Cambria Math" w:hAnsi="Cambria Math"/>
                    </w:rPr>
                    <m:t>0</m:t>
                  </m:r>
                  <m:ctrlPr>
                    <w:rPr>
                      <w:rFonts w:ascii="Cambria Math" w:hAnsi="Cambria Math"/>
                      <w:i/>
                    </w:rPr>
                  </m:ctrlPr>
                </m:sub>
              </m:sSub>
              <m:r>
                <w:rPr>
                  <w:rFonts w:ascii="Cambria Math" w:hAnsi="Cambria Math"/>
                </w:rPr>
                <m:t>=8</m:t>
              </m:r>
            </m:oMath>
            <w:r>
              <w:t xml:space="preserve"> for 960 kHz, as discussed in </w:t>
            </w:r>
            <w:r>
              <w:fldChar w:fldCharType="begin"/>
            </w:r>
            <w:r>
              <w:instrText xml:space="preserve"> REF _Ref83586061 \h </w:instrText>
            </w:r>
            <w:r>
              <w:fldChar w:fldCharType="separate"/>
            </w:r>
            <w:r>
              <w:t>Proposal 3</w:t>
            </w:r>
            <w:r>
              <w:fldChar w:fldCharType="end"/>
            </w:r>
            <w:r>
              <w:fldChar w:fldCharType="begin"/>
            </w:r>
            <w:r>
              <w:instrText xml:space="preserve"> REF _Ref78543851 \h </w:instrText>
            </w:r>
            <w:r>
              <w:fldChar w:fldCharType="separate"/>
            </w:r>
            <w:r>
              <w:rPr>
                <w:b/>
                <w:bCs/>
              </w:rPr>
              <w:t>Error! Reference source not found.</w:t>
            </w:r>
            <w:r>
              <w:fldChar w:fldCharType="end"/>
            </w:r>
            <w:r>
              <w:t>. Similar design enhancement can further be discussed for other SSB-CORESET multiplexing pattens, i.e., patterns 2 and 3.</w:t>
            </w:r>
          </w:p>
          <w:p>
            <w:pPr>
              <w:widowControl w:val="0"/>
              <w:ind w:left="288"/>
            </w:pPr>
            <w:r>
              <w:t xml:space="preserve">To address Issue 2, the PDCCH transmission in a MO of SS set #0 would be repeated over multiple consecutive slots. For example, in addition to the enhancement discussed above, the same or equivalent PDCCH (and the associated PDSCH) may be repeated over slots </w:t>
            </w:r>
            <m:oMath>
              <m:sSub>
                <m:sSubPr>
                  <m:ctrlPr>
                    <w:rPr>
                      <w:rFonts w:ascii="Cambria Math" w:hAnsi="Cambria Math"/>
                      <w:i/>
                    </w:rPr>
                  </m:ctrlPr>
                </m:sSubPr>
                <m:e>
                  <m:r>
                    <w:rPr>
                      <w:rFonts w:ascii="Cambria Math" w:hAnsi="Cambria Math"/>
                    </w:rPr>
                    <m:t>n</m:t>
                  </m:r>
                  <m:ctrlPr>
                    <w:rPr>
                      <w:rFonts w:ascii="Cambria Math" w:hAnsi="Cambria Math"/>
                      <w:i/>
                    </w:rPr>
                  </m:ctrlPr>
                </m:e>
                <m:sub>
                  <m:r>
                    <w:rPr>
                      <w:rFonts w:ascii="Cambria Math" w:hAnsi="Cambria Math"/>
                    </w:rPr>
                    <m:t>0</m:t>
                  </m:r>
                  <m:ctrlPr>
                    <w:rPr>
                      <w:rFonts w:ascii="Cambria Math" w:hAnsi="Cambria Math"/>
                      <w:i/>
                    </w:rPr>
                  </m:ctrlPr>
                </m:sub>
              </m:sSub>
            </m:oMath>
            <w:r>
              <w:t xml:space="preserve">, </w:t>
            </w:r>
            <m:oMath>
              <m:sSub>
                <m:sSubPr>
                  <m:ctrlPr>
                    <w:rPr>
                      <w:rFonts w:ascii="Cambria Math" w:hAnsi="Cambria Math"/>
                      <w:i/>
                    </w:rPr>
                  </m:ctrlPr>
                </m:sSubPr>
                <m:e>
                  <m:r>
                    <w:rPr>
                      <w:rFonts w:ascii="Cambria Math" w:hAnsi="Cambria Math"/>
                    </w:rPr>
                    <m:t>n</m:t>
                  </m:r>
                  <m:ctrlPr>
                    <w:rPr>
                      <w:rFonts w:ascii="Cambria Math" w:hAnsi="Cambria Math"/>
                      <w:i/>
                    </w:rPr>
                  </m:ctrlPr>
                </m:e>
                <m:sub>
                  <m:r>
                    <w:rPr>
                      <w:rFonts w:ascii="Cambria Math" w:hAnsi="Cambria Math"/>
                    </w:rPr>
                    <m:t>0</m:t>
                  </m:r>
                  <m:ctrlPr>
                    <w:rPr>
                      <w:rFonts w:ascii="Cambria Math" w:hAnsi="Cambria Math"/>
                      <w:i/>
                    </w:rPr>
                  </m:ctrlPr>
                </m:sub>
              </m:sSub>
              <m:r>
                <w:rPr>
                  <w:rFonts w:ascii="Cambria Math" w:hAnsi="Cambria Math"/>
                </w:rPr>
                <m:t>+1</m:t>
              </m:r>
            </m:oMath>
            <w:r>
              <w:t xml:space="preserve">, …, and </w:t>
            </w:r>
            <m:oMath>
              <m:sSub>
                <m:sSubPr>
                  <m:ctrlPr>
                    <w:rPr>
                      <w:rFonts w:ascii="Cambria Math" w:hAnsi="Cambria Math"/>
                      <w:i/>
                    </w:rPr>
                  </m:ctrlPr>
                </m:sSubPr>
                <m:e>
                  <m:r>
                    <w:rPr>
                      <w:rFonts w:ascii="Cambria Math" w:hAnsi="Cambria Math"/>
                    </w:rPr>
                    <m:t>n</m:t>
                  </m:r>
                  <m:ctrlPr>
                    <w:rPr>
                      <w:rFonts w:ascii="Cambria Math" w:hAnsi="Cambria Math"/>
                      <w:i/>
                    </w:rPr>
                  </m:ctrlPr>
                </m:e>
                <m:sub>
                  <m:r>
                    <w:rPr>
                      <w:rFonts w:ascii="Cambria Math" w:hAnsi="Cambria Math"/>
                    </w:rPr>
                    <m:t>0</m:t>
                  </m:r>
                  <m:ctrlPr>
                    <w:rPr>
                      <w:rFonts w:ascii="Cambria Math" w:hAnsi="Cambria Math"/>
                      <w:i/>
                    </w:rPr>
                  </m:ctrlPr>
                </m:sub>
              </m:sSub>
              <m:r>
                <w:rPr>
                  <w:rFonts w:ascii="Cambria Math" w:hAnsi="Cambria Math"/>
                </w:rPr>
                <m:t>+</m:t>
              </m:r>
              <m:sSub>
                <m:sSubPr>
                  <m:ctrlPr>
                    <w:rPr>
                      <w:rFonts w:ascii="Cambria Math" w:hAnsi="Cambria Math"/>
                      <w:i/>
                    </w:rPr>
                  </m:ctrlPr>
                </m:sSubPr>
                <m:e>
                  <m:r>
                    <w:rPr>
                      <w:rFonts w:ascii="Cambria Math" w:hAnsi="Cambria Math"/>
                    </w:rPr>
                    <m:t>X</m:t>
                  </m:r>
                  <m:ctrlPr>
                    <w:rPr>
                      <w:rFonts w:ascii="Cambria Math" w:hAnsi="Cambria Math"/>
                      <w:i/>
                    </w:rPr>
                  </m:ctrlPr>
                </m:e>
                <m:sub>
                  <m:r>
                    <w:rPr>
                      <w:rFonts w:ascii="Cambria Math" w:hAnsi="Cambria Math"/>
                    </w:rPr>
                    <m:t>0</m:t>
                  </m:r>
                  <m:ctrlPr>
                    <w:rPr>
                      <w:rFonts w:ascii="Cambria Math" w:hAnsi="Cambria Math"/>
                      <w:i/>
                    </w:rPr>
                  </m:ctrlPr>
                </m:sub>
              </m:sSub>
              <m:r>
                <w:rPr>
                  <w:rFonts w:ascii="Cambria Math" w:hAnsi="Cambria Math"/>
                </w:rPr>
                <m:t>-1</m:t>
              </m:r>
            </m:oMath>
            <w:r>
              <w:t>. It should be noted that the repetition assumes the same QCL-TypeD property, and different from the existing beam sweeping for SS set #0 associated with different SSB beams. Thus, the network can configure different UE’s USS so that at least one occasion of the CSS repetition overlaps with the USS MO, and the UE only monitors a CSS MO that overlap with its USS MO. Furthermore, once the baseline design of the CSS repetition is introduced, it may be enhanced to support extended coverage for FR2-2 in later NR releases.</w:t>
            </w:r>
          </w:p>
          <w:p>
            <w:pPr>
              <w:widowControl w:val="0"/>
              <w:ind w:left="288"/>
            </w:pPr>
            <w:r>
              <w:t>For other CSSs using a separate search space set configuration (i.e.,</w:t>
            </w:r>
            <w:r>
              <w:rPr>
                <w:i/>
                <w:iCs/>
              </w:rPr>
              <w:t xml:space="preserve"> commonSearchSpaceList</w:t>
            </w:r>
            <w:r>
              <w:t xml:space="preserve"> in </w:t>
            </w:r>
            <w:r>
              <w:rPr>
                <w:i/>
                <w:iCs/>
              </w:rPr>
              <w:t>PDCCH-ConfigCommon</w:t>
            </w:r>
            <w:r>
              <w:t xml:space="preserve">) other than search space set #0, the same principle can be applied. For example, Type1/2 PDCCH CSSs may use a search space set configuration with one-slot periodicity, to provide more opportunities for UE to receive a random access response or a paging message during a RAR window or a paging occasion. Then, among the configured CSS MOs, the UE may monitor only a subset on non-consecutive slots. For idle/inactive mode UEs, the actually monitored CSS MOs may be determined by some UE specific parameters, e.g., PRACH preamble index, PO index, etc., for Type1 CSS, and UE index, PF/PO index, etc., for Type2 CSS. For connected mode UEs, the actually monitored CSS MOs may be determined by the alignment with USS MO, as shown in </w:t>
            </w:r>
            <w:r>
              <w:fldChar w:fldCharType="begin"/>
            </w:r>
            <w:r>
              <w:instrText xml:space="preserve"> REF _Ref83735207 \h </w:instrText>
            </w:r>
            <w:r>
              <w:fldChar w:fldCharType="separate"/>
            </w:r>
            <w:r>
              <w:t>Figure 3</w:t>
            </w:r>
            <w:r>
              <w:fldChar w:fldCharType="end"/>
            </w:r>
            <w:r>
              <w:t>.</w:t>
            </w:r>
          </w:p>
          <w:p>
            <w:pPr>
              <w:widowControl w:val="0"/>
            </w:pPr>
          </w:p>
          <w:p>
            <w:pPr>
              <w:widowControl w:val="0"/>
            </w:pPr>
            <w:r>
              <w:object>
                <v:shape id="_x0000_i1037" o:spt="75" type="#_x0000_t75" style="height:214.65pt;width:498.2pt;" o:ole="t" filled="f" o:preferrelative="t" stroked="f" coordsize="21600,21600">
                  <v:path/>
                  <v:fill on="f" focussize="0,0"/>
                  <v:stroke on="f" joinstyle="miter"/>
                  <v:imagedata r:id="rId43" o:title=""/>
                  <o:lock v:ext="edit" aspectratio="t"/>
                  <w10:wrap type="none"/>
                  <w10:anchorlock/>
                </v:shape>
                <o:OLEObject Type="Embed" ProgID="Visio.Drawing.15" ShapeID="_x0000_i1037" DrawAspect="Content" ObjectID="_1468075737" r:id="rId42">
                  <o:LockedField>false</o:LockedField>
                </o:OLEObject>
              </w:object>
            </w:r>
          </w:p>
          <w:p>
            <w:pPr>
              <w:pStyle w:val="27"/>
              <w:widowControl w:val="0"/>
            </w:pPr>
            <w:bookmarkStart w:id="101" w:name="_Ref83735207"/>
            <w:r>
              <w:t xml:space="preserve">Figure </w:t>
            </w:r>
            <w:r>
              <w:fldChar w:fldCharType="begin"/>
            </w:r>
            <w:r>
              <w:instrText xml:space="preserve"> SEQ Figure \* ARABIC </w:instrText>
            </w:r>
            <w:r>
              <w:fldChar w:fldCharType="separate"/>
            </w:r>
            <w:r>
              <w:t>3</w:t>
            </w:r>
            <w:r>
              <w:fldChar w:fldCharType="end"/>
            </w:r>
            <w:bookmarkEnd w:id="101"/>
            <w:r>
              <w:t>: USS-CSS alignment for connected mode UEs.</w:t>
            </w:r>
          </w:p>
          <w:p>
            <w:pPr>
              <w:widowControl w:val="0"/>
              <w:ind w:left="288"/>
            </w:pPr>
          </w:p>
          <w:p>
            <w:pPr>
              <w:widowControl w:val="0"/>
              <w:rPr>
                <w:b/>
                <w:bCs/>
                <w:u w:val="single"/>
              </w:rPr>
            </w:pPr>
            <w:r>
              <w:rPr>
                <w:b/>
                <w:bCs/>
                <w:u w:val="single"/>
              </w:rPr>
              <w:t>Alt 2: New CSS prioritization rule</w:t>
            </w:r>
          </w:p>
          <w:p>
            <w:pPr>
              <w:widowControl w:val="0"/>
              <w:ind w:left="288"/>
            </w:pPr>
            <w:r>
              <w:t xml:space="preserve">In Rel-15, when the MOs of different CORESETs overlap in time, a prioritization rule is applied. For example, when a CSS MO overlaps with a USS MO with a different QCL-TypeD property, monitoring of the CSS MO is prioritized. To address Issue 2, the CSS prioritization can be extended so that the UE prioritize CSS over USS, not only when they overlap, but also when they are non-overlapping but closely located. </w:t>
            </w:r>
          </w:p>
          <w:p>
            <w:pPr>
              <w:widowControl w:val="0"/>
              <w:ind w:left="288"/>
            </w:pPr>
            <w:r>
              <w:t xml:space="preserve">For instance, the prioritization rule may be augmented with a notion of CSS zone. As illustrated in </w:t>
            </w:r>
            <w:r>
              <w:fldChar w:fldCharType="begin"/>
            </w:r>
            <w:r>
              <w:instrText xml:space="preserve"> REF _Ref68252811 \h </w:instrText>
            </w:r>
            <w:r>
              <w:fldChar w:fldCharType="separate"/>
            </w:r>
            <w:r>
              <w:t>Figure 4</w:t>
            </w:r>
            <w:r>
              <w:fldChar w:fldCharType="end"/>
            </w:r>
            <w:r>
              <w:t>, windows of X</w:t>
            </w:r>
            <w:r>
              <w:rPr>
                <w:vertAlign w:val="subscript"/>
              </w:rPr>
              <w:t>1</w:t>
            </w:r>
            <w:r>
              <w:t xml:space="preserve"> and X</w:t>
            </w:r>
            <w:r>
              <w:rPr>
                <w:vertAlign w:val="subscript"/>
              </w:rPr>
              <w:t>2</w:t>
            </w:r>
            <w:r>
              <w:t xml:space="preserve"> slots (or symbols) may be placed before and after the CSS MO, respectively, to define a CSS zone, where the values of X</w:t>
            </w:r>
            <w:r>
              <w:rPr>
                <w:vertAlign w:val="subscript"/>
              </w:rPr>
              <w:t>1</w:t>
            </w:r>
            <w:r>
              <w:t xml:space="preserve"> and X</w:t>
            </w:r>
            <w:r>
              <w:rPr>
                <w:vertAlign w:val="subscript"/>
              </w:rPr>
              <w:t>2</w:t>
            </w:r>
            <w:r>
              <w:t xml:space="preserve"> may be up to UE capability. If a USS MO falls within the CSS zone, the UE may be expected to prioritize CSS MO and drop the USS MO. From UE’s perspective, among the multiple CSS MOs with different QCL-TypeD properties (i.e., up to </w:t>
            </w:r>
            <m:oMath>
              <m:sSub>
                <m:sSubPr>
                  <m:ctrlPr>
                    <w:rPr>
                      <w:rFonts w:ascii="Cambria Math" w:hAnsi="Cambria Math"/>
                      <w:i/>
                    </w:rPr>
                  </m:ctrlPr>
                </m:sSubPr>
                <m:e>
                  <m:r>
                    <w:rPr>
                      <w:rFonts w:ascii="Cambria Math" w:hAnsi="Cambria Math"/>
                    </w:rPr>
                    <m:t>L</m:t>
                  </m:r>
                  <m:ctrlPr>
                    <w:rPr>
                      <w:rFonts w:ascii="Cambria Math" w:hAnsi="Cambria Math"/>
                      <w:i/>
                    </w:rPr>
                  </m:ctrlPr>
                </m:e>
                <m:sub>
                  <m:r>
                    <w:rPr>
                      <w:rFonts w:ascii="Cambria Math" w:hAnsi="Cambria Math"/>
                    </w:rPr>
                    <m:t>max</m:t>
                  </m:r>
                  <m:ctrlPr>
                    <w:rPr>
                      <w:rFonts w:ascii="Cambria Math" w:hAnsi="Cambria Math"/>
                      <w:i/>
                    </w:rPr>
                  </m:ctrlPr>
                </m:sub>
              </m:sSub>
              <m:r>
                <w:rPr>
                  <w:rFonts w:ascii="Cambria Math" w:hAnsi="Cambria Math"/>
                </w:rPr>
                <m:t>=64</m:t>
              </m:r>
            </m:oMath>
            <w:r>
              <w:t xml:space="preserve"> different beams), only one or a few of them are actually monitored and associated with CSS zones. The UE and network may agree on the CSS MOs that are actually monitored based on another rule or signaling, which may include:</w:t>
            </w:r>
          </w:p>
          <w:p>
            <w:pPr>
              <w:pStyle w:val="73"/>
              <w:widowControl w:val="0"/>
              <w:numPr>
                <w:ilvl w:val="0"/>
                <w:numId w:val="68"/>
              </w:numPr>
              <w:snapToGrid/>
              <w:spacing w:line="240" w:lineRule="auto"/>
              <w:ind w:left="1008"/>
              <w:jc w:val="both"/>
            </w:pPr>
            <w:r>
              <w:t>A MAC CE activation command indicating a TCI state for the CORESET associated with the CSS (i.e., CORESET #0),</w:t>
            </w:r>
          </w:p>
          <w:p>
            <w:pPr>
              <w:pStyle w:val="73"/>
              <w:widowControl w:val="0"/>
              <w:numPr>
                <w:ilvl w:val="0"/>
                <w:numId w:val="68"/>
              </w:numPr>
              <w:snapToGrid/>
              <w:spacing w:line="240" w:lineRule="auto"/>
              <w:ind w:left="1008"/>
              <w:jc w:val="both"/>
            </w:pPr>
            <w:r>
              <w:t>An SSB identified by a recent random access procedure by the UE, which is not initiated by a PDCCH order,</w:t>
            </w:r>
          </w:p>
          <w:p>
            <w:pPr>
              <w:pStyle w:val="73"/>
              <w:widowControl w:val="0"/>
              <w:numPr>
                <w:ilvl w:val="0"/>
                <w:numId w:val="68"/>
              </w:numPr>
              <w:snapToGrid/>
              <w:spacing w:line="240" w:lineRule="auto"/>
              <w:ind w:left="1008"/>
              <w:jc w:val="both"/>
            </w:pPr>
            <w:r>
              <w:t>Active TCI states of the active BWP, which includes CSI-RSs quasi-co-located with SSBs, or</w:t>
            </w:r>
          </w:p>
          <w:p>
            <w:pPr>
              <w:pStyle w:val="73"/>
              <w:widowControl w:val="0"/>
              <w:numPr>
                <w:ilvl w:val="0"/>
                <w:numId w:val="68"/>
              </w:numPr>
              <w:snapToGrid/>
              <w:spacing w:after="120" w:line="240" w:lineRule="auto"/>
              <w:ind w:left="1008"/>
              <w:jc w:val="both"/>
            </w:pPr>
            <w:r>
              <w:t>Dedicated configuration of Type1/2 PDCCH CSS.</w:t>
            </w:r>
          </w:p>
          <w:p>
            <w:pPr>
              <w:widowControl w:val="0"/>
              <w:ind w:left="288"/>
            </w:pPr>
            <w:r>
              <w:t>During the connected mode operation, monitoring of CSS is relatively infrequent and thus the actual blockage event of PDCCH transmission in USS would be rare. Also, even though the USS is cancelled by the aforementioned CSS prioritization, the UE can still receive a scheduling grant with C-RNTI within the CSS MO via DCI format 0_0/1_0. Therefore, the impact of the extended CSS prioritization rule can be kept marginal.</w:t>
            </w:r>
          </w:p>
          <w:p>
            <w:pPr>
              <w:widowControl w:val="0"/>
            </w:pPr>
            <w:r>
              <w:t>Since there could be many different alternatives than the two discussed above, it would be desirable to extend the discussion in RAN1 and specify any enhancement of the common search space design.</w:t>
            </w:r>
          </w:p>
          <w:p>
            <w:pPr>
              <w:pStyle w:val="27"/>
              <w:widowControl w:val="0"/>
              <w:spacing w:after="0"/>
            </w:pPr>
            <w:bookmarkStart w:id="102" w:name="_Toc68261800"/>
            <w:bookmarkStart w:id="103" w:name="_Toc68262097"/>
            <w:bookmarkStart w:id="104" w:name="_Toc68262117"/>
            <w:bookmarkStart w:id="105" w:name="_Toc68262157"/>
            <w:bookmarkStart w:id="106" w:name="_Toc68262203"/>
            <w:bookmarkStart w:id="107" w:name="_Toc68262216"/>
            <w:bookmarkStart w:id="108" w:name="_Toc68262408"/>
            <w:bookmarkStart w:id="109" w:name="_Toc68262270"/>
            <w:bookmarkStart w:id="110" w:name="_Toc68528598"/>
            <w:bookmarkStart w:id="111" w:name="_Toc68530789"/>
            <w:bookmarkStart w:id="112" w:name="_Toc68262237"/>
            <w:bookmarkStart w:id="113" w:name="_Toc68552635"/>
            <w:bookmarkStart w:id="114" w:name="_Toc68530838"/>
            <w:bookmarkStart w:id="115" w:name="_Toc68608207"/>
            <w:bookmarkStart w:id="116" w:name="_Toc78736003"/>
            <w:bookmarkStart w:id="117" w:name="_Toc79099659"/>
            <w:bookmarkStart w:id="118" w:name="_Toc68608257"/>
            <w:bookmarkStart w:id="119" w:name="_Toc68608269"/>
            <w:bookmarkStart w:id="120" w:name="_Toc83632388"/>
            <w:bookmarkStart w:id="121" w:name="_Toc79147720"/>
            <w:bookmarkStart w:id="122" w:name="_Toc83573332"/>
            <w:bookmarkStart w:id="123" w:name="_Toc83587362"/>
            <w:bookmarkStart w:id="124" w:name="P_8"/>
            <w:r>
              <w:t xml:space="preserve">Proposal </w:t>
            </w:r>
            <w:r>
              <w:fldChar w:fldCharType="begin"/>
            </w:r>
            <w:r>
              <w:instrText xml:space="preserve"> SEQ Proposal \* ARABIC </w:instrText>
            </w:r>
            <w:r>
              <w:fldChar w:fldCharType="separate"/>
            </w:r>
            <w:r>
              <w:t>8</w:t>
            </w:r>
            <w:r>
              <w:fldChar w:fldCharType="end"/>
            </w:r>
            <w:r>
              <w:t>: If 480 kHz or 960 kHz SCS is used for ANR detection or initial access in the SPCell, common search space set design should be enhanced to address multi-slot-based CSS monitoring and multiplexing with USS:</w:t>
            </w:r>
          </w:p>
          <w:p>
            <w:pPr>
              <w:pStyle w:val="27"/>
              <w:widowControl w:val="0"/>
              <w:numPr>
                <w:ilvl w:val="0"/>
                <w:numId w:val="69"/>
              </w:numPr>
              <w:overflowPunct w:val="0"/>
              <w:snapToGrid/>
              <w:spacing w:after="0" w:line="240" w:lineRule="auto"/>
              <w:jc w:val="both"/>
              <w:textAlignment w:val="baseline"/>
            </w:pPr>
            <w:r>
              <w:t xml:space="preserve">The enhancement should be applied search space set #0 (configured by </w:t>
            </w:r>
            <w:r>
              <w:rPr>
                <w:i/>
                <w:iCs/>
              </w:rPr>
              <w:t>PDCCH-ConfigSIB1</w:t>
            </w:r>
            <w:r>
              <w:t xml:space="preserve"> in </w:t>
            </w:r>
            <w:r>
              <w:rPr>
                <w:i/>
                <w:iCs/>
              </w:rPr>
              <w:t>MIB</w:t>
            </w:r>
            <w:r>
              <w:t xml:space="preserve"> or by </w:t>
            </w:r>
            <w:r>
              <w:rPr>
                <w:i/>
                <w:iCs/>
              </w:rPr>
              <w:t>searchSpaceZero</w:t>
            </w:r>
            <w:r>
              <w:t xml:space="preserve"> in </w:t>
            </w:r>
            <w:r>
              <w:rPr>
                <w:i/>
                <w:iCs/>
              </w:rPr>
              <w:t>PDCCH-ConfigCommon</w:t>
            </w:r>
            <w:r>
              <w:t xml:space="preserve">), as well as other common search spaces than SS set #0 (configured by </w:t>
            </w:r>
            <w:r>
              <w:rPr>
                <w:i/>
                <w:iCs/>
              </w:rPr>
              <w:t>commonSearchSpaceList</w:t>
            </w:r>
            <w:r>
              <w:t xml:space="preserve"> in </w:t>
            </w:r>
            <w:r>
              <w:rPr>
                <w:i/>
                <w:iCs/>
              </w:rPr>
              <w:t>PDCCH-ConfigCommon</w:t>
            </w:r>
            <w:r>
              <w:t>).</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bookmarkEnd w:id="124"/>
          <w:p>
            <w:pPr>
              <w:widowControl w:val="0"/>
            </w:pPr>
          </w:p>
          <w:p>
            <w:pPr>
              <w:widowControl w:val="0"/>
            </w:pPr>
          </w:p>
          <w:p>
            <w:pPr>
              <w:widowControl w:val="0"/>
              <w:jc w:val="center"/>
            </w:pPr>
            <w:r>
              <w:object>
                <v:shape id="_x0000_i1038" o:spt="75" type="#_x0000_t75" style="height:63.15pt;width:486.95pt;" o:ole="t" filled="f" o:preferrelative="t" stroked="f" coordsize="21600,21600">
                  <v:path/>
                  <v:fill on="f" focussize="0,0"/>
                  <v:stroke on="f" joinstyle="miter"/>
                  <v:imagedata r:id="rId45" o:title=""/>
                  <o:lock v:ext="edit" aspectratio="t"/>
                  <w10:wrap type="none"/>
                  <w10:anchorlock/>
                </v:shape>
                <o:OLEObject Type="Embed" ProgID="Visio.Drawing.15" ShapeID="_x0000_i1038" DrawAspect="Content" ObjectID="_1468075738" r:id="rId44">
                  <o:LockedField>false</o:LockedField>
                </o:OLEObject>
              </w:object>
            </w:r>
          </w:p>
          <w:p>
            <w:pPr>
              <w:pStyle w:val="27"/>
              <w:widowControl w:val="0"/>
            </w:pPr>
            <w:bookmarkStart w:id="125" w:name="_Ref68252811"/>
            <w:r>
              <w:t xml:space="preserve">Figure </w:t>
            </w:r>
            <w:r>
              <w:fldChar w:fldCharType="begin"/>
            </w:r>
            <w:r>
              <w:instrText xml:space="preserve"> SEQ Figure \* ARABIC </w:instrText>
            </w:r>
            <w:r>
              <w:fldChar w:fldCharType="separate"/>
            </w:r>
            <w:r>
              <w:t>4</w:t>
            </w:r>
            <w:r>
              <w:fldChar w:fldCharType="end"/>
            </w:r>
            <w:bookmarkEnd w:id="125"/>
            <w:r>
              <w:t>: CSS prioritization with CSS zone.</w:t>
            </w:r>
          </w:p>
          <w:p>
            <w:pPr>
              <w:widowControl w:val="0"/>
            </w:pPr>
          </w:p>
        </w:tc>
      </w:tr>
    </w:tbl>
    <w:p>
      <w:pPr>
        <w:rPr>
          <w:lang w:eastAsia="zh-CN"/>
        </w:rPr>
      </w:pPr>
    </w:p>
    <w:p>
      <w:pPr>
        <w:pStyle w:val="3"/>
      </w:pPr>
      <w:r>
        <w:t>Topic A3: BD Budget/Dropping</w:t>
      </w:r>
    </w:p>
    <w:p>
      <w:pPr>
        <w:pStyle w:val="4"/>
        <w:jc w:val="both"/>
        <w:rPr>
          <w:lang w:val="en-GB" w:eastAsia="zh-CN"/>
        </w:rPr>
      </w:pPr>
      <w:r>
        <w:rPr>
          <w:lang w:val="en-GB" w:eastAsia="zh-CN"/>
        </w:rPr>
        <w:t>R1-2108768 (Huawei, HiSilicon)</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pStyle w:val="73"/>
              <w:widowControl w:val="0"/>
              <w:numPr>
                <w:ilvl w:val="0"/>
                <w:numId w:val="27"/>
              </w:numPr>
              <w:autoSpaceDE w:val="0"/>
              <w:autoSpaceDN w:val="0"/>
              <w:adjustRightInd w:val="0"/>
              <w:spacing w:before="120" w:beforeLines="50" w:after="120" w:line="240" w:lineRule="auto"/>
              <w:jc w:val="both"/>
              <w:rPr>
                <w:b/>
                <w:color w:val="000000"/>
              </w:rPr>
            </w:pPr>
            <w:r>
              <w:rPr>
                <w:b/>
                <w:color w:val="000000"/>
              </w:rPr>
              <w:t>Type 1 CSS without dedicated RRC configuration and for type 0, 0A, and 2 CSS</w:t>
            </w:r>
          </w:p>
          <w:p>
            <w:pPr>
              <w:widowControl/>
              <w:rPr>
                <w:rFonts w:eastAsia="宋体"/>
                <w:color w:val="000000"/>
              </w:rPr>
            </w:pPr>
            <w:r>
              <w:rPr>
                <w:rFonts w:eastAsia="宋体"/>
                <w:color w:val="000000"/>
              </w:rPr>
              <w:t xml:space="preserve">According to FG3-1 in Rel-15, for type 1 CSS without dedicated RRC configuration and for type 0, 0A, and 2 CSS, the monitoring occasion can be any OFDM symbol(s) of a slot, with the monitoring occasions for any of Type 1- CSS without dedicated RRC configuration, or Types 0, 0A, or 2 CSS configurations within a single span of three consecutive OFDM symbols within a slot. Such capability allows UE to monitor Type0/0A/1/2 CSS associated with SearchSpaceZero given in MIB. Similar rules should be inherited for UE with multi-slot PDCCH monitoring capability in FR2-2. Moreover, considering the SSB pattern may not align with fixed X-slots group pattern of multi-slot PDCCH capability, the restriction on monitoring occasions within Y slots should not applied. </w:t>
            </w: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 xml:space="preserve">Corresponding to FG3-1 in Rel-15, PDCCH monitoring occasion can be in any symbol(s) of a slot for Type 1 CSS without dedicated RRC configuration and for type 0, 0A, and 2 CSS. </w:t>
            </w:r>
          </w:p>
          <w:p>
            <w:pPr>
              <w:widowControl/>
              <w:jc w:val="center"/>
              <w:rPr>
                <w:rFonts w:ascii="Calibri" w:hAnsi="Calibri" w:eastAsia="宋体" w:cs="Calibri"/>
                <w:bCs/>
                <w:color w:val="FF0000"/>
                <w:sz w:val="20"/>
                <w:szCs w:val="20"/>
              </w:rPr>
            </w:pPr>
            <w:r>
              <w:rPr>
                <w:rFonts w:ascii="Calibri" w:hAnsi="Calibri" w:eastAsia="宋体" w:cs="Calibri"/>
                <w:b/>
                <w:bCs/>
                <w:sz w:val="20"/>
                <w:szCs w:val="20"/>
              </w:rPr>
              <w:t xml:space="preserve">Table </w:t>
            </w:r>
            <w:r>
              <w:rPr>
                <w:rFonts w:ascii="Calibri" w:hAnsi="Calibri" w:eastAsia="宋体" w:cs="Calibri"/>
                <w:b/>
                <w:bCs/>
                <w:sz w:val="20"/>
                <w:szCs w:val="20"/>
              </w:rPr>
              <w:fldChar w:fldCharType="begin"/>
            </w:r>
            <w:r>
              <w:rPr>
                <w:rFonts w:ascii="Calibri" w:hAnsi="Calibri" w:eastAsia="宋体" w:cs="Calibri"/>
                <w:b/>
                <w:bCs/>
                <w:sz w:val="20"/>
                <w:szCs w:val="20"/>
              </w:rPr>
              <w:instrText xml:space="preserve"> SEQ Table \* ARABIC </w:instrText>
            </w:r>
            <w:r>
              <w:rPr>
                <w:rFonts w:ascii="Calibri" w:hAnsi="Calibri" w:eastAsia="宋体" w:cs="Calibri"/>
                <w:b/>
                <w:bCs/>
                <w:sz w:val="20"/>
                <w:szCs w:val="20"/>
              </w:rPr>
              <w:fldChar w:fldCharType="separate"/>
            </w:r>
            <w:r>
              <w:rPr>
                <w:rFonts w:ascii="Calibri" w:hAnsi="Calibri" w:eastAsia="宋体" w:cs="Calibri"/>
                <w:b/>
                <w:bCs/>
                <w:sz w:val="20"/>
                <w:szCs w:val="20"/>
              </w:rPr>
              <w:t>3</w:t>
            </w:r>
            <w:r>
              <w:rPr>
                <w:rFonts w:ascii="Calibri" w:hAnsi="Calibri" w:eastAsia="宋体" w:cs="Calibri"/>
                <w:b/>
                <w:bCs/>
                <w:sz w:val="20"/>
                <w:szCs w:val="20"/>
              </w:rPr>
              <w:fldChar w:fldCharType="end"/>
            </w:r>
            <w:r>
              <w:rPr>
                <w:rFonts w:ascii="Calibri" w:hAnsi="Calibri" w:eastAsia="宋体" w:cs="Calibri"/>
                <w:b/>
                <w:bCs/>
                <w:sz w:val="20"/>
                <w:szCs w:val="20"/>
              </w:rPr>
              <w:t xml:space="preserve">. Maximum number </w:t>
            </w:r>
            <m:oMath>
              <m:sSubSup>
                <m:sSubSupPr>
                  <m:ctrlPr>
                    <w:rPr>
                      <w:rFonts w:ascii="Cambria Math" w:hAnsi="Cambria Math" w:eastAsia="宋体" w:cs="Calibri"/>
                      <w:bCs/>
                      <w:i/>
                      <w:sz w:val="20"/>
                      <w:szCs w:val="20"/>
                    </w:rPr>
                  </m:ctrlPr>
                </m:sSubSupPr>
                <m:e>
                  <m:r>
                    <w:rPr>
                      <w:rFonts w:ascii="Cambria Math" w:hAnsi="Cambria Math" w:eastAsia="宋体" w:cs="Calibri"/>
                      <w:sz w:val="20"/>
                      <w:szCs w:val="20"/>
                    </w:rPr>
                    <m:t>M</m:t>
                  </m:r>
                  <m:ctrlPr>
                    <w:rPr>
                      <w:rFonts w:ascii="Cambria Math" w:hAnsi="Cambria Math" w:eastAsia="宋体" w:cs="Calibri"/>
                      <w:bCs/>
                      <w:i/>
                      <w:sz w:val="20"/>
                      <w:szCs w:val="20"/>
                    </w:rPr>
                  </m:ctrlPr>
                </m:e>
                <m:sub>
                  <m:r>
                    <m:rPr>
                      <m:nor/>
                      <m:sty m:val="p"/>
                    </m:rPr>
                    <w:rPr>
                      <w:rFonts w:ascii="Calibri" w:hAnsi="Calibri" w:eastAsia="宋体" w:cs="Calibri"/>
                      <w:bCs/>
                      <w:sz w:val="20"/>
                      <w:szCs w:val="20"/>
                    </w:rPr>
                    <m:t>PDCCH</m:t>
                  </m:r>
                  <m:ctrlPr>
                    <w:rPr>
                      <w:rFonts w:ascii="Cambria Math" w:hAnsi="Cambria Math" w:eastAsia="宋体" w:cs="Calibri"/>
                      <w:bCs/>
                      <w:i/>
                      <w:sz w:val="20"/>
                      <w:szCs w:val="20"/>
                    </w:rPr>
                  </m:ctrlPr>
                </m:sub>
                <m:sup>
                  <m:r>
                    <m:rPr>
                      <m:nor/>
                      <m:sty m:val="p"/>
                    </m:rPr>
                    <w:rPr>
                      <w:rFonts w:ascii="Calibri" w:hAnsi="Calibri" w:eastAsia="宋体" w:cs="Calibri"/>
                      <w:bCs/>
                      <w:sz w:val="20"/>
                      <w:szCs w:val="20"/>
                    </w:rPr>
                    <m:t>max</m:t>
                  </m:r>
                  <m:r>
                    <w:rPr>
                      <w:rFonts w:ascii="Cambria Math" w:hAnsi="Cambria Math" w:eastAsia="宋体" w:cs="Calibri"/>
                      <w:sz w:val="20"/>
                      <w:szCs w:val="20"/>
                    </w:rPr>
                    <m:t>,</m:t>
                  </m:r>
                  <m:r>
                    <m:rPr>
                      <m:nor/>
                      <m:sty m:val="p"/>
                    </m:rPr>
                    <w:rPr>
                      <w:rFonts w:ascii="Calibri" w:hAnsi="Calibri" w:eastAsia="宋体" w:cs="Calibri"/>
                      <w:bCs/>
                      <w:sz w:val="20"/>
                      <w:szCs w:val="20"/>
                    </w:rPr>
                    <m:t>slot</m:t>
                  </m:r>
                  <m:r>
                    <w:rPr>
                      <w:rFonts w:ascii="Cambria Math" w:hAnsi="Cambria Math" w:eastAsia="宋体" w:cs="Calibri"/>
                      <w:sz w:val="20"/>
                      <w:szCs w:val="20"/>
                    </w:rPr>
                    <m:t>,μ</m:t>
                  </m:r>
                  <m:ctrlPr>
                    <w:rPr>
                      <w:rFonts w:ascii="Cambria Math" w:hAnsi="Cambria Math" w:eastAsia="宋体" w:cs="Calibri"/>
                      <w:bCs/>
                      <w:i/>
                      <w:sz w:val="20"/>
                      <w:szCs w:val="20"/>
                    </w:rPr>
                  </m:ctrlPr>
                </m:sup>
              </m:sSubSup>
            </m:oMath>
            <w:r>
              <w:rPr>
                <w:rFonts w:ascii="Calibri" w:hAnsi="Calibri" w:eastAsia="宋体" w:cs="Calibri"/>
                <w:b/>
                <w:bCs/>
                <w:sz w:val="20"/>
                <w:szCs w:val="20"/>
              </w:rPr>
              <w:t xml:space="preserve"> of monitored PDCCH candidates per</w:t>
            </w:r>
            <w:r>
              <w:rPr>
                <w:rFonts w:ascii="Calibri" w:hAnsi="Calibri" w:eastAsia="宋体" w:cs="Calibri"/>
                <w:b/>
                <w:bCs/>
                <w:color w:val="FF0000"/>
                <w:sz w:val="20"/>
                <w:szCs w:val="20"/>
              </w:rPr>
              <w:t xml:space="preserve"> </w:t>
            </w:r>
            <m:oMath>
              <m:r>
                <w:rPr>
                  <w:rFonts w:ascii="Cambria Math" w:hAnsi="Cambria Math" w:eastAsia="宋体" w:cs="Calibri"/>
                  <w:color w:val="FF0000"/>
                  <w:sz w:val="20"/>
                  <w:szCs w:val="20"/>
                </w:rPr>
                <m:t>X</m:t>
              </m:r>
            </m:oMath>
            <w:r>
              <w:rPr>
                <w:rFonts w:ascii="Calibri" w:hAnsi="Calibri" w:eastAsia="宋体" w:cs="Calibri"/>
                <w:b/>
                <w:bCs/>
                <w:sz w:val="20"/>
                <w:szCs w:val="20"/>
              </w:rPr>
              <w:t xml:space="preserve"> slot</w:t>
            </w:r>
            <w:r>
              <w:rPr>
                <w:rFonts w:ascii="Calibri" w:hAnsi="Calibri" w:eastAsia="宋体" w:cs="Calibri"/>
                <w:b/>
                <w:bCs/>
                <w:color w:val="FF0000"/>
                <w:sz w:val="20"/>
                <w:szCs w:val="20"/>
              </w:rPr>
              <w:t>(s)</w:t>
            </w:r>
            <w:r>
              <w:rPr>
                <w:rFonts w:ascii="Calibri" w:hAnsi="Calibri" w:eastAsia="宋体" w:cs="Calibri"/>
                <w:b/>
                <w:bCs/>
                <w:sz w:val="20"/>
                <w:szCs w:val="20"/>
              </w:rPr>
              <w:t xml:space="preserve"> for a DL BWP with SCS configuration </w:t>
            </w:r>
            <m:oMath>
              <m:r>
                <m:rPr>
                  <m:sty m:val="bi"/>
                </m:rPr>
                <w:rPr>
                  <w:rFonts w:ascii="Cambria Math" w:hAnsi="Cambria Math" w:eastAsia="宋体" w:cs="Calibri"/>
                  <w:sz w:val="20"/>
                  <w:szCs w:val="20"/>
                </w:rPr>
                <m:t>μ∈</m:t>
              </m:r>
              <m:d>
                <m:dPr>
                  <m:begChr m:val="{"/>
                  <m:endChr m:val="}"/>
                  <m:ctrlPr>
                    <w:rPr>
                      <w:rFonts w:ascii="Cambria Math" w:hAnsi="Cambria Math" w:eastAsia="宋体" w:cs="Calibri"/>
                      <w:b/>
                      <w:bCs/>
                      <w:i/>
                      <w:sz w:val="20"/>
                      <w:szCs w:val="20"/>
                    </w:rPr>
                  </m:ctrlPr>
                </m:dPr>
                <m:e>
                  <m:r>
                    <m:rPr>
                      <m:sty m:val="bi"/>
                    </m:rPr>
                    <w:rPr>
                      <w:rFonts w:ascii="Cambria Math" w:hAnsi="Cambria Math" w:eastAsia="宋体" w:cs="Calibri"/>
                      <w:sz w:val="20"/>
                      <w:szCs w:val="20"/>
                    </w:rPr>
                    <m:t>0, 1,2,3,5,6</m:t>
                  </m:r>
                  <m:ctrlPr>
                    <w:rPr>
                      <w:rFonts w:ascii="Cambria Math" w:hAnsi="Cambria Math" w:eastAsia="宋体" w:cs="Calibri"/>
                      <w:b/>
                      <w:bCs/>
                      <w:i/>
                      <w:sz w:val="20"/>
                      <w:szCs w:val="20"/>
                    </w:rPr>
                  </m:ctrlPr>
                </m:e>
              </m:d>
            </m:oMath>
            <w:r>
              <w:rPr>
                <w:rFonts w:ascii="Calibri" w:hAnsi="Calibri" w:eastAsia="宋体" w:cs="Calibri"/>
                <w:b/>
                <w:bCs/>
                <w:sz w:val="20"/>
                <w:szCs w:val="20"/>
              </w:rPr>
              <w:t xml:space="preserve"> for a single serving cell.</w:t>
            </w:r>
            <w:r>
              <w:rPr>
                <w:rFonts w:ascii="Calibri" w:hAnsi="Calibri" w:eastAsia="宋体" w:cs="Calibri"/>
                <w:b/>
                <w:bCs/>
                <w:color w:val="FF0000"/>
                <w:sz w:val="20"/>
                <w:szCs w:val="20"/>
              </w:rPr>
              <w:t xml:space="preserve"> </w:t>
            </w:r>
            <m:oMath>
              <m:r>
                <w:rPr>
                  <w:rFonts w:ascii="Cambria Math" w:hAnsi="Cambria Math" w:eastAsia="宋体" w:cs="Calibri"/>
                  <w:color w:val="FF0000"/>
                  <w:sz w:val="20"/>
                  <w:szCs w:val="20"/>
                </w:rPr>
                <m:t>X</m:t>
              </m:r>
              <m:r>
                <m:rPr>
                  <m:sty m:val="p"/>
                </m:rPr>
                <w:rPr>
                  <w:rFonts w:ascii="Cambria Math" w:hAnsi="Cambria Math" w:eastAsia="宋体" w:cs="Calibri"/>
                  <w:color w:val="FF0000"/>
                  <w:sz w:val="20"/>
                  <w:szCs w:val="20"/>
                </w:rPr>
                <m:t>=4</m:t>
              </m:r>
            </m:oMath>
            <w:r>
              <w:rPr>
                <w:rFonts w:ascii="Calibri" w:hAnsi="Calibri" w:eastAsia="宋体" w:cs="Calibri"/>
                <w:b/>
                <w:bCs/>
                <w:color w:val="FF0000"/>
                <w:sz w:val="20"/>
                <w:szCs w:val="20"/>
              </w:rPr>
              <w:t xml:space="preserve"> for</w:t>
            </w:r>
            <m:oMath>
              <m:r>
                <w:rPr>
                  <w:rFonts w:ascii="Cambria Math" w:hAnsi="Cambria Math" w:eastAsia="宋体" w:cs="Calibri"/>
                  <w:color w:val="FF0000"/>
                  <w:sz w:val="20"/>
                  <w:szCs w:val="20"/>
                </w:rPr>
                <m:t xml:space="preserve"> μ</m:t>
              </m:r>
              <m:r>
                <m:rPr>
                  <m:sty m:val="p"/>
                </m:rPr>
                <w:rPr>
                  <w:rFonts w:ascii="Cambria Math" w:hAnsi="Cambria Math" w:eastAsia="宋体" w:cs="Calibri"/>
                  <w:color w:val="FF0000"/>
                  <w:sz w:val="20"/>
                  <w:szCs w:val="20"/>
                </w:rPr>
                <m:t>=5</m:t>
              </m:r>
            </m:oMath>
            <w:r>
              <w:rPr>
                <w:rFonts w:ascii="Calibri" w:hAnsi="Calibri" w:eastAsia="宋体" w:cs="Calibri"/>
                <w:b/>
                <w:bCs/>
                <w:color w:val="FF0000"/>
                <w:sz w:val="20"/>
                <w:szCs w:val="20"/>
              </w:rPr>
              <w:t xml:space="preserve">, </w:t>
            </w:r>
            <m:oMath>
              <m:r>
                <w:rPr>
                  <w:rFonts w:ascii="Cambria Math" w:hAnsi="Cambria Math" w:eastAsia="宋体" w:cs="Calibri"/>
                  <w:color w:val="FF0000"/>
                  <w:sz w:val="20"/>
                  <w:szCs w:val="20"/>
                </w:rPr>
                <m:t>X</m:t>
              </m:r>
              <m:r>
                <m:rPr>
                  <m:sty m:val="p"/>
                </m:rPr>
                <w:rPr>
                  <w:rFonts w:ascii="Cambria Math" w:hAnsi="Cambria Math" w:eastAsia="宋体" w:cs="Calibri"/>
                  <w:color w:val="FF0000"/>
                  <w:sz w:val="20"/>
                  <w:szCs w:val="20"/>
                </w:rPr>
                <m:t>=8</m:t>
              </m:r>
            </m:oMath>
            <w:r>
              <w:rPr>
                <w:rFonts w:ascii="Calibri" w:hAnsi="Calibri" w:eastAsia="宋体" w:cs="Calibri"/>
                <w:b/>
                <w:bCs/>
                <w:color w:val="FF0000"/>
                <w:sz w:val="20"/>
                <w:szCs w:val="20"/>
              </w:rPr>
              <w:t xml:space="preserve"> for </w:t>
            </w:r>
            <m:oMath>
              <m:r>
                <w:rPr>
                  <w:rFonts w:ascii="Cambria Math" w:hAnsi="Cambria Math" w:eastAsia="宋体" w:cs="Calibri"/>
                  <w:color w:val="FF0000"/>
                  <w:sz w:val="20"/>
                  <w:szCs w:val="20"/>
                </w:rPr>
                <m:t>μ</m:t>
              </m:r>
              <m:r>
                <m:rPr>
                  <m:sty m:val="p"/>
                </m:rPr>
                <w:rPr>
                  <w:rFonts w:ascii="Cambria Math" w:hAnsi="Cambria Math" w:eastAsia="宋体" w:cs="Calibri"/>
                  <w:color w:val="FF0000"/>
                  <w:sz w:val="20"/>
                  <w:szCs w:val="20"/>
                </w:rPr>
                <m:t>=6</m:t>
              </m:r>
            </m:oMath>
            <w:r>
              <w:rPr>
                <w:rFonts w:ascii="Calibri" w:hAnsi="Calibri" w:eastAsia="宋体" w:cs="Calibri"/>
                <w:b/>
                <w:bCs/>
                <w:color w:val="FF0000"/>
                <w:sz w:val="20"/>
                <w:szCs w:val="20"/>
              </w:rPr>
              <w:t xml:space="preserve">. </w:t>
            </w:r>
            <m:oMath>
              <m:r>
                <w:rPr>
                  <w:rFonts w:ascii="Cambria Math" w:hAnsi="Cambria Math" w:eastAsia="宋体" w:cs="Calibri"/>
                  <w:color w:val="FF0000"/>
                  <w:sz w:val="20"/>
                  <w:szCs w:val="20"/>
                </w:rPr>
                <m:t>X</m:t>
              </m:r>
              <m:r>
                <m:rPr>
                  <m:sty m:val="p"/>
                </m:rPr>
                <w:rPr>
                  <w:rFonts w:ascii="Cambria Math" w:hAnsi="Cambria Math" w:eastAsia="宋体" w:cs="Calibri"/>
                  <w:color w:val="FF0000"/>
                  <w:sz w:val="20"/>
                  <w:szCs w:val="20"/>
                </w:rPr>
                <m:t>=1</m:t>
              </m:r>
            </m:oMath>
            <w:r>
              <w:rPr>
                <w:rFonts w:ascii="Calibri" w:hAnsi="Calibri" w:eastAsia="宋体" w:cs="Calibri"/>
                <w:b/>
                <w:bCs/>
                <w:color w:val="FF0000"/>
                <w:sz w:val="20"/>
                <w:szCs w:val="20"/>
              </w:rPr>
              <w:t xml:space="preserve"> otherwise.</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65"/>
              <w:gridCol w:w="7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shd w:val="clear" w:color="auto" w:fill="E0E0E0"/>
                  <w:vAlign w:val="center"/>
                </w:tcPr>
                <w:p>
                  <w:pPr>
                    <w:keepNext/>
                    <w:keepLines/>
                    <w:jc w:val="center"/>
                    <w:rPr>
                      <w:rFonts w:ascii="Calibri" w:hAnsi="Calibri" w:eastAsia="宋体" w:cs="Calibri"/>
                      <w:b/>
                      <w:sz w:val="20"/>
                      <w:szCs w:val="20"/>
                      <w:lang w:val="en-GB"/>
                    </w:rPr>
                  </w:pPr>
                  <m:oMathPara>
                    <m:oMath>
                      <m:r>
                        <m:rPr>
                          <m:sty m:val="bi"/>
                        </m:rPr>
                        <w:rPr>
                          <w:rFonts w:ascii="Cambria Math" w:hAnsi="Cambria Math" w:eastAsia="宋体" w:cs="Calibri"/>
                          <w:sz w:val="20"/>
                          <w:szCs w:val="20"/>
                          <w:lang w:val="en-GB"/>
                        </w:rPr>
                        <m:t>μ</m:t>
                      </m:r>
                    </m:oMath>
                  </m:oMathPara>
                </w:p>
              </w:tc>
              <w:tc>
                <w:tcPr>
                  <w:tcW w:w="7800" w:type="dxa"/>
                  <w:shd w:val="clear" w:color="auto" w:fill="E0E0E0"/>
                  <w:vAlign w:val="center"/>
                </w:tcPr>
                <w:p>
                  <w:pPr>
                    <w:keepNext/>
                    <w:keepLines/>
                    <w:jc w:val="center"/>
                    <w:rPr>
                      <w:rFonts w:ascii="Calibri" w:hAnsi="Calibri" w:eastAsia="宋体" w:cs="Calibri"/>
                      <w:b/>
                      <w:sz w:val="20"/>
                      <w:szCs w:val="20"/>
                      <w:lang w:val="en-GB"/>
                    </w:rPr>
                  </w:pPr>
                  <w:r>
                    <w:rPr>
                      <w:rFonts w:ascii="Calibri" w:hAnsi="Calibri" w:eastAsia="宋体" w:cs="Calibri"/>
                      <w:b/>
                      <w:sz w:val="20"/>
                      <w:szCs w:val="20"/>
                      <w:lang w:val="en-GB"/>
                    </w:rPr>
                    <w:t xml:space="preserve">Maximum number of monitored PDCCH candidates per </w:t>
                  </w:r>
                  <m:oMath>
                    <m:r>
                      <w:rPr>
                        <w:rFonts w:ascii="Cambria Math" w:hAnsi="Cambria Math" w:eastAsia="宋体" w:cs="Calibri"/>
                        <w:color w:val="FF0000"/>
                        <w:sz w:val="20"/>
                        <w:szCs w:val="20"/>
                      </w:rPr>
                      <m:t>X</m:t>
                    </m:r>
                  </m:oMath>
                  <w:r>
                    <w:rPr>
                      <w:rFonts w:ascii="Calibri" w:hAnsi="Calibri" w:eastAsia="宋体" w:cs="Calibri"/>
                      <w:b/>
                      <w:sz w:val="20"/>
                      <w:szCs w:val="20"/>
                      <w:lang w:val="en-GB"/>
                    </w:rPr>
                    <w:t xml:space="preserve"> slot</w:t>
                  </w:r>
                  <w:r>
                    <w:rPr>
                      <w:rFonts w:ascii="Calibri" w:hAnsi="Calibri" w:eastAsia="宋体" w:cs="Calibri"/>
                      <w:b/>
                      <w:color w:val="FF0000"/>
                      <w:sz w:val="20"/>
                      <w:szCs w:val="20"/>
                      <w:lang w:val="en-GB"/>
                    </w:rPr>
                    <w:t>(s)</w:t>
                  </w:r>
                  <w:r>
                    <w:rPr>
                      <w:rFonts w:ascii="Calibri" w:hAnsi="Calibri" w:eastAsia="宋体" w:cs="Calibri"/>
                      <w:b/>
                      <w:sz w:val="20"/>
                      <w:szCs w:val="20"/>
                      <w:lang w:val="en-GB"/>
                    </w:rPr>
                    <w:t xml:space="preserve"> and per serving cell </w:t>
                  </w:r>
                  <m:oMath>
                    <m:sSubSup>
                      <m:sSubSupPr>
                        <m:ctrlPr>
                          <w:rPr>
                            <w:rFonts w:ascii="Cambria Math" w:hAnsi="Cambria Math" w:eastAsia="宋体" w:cs="Calibri"/>
                            <w:b/>
                            <w:bCs/>
                            <w:i/>
                            <w:sz w:val="20"/>
                            <w:szCs w:val="20"/>
                          </w:rPr>
                        </m:ctrlPr>
                      </m:sSubSupPr>
                      <m:e>
                        <m:r>
                          <w:rPr>
                            <w:rFonts w:ascii="Cambria Math" w:hAnsi="Cambria Math" w:eastAsia="宋体" w:cs="Calibri"/>
                            <w:sz w:val="20"/>
                            <w:szCs w:val="20"/>
                          </w:rPr>
                          <m:t>M</m:t>
                        </m:r>
                        <m:ctrlPr>
                          <w:rPr>
                            <w:rFonts w:ascii="Cambria Math" w:hAnsi="Cambria Math" w:eastAsia="宋体" w:cs="Calibri"/>
                            <w:b/>
                            <w:bCs/>
                            <w:i/>
                            <w:sz w:val="20"/>
                            <w:szCs w:val="20"/>
                          </w:rPr>
                        </m:ctrlPr>
                      </m:e>
                      <m:sub>
                        <m:r>
                          <m:rPr>
                            <m:nor/>
                            <m:sty m:val="p"/>
                          </m:rPr>
                          <w:rPr>
                            <w:rFonts w:ascii="Calibri" w:hAnsi="Calibri" w:eastAsia="宋体" w:cs="Calibri"/>
                            <w:bCs/>
                            <w:sz w:val="20"/>
                            <w:szCs w:val="20"/>
                          </w:rPr>
                          <m:t>PDCCH</m:t>
                        </m:r>
                        <m:ctrlPr>
                          <w:rPr>
                            <w:rFonts w:ascii="Cambria Math" w:hAnsi="Cambria Math" w:eastAsia="宋体" w:cs="Calibri"/>
                            <w:b/>
                            <w:bCs/>
                            <w:i/>
                            <w:sz w:val="20"/>
                            <w:szCs w:val="20"/>
                          </w:rPr>
                        </m:ctrlPr>
                      </m:sub>
                      <m:sup>
                        <m:r>
                          <m:rPr>
                            <m:nor/>
                            <m:sty m:val="p"/>
                          </m:rPr>
                          <w:rPr>
                            <w:rFonts w:ascii="Calibri" w:hAnsi="Calibri" w:eastAsia="宋体" w:cs="Calibri"/>
                            <w:bCs/>
                            <w:sz w:val="20"/>
                            <w:szCs w:val="20"/>
                          </w:rPr>
                          <m:t>max</m:t>
                        </m:r>
                        <m:r>
                          <m:rPr>
                            <m:sty m:val="bi"/>
                          </m:rPr>
                          <w:rPr>
                            <w:rFonts w:ascii="Cambria Math" w:hAnsi="Cambria Math" w:eastAsia="宋体" w:cs="Calibri"/>
                            <w:sz w:val="20"/>
                            <w:szCs w:val="20"/>
                          </w:rPr>
                          <m:t>,</m:t>
                        </m:r>
                        <m:r>
                          <m:rPr>
                            <m:nor/>
                            <m:sty m:val="p"/>
                          </m:rPr>
                          <w:rPr>
                            <w:rFonts w:ascii="Calibri" w:hAnsi="Calibri" w:eastAsia="宋体" w:cs="Calibri"/>
                            <w:bCs/>
                            <w:sz w:val="20"/>
                            <w:szCs w:val="20"/>
                          </w:rPr>
                          <m:t>slot</m:t>
                        </m:r>
                        <m:r>
                          <m:rPr>
                            <m:sty m:val="bi"/>
                          </m:rPr>
                          <w:rPr>
                            <w:rFonts w:ascii="Cambria Math" w:hAnsi="Cambria Math" w:eastAsia="宋体" w:cs="Calibri"/>
                            <w:sz w:val="20"/>
                            <w:szCs w:val="20"/>
                          </w:rPr>
                          <m:t>,μ</m:t>
                        </m:r>
                        <m:ctrlPr>
                          <w:rPr>
                            <w:rFonts w:ascii="Cambria Math" w:hAnsi="Cambria Math" w:eastAsia="宋体" w:cs="Calibri"/>
                            <w:b/>
                            <w:bCs/>
                            <w:i/>
                            <w:sz w:val="20"/>
                            <w:szCs w:val="20"/>
                          </w:rPr>
                        </m:ctrlPr>
                      </m:sup>
                    </m:sSubSup>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0</w:t>
                  </w:r>
                </w:p>
              </w:tc>
              <w:tc>
                <w:tcPr>
                  <w:tcW w:w="780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1</w:t>
                  </w:r>
                </w:p>
              </w:tc>
              <w:tc>
                <w:tcPr>
                  <w:tcW w:w="780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w:t>
                  </w:r>
                </w:p>
              </w:tc>
              <w:tc>
                <w:tcPr>
                  <w:tcW w:w="780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3</w:t>
                  </w:r>
                </w:p>
              </w:tc>
              <w:tc>
                <w:tcPr>
                  <w:tcW w:w="780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5</w:t>
                  </w:r>
                </w:p>
              </w:tc>
              <w:tc>
                <w:tcPr>
                  <w:tcW w:w="7800"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6</w:t>
                  </w:r>
                </w:p>
              </w:tc>
              <w:tc>
                <w:tcPr>
                  <w:tcW w:w="7800"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20</w:t>
                  </w:r>
                </w:p>
              </w:tc>
            </w:tr>
          </w:tbl>
          <w:p>
            <w:pPr>
              <w:widowControl/>
              <w:rPr>
                <w:rFonts w:ascii="Calibri" w:hAnsi="Calibri" w:eastAsia="宋体" w:cs="Calibri"/>
                <w:b/>
                <w:bCs/>
                <w:sz w:val="20"/>
                <w:szCs w:val="20"/>
              </w:rPr>
            </w:pPr>
          </w:p>
          <w:p>
            <w:pPr>
              <w:widowControl/>
              <w:jc w:val="center"/>
              <w:rPr>
                <w:rFonts w:ascii="Calibri" w:hAnsi="Calibri" w:eastAsia="宋体" w:cs="Calibri"/>
                <w:bCs/>
                <w:sz w:val="20"/>
                <w:szCs w:val="20"/>
              </w:rPr>
            </w:pPr>
            <w:r>
              <w:rPr>
                <w:rFonts w:ascii="Calibri" w:hAnsi="Calibri" w:eastAsia="宋体" w:cs="Calibri"/>
                <w:b/>
                <w:bCs/>
                <w:sz w:val="20"/>
                <w:szCs w:val="20"/>
              </w:rPr>
              <w:t xml:space="preserve">Table </w:t>
            </w:r>
            <w:r>
              <w:rPr>
                <w:rFonts w:ascii="Calibri" w:hAnsi="Calibri" w:eastAsia="宋体" w:cs="Calibri"/>
                <w:b/>
                <w:bCs/>
                <w:sz w:val="20"/>
                <w:szCs w:val="20"/>
              </w:rPr>
              <w:fldChar w:fldCharType="begin"/>
            </w:r>
            <w:r>
              <w:rPr>
                <w:rFonts w:ascii="Calibri" w:hAnsi="Calibri" w:eastAsia="宋体" w:cs="Calibri"/>
                <w:b/>
                <w:bCs/>
                <w:sz w:val="20"/>
                <w:szCs w:val="20"/>
              </w:rPr>
              <w:instrText xml:space="preserve"> SEQ Table \* ARABIC </w:instrText>
            </w:r>
            <w:r>
              <w:rPr>
                <w:rFonts w:ascii="Calibri" w:hAnsi="Calibri" w:eastAsia="宋体" w:cs="Calibri"/>
                <w:b/>
                <w:bCs/>
                <w:sz w:val="20"/>
                <w:szCs w:val="20"/>
              </w:rPr>
              <w:fldChar w:fldCharType="separate"/>
            </w:r>
            <w:r>
              <w:rPr>
                <w:rFonts w:ascii="Calibri" w:hAnsi="Calibri" w:eastAsia="宋体" w:cs="Calibri"/>
                <w:b/>
                <w:bCs/>
                <w:sz w:val="20"/>
                <w:szCs w:val="20"/>
              </w:rPr>
              <w:t>4</w:t>
            </w:r>
            <w:r>
              <w:rPr>
                <w:rFonts w:ascii="Calibri" w:hAnsi="Calibri" w:eastAsia="宋体" w:cs="Calibri"/>
                <w:b/>
                <w:bCs/>
                <w:sz w:val="20"/>
                <w:szCs w:val="20"/>
              </w:rPr>
              <w:fldChar w:fldCharType="end"/>
            </w:r>
            <w:r>
              <w:rPr>
                <w:rFonts w:ascii="Calibri" w:hAnsi="Calibri" w:eastAsia="宋体" w:cs="Calibri"/>
                <w:b/>
                <w:bCs/>
                <w:sz w:val="20"/>
                <w:szCs w:val="20"/>
              </w:rPr>
              <w:t xml:space="preserve">. Maximum number </w:t>
            </w:r>
            <m:oMath>
              <m:sSubSup>
                <m:sSubSupPr>
                  <m:ctrlPr>
                    <w:rPr>
                      <w:rFonts w:ascii="Cambria Math" w:hAnsi="Cambria Math" w:eastAsia="宋体" w:cs="Calibri"/>
                      <w:b/>
                      <w:bCs/>
                      <w:i/>
                      <w:sz w:val="20"/>
                      <w:szCs w:val="20"/>
                    </w:rPr>
                  </m:ctrlPr>
                </m:sSubSupPr>
                <m:e>
                  <m:r>
                    <w:rPr>
                      <w:rFonts w:ascii="Cambria Math" w:hAnsi="Cambria Math" w:eastAsia="宋体" w:cs="Calibri"/>
                      <w:sz w:val="20"/>
                      <w:szCs w:val="20"/>
                    </w:rPr>
                    <m:t>C</m:t>
                  </m:r>
                  <m:ctrlPr>
                    <w:rPr>
                      <w:rFonts w:ascii="Cambria Math" w:hAnsi="Cambria Math" w:eastAsia="宋体" w:cs="Calibri"/>
                      <w:b/>
                      <w:bCs/>
                      <w:i/>
                      <w:sz w:val="20"/>
                      <w:szCs w:val="20"/>
                    </w:rPr>
                  </m:ctrlPr>
                </m:e>
                <m:sub>
                  <m:r>
                    <m:rPr>
                      <m:nor/>
                      <m:sty m:val="p"/>
                    </m:rPr>
                    <w:rPr>
                      <w:rFonts w:ascii="Calibri" w:hAnsi="Calibri" w:eastAsia="宋体" w:cs="Calibri"/>
                      <w:bCs/>
                      <w:sz w:val="20"/>
                      <w:szCs w:val="20"/>
                    </w:rPr>
                    <m:t>PDCCH</m:t>
                  </m:r>
                  <m:ctrlPr>
                    <w:rPr>
                      <w:rFonts w:ascii="Cambria Math" w:hAnsi="Cambria Math" w:eastAsia="宋体" w:cs="Calibri"/>
                      <w:b/>
                      <w:bCs/>
                      <w:i/>
                      <w:sz w:val="20"/>
                      <w:szCs w:val="20"/>
                    </w:rPr>
                  </m:ctrlPr>
                </m:sub>
                <m:sup>
                  <m:r>
                    <m:rPr>
                      <m:nor/>
                      <m:sty m:val="p"/>
                    </m:rPr>
                    <w:rPr>
                      <w:rFonts w:ascii="Calibri" w:hAnsi="Calibri" w:eastAsia="宋体" w:cs="Calibri"/>
                      <w:bCs/>
                      <w:sz w:val="20"/>
                      <w:szCs w:val="20"/>
                    </w:rPr>
                    <m:t>max</m:t>
                  </m:r>
                  <m:r>
                    <m:rPr>
                      <m:sty m:val="bi"/>
                    </m:rPr>
                    <w:rPr>
                      <w:rFonts w:ascii="Cambria Math" w:hAnsi="Cambria Math" w:eastAsia="宋体" w:cs="Calibri"/>
                      <w:sz w:val="20"/>
                      <w:szCs w:val="20"/>
                    </w:rPr>
                    <m:t>,</m:t>
                  </m:r>
                  <m:r>
                    <m:rPr>
                      <m:nor/>
                      <m:sty m:val="p"/>
                    </m:rPr>
                    <w:rPr>
                      <w:rFonts w:ascii="Calibri" w:hAnsi="Calibri" w:eastAsia="宋体" w:cs="Calibri"/>
                      <w:bCs/>
                      <w:sz w:val="20"/>
                      <w:szCs w:val="20"/>
                    </w:rPr>
                    <m:t>slot</m:t>
                  </m:r>
                  <m:r>
                    <m:rPr>
                      <m:sty m:val="bi"/>
                    </m:rPr>
                    <w:rPr>
                      <w:rFonts w:ascii="Cambria Math" w:hAnsi="Cambria Math" w:eastAsia="宋体" w:cs="Calibri"/>
                      <w:sz w:val="20"/>
                      <w:szCs w:val="20"/>
                    </w:rPr>
                    <m:t>,μ</m:t>
                  </m:r>
                  <m:ctrlPr>
                    <w:rPr>
                      <w:rFonts w:ascii="Cambria Math" w:hAnsi="Cambria Math" w:eastAsia="宋体" w:cs="Calibri"/>
                      <w:b/>
                      <w:bCs/>
                      <w:i/>
                      <w:sz w:val="20"/>
                      <w:szCs w:val="20"/>
                    </w:rPr>
                  </m:ctrlPr>
                </m:sup>
              </m:sSubSup>
            </m:oMath>
            <w:r>
              <w:rPr>
                <w:rFonts w:ascii="Calibri" w:hAnsi="Calibri" w:eastAsia="宋体" w:cs="Calibri"/>
                <w:b/>
                <w:bCs/>
                <w:sz w:val="20"/>
                <w:szCs w:val="20"/>
              </w:rPr>
              <w:t xml:space="preserve"> of non-overlapped CCEs per </w:t>
            </w:r>
            <m:oMath>
              <m:r>
                <w:rPr>
                  <w:rFonts w:ascii="Cambria Math" w:hAnsi="Cambria Math" w:eastAsia="宋体" w:cs="Calibri"/>
                  <w:color w:val="FF0000"/>
                  <w:sz w:val="20"/>
                  <w:szCs w:val="20"/>
                </w:rPr>
                <m:t>X</m:t>
              </m:r>
            </m:oMath>
            <w:r>
              <w:rPr>
                <w:rFonts w:ascii="Calibri" w:hAnsi="Calibri" w:eastAsia="宋体" w:cs="Calibri"/>
                <w:b/>
                <w:bCs/>
                <w:sz w:val="20"/>
                <w:szCs w:val="20"/>
              </w:rPr>
              <w:t xml:space="preserve"> slot</w:t>
            </w:r>
            <w:r>
              <w:rPr>
                <w:rFonts w:ascii="Calibri" w:hAnsi="Calibri" w:eastAsia="宋体" w:cs="Calibri"/>
                <w:b/>
                <w:bCs/>
                <w:color w:val="FF0000"/>
                <w:sz w:val="20"/>
                <w:szCs w:val="20"/>
              </w:rPr>
              <w:t>(s)</w:t>
            </w:r>
            <w:r>
              <w:rPr>
                <w:rFonts w:ascii="Calibri" w:hAnsi="Calibri" w:eastAsia="宋体" w:cs="Calibri"/>
                <w:b/>
                <w:bCs/>
                <w:sz w:val="20"/>
                <w:szCs w:val="20"/>
              </w:rPr>
              <w:t xml:space="preserve"> for a DL BWP with SCS configuration </w:t>
            </w:r>
            <m:oMath>
              <m:r>
                <m:rPr>
                  <m:sty m:val="bi"/>
                </m:rPr>
                <w:rPr>
                  <w:rFonts w:ascii="Cambria Math" w:hAnsi="Cambria Math" w:eastAsia="宋体" w:cs="Calibri"/>
                  <w:sz w:val="20"/>
                  <w:szCs w:val="20"/>
                </w:rPr>
                <m:t>μ∈</m:t>
              </m:r>
              <m:d>
                <m:dPr>
                  <m:begChr m:val="{"/>
                  <m:endChr m:val="}"/>
                  <m:ctrlPr>
                    <w:rPr>
                      <w:rFonts w:ascii="Cambria Math" w:hAnsi="Cambria Math" w:eastAsia="宋体" w:cs="Calibri"/>
                      <w:b/>
                      <w:bCs/>
                      <w:i/>
                      <w:sz w:val="20"/>
                      <w:szCs w:val="20"/>
                    </w:rPr>
                  </m:ctrlPr>
                </m:dPr>
                <m:e>
                  <m:r>
                    <m:rPr>
                      <m:sty m:val="bi"/>
                    </m:rPr>
                    <w:rPr>
                      <w:rFonts w:ascii="Cambria Math" w:hAnsi="Cambria Math" w:eastAsia="宋体" w:cs="Calibri"/>
                      <w:sz w:val="20"/>
                      <w:szCs w:val="20"/>
                    </w:rPr>
                    <m:t>0, 1,2,3,5,6</m:t>
                  </m:r>
                  <m:ctrlPr>
                    <w:rPr>
                      <w:rFonts w:ascii="Cambria Math" w:hAnsi="Cambria Math" w:eastAsia="宋体" w:cs="Calibri"/>
                      <w:b/>
                      <w:bCs/>
                      <w:i/>
                      <w:sz w:val="20"/>
                      <w:szCs w:val="20"/>
                    </w:rPr>
                  </m:ctrlPr>
                </m:e>
              </m:d>
            </m:oMath>
            <w:r>
              <w:rPr>
                <w:rFonts w:ascii="Calibri" w:hAnsi="Calibri" w:eastAsia="宋体" w:cs="Calibri"/>
                <w:b/>
                <w:bCs/>
                <w:sz w:val="20"/>
                <w:szCs w:val="20"/>
              </w:rPr>
              <w:t xml:space="preserve"> for a single serving cell. </w:t>
            </w:r>
            <m:oMath>
              <m:r>
                <w:rPr>
                  <w:rFonts w:ascii="Cambria Math" w:hAnsi="Cambria Math" w:eastAsia="宋体" w:cs="Calibri"/>
                  <w:color w:val="FF0000"/>
                  <w:sz w:val="20"/>
                  <w:szCs w:val="20"/>
                </w:rPr>
                <m:t>X</m:t>
              </m:r>
              <m:r>
                <m:rPr>
                  <m:sty m:val="p"/>
                </m:rPr>
                <w:rPr>
                  <w:rFonts w:ascii="Cambria Math" w:hAnsi="Cambria Math" w:eastAsia="宋体" w:cs="Calibri"/>
                  <w:color w:val="FF0000"/>
                  <w:sz w:val="20"/>
                  <w:szCs w:val="20"/>
                </w:rPr>
                <m:t>=4</m:t>
              </m:r>
            </m:oMath>
            <w:r>
              <w:rPr>
                <w:rFonts w:ascii="Calibri" w:hAnsi="Calibri" w:eastAsia="宋体" w:cs="Calibri"/>
                <w:b/>
                <w:bCs/>
                <w:color w:val="FF0000"/>
                <w:sz w:val="20"/>
                <w:szCs w:val="20"/>
              </w:rPr>
              <w:t xml:space="preserve"> for</w:t>
            </w:r>
            <m:oMath>
              <m:r>
                <w:rPr>
                  <w:rFonts w:ascii="Cambria Math" w:hAnsi="Cambria Math" w:eastAsia="宋体" w:cs="Calibri"/>
                  <w:color w:val="FF0000"/>
                  <w:sz w:val="20"/>
                  <w:szCs w:val="20"/>
                </w:rPr>
                <m:t xml:space="preserve"> μ</m:t>
              </m:r>
              <m:r>
                <m:rPr>
                  <m:sty m:val="p"/>
                </m:rPr>
                <w:rPr>
                  <w:rFonts w:ascii="Cambria Math" w:hAnsi="Cambria Math" w:eastAsia="宋体" w:cs="Calibri"/>
                  <w:color w:val="FF0000"/>
                  <w:sz w:val="20"/>
                  <w:szCs w:val="20"/>
                </w:rPr>
                <m:t>=5</m:t>
              </m:r>
            </m:oMath>
            <w:r>
              <w:rPr>
                <w:rFonts w:ascii="Calibri" w:hAnsi="Calibri" w:eastAsia="宋体" w:cs="Calibri"/>
                <w:b/>
                <w:bCs/>
                <w:color w:val="FF0000"/>
                <w:sz w:val="20"/>
                <w:szCs w:val="20"/>
              </w:rPr>
              <w:t xml:space="preserve">, </w:t>
            </w:r>
            <m:oMath>
              <m:r>
                <w:rPr>
                  <w:rFonts w:ascii="Cambria Math" w:hAnsi="Cambria Math" w:eastAsia="宋体" w:cs="Calibri"/>
                  <w:color w:val="FF0000"/>
                  <w:sz w:val="20"/>
                  <w:szCs w:val="20"/>
                </w:rPr>
                <m:t>X</m:t>
              </m:r>
              <m:r>
                <m:rPr>
                  <m:sty m:val="p"/>
                </m:rPr>
                <w:rPr>
                  <w:rFonts w:ascii="Cambria Math" w:hAnsi="Cambria Math" w:eastAsia="宋体" w:cs="Calibri"/>
                  <w:color w:val="FF0000"/>
                  <w:sz w:val="20"/>
                  <w:szCs w:val="20"/>
                </w:rPr>
                <m:t>=8</m:t>
              </m:r>
            </m:oMath>
            <w:r>
              <w:rPr>
                <w:rFonts w:ascii="Calibri" w:hAnsi="Calibri" w:eastAsia="宋体" w:cs="Calibri"/>
                <w:b/>
                <w:bCs/>
                <w:color w:val="FF0000"/>
                <w:sz w:val="20"/>
                <w:szCs w:val="20"/>
              </w:rPr>
              <w:t xml:space="preserve"> for </w:t>
            </w:r>
            <m:oMath>
              <m:r>
                <w:rPr>
                  <w:rFonts w:ascii="Cambria Math" w:hAnsi="Cambria Math" w:eastAsia="宋体" w:cs="Calibri"/>
                  <w:color w:val="FF0000"/>
                  <w:sz w:val="20"/>
                  <w:szCs w:val="20"/>
                </w:rPr>
                <m:t>μ</m:t>
              </m:r>
              <m:r>
                <m:rPr>
                  <m:sty m:val="p"/>
                </m:rPr>
                <w:rPr>
                  <w:rFonts w:ascii="Cambria Math" w:hAnsi="Cambria Math" w:eastAsia="宋体" w:cs="Calibri"/>
                  <w:color w:val="FF0000"/>
                  <w:sz w:val="20"/>
                  <w:szCs w:val="20"/>
                </w:rPr>
                <m:t>=6</m:t>
              </m:r>
            </m:oMath>
            <w:r>
              <w:rPr>
                <w:rFonts w:ascii="Calibri" w:hAnsi="Calibri" w:eastAsia="宋体" w:cs="Calibri"/>
                <w:b/>
                <w:bCs/>
                <w:color w:val="FF0000"/>
                <w:sz w:val="20"/>
                <w:szCs w:val="20"/>
              </w:rPr>
              <w:t xml:space="preserve">. </w:t>
            </w:r>
            <m:oMath>
              <m:r>
                <w:rPr>
                  <w:rFonts w:ascii="Cambria Math" w:hAnsi="Cambria Math" w:eastAsia="宋体" w:cs="Calibri"/>
                  <w:color w:val="FF0000"/>
                  <w:sz w:val="20"/>
                  <w:szCs w:val="20"/>
                </w:rPr>
                <m:t>X</m:t>
              </m:r>
              <m:r>
                <m:rPr>
                  <m:sty m:val="p"/>
                </m:rPr>
                <w:rPr>
                  <w:rFonts w:ascii="Cambria Math" w:hAnsi="Cambria Math" w:eastAsia="宋体" w:cs="Calibri"/>
                  <w:color w:val="FF0000"/>
                  <w:sz w:val="20"/>
                  <w:szCs w:val="20"/>
                </w:rPr>
                <m:t>=1</m:t>
              </m:r>
            </m:oMath>
            <w:r>
              <w:rPr>
                <w:rFonts w:ascii="Calibri" w:hAnsi="Calibri" w:eastAsia="宋体" w:cs="Calibri"/>
                <w:b/>
                <w:bCs/>
                <w:color w:val="FF0000"/>
                <w:sz w:val="20"/>
                <w:szCs w:val="20"/>
              </w:rPr>
              <w:t xml:space="preserve"> otherwise.</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65"/>
              <w:gridCol w:w="71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shd w:val="clear" w:color="auto" w:fill="E0E0E0"/>
                  <w:vAlign w:val="center"/>
                </w:tcPr>
                <w:p>
                  <w:pPr>
                    <w:keepNext/>
                    <w:keepLines/>
                    <w:jc w:val="center"/>
                    <w:rPr>
                      <w:rFonts w:ascii="Calibri" w:hAnsi="Calibri" w:eastAsia="宋体" w:cs="Calibri"/>
                      <w:b/>
                      <w:sz w:val="20"/>
                      <w:szCs w:val="20"/>
                      <w:lang w:val="en-GB"/>
                    </w:rPr>
                  </w:pPr>
                  <m:oMathPara>
                    <m:oMath>
                      <m:r>
                        <m:rPr>
                          <m:sty m:val="bi"/>
                        </m:rPr>
                        <w:rPr>
                          <w:rFonts w:ascii="Cambria Math" w:hAnsi="Cambria Math" w:eastAsia="宋体" w:cs="Calibri"/>
                          <w:sz w:val="20"/>
                          <w:szCs w:val="20"/>
                          <w:lang w:val="en-GB"/>
                        </w:rPr>
                        <m:t>μ</m:t>
                      </m:r>
                    </m:oMath>
                  </m:oMathPara>
                </w:p>
              </w:tc>
              <w:tc>
                <w:tcPr>
                  <w:tcW w:w="7170" w:type="dxa"/>
                  <w:shd w:val="clear" w:color="auto" w:fill="E0E0E0"/>
                  <w:vAlign w:val="center"/>
                </w:tcPr>
                <w:p>
                  <w:pPr>
                    <w:keepNext/>
                    <w:keepLines/>
                    <w:jc w:val="center"/>
                    <w:rPr>
                      <w:rFonts w:ascii="Calibri" w:hAnsi="Calibri" w:eastAsia="宋体" w:cs="Calibri"/>
                      <w:b/>
                      <w:sz w:val="20"/>
                      <w:szCs w:val="20"/>
                      <w:lang w:val="en-GB"/>
                    </w:rPr>
                  </w:pPr>
                  <w:r>
                    <w:rPr>
                      <w:rFonts w:ascii="Calibri" w:hAnsi="Calibri" w:eastAsia="宋体" w:cs="Calibri"/>
                      <w:b/>
                      <w:sz w:val="20"/>
                      <w:szCs w:val="20"/>
                      <w:lang w:val="en-GB"/>
                    </w:rPr>
                    <w:t>Maximum number of non-overlapped CCEs per</w:t>
                  </w:r>
                  <w:r>
                    <w:rPr>
                      <w:rFonts w:ascii="Calibri" w:hAnsi="Calibri" w:eastAsia="宋体" w:cs="Calibri"/>
                      <w:b/>
                      <w:color w:val="FF0000"/>
                      <w:sz w:val="20"/>
                      <w:szCs w:val="20"/>
                      <w:lang w:val="en-GB"/>
                    </w:rPr>
                    <w:t xml:space="preserve"> </w:t>
                  </w:r>
                  <m:oMath>
                    <m:r>
                      <w:rPr>
                        <w:rFonts w:ascii="Cambria Math" w:hAnsi="Cambria Math" w:eastAsia="宋体" w:cs="Calibri"/>
                        <w:color w:val="FF0000"/>
                        <w:sz w:val="20"/>
                        <w:szCs w:val="20"/>
                      </w:rPr>
                      <m:t>X</m:t>
                    </m:r>
                  </m:oMath>
                  <w:r>
                    <w:rPr>
                      <w:rFonts w:ascii="Calibri" w:hAnsi="Calibri" w:eastAsia="宋体" w:cs="Calibri"/>
                      <w:b/>
                      <w:sz w:val="20"/>
                      <w:szCs w:val="20"/>
                      <w:lang w:val="en-GB"/>
                    </w:rPr>
                    <w:t xml:space="preserve"> slot</w:t>
                  </w:r>
                  <w:r>
                    <w:rPr>
                      <w:rFonts w:ascii="Calibri" w:hAnsi="Calibri" w:eastAsia="宋体" w:cs="Calibri"/>
                      <w:b/>
                      <w:color w:val="FF0000"/>
                      <w:sz w:val="20"/>
                      <w:szCs w:val="20"/>
                      <w:lang w:val="en-GB"/>
                    </w:rPr>
                    <w:t>(s)</w:t>
                  </w:r>
                  <w:r>
                    <w:rPr>
                      <w:rFonts w:ascii="Calibri" w:hAnsi="Calibri" w:eastAsia="宋体" w:cs="Calibri"/>
                      <w:b/>
                      <w:sz w:val="20"/>
                      <w:szCs w:val="20"/>
                      <w:lang w:val="en-GB"/>
                    </w:rPr>
                    <w:t xml:space="preserve"> and per serving cell </w:t>
                  </w:r>
                  <m:oMath>
                    <m:sSubSup>
                      <m:sSubSupPr>
                        <m:ctrlPr>
                          <w:rPr>
                            <w:rFonts w:ascii="Cambria Math" w:hAnsi="Cambria Math" w:eastAsia="宋体" w:cs="Calibri"/>
                            <w:b/>
                            <w:bCs/>
                            <w:i/>
                            <w:sz w:val="20"/>
                            <w:szCs w:val="20"/>
                          </w:rPr>
                        </m:ctrlPr>
                      </m:sSubSupPr>
                      <m:e>
                        <m:r>
                          <w:rPr>
                            <w:rFonts w:ascii="Cambria Math" w:hAnsi="Cambria Math" w:eastAsia="宋体" w:cs="Calibri"/>
                            <w:sz w:val="20"/>
                            <w:szCs w:val="20"/>
                          </w:rPr>
                          <m:t>C</m:t>
                        </m:r>
                        <m:ctrlPr>
                          <w:rPr>
                            <w:rFonts w:ascii="Cambria Math" w:hAnsi="Cambria Math" w:eastAsia="宋体" w:cs="Calibri"/>
                            <w:b/>
                            <w:bCs/>
                            <w:i/>
                            <w:sz w:val="20"/>
                            <w:szCs w:val="20"/>
                          </w:rPr>
                        </m:ctrlPr>
                      </m:e>
                      <m:sub>
                        <m:r>
                          <m:rPr>
                            <m:nor/>
                            <m:sty m:val="p"/>
                          </m:rPr>
                          <w:rPr>
                            <w:rFonts w:ascii="Calibri" w:hAnsi="Calibri" w:eastAsia="宋体" w:cs="Calibri"/>
                            <w:bCs/>
                            <w:sz w:val="20"/>
                            <w:szCs w:val="20"/>
                          </w:rPr>
                          <m:t>PDCCH</m:t>
                        </m:r>
                        <m:ctrlPr>
                          <w:rPr>
                            <w:rFonts w:ascii="Cambria Math" w:hAnsi="Cambria Math" w:eastAsia="宋体" w:cs="Calibri"/>
                            <w:b/>
                            <w:bCs/>
                            <w:i/>
                            <w:sz w:val="20"/>
                            <w:szCs w:val="20"/>
                          </w:rPr>
                        </m:ctrlPr>
                      </m:sub>
                      <m:sup>
                        <m:r>
                          <m:rPr>
                            <m:nor/>
                            <m:sty m:val="p"/>
                          </m:rPr>
                          <w:rPr>
                            <w:rFonts w:ascii="Calibri" w:hAnsi="Calibri" w:eastAsia="宋体" w:cs="Calibri"/>
                            <w:bCs/>
                            <w:sz w:val="20"/>
                            <w:szCs w:val="20"/>
                          </w:rPr>
                          <m:t>max</m:t>
                        </m:r>
                        <m:r>
                          <m:rPr>
                            <m:sty m:val="bi"/>
                          </m:rPr>
                          <w:rPr>
                            <w:rFonts w:ascii="Cambria Math" w:hAnsi="Cambria Math" w:eastAsia="宋体" w:cs="Calibri"/>
                            <w:sz w:val="20"/>
                            <w:szCs w:val="20"/>
                          </w:rPr>
                          <m:t>,</m:t>
                        </m:r>
                        <m:r>
                          <m:rPr>
                            <m:nor/>
                            <m:sty m:val="p"/>
                          </m:rPr>
                          <w:rPr>
                            <w:rFonts w:ascii="Calibri" w:hAnsi="Calibri" w:eastAsia="宋体" w:cs="Calibri"/>
                            <w:bCs/>
                            <w:sz w:val="20"/>
                            <w:szCs w:val="20"/>
                          </w:rPr>
                          <m:t>slot</m:t>
                        </m:r>
                        <m:r>
                          <m:rPr>
                            <m:sty m:val="bi"/>
                          </m:rPr>
                          <w:rPr>
                            <w:rFonts w:ascii="Cambria Math" w:hAnsi="Cambria Math" w:eastAsia="宋体" w:cs="Calibri"/>
                            <w:sz w:val="20"/>
                            <w:szCs w:val="20"/>
                          </w:rPr>
                          <m:t>,μ</m:t>
                        </m:r>
                        <m:ctrlPr>
                          <w:rPr>
                            <w:rFonts w:ascii="Cambria Math" w:hAnsi="Cambria Math" w:eastAsia="宋体" w:cs="Calibri"/>
                            <w:b/>
                            <w:bCs/>
                            <w:i/>
                            <w:sz w:val="20"/>
                            <w:szCs w:val="20"/>
                          </w:rPr>
                        </m:ctrlPr>
                      </m:sup>
                    </m:sSubSup>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0</w:t>
                  </w:r>
                </w:p>
              </w:tc>
              <w:tc>
                <w:tcPr>
                  <w:tcW w:w="717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1</w:t>
                  </w:r>
                </w:p>
              </w:tc>
              <w:tc>
                <w:tcPr>
                  <w:tcW w:w="717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2</w:t>
                  </w:r>
                </w:p>
              </w:tc>
              <w:tc>
                <w:tcPr>
                  <w:tcW w:w="717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3</w:t>
                  </w:r>
                </w:p>
              </w:tc>
              <w:tc>
                <w:tcPr>
                  <w:tcW w:w="7170" w:type="dxa"/>
                  <w:vAlign w:val="center"/>
                </w:tcPr>
                <w:p>
                  <w:pPr>
                    <w:keepNext/>
                    <w:keepLines/>
                    <w:jc w:val="center"/>
                    <w:rPr>
                      <w:rFonts w:ascii="Calibri" w:hAnsi="Calibri" w:eastAsia="宋体" w:cs="Calibri"/>
                      <w:sz w:val="20"/>
                      <w:szCs w:val="20"/>
                      <w:lang w:val="en-GB"/>
                    </w:rPr>
                  </w:pPr>
                  <w:r>
                    <w:rPr>
                      <w:rFonts w:ascii="Calibri" w:hAnsi="Calibri" w:eastAsia="宋体" w:cs="Calibri"/>
                      <w:sz w:val="20"/>
                      <w:szCs w:val="20"/>
                      <w:lang w:val="en-GB"/>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5</w:t>
                  </w:r>
                </w:p>
              </w:tc>
              <w:tc>
                <w:tcPr>
                  <w:tcW w:w="7170"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1465"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6</w:t>
                  </w:r>
                </w:p>
              </w:tc>
              <w:tc>
                <w:tcPr>
                  <w:tcW w:w="7170" w:type="dxa"/>
                  <w:vAlign w:val="center"/>
                </w:tcPr>
                <w:p>
                  <w:pPr>
                    <w:keepNext/>
                    <w:keepLines/>
                    <w:jc w:val="center"/>
                    <w:rPr>
                      <w:rFonts w:ascii="Calibri" w:hAnsi="Calibri" w:eastAsia="宋体" w:cs="Calibri"/>
                      <w:color w:val="FF0000"/>
                      <w:sz w:val="20"/>
                      <w:szCs w:val="20"/>
                      <w:lang w:val="en-GB"/>
                    </w:rPr>
                  </w:pPr>
                  <w:r>
                    <w:rPr>
                      <w:rFonts w:ascii="Calibri" w:hAnsi="Calibri" w:eastAsia="宋体" w:cs="Calibri"/>
                      <w:color w:val="FF0000"/>
                      <w:sz w:val="20"/>
                      <w:szCs w:val="20"/>
                      <w:lang w:val="en-GB"/>
                    </w:rPr>
                    <w:t>32</w:t>
                  </w:r>
                </w:p>
              </w:tc>
            </w:tr>
          </w:tbl>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The BD and CCE budgets for multi-slot PDCCH monitoring are defined within the Y consecutive slots per slot group. The maximum number of PDCCH candidates and non-overlapped CCEs per X slots for 480 kHz and 960 kHz SCSs is the same as for 120 kHz SCS with slot-level PDCCH monitoring.</w:t>
            </w:r>
          </w:p>
          <w:p>
            <w:pPr>
              <w:pStyle w:val="73"/>
              <w:widowControl w:val="0"/>
              <w:autoSpaceDE w:val="0"/>
              <w:autoSpaceDN w:val="0"/>
              <w:adjustRightInd w:val="0"/>
              <w:spacing w:before="120" w:beforeLines="50" w:after="240" w:line="240" w:lineRule="auto"/>
              <w:ind w:left="0"/>
              <w:contextualSpacing/>
              <w:jc w:val="both"/>
              <w:rPr>
                <w:b/>
                <w:i/>
                <w:color w:val="000000"/>
              </w:rPr>
            </w:pP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For UE with multi-slot PDCCH monitoring capability, NB should ensure the number of monitored PDCCH candidates and non-overlapped CCEs for configured CSS sets and all search spaces on secondary cell not exceeding the maximum number per X slots.</w:t>
            </w:r>
          </w:p>
          <w:p>
            <w:pPr>
              <w:widowControl/>
              <w:rPr>
                <w:rFonts w:eastAsia="宋体"/>
              </w:rPr>
            </w:pPr>
            <w:r>
              <w:rPr>
                <w:rFonts w:eastAsia="宋体"/>
              </w:rPr>
              <w:t xml:space="preserve">Suppose that the maximum number of PDCCH candidates/CCEs are defined per X slots </w:t>
            </w:r>
            <w:r>
              <w:rPr>
                <w:rFonts w:eastAsia="宋体"/>
                <w:color w:val="000000"/>
              </w:rPr>
              <w:t xml:space="preserve">(as shown in </w:t>
            </w:r>
            <w:r>
              <w:rPr>
                <w:rFonts w:eastAsia="宋体"/>
                <w:color w:val="000000"/>
              </w:rPr>
              <w:fldChar w:fldCharType="begin"/>
            </w:r>
            <w:r>
              <w:rPr>
                <w:rFonts w:eastAsia="宋体"/>
                <w:color w:val="000000"/>
              </w:rPr>
              <w:instrText xml:space="preserve"> REF _Ref78227753 \h  \* MERGEFORMAT </w:instrText>
            </w:r>
            <w:r>
              <w:rPr>
                <w:rFonts w:eastAsia="宋体"/>
                <w:color w:val="000000"/>
              </w:rPr>
              <w:fldChar w:fldCharType="separate"/>
            </w:r>
            <w:r>
              <w:rPr>
                <w:rFonts w:eastAsia="宋体"/>
                <w:b/>
                <w:bCs/>
              </w:rPr>
              <w:t>Table 3</w:t>
            </w:r>
            <w:r>
              <w:rPr>
                <w:rFonts w:eastAsia="宋体"/>
                <w:color w:val="000000"/>
              </w:rPr>
              <w:fldChar w:fldCharType="end"/>
            </w:r>
            <w:r>
              <w:rPr>
                <w:rFonts w:eastAsia="宋体"/>
                <w:color w:val="000000"/>
              </w:rPr>
              <w:t xml:space="preserve"> and </w:t>
            </w:r>
            <w:r>
              <w:rPr>
                <w:rFonts w:eastAsia="宋体"/>
                <w:color w:val="000000"/>
              </w:rPr>
              <w:fldChar w:fldCharType="begin"/>
            </w:r>
            <w:r>
              <w:rPr>
                <w:rFonts w:eastAsia="宋体"/>
                <w:color w:val="000000"/>
              </w:rPr>
              <w:instrText xml:space="preserve"> REF _Ref78227760 \h  \* MERGEFORMAT </w:instrText>
            </w:r>
            <w:r>
              <w:rPr>
                <w:rFonts w:eastAsia="宋体"/>
                <w:color w:val="000000"/>
              </w:rPr>
              <w:fldChar w:fldCharType="separate"/>
            </w:r>
            <w:r>
              <w:rPr>
                <w:rFonts w:eastAsia="宋体"/>
                <w:b/>
                <w:bCs/>
              </w:rPr>
              <w:t>Table 4</w:t>
            </w:r>
            <w:r>
              <w:rPr>
                <w:rFonts w:eastAsia="宋体"/>
                <w:color w:val="000000"/>
              </w:rPr>
              <w:fldChar w:fldCharType="end"/>
            </w:r>
            <w:r>
              <w:rPr>
                <w:rFonts w:eastAsia="宋体"/>
                <w:color w:val="000000"/>
              </w:rPr>
              <w:t xml:space="preserve">) such that </w:t>
            </w:r>
            <w:r>
              <w:rPr>
                <w:rFonts w:eastAsia="宋体"/>
              </w:rPr>
              <w:t xml:space="preserve">the maximum number of PDCCH candidates/CCEs per X slots for 480/960 kHz SCS is the same as that per slot for 120 kHz SCS. Then, the Rel-15/16 overbooking rule for PCell with respect to a slot can be directly extended to multi-slot monitoring for 480/960 kHz SCS. The number of PDCCH candidates and non-overlapped CCE for a search space across all monitoring occasions in Y slots of X-slot pattern will be accumulated as a whole. If the number of monitored PDCCH candidates and non-overlapped CCE exceeding the maximum numbers per X-slot after SS </w:t>
            </w:r>
            <w:r>
              <w:rPr>
                <w:rFonts w:eastAsia="宋体"/>
                <w:i/>
              </w:rPr>
              <w:t>j</w:t>
            </w:r>
            <w:r>
              <w:rPr>
                <w:rFonts w:eastAsia="宋体"/>
              </w:rPr>
              <w:t xml:space="preserve"> is added, all PDCCH candidates for UE-SS </w:t>
            </w:r>
            <w:r>
              <w:rPr>
                <w:rFonts w:eastAsia="宋体"/>
                <w:i/>
              </w:rPr>
              <w:t xml:space="preserve">k with k&gt;=j </w:t>
            </w:r>
            <w:r>
              <w:rPr>
                <w:rFonts w:eastAsia="宋体"/>
              </w:rPr>
              <w:t>across the Y slots will be dropped.</w:t>
            </w:r>
          </w:p>
          <w:p>
            <w:pPr>
              <w:pStyle w:val="73"/>
              <w:widowControl w:val="0"/>
              <w:numPr>
                <w:ilvl w:val="0"/>
                <w:numId w:val="26"/>
              </w:numPr>
              <w:autoSpaceDE w:val="0"/>
              <w:autoSpaceDN w:val="0"/>
              <w:adjustRightInd w:val="0"/>
              <w:spacing w:before="120" w:beforeLines="50" w:after="240" w:line="240" w:lineRule="auto"/>
              <w:contextualSpacing/>
              <w:jc w:val="both"/>
              <w:rPr>
                <w:b/>
                <w:i/>
                <w:color w:val="000000"/>
              </w:rPr>
            </w:pPr>
            <w:r>
              <w:rPr>
                <w:b/>
                <w:i/>
                <w:color w:val="000000"/>
              </w:rPr>
              <w:t>All PDCCH candidates for UE-SS k with k&gt;=j across the Y slots will be dropped if the number of monitored PDCCH candidates and non-overlapped CCE exceeding the maximum numbers per X-slot after SS j is added.</w:t>
            </w:r>
          </w:p>
          <w:p>
            <w:pPr>
              <w:widowControl w:val="0"/>
              <w:snapToGrid/>
              <w:spacing w:after="180" w:line="240" w:lineRule="auto"/>
              <w:contextualSpacing/>
              <w:jc w:val="both"/>
            </w:pPr>
          </w:p>
        </w:tc>
      </w:tr>
    </w:tbl>
    <w:p>
      <w:pPr>
        <w:rPr>
          <w:lang w:eastAsia="zh-CN"/>
        </w:rPr>
      </w:pPr>
    </w:p>
    <w:p>
      <w:pPr>
        <w:pStyle w:val="4"/>
        <w:jc w:val="both"/>
        <w:rPr>
          <w:lang w:val="en-GB" w:eastAsia="zh-CN"/>
        </w:rPr>
      </w:pPr>
      <w:r>
        <w:rPr>
          <w:lang w:val="en-GB" w:eastAsia="zh-CN"/>
        </w:rPr>
        <w:t>R1-2108783 (Futurewei)</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rPr>
                <w:bCs/>
              </w:rPr>
            </w:pPr>
            <w:r>
              <w:rPr>
                <w:bCs/>
              </w:rPr>
              <w:t xml:space="preserve">A gNB can configure the UE with several PDCCH candidates/CCEs per slot that exceeds the UE capability, which is referred to as overbooking. As specified in TS 38.213 “A UE does not expect to be configured CSS sets that result to corresponding total, or per scheduled cell, numbers of monitored PDCCH candidates and non-overlapped CCEs per slot or per span that exceed the corresponding maximum numbers per slot or per span, respectively.”  In Rel 15 the monitoring capability is defined per slot, in Rel 16 the monitoring capability per span is added, where the span length ls shorter than a slot. The monitoring capability is defined by </w:t>
            </w:r>
            <w:r>
              <w:rPr>
                <w:i/>
              </w:rPr>
              <w:t xml:space="preserve">monitoringCapabilityConfig </w:t>
            </w:r>
            <w:r>
              <w:rPr>
                <w:iCs/>
              </w:rPr>
              <w:t>for a serving cell.</w:t>
            </w:r>
          </w:p>
          <w:p>
            <w:pPr>
              <w:widowControl w:val="0"/>
              <w:rPr>
                <w:iCs/>
              </w:rPr>
            </w:pPr>
            <w:r>
              <w:rPr>
                <w:iCs/>
              </w:rPr>
              <w:t>For multi-slot PDCCH monitoring it is expected that UE maps the PDCCH candidates using the Y span, where the span may be larger than one slot. Reusing the existing approach for overbooking rules is a natural choice.</w:t>
            </w:r>
          </w:p>
          <w:p>
            <w:pPr>
              <w:widowControl w:val="0"/>
              <w:rPr>
                <w:b/>
                <w:bCs/>
                <w:iCs/>
              </w:rPr>
            </w:pPr>
            <w:r>
              <w:rPr>
                <w:b/>
                <w:bCs/>
                <w:iCs/>
              </w:rPr>
              <w:t xml:space="preserve">Proposal 6: Reuse the Rel-15/16 overbooking rules when </w:t>
            </w:r>
            <w:r>
              <w:rPr>
                <w:b/>
                <w:bCs/>
              </w:rPr>
              <w:t>PDCCH candidates/CCEs exceeds either of the UE processing limits</w:t>
            </w:r>
            <w:r>
              <w:rPr>
                <w:b/>
                <w:bCs/>
                <w:iCs/>
              </w:rPr>
              <w:t xml:space="preserve"> per span.</w:t>
            </w:r>
          </w:p>
          <w:p>
            <w:pPr>
              <w:pStyle w:val="94"/>
              <w:widowControl w:val="0"/>
              <w:spacing w:after="120" w:line="240" w:lineRule="auto"/>
              <w:ind w:left="0" w:firstLine="0"/>
              <w:jc w:val="both"/>
              <w:rPr>
                <w:b/>
                <w:bCs/>
                <w:i/>
                <w:sz w:val="22"/>
                <w:szCs w:val="22"/>
                <w:lang w:val="en-US" w:eastAsia="zh-CN"/>
              </w:rPr>
            </w:pPr>
          </w:p>
        </w:tc>
      </w:tr>
    </w:tbl>
    <w:p>
      <w:pPr>
        <w:rPr>
          <w:lang w:eastAsia="zh-CN"/>
        </w:rPr>
      </w:pPr>
    </w:p>
    <w:p>
      <w:pPr>
        <w:pStyle w:val="4"/>
        <w:jc w:val="both"/>
        <w:rPr>
          <w:lang w:val="en-GB" w:eastAsia="zh-CN"/>
        </w:rPr>
      </w:pPr>
      <w:r>
        <w:rPr>
          <w:lang w:val="en-GB" w:eastAsia="zh-CN"/>
        </w:rPr>
        <w:t>R1-2108887 (Transsion Holdings)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bCs/>
                <w:iCs/>
                <w:szCs w:val="20"/>
                <w:lang w:eastAsia="zh-CN"/>
              </w:rPr>
            </w:pPr>
            <w:r>
              <w:rPr>
                <w:rFonts w:hint="eastAsia"/>
                <w:bCs/>
                <w:iCs/>
                <w:szCs w:val="20"/>
                <w:lang w:eastAsia="zh-CN"/>
              </w:rPr>
              <w:t>The BD/CCE budget is closely related to the values of X in multi-slot PDCCH monitoring. W</w:t>
            </w:r>
            <w:r>
              <w:rPr>
                <w:rFonts w:hint="eastAsia"/>
                <w:szCs w:val="20"/>
                <w:lang w:eastAsia="zh-CN"/>
              </w:rPr>
              <w:t xml:space="preserve">hen the value of X can be 4 </w:t>
            </w:r>
            <w:r>
              <w:rPr>
                <w:rFonts w:hint="eastAsia"/>
                <w:bCs/>
                <w:iCs/>
                <w:szCs w:val="20"/>
                <w:lang w:eastAsia="zh-CN"/>
              </w:rPr>
              <w:t xml:space="preserve">or 8 </w:t>
            </w:r>
            <w:r>
              <w:rPr>
                <w:rFonts w:hint="eastAsia"/>
                <w:szCs w:val="20"/>
                <w:lang w:eastAsia="zh-CN"/>
              </w:rPr>
              <w:t xml:space="preserve">for </w:t>
            </w:r>
            <w:r>
              <w:rPr>
                <w:rFonts w:hint="eastAsia"/>
                <w:bCs/>
                <w:iCs/>
                <w:szCs w:val="20"/>
                <w:lang w:eastAsia="zh-CN"/>
              </w:rPr>
              <w:t>480kHz SCS or 960kHz SCS respectively, t</w:t>
            </w:r>
            <w:r>
              <w:rPr>
                <w:rFonts w:hint="eastAsia"/>
                <w:szCs w:val="20"/>
                <w:lang w:eastAsia="zh-CN"/>
              </w:rPr>
              <w:t xml:space="preserve">he duration of one slot group is equal to that of one slot with 120kHz SCS. In order to maintain the same PDCCH monitoring complexity as in 120kHz SCS, the same maximum number of monitored PDCCH candidates and non-overlapped CCEs can be applied to multi-slot PDCCH monitoring. Regarding X=2 </w:t>
            </w:r>
            <w:r>
              <w:rPr>
                <w:rFonts w:hint="eastAsia"/>
                <w:bCs/>
                <w:iCs/>
                <w:szCs w:val="20"/>
                <w:lang w:eastAsia="zh-CN"/>
              </w:rPr>
              <w:t>for 480kHz SCS or X=4 for 960kHz SCS,</w:t>
            </w:r>
            <w:r>
              <w:rPr>
                <w:rFonts w:hint="eastAsia"/>
                <w:szCs w:val="20"/>
                <w:lang w:eastAsia="zh-CN"/>
              </w:rPr>
              <w:t xml:space="preserve"> the maximum number of monitored PDCCH candidates and non-overlapped CCEs can be scaled down to half. </w:t>
            </w:r>
          </w:p>
          <w:p>
            <w:pPr>
              <w:widowControl w:val="0"/>
              <w:jc w:val="center"/>
              <w:rPr>
                <w:b/>
                <w:bCs/>
                <w:iCs/>
                <w:szCs w:val="20"/>
                <w:lang w:eastAsia="zh-CN"/>
              </w:rPr>
            </w:pPr>
            <w:bookmarkStart w:id="126" w:name="_Ref78227753"/>
            <w:r>
              <w:rPr>
                <w:b/>
                <w:bCs/>
              </w:rPr>
              <w:t xml:space="preserve">Table </w:t>
            </w:r>
            <w:bookmarkEnd w:id="126"/>
            <w:r>
              <w:rPr>
                <w:rFonts w:hint="eastAsia"/>
                <w:b/>
                <w:bCs/>
                <w:lang w:eastAsia="zh-CN"/>
              </w:rPr>
              <w:t>1</w:t>
            </w:r>
            <w:r>
              <w:rPr>
                <w:b/>
                <w:bCs/>
              </w:rPr>
              <w:t xml:space="preserve">. Maximum number </w:t>
            </w:r>
            <m:oMath>
              <m:sSubSup>
                <m:sSubSupPr>
                  <m:ctrlPr>
                    <w:rPr>
                      <w:rFonts w:ascii="Cambria Math" w:hAnsi="Cambria Math"/>
                      <w:b/>
                      <w:bCs/>
                      <w:i/>
                      <w:sz w:val="18"/>
                      <w:szCs w:val="18"/>
                      <w:lang w:eastAsia="zh-CN"/>
                    </w:rPr>
                  </m:ctrlPr>
                </m:sSubSupPr>
                <m:e>
                  <m:r>
                    <m:rPr>
                      <m:sty m:val="bi"/>
                    </m:rPr>
                    <w:rPr>
                      <w:rFonts w:ascii="Cambria Math" w:hAnsi="Cambria Math"/>
                      <w:lang w:eastAsia="zh-CN"/>
                    </w:rPr>
                    <m:t>M</m:t>
                  </m:r>
                  <m:ctrlPr>
                    <w:rPr>
                      <w:rFonts w:ascii="Cambria Math" w:hAnsi="Cambria Math"/>
                      <w:b/>
                      <w:bCs/>
                      <w:i/>
                      <w:sz w:val="18"/>
                      <w:szCs w:val="18"/>
                      <w:lang w:eastAsia="zh-CN"/>
                    </w:rPr>
                  </m:ctrlPr>
                </m:e>
                <m:sub>
                  <m:r>
                    <m:rPr>
                      <m:sty m:val="b"/>
                    </m:rPr>
                    <w:rPr>
                      <w:rFonts w:ascii="Cambria Math" w:hAnsi="Cambria Math"/>
                      <w:lang w:eastAsia="zh-CN"/>
                    </w:rPr>
                    <m:t>PDCCH</m:t>
                  </m:r>
                  <m:ctrlPr>
                    <w:rPr>
                      <w:rFonts w:ascii="Cambria Math" w:hAnsi="Cambria Math"/>
                      <w:b/>
                      <w:bCs/>
                      <w:i/>
                      <w:sz w:val="18"/>
                      <w:szCs w:val="18"/>
                      <w:lang w:eastAsia="zh-CN"/>
                    </w:rPr>
                  </m:ctrlPr>
                </m:sub>
                <m:sup>
                  <m:r>
                    <m:rPr>
                      <m:sty m:val="bi"/>
                    </m:rPr>
                    <w:rPr>
                      <w:rFonts w:ascii="Cambria Math" w:hAnsi="Cambria Math"/>
                      <w:lang w:eastAsia="zh-CN"/>
                    </w:rPr>
                    <m:t>max,slot,μ</m:t>
                  </m:r>
                  <m:ctrlPr>
                    <w:rPr>
                      <w:rFonts w:ascii="Cambria Math" w:hAnsi="Cambria Math"/>
                      <w:b/>
                      <w:bCs/>
                      <w:i/>
                      <w:sz w:val="18"/>
                      <w:szCs w:val="18"/>
                      <w:lang w:eastAsia="zh-CN"/>
                    </w:rPr>
                  </m:ctrlPr>
                </m:sup>
              </m:sSubSup>
            </m:oMath>
            <w:r>
              <w:rPr>
                <w:b/>
                <w:bCs/>
              </w:rPr>
              <w:t xml:space="preserve"> of monitored PDCCH candidates per</w:t>
            </w:r>
            <w:r>
              <w:rPr>
                <w:b/>
                <w:bCs/>
                <w:color w:val="FF0000"/>
              </w:rPr>
              <w:t xml:space="preserve"> </w:t>
            </w:r>
            <w:r>
              <w:rPr>
                <w:b/>
                <w:bCs/>
              </w:rPr>
              <w:t>X slots for a DL BWP with SCS configuration</w:t>
            </w:r>
            <w:r>
              <w:rPr>
                <w:rFonts w:hint="eastAsia"/>
                <w:b/>
                <w:bCs/>
                <w:lang w:eastAsia="zh-CN"/>
              </w:rPr>
              <w:t xml:space="preserve"> </w:t>
            </w:r>
            <w:r>
              <w:rPr>
                <w:rFonts w:hint="eastAsia"/>
                <w:b/>
                <w:bCs/>
                <w:position w:val="-10"/>
                <w:lang w:eastAsia="zh-CN"/>
              </w:rPr>
              <w:object>
                <v:shape id="_x0000_i1039" o:spt="75" type="#_x0000_t75" style="height:16.4pt;width:44.35pt;" o:ole="t" filled="f" o:preferrelative="t" stroked="f" coordsize="21600,21600">
                  <v:path/>
                  <v:fill on="f" focussize="0,0"/>
                  <v:stroke on="f" joinstyle="miter"/>
                  <v:imagedata r:id="rId47" o:title=""/>
                  <o:lock v:ext="edit" aspectratio="t"/>
                  <w10:wrap type="none"/>
                  <w10:anchorlock/>
                </v:shape>
                <o:OLEObject Type="Embed" ProgID="Equation.3" ShapeID="_x0000_i1039" DrawAspect="Content" ObjectID="_1468075739" r:id="rId46">
                  <o:LockedField>false</o:LockedField>
                </o:OLEObject>
              </w:object>
            </w:r>
            <w:r>
              <w:rPr>
                <w:b/>
                <w:bCs/>
              </w:rPr>
              <w:t xml:space="preserve"> for a single serving cell.</w:t>
            </w:r>
          </w:p>
          <w:tbl>
            <w:tblPr>
              <w:tblStyle w:val="52"/>
              <w:tblW w:w="95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80"/>
              <w:gridCol w:w="2381"/>
              <w:gridCol w:w="2381"/>
              <w:gridCol w:w="2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380" w:type="dxa"/>
                  <w:vMerge w:val="restart"/>
                  <w:vAlign w:val="center"/>
                </w:tcPr>
                <w:p>
                  <w:pPr>
                    <w:pStyle w:val="81"/>
                    <w:widowControl w:val="0"/>
                    <w:rPr>
                      <w:b w:val="0"/>
                      <w:bCs/>
                      <w:iCs/>
                      <w:sz w:val="24"/>
                      <w:szCs w:val="28"/>
                      <w:lang w:val="en-US" w:eastAsia="zh-CN"/>
                    </w:rPr>
                  </w:pPr>
                  <m:oMathPara>
                    <m:oMath>
                      <m:r>
                        <m:rPr>
                          <m:sty m:val="bi"/>
                        </m:rPr>
                        <w:rPr>
                          <w:rFonts w:ascii="Cambria Math" w:hAnsi="Cambria Math"/>
                          <w:sz w:val="24"/>
                          <w:szCs w:val="28"/>
                          <w:lang w:eastAsia="zh-CN"/>
                        </w:rPr>
                        <m:t>μ</m:t>
                      </m:r>
                    </m:oMath>
                  </m:oMathPara>
                </w:p>
              </w:tc>
              <w:tc>
                <w:tcPr>
                  <w:tcW w:w="7128" w:type="dxa"/>
                  <w:gridSpan w:val="3"/>
                  <w:vAlign w:val="center"/>
                </w:tcPr>
                <w:p>
                  <w:pPr>
                    <w:widowControl w:val="0"/>
                    <w:jc w:val="center"/>
                    <w:rPr>
                      <w:b/>
                      <w:bCs/>
                    </w:rPr>
                  </w:pPr>
                  <w:r>
                    <w:rPr>
                      <w:b/>
                      <w:bCs/>
                    </w:rPr>
                    <w:t xml:space="preserve">Maximum number of monitored PDCCH candidates per X slots and per serving cell </w:t>
                  </w:r>
                  <m:oMath>
                    <m:sSubSup>
                      <m:sSubSupPr>
                        <m:ctrlPr>
                          <w:rPr>
                            <w:rFonts w:ascii="Cambria Math" w:hAnsi="Cambria Math"/>
                            <w:b/>
                            <w:bCs/>
                            <w:i/>
                            <w:sz w:val="24"/>
                            <w:szCs w:val="24"/>
                            <w:lang w:eastAsia="zh-CN"/>
                          </w:rPr>
                        </m:ctrlPr>
                      </m:sSubSupPr>
                      <m:e>
                        <m:r>
                          <m:rPr>
                            <m:sty m:val="bi"/>
                          </m:rPr>
                          <w:rPr>
                            <w:rFonts w:ascii="Cambria Math" w:hAnsi="Cambria Math"/>
                            <w:lang w:eastAsia="zh-CN"/>
                          </w:rPr>
                          <m:t>M</m:t>
                        </m:r>
                        <m:ctrlPr>
                          <w:rPr>
                            <w:rFonts w:ascii="Cambria Math" w:hAnsi="Cambria Math"/>
                            <w:b/>
                            <w:bCs/>
                            <w:i/>
                            <w:sz w:val="24"/>
                            <w:szCs w:val="24"/>
                            <w:lang w:eastAsia="zh-CN"/>
                          </w:rPr>
                        </m:ctrlPr>
                      </m:e>
                      <m:sub>
                        <m:r>
                          <m:rPr>
                            <m:sty m:val="b"/>
                          </m:rPr>
                          <w:rPr>
                            <w:rFonts w:ascii="Cambria Math" w:hAnsi="Cambria Math"/>
                            <w:lang w:eastAsia="zh-CN"/>
                          </w:rPr>
                          <m:t>PDCCH</m:t>
                        </m:r>
                        <m:ctrlPr>
                          <w:rPr>
                            <w:rFonts w:ascii="Cambria Math" w:hAnsi="Cambria Math"/>
                            <w:b/>
                            <w:bCs/>
                            <w:i/>
                            <w:sz w:val="24"/>
                            <w:szCs w:val="24"/>
                            <w:lang w:eastAsia="zh-CN"/>
                          </w:rPr>
                        </m:ctrlPr>
                      </m:sub>
                      <m:sup>
                        <m:r>
                          <m:rPr>
                            <m:sty m:val="bi"/>
                          </m:rPr>
                          <w:rPr>
                            <w:rFonts w:ascii="Cambria Math" w:hAnsi="Cambria Math"/>
                            <w:lang w:eastAsia="zh-CN"/>
                          </w:rPr>
                          <m:t>max,slot,μ</m:t>
                        </m:r>
                        <m:ctrlPr>
                          <w:rPr>
                            <w:rFonts w:ascii="Cambria Math" w:hAnsi="Cambria Math"/>
                            <w:b/>
                            <w:bCs/>
                            <w:i/>
                            <w:sz w:val="24"/>
                            <w:szCs w:val="24"/>
                            <w:lang w:eastAsia="zh-CN"/>
                          </w:rPr>
                        </m:ctrlPr>
                      </m:sup>
                    </m:sSubSup>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80" w:type="dxa"/>
                  <w:vMerge w:val="continue"/>
                  <w:vAlign w:val="center"/>
                </w:tcPr>
                <w:p>
                  <w:pPr>
                    <w:widowControl w:val="0"/>
                    <w:rPr>
                      <w:bCs/>
                      <w:iCs/>
                      <w:szCs w:val="20"/>
                      <w:lang w:eastAsia="zh-CN"/>
                    </w:rPr>
                  </w:pPr>
                </w:p>
              </w:tc>
              <w:tc>
                <w:tcPr>
                  <w:tcW w:w="2381" w:type="dxa"/>
                  <w:vAlign w:val="center"/>
                </w:tcPr>
                <w:p>
                  <w:pPr>
                    <w:widowControl w:val="0"/>
                    <w:jc w:val="center"/>
                    <w:rPr>
                      <w:b/>
                      <w:iCs/>
                      <w:szCs w:val="20"/>
                      <w:lang w:eastAsia="zh-CN"/>
                    </w:rPr>
                  </w:pPr>
                  <w:r>
                    <w:rPr>
                      <w:rFonts w:hint="eastAsia"/>
                      <w:b/>
                      <w:iCs/>
                      <w:szCs w:val="20"/>
                      <w:lang w:eastAsia="zh-CN"/>
                    </w:rPr>
                    <w:t>X=2</w:t>
                  </w:r>
                </w:p>
              </w:tc>
              <w:tc>
                <w:tcPr>
                  <w:tcW w:w="2381" w:type="dxa"/>
                  <w:vAlign w:val="center"/>
                </w:tcPr>
                <w:p>
                  <w:pPr>
                    <w:widowControl w:val="0"/>
                    <w:jc w:val="center"/>
                    <w:rPr>
                      <w:b/>
                      <w:iCs/>
                      <w:szCs w:val="20"/>
                      <w:lang w:eastAsia="zh-CN"/>
                    </w:rPr>
                  </w:pPr>
                  <w:r>
                    <w:rPr>
                      <w:rFonts w:hint="eastAsia"/>
                      <w:b/>
                      <w:iCs/>
                      <w:szCs w:val="20"/>
                      <w:lang w:eastAsia="zh-CN"/>
                    </w:rPr>
                    <w:t>X=4</w:t>
                  </w:r>
                </w:p>
              </w:tc>
              <w:tc>
                <w:tcPr>
                  <w:tcW w:w="2367" w:type="dxa"/>
                  <w:vAlign w:val="center"/>
                </w:tcPr>
                <w:p>
                  <w:pPr>
                    <w:widowControl w:val="0"/>
                    <w:jc w:val="center"/>
                    <w:rPr>
                      <w:b/>
                      <w:iCs/>
                      <w:szCs w:val="20"/>
                      <w:lang w:eastAsia="zh-CN"/>
                    </w:rPr>
                  </w:pPr>
                  <w:r>
                    <w:rPr>
                      <w:rFonts w:hint="eastAsia"/>
                      <w:b/>
                      <w:iCs/>
                      <w:szCs w:val="20"/>
                      <w:lang w:eastAsia="zh-CN"/>
                    </w:rPr>
                    <w:t>X=8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80" w:type="dxa"/>
                  <w:vAlign w:val="center"/>
                </w:tcPr>
                <w:p>
                  <w:pPr>
                    <w:widowControl w:val="0"/>
                    <w:jc w:val="center"/>
                    <w:rPr>
                      <w:bCs/>
                      <w:iCs/>
                      <w:szCs w:val="20"/>
                      <w:lang w:eastAsia="zh-CN"/>
                    </w:rPr>
                  </w:pPr>
                  <w:r>
                    <w:rPr>
                      <w:rFonts w:hint="eastAsia"/>
                      <w:bCs/>
                      <w:iCs/>
                      <w:szCs w:val="20"/>
                      <w:lang w:eastAsia="zh-CN"/>
                    </w:rPr>
                    <w:t>5</w:t>
                  </w:r>
                </w:p>
              </w:tc>
              <w:tc>
                <w:tcPr>
                  <w:tcW w:w="2381" w:type="dxa"/>
                  <w:vAlign w:val="center"/>
                </w:tcPr>
                <w:p>
                  <w:pPr>
                    <w:widowControl w:val="0"/>
                    <w:jc w:val="center"/>
                    <w:rPr>
                      <w:bCs/>
                      <w:iCs/>
                      <w:szCs w:val="20"/>
                      <w:lang w:eastAsia="zh-CN"/>
                    </w:rPr>
                  </w:pPr>
                  <w:r>
                    <w:rPr>
                      <w:rFonts w:hint="eastAsia"/>
                      <w:bCs/>
                      <w:iCs/>
                      <w:szCs w:val="20"/>
                      <w:lang w:eastAsia="zh-CN"/>
                    </w:rPr>
                    <w:t>10</w:t>
                  </w:r>
                </w:p>
              </w:tc>
              <w:tc>
                <w:tcPr>
                  <w:tcW w:w="2381" w:type="dxa"/>
                  <w:vAlign w:val="center"/>
                </w:tcPr>
                <w:p>
                  <w:pPr>
                    <w:widowControl w:val="0"/>
                    <w:jc w:val="center"/>
                    <w:rPr>
                      <w:bCs/>
                      <w:iCs/>
                      <w:szCs w:val="20"/>
                      <w:lang w:eastAsia="zh-CN"/>
                    </w:rPr>
                  </w:pPr>
                  <w:r>
                    <w:rPr>
                      <w:rFonts w:hint="eastAsia"/>
                      <w:bCs/>
                      <w:iCs/>
                      <w:szCs w:val="20"/>
                      <w:lang w:eastAsia="zh-CN"/>
                    </w:rPr>
                    <w:t>20</w:t>
                  </w:r>
                </w:p>
              </w:tc>
              <w:tc>
                <w:tcPr>
                  <w:tcW w:w="2367" w:type="dxa"/>
                  <w:vAlign w:val="center"/>
                </w:tcPr>
                <w:p>
                  <w:pPr>
                    <w:widowControl w:val="0"/>
                    <w:jc w:val="center"/>
                    <w:rPr>
                      <w:bCs/>
                      <w:iCs/>
                      <w:szCs w:val="20"/>
                      <w:lang w:eastAsia="zh-CN"/>
                    </w:rPr>
                  </w:pPr>
                  <w:r>
                    <w:rPr>
                      <w:rFonts w:hint="eastAsia"/>
                      <w:bCs/>
                      <w:iCs/>
                      <w:szCs w:val="20"/>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80" w:type="dxa"/>
                  <w:vAlign w:val="center"/>
                </w:tcPr>
                <w:p>
                  <w:pPr>
                    <w:widowControl w:val="0"/>
                    <w:jc w:val="center"/>
                    <w:rPr>
                      <w:bCs/>
                      <w:iCs/>
                      <w:szCs w:val="20"/>
                      <w:lang w:eastAsia="zh-CN"/>
                    </w:rPr>
                  </w:pPr>
                  <w:r>
                    <w:rPr>
                      <w:rFonts w:hint="eastAsia"/>
                      <w:bCs/>
                      <w:iCs/>
                      <w:szCs w:val="20"/>
                      <w:lang w:eastAsia="zh-CN"/>
                    </w:rPr>
                    <w:t>6</w:t>
                  </w:r>
                </w:p>
              </w:tc>
              <w:tc>
                <w:tcPr>
                  <w:tcW w:w="2381" w:type="dxa"/>
                  <w:vAlign w:val="center"/>
                </w:tcPr>
                <w:p>
                  <w:pPr>
                    <w:widowControl w:val="0"/>
                    <w:jc w:val="center"/>
                    <w:rPr>
                      <w:bCs/>
                      <w:iCs/>
                      <w:szCs w:val="20"/>
                      <w:lang w:eastAsia="zh-CN"/>
                    </w:rPr>
                  </w:pPr>
                  <w:r>
                    <w:rPr>
                      <w:rFonts w:hint="eastAsia"/>
                      <w:bCs/>
                      <w:iCs/>
                      <w:szCs w:val="20"/>
                      <w:lang w:eastAsia="zh-CN"/>
                    </w:rPr>
                    <w:t>-</w:t>
                  </w:r>
                </w:p>
              </w:tc>
              <w:tc>
                <w:tcPr>
                  <w:tcW w:w="2381" w:type="dxa"/>
                  <w:vAlign w:val="center"/>
                </w:tcPr>
                <w:p>
                  <w:pPr>
                    <w:widowControl w:val="0"/>
                    <w:jc w:val="center"/>
                    <w:rPr>
                      <w:bCs/>
                      <w:iCs/>
                      <w:szCs w:val="20"/>
                      <w:lang w:eastAsia="zh-CN"/>
                    </w:rPr>
                  </w:pPr>
                  <w:r>
                    <w:rPr>
                      <w:rFonts w:hint="eastAsia"/>
                      <w:bCs/>
                      <w:iCs/>
                      <w:szCs w:val="20"/>
                      <w:lang w:eastAsia="zh-CN"/>
                    </w:rPr>
                    <w:t>10</w:t>
                  </w:r>
                </w:p>
              </w:tc>
              <w:tc>
                <w:tcPr>
                  <w:tcW w:w="2367" w:type="dxa"/>
                  <w:vAlign w:val="center"/>
                </w:tcPr>
                <w:p>
                  <w:pPr>
                    <w:widowControl w:val="0"/>
                    <w:jc w:val="center"/>
                    <w:rPr>
                      <w:bCs/>
                      <w:iCs/>
                      <w:szCs w:val="20"/>
                      <w:lang w:eastAsia="zh-CN"/>
                    </w:rPr>
                  </w:pPr>
                  <w:r>
                    <w:rPr>
                      <w:rFonts w:hint="eastAsia"/>
                      <w:bCs/>
                      <w:iCs/>
                      <w:szCs w:val="20"/>
                      <w:lang w:eastAsia="zh-CN"/>
                    </w:rPr>
                    <w:t>20</w:t>
                  </w:r>
                </w:p>
              </w:tc>
            </w:tr>
          </w:tbl>
          <w:p>
            <w:pPr>
              <w:widowControl w:val="0"/>
              <w:rPr>
                <w:bCs/>
                <w:iCs/>
                <w:szCs w:val="20"/>
                <w:lang w:eastAsia="zh-CN"/>
              </w:rPr>
            </w:pPr>
          </w:p>
          <w:p>
            <w:pPr>
              <w:widowControl w:val="0"/>
              <w:jc w:val="center"/>
              <w:rPr>
                <w:b/>
                <w:bCs/>
                <w:iCs/>
                <w:szCs w:val="20"/>
                <w:lang w:eastAsia="zh-CN"/>
              </w:rPr>
            </w:pPr>
            <w:bookmarkStart w:id="127" w:name="_Ref78227760"/>
            <w:r>
              <w:rPr>
                <w:b/>
                <w:bCs/>
              </w:rPr>
              <w:t xml:space="preserve">Table </w:t>
            </w:r>
            <w:bookmarkEnd w:id="127"/>
            <w:r>
              <w:rPr>
                <w:rFonts w:hint="eastAsia"/>
                <w:b/>
                <w:bCs/>
                <w:lang w:eastAsia="zh-CN"/>
              </w:rPr>
              <w:t>2</w:t>
            </w:r>
            <w:r>
              <w:rPr>
                <w:b/>
                <w:bCs/>
              </w:rPr>
              <w:t xml:space="preserve">. Maximum number </w:t>
            </w:r>
            <m:oMath>
              <m:sSubSup>
                <m:sSubSupPr>
                  <m:ctrlPr>
                    <w:rPr>
                      <w:rFonts w:ascii="Cambria Math" w:hAnsi="Cambria Math"/>
                      <w:b/>
                      <w:bCs/>
                      <w:i/>
                      <w:sz w:val="18"/>
                      <w:szCs w:val="18"/>
                      <w:lang w:eastAsia="zh-CN"/>
                    </w:rPr>
                  </m:ctrlPr>
                </m:sSubSupPr>
                <m:e>
                  <m:r>
                    <m:rPr>
                      <m:sty m:val="bi"/>
                    </m:rPr>
                    <w:rPr>
                      <w:rFonts w:ascii="Cambria Math" w:hAnsi="Cambria Math"/>
                      <w:lang w:eastAsia="zh-CN"/>
                    </w:rPr>
                    <m:t>C</m:t>
                  </m:r>
                  <m:ctrlPr>
                    <w:rPr>
                      <w:rFonts w:ascii="Cambria Math" w:hAnsi="Cambria Math"/>
                      <w:b/>
                      <w:bCs/>
                      <w:i/>
                      <w:sz w:val="18"/>
                      <w:szCs w:val="18"/>
                      <w:lang w:eastAsia="zh-CN"/>
                    </w:rPr>
                  </m:ctrlPr>
                </m:e>
                <m:sub>
                  <m:r>
                    <m:rPr>
                      <m:sty m:val="b"/>
                    </m:rPr>
                    <w:rPr>
                      <w:rFonts w:ascii="Cambria Math" w:hAnsi="Cambria Math"/>
                      <w:lang w:eastAsia="zh-CN"/>
                    </w:rPr>
                    <m:t>PDCCH</m:t>
                  </m:r>
                  <m:ctrlPr>
                    <w:rPr>
                      <w:rFonts w:ascii="Cambria Math" w:hAnsi="Cambria Math"/>
                      <w:b/>
                      <w:bCs/>
                      <w:i/>
                      <w:sz w:val="18"/>
                      <w:szCs w:val="18"/>
                      <w:lang w:eastAsia="zh-CN"/>
                    </w:rPr>
                  </m:ctrlPr>
                </m:sub>
                <m:sup>
                  <m:r>
                    <m:rPr>
                      <m:sty m:val="bi"/>
                    </m:rPr>
                    <w:rPr>
                      <w:rFonts w:ascii="Cambria Math" w:hAnsi="Cambria Math"/>
                      <w:lang w:eastAsia="zh-CN"/>
                    </w:rPr>
                    <m:t>max,slot,μ</m:t>
                  </m:r>
                  <m:ctrlPr>
                    <w:rPr>
                      <w:rFonts w:ascii="Cambria Math" w:hAnsi="Cambria Math"/>
                      <w:b/>
                      <w:bCs/>
                      <w:i/>
                      <w:sz w:val="18"/>
                      <w:szCs w:val="18"/>
                      <w:lang w:eastAsia="zh-CN"/>
                    </w:rPr>
                  </m:ctrlPr>
                </m:sup>
              </m:sSubSup>
            </m:oMath>
            <w:r>
              <w:rPr>
                <w:b/>
                <w:bCs/>
              </w:rPr>
              <w:t xml:space="preserve"> of non-overlapped CCEs per X slots for a DL BWP with SCS configuration </w:t>
            </w:r>
            <w:r>
              <w:rPr>
                <w:rFonts w:hint="eastAsia"/>
                <w:b/>
                <w:bCs/>
                <w:position w:val="-10"/>
                <w:lang w:eastAsia="zh-CN"/>
              </w:rPr>
              <w:object>
                <v:shape id="_x0000_i1040" o:spt="75" type="#_x0000_t75" style="height:16.4pt;width:44.35pt;" o:ole="t" filled="f" o:preferrelative="t" stroked="f" coordsize="21600,21600">
                  <v:path/>
                  <v:fill on="f" focussize="0,0"/>
                  <v:stroke on="f" joinstyle="miter"/>
                  <v:imagedata r:id="rId47" o:title=""/>
                  <o:lock v:ext="edit" aspectratio="t"/>
                  <w10:wrap type="none"/>
                  <w10:anchorlock/>
                </v:shape>
                <o:OLEObject Type="Embed" ProgID="Equation.3" ShapeID="_x0000_i1040" DrawAspect="Content" ObjectID="_1468075740" r:id="rId48">
                  <o:LockedField>false</o:LockedField>
                </o:OLEObject>
              </w:object>
            </w:r>
            <w:r>
              <w:rPr>
                <w:b/>
                <w:bCs/>
              </w:rPr>
              <w:t xml:space="preserve"> for a single serving cell.</w:t>
            </w:r>
          </w:p>
          <w:tbl>
            <w:tblPr>
              <w:tblStyle w:val="52"/>
              <w:tblW w:w="95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80"/>
              <w:gridCol w:w="2381"/>
              <w:gridCol w:w="2381"/>
              <w:gridCol w:w="2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380" w:type="dxa"/>
                  <w:vMerge w:val="restart"/>
                  <w:vAlign w:val="center"/>
                </w:tcPr>
                <w:p>
                  <w:pPr>
                    <w:pStyle w:val="81"/>
                    <w:widowControl w:val="0"/>
                    <w:rPr>
                      <w:b w:val="0"/>
                      <w:bCs/>
                      <w:iCs/>
                      <w:sz w:val="24"/>
                      <w:szCs w:val="28"/>
                      <w:lang w:val="en-US" w:eastAsia="zh-CN"/>
                    </w:rPr>
                  </w:pPr>
                  <m:oMathPara>
                    <m:oMath>
                      <m:r>
                        <m:rPr>
                          <m:sty m:val="bi"/>
                        </m:rPr>
                        <w:rPr>
                          <w:rFonts w:ascii="Cambria Math" w:hAnsi="Cambria Math"/>
                          <w:sz w:val="24"/>
                          <w:szCs w:val="28"/>
                          <w:lang w:eastAsia="zh-CN"/>
                        </w:rPr>
                        <m:t>μ</m:t>
                      </m:r>
                    </m:oMath>
                  </m:oMathPara>
                </w:p>
              </w:tc>
              <w:tc>
                <w:tcPr>
                  <w:tcW w:w="7128" w:type="dxa"/>
                  <w:gridSpan w:val="3"/>
                  <w:vAlign w:val="center"/>
                </w:tcPr>
                <w:p>
                  <w:pPr>
                    <w:widowControl w:val="0"/>
                    <w:jc w:val="center"/>
                    <w:rPr>
                      <w:b/>
                      <w:bCs/>
                    </w:rPr>
                  </w:pPr>
                  <w:r>
                    <w:rPr>
                      <w:b/>
                      <w:bCs/>
                    </w:rPr>
                    <w:t xml:space="preserve">Maximum number of </w:t>
                  </w:r>
                  <w:r>
                    <w:rPr>
                      <w:rFonts w:hint="eastAsia"/>
                      <w:b/>
                      <w:bCs/>
                      <w:lang w:eastAsia="zh-CN"/>
                    </w:rPr>
                    <w:t>non-overlapped CCEs</w:t>
                  </w:r>
                  <w:r>
                    <w:rPr>
                      <w:b/>
                      <w:bCs/>
                    </w:rPr>
                    <w:t xml:space="preserve"> per X slots and per serving cell </w:t>
                  </w:r>
                  <m:oMath>
                    <m:sSubSup>
                      <m:sSubSupPr>
                        <m:ctrlPr>
                          <w:rPr>
                            <w:rFonts w:ascii="Cambria Math" w:hAnsi="Cambria Math"/>
                            <w:i/>
                            <w:sz w:val="24"/>
                            <w:szCs w:val="24"/>
                            <w:lang w:eastAsia="zh-CN"/>
                          </w:rPr>
                        </m:ctrlPr>
                      </m:sSubSupPr>
                      <m:e>
                        <m:r>
                          <m:rPr>
                            <m:sty m:val="bi"/>
                          </m:rPr>
                          <w:rPr>
                            <w:rFonts w:ascii="Cambria Math" w:hAnsi="Cambria Math"/>
                            <w:lang w:eastAsia="zh-CN"/>
                          </w:rPr>
                          <m:t>C</m:t>
                        </m:r>
                        <m:ctrlPr>
                          <w:rPr>
                            <w:rFonts w:ascii="Cambria Math" w:hAnsi="Cambria Math"/>
                            <w:i/>
                            <w:sz w:val="24"/>
                            <w:szCs w:val="24"/>
                            <w:lang w:eastAsia="zh-CN"/>
                          </w:rPr>
                        </m:ctrlPr>
                      </m:e>
                      <m:sub>
                        <m:r>
                          <m:rPr>
                            <m:sty m:val="b"/>
                          </m:rPr>
                          <w:rPr>
                            <w:rFonts w:ascii="Cambria Math" w:hAnsi="Cambria Math"/>
                            <w:lang w:eastAsia="zh-CN"/>
                          </w:rPr>
                          <m:t>PDCCH</m:t>
                        </m:r>
                        <m:ctrlPr>
                          <w:rPr>
                            <w:rFonts w:ascii="Cambria Math" w:hAnsi="Cambria Math"/>
                            <w:i/>
                            <w:sz w:val="24"/>
                            <w:szCs w:val="24"/>
                            <w:lang w:eastAsia="zh-CN"/>
                          </w:rPr>
                        </m:ctrlPr>
                      </m:sub>
                      <m:sup>
                        <m:r>
                          <m:rPr>
                            <m:sty m:val="bi"/>
                          </m:rPr>
                          <w:rPr>
                            <w:rFonts w:ascii="Cambria Math" w:hAnsi="Cambria Math"/>
                            <w:lang w:eastAsia="zh-CN"/>
                          </w:rPr>
                          <m:t>max,slot,μ</m:t>
                        </m:r>
                        <m:ctrlPr>
                          <w:rPr>
                            <w:rFonts w:ascii="Cambria Math" w:hAnsi="Cambria Math"/>
                            <w:i/>
                            <w:sz w:val="24"/>
                            <w:szCs w:val="24"/>
                            <w:lang w:eastAsia="zh-CN"/>
                          </w:rPr>
                        </m:ctrlPr>
                      </m:sup>
                    </m:sSubSup>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80" w:type="dxa"/>
                  <w:vMerge w:val="continue"/>
                  <w:vAlign w:val="center"/>
                </w:tcPr>
                <w:p>
                  <w:pPr>
                    <w:widowControl w:val="0"/>
                    <w:rPr>
                      <w:bCs/>
                      <w:iCs/>
                      <w:szCs w:val="20"/>
                      <w:lang w:eastAsia="zh-CN"/>
                    </w:rPr>
                  </w:pPr>
                </w:p>
              </w:tc>
              <w:tc>
                <w:tcPr>
                  <w:tcW w:w="2381" w:type="dxa"/>
                  <w:vAlign w:val="center"/>
                </w:tcPr>
                <w:p>
                  <w:pPr>
                    <w:widowControl w:val="0"/>
                    <w:jc w:val="center"/>
                    <w:rPr>
                      <w:b/>
                      <w:iCs/>
                      <w:szCs w:val="20"/>
                      <w:lang w:eastAsia="zh-CN"/>
                    </w:rPr>
                  </w:pPr>
                  <w:r>
                    <w:rPr>
                      <w:rFonts w:hint="eastAsia"/>
                      <w:b/>
                      <w:iCs/>
                      <w:szCs w:val="20"/>
                      <w:lang w:eastAsia="zh-CN"/>
                    </w:rPr>
                    <w:t>X=2</w:t>
                  </w:r>
                </w:p>
              </w:tc>
              <w:tc>
                <w:tcPr>
                  <w:tcW w:w="2381" w:type="dxa"/>
                  <w:vAlign w:val="center"/>
                </w:tcPr>
                <w:p>
                  <w:pPr>
                    <w:widowControl w:val="0"/>
                    <w:jc w:val="center"/>
                    <w:rPr>
                      <w:b/>
                      <w:iCs/>
                      <w:szCs w:val="20"/>
                      <w:lang w:eastAsia="zh-CN"/>
                    </w:rPr>
                  </w:pPr>
                  <w:r>
                    <w:rPr>
                      <w:rFonts w:hint="eastAsia"/>
                      <w:b/>
                      <w:iCs/>
                      <w:szCs w:val="20"/>
                      <w:lang w:eastAsia="zh-CN"/>
                    </w:rPr>
                    <w:t>X=4</w:t>
                  </w:r>
                </w:p>
              </w:tc>
              <w:tc>
                <w:tcPr>
                  <w:tcW w:w="2367" w:type="dxa"/>
                  <w:vAlign w:val="center"/>
                </w:tcPr>
                <w:p>
                  <w:pPr>
                    <w:widowControl w:val="0"/>
                    <w:jc w:val="center"/>
                    <w:rPr>
                      <w:b/>
                      <w:iCs/>
                      <w:szCs w:val="20"/>
                      <w:lang w:eastAsia="zh-CN"/>
                    </w:rPr>
                  </w:pPr>
                  <w:r>
                    <w:rPr>
                      <w:rFonts w:hint="eastAsia"/>
                      <w:b/>
                      <w:iCs/>
                      <w:szCs w:val="20"/>
                      <w:lang w:eastAsia="zh-CN"/>
                    </w:rPr>
                    <w:t>X=8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80" w:type="dxa"/>
                  <w:vAlign w:val="center"/>
                </w:tcPr>
                <w:p>
                  <w:pPr>
                    <w:widowControl w:val="0"/>
                    <w:jc w:val="center"/>
                    <w:rPr>
                      <w:bCs/>
                      <w:iCs/>
                      <w:szCs w:val="20"/>
                      <w:lang w:eastAsia="zh-CN"/>
                    </w:rPr>
                  </w:pPr>
                  <w:r>
                    <w:rPr>
                      <w:rFonts w:hint="eastAsia"/>
                      <w:bCs/>
                      <w:iCs/>
                      <w:szCs w:val="20"/>
                      <w:lang w:eastAsia="zh-CN"/>
                    </w:rPr>
                    <w:t>5</w:t>
                  </w:r>
                </w:p>
              </w:tc>
              <w:tc>
                <w:tcPr>
                  <w:tcW w:w="2381" w:type="dxa"/>
                  <w:vAlign w:val="center"/>
                </w:tcPr>
                <w:p>
                  <w:pPr>
                    <w:widowControl w:val="0"/>
                    <w:jc w:val="center"/>
                    <w:rPr>
                      <w:bCs/>
                      <w:iCs/>
                      <w:szCs w:val="20"/>
                      <w:lang w:eastAsia="zh-CN"/>
                    </w:rPr>
                  </w:pPr>
                  <w:r>
                    <w:rPr>
                      <w:rFonts w:hint="eastAsia"/>
                      <w:bCs/>
                      <w:iCs/>
                      <w:szCs w:val="20"/>
                      <w:lang w:eastAsia="zh-CN"/>
                    </w:rPr>
                    <w:t>16</w:t>
                  </w:r>
                </w:p>
              </w:tc>
              <w:tc>
                <w:tcPr>
                  <w:tcW w:w="2381" w:type="dxa"/>
                  <w:vAlign w:val="center"/>
                </w:tcPr>
                <w:p>
                  <w:pPr>
                    <w:widowControl w:val="0"/>
                    <w:jc w:val="center"/>
                    <w:rPr>
                      <w:bCs/>
                      <w:iCs/>
                      <w:szCs w:val="20"/>
                      <w:lang w:eastAsia="zh-CN"/>
                    </w:rPr>
                  </w:pPr>
                  <w:r>
                    <w:rPr>
                      <w:rFonts w:hint="eastAsia"/>
                      <w:bCs/>
                      <w:iCs/>
                      <w:szCs w:val="20"/>
                      <w:lang w:eastAsia="zh-CN"/>
                    </w:rPr>
                    <w:t>32</w:t>
                  </w:r>
                </w:p>
              </w:tc>
              <w:tc>
                <w:tcPr>
                  <w:tcW w:w="2367" w:type="dxa"/>
                  <w:vAlign w:val="center"/>
                </w:tcPr>
                <w:p>
                  <w:pPr>
                    <w:widowControl w:val="0"/>
                    <w:jc w:val="center"/>
                    <w:rPr>
                      <w:bCs/>
                      <w:iCs/>
                      <w:szCs w:val="20"/>
                      <w:lang w:eastAsia="zh-CN"/>
                    </w:rPr>
                  </w:pPr>
                  <w:r>
                    <w:rPr>
                      <w:rFonts w:hint="eastAsia"/>
                      <w:bCs/>
                      <w:iCs/>
                      <w:szCs w:val="20"/>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80" w:type="dxa"/>
                  <w:vAlign w:val="center"/>
                </w:tcPr>
                <w:p>
                  <w:pPr>
                    <w:widowControl w:val="0"/>
                    <w:jc w:val="center"/>
                    <w:rPr>
                      <w:bCs/>
                      <w:iCs/>
                      <w:szCs w:val="20"/>
                      <w:lang w:eastAsia="zh-CN"/>
                    </w:rPr>
                  </w:pPr>
                  <w:r>
                    <w:rPr>
                      <w:rFonts w:hint="eastAsia"/>
                      <w:bCs/>
                      <w:iCs/>
                      <w:szCs w:val="20"/>
                      <w:lang w:eastAsia="zh-CN"/>
                    </w:rPr>
                    <w:t>6</w:t>
                  </w:r>
                </w:p>
              </w:tc>
              <w:tc>
                <w:tcPr>
                  <w:tcW w:w="2381" w:type="dxa"/>
                  <w:vAlign w:val="center"/>
                </w:tcPr>
                <w:p>
                  <w:pPr>
                    <w:widowControl w:val="0"/>
                    <w:jc w:val="center"/>
                    <w:rPr>
                      <w:bCs/>
                      <w:iCs/>
                      <w:szCs w:val="20"/>
                      <w:lang w:eastAsia="zh-CN"/>
                    </w:rPr>
                  </w:pPr>
                  <w:r>
                    <w:rPr>
                      <w:rFonts w:hint="eastAsia"/>
                      <w:bCs/>
                      <w:iCs/>
                      <w:szCs w:val="20"/>
                      <w:lang w:eastAsia="zh-CN"/>
                    </w:rPr>
                    <w:t>-</w:t>
                  </w:r>
                </w:p>
              </w:tc>
              <w:tc>
                <w:tcPr>
                  <w:tcW w:w="2381" w:type="dxa"/>
                  <w:vAlign w:val="center"/>
                </w:tcPr>
                <w:p>
                  <w:pPr>
                    <w:widowControl w:val="0"/>
                    <w:jc w:val="center"/>
                    <w:rPr>
                      <w:bCs/>
                      <w:iCs/>
                      <w:szCs w:val="20"/>
                      <w:lang w:eastAsia="zh-CN"/>
                    </w:rPr>
                  </w:pPr>
                  <w:r>
                    <w:rPr>
                      <w:rFonts w:hint="eastAsia"/>
                      <w:bCs/>
                      <w:iCs/>
                      <w:szCs w:val="20"/>
                      <w:lang w:eastAsia="zh-CN"/>
                    </w:rPr>
                    <w:t>16</w:t>
                  </w:r>
                </w:p>
              </w:tc>
              <w:tc>
                <w:tcPr>
                  <w:tcW w:w="2367" w:type="dxa"/>
                  <w:vAlign w:val="center"/>
                </w:tcPr>
                <w:p>
                  <w:pPr>
                    <w:widowControl w:val="0"/>
                    <w:jc w:val="center"/>
                    <w:rPr>
                      <w:bCs/>
                      <w:iCs/>
                      <w:szCs w:val="20"/>
                      <w:lang w:eastAsia="zh-CN"/>
                    </w:rPr>
                  </w:pPr>
                  <w:r>
                    <w:rPr>
                      <w:rFonts w:hint="eastAsia"/>
                      <w:bCs/>
                      <w:iCs/>
                      <w:szCs w:val="20"/>
                      <w:lang w:eastAsia="zh-CN"/>
                    </w:rPr>
                    <w:t>32</w:t>
                  </w:r>
                </w:p>
              </w:tc>
            </w:tr>
          </w:tbl>
          <w:p>
            <w:pPr>
              <w:widowControl w:val="0"/>
              <w:rPr>
                <w:bCs/>
                <w:iCs/>
                <w:szCs w:val="20"/>
                <w:lang w:eastAsia="zh-CN"/>
              </w:rPr>
            </w:pPr>
          </w:p>
          <w:p>
            <w:pPr>
              <w:widowControl w:val="0"/>
              <w:rPr>
                <w:b/>
                <w:i/>
                <w:szCs w:val="20"/>
                <w:lang w:eastAsia="zh-CN"/>
              </w:rPr>
            </w:pPr>
            <w:r>
              <w:rPr>
                <w:rFonts w:hint="eastAsia"/>
                <w:b/>
                <w:i/>
                <w:szCs w:val="20"/>
                <w:lang w:eastAsia="zh-CN"/>
              </w:rPr>
              <w:t>Proposal 2: Additional values of X could be 2 for 480kHz SCS and 4 for 960kHz SCS respectively for multi-slot PDCCH monitoring.</w:t>
            </w:r>
          </w:p>
          <w:p>
            <w:pPr>
              <w:widowControl w:val="0"/>
              <w:rPr>
                <w:bCs/>
                <w:iCs/>
                <w:szCs w:val="20"/>
                <w:lang w:eastAsia="zh-CN"/>
              </w:rPr>
            </w:pPr>
          </w:p>
          <w:p>
            <w:pPr>
              <w:pStyle w:val="30"/>
              <w:widowControl w:val="0"/>
              <w:spacing w:after="0"/>
              <w:rPr>
                <w:sz w:val="22"/>
                <w:szCs w:val="22"/>
              </w:rPr>
            </w:pPr>
            <w:r>
              <w:rPr>
                <w:rFonts w:hint="eastAsia"/>
                <w:sz w:val="22"/>
                <w:szCs w:val="22"/>
                <w:lang w:eastAsia="zh-CN"/>
              </w:rPr>
              <w:t>According to t</w:t>
            </w:r>
            <w:r>
              <w:rPr>
                <w:sz w:val="22"/>
                <w:szCs w:val="22"/>
              </w:rPr>
              <w:t xml:space="preserve">he </w:t>
            </w:r>
            <w:r>
              <w:rPr>
                <w:rFonts w:hint="eastAsia"/>
                <w:sz w:val="22"/>
                <w:szCs w:val="22"/>
                <w:lang w:eastAsia="zh-CN"/>
              </w:rPr>
              <w:t xml:space="preserve">revised WID [4], in addition to 120kHz SSB, 480kHz SSB for initial access had been introduced with the limitation of supporting only 480kHz CORESET#0/Type0-PDSCH SCS. The </w:t>
            </w:r>
            <w:r>
              <w:rPr>
                <w:sz w:val="22"/>
                <w:szCs w:val="22"/>
              </w:rPr>
              <w:t xml:space="preserve">following </w:t>
            </w:r>
            <w:r>
              <w:rPr>
                <w:rFonts w:hint="eastAsia"/>
                <w:sz w:val="22"/>
                <w:szCs w:val="22"/>
                <w:lang w:eastAsia="zh-CN"/>
              </w:rPr>
              <w:t>lists the SSB related part in revised WID</w:t>
            </w:r>
            <w:r>
              <w:rPr>
                <w:sz w:val="22"/>
                <w:szCs w:val="22"/>
              </w:rPr>
              <w:t>:</w:t>
            </w:r>
          </w:p>
          <w:tbl>
            <w:tblPr>
              <w:tblStyle w:val="52"/>
              <w:tblW w:w="93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94"/>
                    <w:widowControl w:val="0"/>
                    <w:numPr>
                      <w:ilvl w:val="0"/>
                      <w:numId w:val="25"/>
                    </w:numPr>
                    <w:tabs>
                      <w:tab w:val="left" w:pos="-420"/>
                    </w:tabs>
                    <w:overflowPunct/>
                    <w:autoSpaceDE/>
                    <w:autoSpaceDN/>
                    <w:adjustRightInd/>
                    <w:spacing w:before="180"/>
                    <w:ind w:left="300"/>
                    <w:textAlignment w:val="auto"/>
                    <w:rPr>
                      <w:lang w:eastAsia="zh-CN"/>
                    </w:rPr>
                  </w:pPr>
                  <w:r>
                    <w:rPr>
                      <w:lang w:eastAsia="zh-CN"/>
                    </w:rPr>
                    <w:t>In addition to 120kHz, support 480 kHz SSB for initial access with support of CORESET#0/Type0-PDCCH configuration in the MIB with following constraints:</w:t>
                  </w:r>
                </w:p>
                <w:p>
                  <w:pPr>
                    <w:pStyle w:val="94"/>
                    <w:widowControl w:val="0"/>
                    <w:numPr>
                      <w:ilvl w:val="1"/>
                      <w:numId w:val="25"/>
                    </w:numPr>
                    <w:tabs>
                      <w:tab w:val="left" w:pos="-420"/>
                    </w:tabs>
                    <w:overflowPunct/>
                    <w:autoSpaceDE/>
                    <w:autoSpaceDN/>
                    <w:adjustRightInd/>
                    <w:spacing w:before="180"/>
                    <w:ind w:left="1020"/>
                    <w:textAlignment w:val="auto"/>
                    <w:rPr>
                      <w:lang w:eastAsia="zh-CN"/>
                    </w:rPr>
                  </w:pPr>
                  <w:r>
                    <w:rPr>
                      <w:lang w:eastAsia="zh-CN"/>
                    </w:rPr>
                    <w:t>Limited sync raster entry numbers</w:t>
                  </w:r>
                </w:p>
                <w:p>
                  <w:pPr>
                    <w:pStyle w:val="94"/>
                    <w:widowControl w:val="0"/>
                    <w:numPr>
                      <w:ilvl w:val="2"/>
                      <w:numId w:val="25"/>
                    </w:numPr>
                    <w:tabs>
                      <w:tab w:val="left" w:pos="-420"/>
                    </w:tabs>
                    <w:overflowPunct/>
                    <w:autoSpaceDE/>
                    <w:autoSpaceDN/>
                    <w:adjustRightInd/>
                    <w:spacing w:before="180"/>
                    <w:ind w:left="1740"/>
                    <w:textAlignment w:val="auto"/>
                    <w:rPr>
                      <w:lang w:eastAsia="zh-CN"/>
                    </w:rPr>
                  </w:pPr>
                  <w:r>
                    <w:rPr>
                      <w:lang w:eastAsia="zh-CN"/>
                    </w:rPr>
                    <w:t>It is assumed that RAN4 supports a channelization design which results in the total number of synchronization raster entries considering both licensed and unlicensed operation in a 52.6 – 71 GHz band no larger than 665 (Note: the total number of synchronization raster entries in FR2 for band n259 + n257 is 599). If the assumption cannot be satisfied, it’s up to RAN4 to decide its applicability to bands in 52.6 – 71 GHz.</w:t>
                  </w:r>
                </w:p>
                <w:p>
                  <w:pPr>
                    <w:pStyle w:val="94"/>
                    <w:widowControl w:val="0"/>
                    <w:numPr>
                      <w:ilvl w:val="1"/>
                      <w:numId w:val="25"/>
                    </w:numPr>
                    <w:tabs>
                      <w:tab w:val="left" w:pos="-420"/>
                    </w:tabs>
                    <w:overflowPunct/>
                    <w:autoSpaceDE/>
                    <w:autoSpaceDN/>
                    <w:adjustRightInd/>
                    <w:spacing w:before="180"/>
                    <w:ind w:left="1020"/>
                    <w:textAlignment w:val="auto"/>
                    <w:rPr>
                      <w:lang w:eastAsia="zh-CN"/>
                    </w:rPr>
                  </w:pPr>
                  <w:r>
                    <w:rPr>
                      <w:lang w:eastAsia="zh-CN"/>
                    </w:rPr>
                    <w:t>only 480kHz CORESET#0/Type0-PDCCH SCS supported for 480 kHz SSB SCS.</w:t>
                  </w:r>
                </w:p>
                <w:p>
                  <w:pPr>
                    <w:pStyle w:val="94"/>
                    <w:widowControl w:val="0"/>
                    <w:numPr>
                      <w:ilvl w:val="1"/>
                      <w:numId w:val="25"/>
                    </w:numPr>
                    <w:tabs>
                      <w:tab w:val="left" w:pos="-420"/>
                    </w:tabs>
                    <w:overflowPunct/>
                    <w:autoSpaceDE/>
                    <w:autoSpaceDN/>
                    <w:adjustRightInd/>
                    <w:spacing w:before="180"/>
                    <w:ind w:left="1020"/>
                    <w:textAlignment w:val="auto"/>
                    <w:rPr>
                      <w:lang w:eastAsia="zh-CN"/>
                    </w:rPr>
                  </w:pPr>
                  <w:r>
                    <w:rPr>
                      <w:lang w:eastAsia="zh-CN"/>
                    </w:rPr>
                    <w:t>Prioritize support SSB-CORESET#0 multiplexing pattern 1. Other patterns discussed on a best effort basis.</w:t>
                  </w:r>
                </w:p>
                <w:p>
                  <w:pPr>
                    <w:pStyle w:val="94"/>
                    <w:widowControl w:val="0"/>
                    <w:numPr>
                      <w:ilvl w:val="1"/>
                      <w:numId w:val="25"/>
                    </w:numPr>
                    <w:tabs>
                      <w:tab w:val="left" w:pos="-420"/>
                    </w:tabs>
                    <w:overflowPunct/>
                    <w:autoSpaceDE/>
                    <w:autoSpaceDN/>
                    <w:adjustRightInd/>
                    <w:spacing w:before="180"/>
                    <w:ind w:left="1020"/>
                    <w:textAlignment w:val="auto"/>
                    <w:rPr>
                      <w:lang w:eastAsia="zh-CN"/>
                    </w:rPr>
                  </w:pPr>
                  <w:r>
                    <w:rPr>
                      <w:lang w:eastAsia="zh-CN"/>
                    </w:rPr>
                    <w:t>960 kHz numerology for the SSB is not supported by the UE for initial access in Rel-17.</w:t>
                  </w:r>
                </w:p>
                <w:p>
                  <w:pPr>
                    <w:pStyle w:val="94"/>
                    <w:widowControl w:val="0"/>
                    <w:numPr>
                      <w:ilvl w:val="1"/>
                      <w:numId w:val="25"/>
                    </w:numPr>
                    <w:tabs>
                      <w:tab w:val="left" w:pos="-420"/>
                    </w:tabs>
                    <w:overflowPunct/>
                    <w:autoSpaceDE/>
                    <w:autoSpaceDN/>
                    <w:adjustRightInd/>
                    <w:spacing w:before="180"/>
                    <w:ind w:left="1020"/>
                    <w:textAlignment w:val="auto"/>
                    <w:rPr>
                      <w:lang w:eastAsia="zh-CN"/>
                    </w:rPr>
                  </w:pPr>
                  <w:r>
                    <w:rPr>
                      <w:lang w:eastAsia="zh-CN"/>
                    </w:rPr>
                    <w:t>Note: Strive to minimize specification impact by reusing tables for CORESET#0 and type0-PDCCH CSS set configuration defined for FR2 in Rel-15, as much as possible</w:t>
                  </w:r>
                </w:p>
                <w:p>
                  <w:pPr>
                    <w:pStyle w:val="94"/>
                    <w:widowControl w:val="0"/>
                    <w:numPr>
                      <w:ilvl w:val="1"/>
                      <w:numId w:val="25"/>
                    </w:numPr>
                    <w:tabs>
                      <w:tab w:val="left" w:pos="-420"/>
                    </w:tabs>
                    <w:overflowPunct/>
                    <w:autoSpaceDE/>
                    <w:autoSpaceDN/>
                    <w:adjustRightInd/>
                    <w:spacing w:before="180"/>
                    <w:ind w:left="1020"/>
                    <w:textAlignment w:val="auto"/>
                    <w:rPr>
                      <w:lang w:eastAsia="zh-CN"/>
                    </w:rPr>
                  </w:pPr>
                  <w:r>
                    <w:rPr>
                      <w:lang w:eastAsia="zh-CN"/>
                    </w:rPr>
                    <w:t>Note: 480 kHz is an optional SSB numerology for initial access for the UE. A UE supporting a band in 52.6-71 GHz must at least support 120 kHz SCS (for initial access and after initial access)</w:t>
                  </w:r>
                </w:p>
                <w:p>
                  <w:pPr>
                    <w:pStyle w:val="94"/>
                    <w:widowControl w:val="0"/>
                    <w:numPr>
                      <w:ilvl w:val="1"/>
                      <w:numId w:val="25"/>
                    </w:numPr>
                    <w:tabs>
                      <w:tab w:val="left" w:pos="-420"/>
                    </w:tabs>
                    <w:overflowPunct/>
                    <w:autoSpaceDE/>
                    <w:autoSpaceDN/>
                    <w:adjustRightInd/>
                    <w:spacing w:before="180"/>
                    <w:ind w:left="1020"/>
                    <w:textAlignment w:val="auto"/>
                    <w:rPr>
                      <w:rFonts w:cs="Times"/>
                    </w:rPr>
                  </w:pPr>
                  <w:r>
                    <w:rPr>
                      <w:lang w:eastAsia="zh-CN"/>
                    </w:rPr>
                    <w:t>Note: Dependency or lack thereof for a UE supporting 480kHz and/or 960kHz numerology for data and control to also support 480kHz SSB numerology for initial access is to be tackled as part of UE capability discussion.</w:t>
                  </w:r>
                </w:p>
              </w:tc>
            </w:tr>
          </w:tbl>
          <w:p>
            <w:pPr>
              <w:pStyle w:val="30"/>
              <w:widowControl w:val="0"/>
              <w:spacing w:after="0"/>
            </w:pPr>
          </w:p>
          <w:p>
            <w:pPr>
              <w:widowControl w:val="0"/>
              <w:rPr>
                <w:rFonts w:eastAsia="宋体"/>
                <w:lang w:eastAsia="zh-CN"/>
              </w:rPr>
            </w:pPr>
            <w:r>
              <w:rPr>
                <w:rFonts w:hint="eastAsia" w:eastAsia="宋体"/>
                <w:lang w:eastAsia="zh-CN"/>
              </w:rPr>
              <w:t xml:space="preserve">Furthermore, for ANR and PCI confusion detection, only one CORESET#0/Type0-PDCCH SCS is supported for each SSB SCS, i.e., (120, 120), (480, 480) and (960, 960). </w:t>
            </w:r>
          </w:p>
          <w:p>
            <w:pPr>
              <w:widowControl w:val="0"/>
              <w:rPr>
                <w:rFonts w:eastAsia="宋体"/>
                <w:lang w:eastAsia="zh-CN"/>
              </w:rPr>
            </w:pPr>
            <w:r>
              <w:rPr>
                <w:rFonts w:hint="eastAsia" w:eastAsia="宋体"/>
                <w:lang w:eastAsia="zh-CN"/>
              </w:rPr>
              <w:t>Based on the above conclusions, the multi-slot PDCCH monitoring capability of CORESET#0/Type0-PDCCH CSS needs to be solved. For SS/PBCH block and CORESET#0 multiplexing pattern 1, the PDCCH monitoring occasions are located within two consecutive slots which are associated with the SS/PBCH block. However, when the UE changes its tracking SS/PBCH block, the relevant PDCCH occasions may be located outside the Y consecutive slots, which will affect the UE</w:t>
            </w:r>
            <w:r>
              <w:rPr>
                <w:rFonts w:eastAsia="宋体"/>
                <w:lang w:eastAsia="zh-CN"/>
              </w:rPr>
              <w:t>’</w:t>
            </w:r>
            <w:r>
              <w:rPr>
                <w:rFonts w:hint="eastAsia" w:eastAsia="宋体"/>
                <w:lang w:eastAsia="zh-CN"/>
              </w:rPr>
              <w:t>s monitoring capability. Given the long period of Type0-PDCCH CSS (e.g. UE may assume 20ms as a default cycle), and the UE does not need to monitor Type0-PDCCH in every cycle, the location of CORESET#0/Type0-PDCCH CSS in time domain s</w:t>
            </w:r>
            <w:r>
              <w:rPr>
                <w:rFonts w:eastAsia="宋体"/>
                <w:lang w:eastAsia="zh-CN"/>
              </w:rPr>
              <w:t xml:space="preserve">hould not </w:t>
            </w:r>
            <w:r>
              <w:rPr>
                <w:rFonts w:hint="eastAsia" w:eastAsia="宋体"/>
                <w:lang w:eastAsia="zh-CN"/>
              </w:rPr>
              <w:t xml:space="preserve">be </w:t>
            </w:r>
            <w:r>
              <w:rPr>
                <w:rFonts w:eastAsia="宋体"/>
                <w:lang w:eastAsia="zh-CN"/>
              </w:rPr>
              <w:t>restrict</w:t>
            </w:r>
            <w:r>
              <w:rPr>
                <w:rFonts w:hint="eastAsia" w:eastAsia="宋体"/>
                <w:lang w:eastAsia="zh-CN"/>
              </w:rPr>
              <w:t>ed,</w:t>
            </w:r>
            <w:r>
              <w:rPr>
                <w:rFonts w:eastAsia="宋体"/>
                <w:lang w:eastAsia="zh-CN"/>
              </w:rPr>
              <w:t xml:space="preserve"> when </w:t>
            </w:r>
            <w:r>
              <w:rPr>
                <w:rFonts w:hint="eastAsia" w:eastAsia="宋体"/>
                <w:lang w:eastAsia="zh-CN"/>
              </w:rPr>
              <w:t>introducing</w:t>
            </w:r>
            <w:r>
              <w:rPr>
                <w:rFonts w:eastAsia="宋体"/>
                <w:lang w:eastAsia="zh-CN"/>
              </w:rPr>
              <w:t xml:space="preserve"> new multi-slot monitoring capability</w:t>
            </w:r>
            <w:r>
              <w:rPr>
                <w:rFonts w:hint="eastAsia" w:eastAsia="宋体"/>
                <w:lang w:eastAsia="zh-CN"/>
              </w:rPr>
              <w:t>.</w:t>
            </w:r>
          </w:p>
          <w:p>
            <w:pPr>
              <w:widowControl w:val="0"/>
              <w:rPr>
                <w:b/>
                <w:i/>
                <w:szCs w:val="20"/>
                <w:lang w:eastAsia="zh-CN"/>
              </w:rPr>
            </w:pPr>
            <w:r>
              <w:rPr>
                <w:rFonts w:hint="eastAsia"/>
                <w:b/>
                <w:i/>
                <w:szCs w:val="20"/>
                <w:lang w:eastAsia="zh-CN"/>
              </w:rPr>
              <w:t>P</w:t>
            </w:r>
            <w:r>
              <w:rPr>
                <w:b/>
                <w:i/>
                <w:szCs w:val="20"/>
                <w:lang w:eastAsia="zh-CN"/>
              </w:rPr>
              <w:t xml:space="preserve">roposal </w:t>
            </w:r>
            <w:r>
              <w:rPr>
                <w:rFonts w:hint="eastAsia"/>
                <w:b/>
                <w:i/>
                <w:szCs w:val="20"/>
                <w:lang w:eastAsia="zh-CN"/>
              </w:rPr>
              <w:t>3</w:t>
            </w:r>
            <w:r>
              <w:rPr>
                <w:b/>
                <w:i/>
                <w:szCs w:val="20"/>
                <w:lang w:eastAsia="zh-CN"/>
              </w:rPr>
              <w:t xml:space="preserve">: </w:t>
            </w:r>
            <w:r>
              <w:rPr>
                <w:rFonts w:hint="eastAsia"/>
                <w:b/>
                <w:i/>
                <w:szCs w:val="20"/>
                <w:lang w:eastAsia="zh-CN"/>
              </w:rPr>
              <w:t>The location of CORESET#0/Type0-PDCCH CSS in time domain should not be restricted, when introducing new multi-slot monitoring capability</w:t>
            </w:r>
            <w:r>
              <w:rPr>
                <w:b/>
                <w:i/>
                <w:szCs w:val="20"/>
                <w:lang w:eastAsia="zh-CN"/>
              </w:rPr>
              <w:t>.</w:t>
            </w:r>
          </w:p>
        </w:tc>
      </w:tr>
    </w:tbl>
    <w:p>
      <w:pPr>
        <w:rPr>
          <w:lang w:eastAsia="zh-CN"/>
        </w:rPr>
      </w:pPr>
    </w:p>
    <w:p>
      <w:pPr>
        <w:pStyle w:val="4"/>
        <w:jc w:val="both"/>
        <w:rPr>
          <w:lang w:val="en-GB" w:eastAsia="zh-CN"/>
        </w:rPr>
      </w:pPr>
      <w:r>
        <w:rPr>
          <w:lang w:val="en-GB" w:eastAsia="zh-CN"/>
        </w:rPr>
        <w:t>R1-2108935 (ZTE, Sanechips)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numPr>
                <w:ilvl w:val="1"/>
                <w:numId w:val="0"/>
              </w:numPr>
              <w:spacing w:before="180" w:line="260" w:lineRule="auto"/>
              <w:jc w:val="both"/>
              <w:rPr>
                <w:rFonts w:eastAsia="宋体"/>
                <w:lang w:eastAsia="zh-CN"/>
              </w:rPr>
            </w:pPr>
            <w:r>
              <w:rPr>
                <w:rFonts w:hint="eastAsia" w:eastAsia="宋体"/>
                <w:lang w:eastAsia="zh-CN"/>
              </w:rPr>
              <w:t xml:space="preserve">Regarding USS set dropping in multi-slot PDCCH monitoring, same as in Rel-15, a USS set with higher SS set index is dropped. There are two alternative options when the USS set is configured in multiple slots, </w:t>
            </w:r>
          </w:p>
          <w:p>
            <w:pPr>
              <w:widowControl w:val="0"/>
              <w:numPr>
                <w:ilvl w:val="1"/>
                <w:numId w:val="0"/>
              </w:numPr>
              <w:spacing w:after="40" w:line="260" w:lineRule="auto"/>
              <w:jc w:val="both"/>
              <w:rPr>
                <w:rFonts w:eastAsia="宋体"/>
                <w:lang w:eastAsia="zh-CN"/>
              </w:rPr>
            </w:pPr>
            <w:r>
              <w:rPr>
                <w:rFonts w:hint="eastAsia" w:eastAsia="宋体"/>
                <w:lang w:eastAsia="zh-CN"/>
              </w:rPr>
              <w:t>Alt1: The USS set in multiple slots with higher SS set index is dropped slot by slot when overbooking happens.</w:t>
            </w:r>
          </w:p>
          <w:p>
            <w:pPr>
              <w:widowControl w:val="0"/>
              <w:numPr>
                <w:ilvl w:val="1"/>
                <w:numId w:val="0"/>
              </w:numPr>
              <w:tabs>
                <w:tab w:val="left" w:pos="450"/>
              </w:tabs>
              <w:spacing w:line="260" w:lineRule="auto"/>
              <w:jc w:val="both"/>
              <w:rPr>
                <w:rFonts w:eastAsia="宋体"/>
                <w:lang w:eastAsia="zh-CN"/>
              </w:rPr>
            </w:pPr>
            <w:r>
              <w:rPr>
                <w:rFonts w:hint="eastAsia" w:eastAsia="宋体"/>
                <w:lang w:eastAsia="zh-CN"/>
              </w:rPr>
              <w:t>Alt2: The whole USS set in multiple slots with higher SS set index is dropped when overbooking happens.</w:t>
            </w:r>
          </w:p>
          <w:p>
            <w:pPr>
              <w:widowControl w:val="0"/>
              <w:numPr>
                <w:ilvl w:val="1"/>
                <w:numId w:val="0"/>
              </w:numPr>
              <w:spacing w:after="240" w:line="260" w:lineRule="auto"/>
              <w:jc w:val="both"/>
            </w:pPr>
            <w:r>
              <w:rPr>
                <w:rFonts w:hint="eastAsia" w:eastAsia="宋体"/>
                <w:lang w:eastAsia="zh-CN"/>
              </w:rPr>
              <w:t>Considering configuration and standardization complexity, we slightly prefer Alt 2 even though Alt1 can save more slots of USS.</w:t>
            </w:r>
          </w:p>
          <w:p>
            <w:pPr>
              <w:widowControl w:val="0"/>
              <w:numPr>
                <w:ilvl w:val="1"/>
                <w:numId w:val="0"/>
              </w:numPr>
              <w:spacing w:after="240" w:line="260" w:lineRule="auto"/>
              <w:jc w:val="both"/>
              <w:rPr>
                <w:rFonts w:eastAsia="宋体"/>
                <w:b/>
                <w:bCs/>
                <w:lang w:eastAsia="zh-CN"/>
              </w:rPr>
            </w:pPr>
            <w:r>
              <w:rPr>
                <w:rFonts w:hint="eastAsia" w:eastAsia="宋体"/>
                <w:b/>
                <w:bCs/>
                <w:lang w:eastAsia="zh-CN"/>
              </w:rPr>
              <w:t>Proposal 4: For multi-slot PDCCH monitoring capability, the similar dropping rule as Rel-15 can be used.</w:t>
            </w:r>
          </w:p>
          <w:p>
            <w:pPr>
              <w:widowControl w:val="0"/>
              <w:numPr>
                <w:ilvl w:val="0"/>
                <w:numId w:val="21"/>
              </w:numPr>
              <w:autoSpaceDE/>
              <w:autoSpaceDN/>
              <w:adjustRightInd/>
              <w:spacing w:after="40" w:line="240" w:lineRule="auto"/>
              <w:ind w:left="1260"/>
              <w:jc w:val="both"/>
              <w:rPr>
                <w:rFonts w:eastAsia="宋体"/>
                <w:b/>
                <w:bCs/>
                <w:lang w:eastAsia="zh-CN"/>
              </w:rPr>
            </w:pPr>
            <w:r>
              <w:rPr>
                <w:rFonts w:hint="eastAsia" w:eastAsia="宋体"/>
                <w:b/>
                <w:bCs/>
                <w:lang w:eastAsia="zh-CN"/>
              </w:rPr>
              <w:t>The SS set dropping rule is only allowed for PCell or PSCell</w:t>
            </w:r>
          </w:p>
          <w:p>
            <w:pPr>
              <w:widowControl w:val="0"/>
              <w:numPr>
                <w:ilvl w:val="0"/>
                <w:numId w:val="21"/>
              </w:numPr>
              <w:autoSpaceDE/>
              <w:autoSpaceDN/>
              <w:adjustRightInd/>
              <w:spacing w:after="40" w:line="240" w:lineRule="auto"/>
              <w:ind w:left="1260"/>
              <w:jc w:val="both"/>
              <w:rPr>
                <w:rFonts w:eastAsia="宋体"/>
                <w:b/>
                <w:bCs/>
                <w:lang w:eastAsia="zh-CN"/>
              </w:rPr>
            </w:pPr>
            <w:r>
              <w:rPr>
                <w:rFonts w:hint="eastAsia" w:eastAsia="宋体"/>
                <w:b/>
                <w:bCs/>
                <w:lang w:eastAsia="zh-CN"/>
              </w:rPr>
              <w:t>The gNB should guarantee that the configured CSS sets do not exceed a UE</w:t>
            </w:r>
            <w:r>
              <w:rPr>
                <w:rFonts w:eastAsia="宋体"/>
                <w:b/>
                <w:bCs/>
                <w:lang w:eastAsia="zh-CN"/>
              </w:rPr>
              <w:t>’</w:t>
            </w:r>
            <w:r>
              <w:rPr>
                <w:rFonts w:hint="eastAsia" w:eastAsia="宋体"/>
                <w:b/>
                <w:bCs/>
                <w:lang w:eastAsia="zh-CN"/>
              </w:rPr>
              <w:t>s capability</w:t>
            </w:r>
          </w:p>
          <w:p>
            <w:pPr>
              <w:widowControl w:val="0"/>
              <w:numPr>
                <w:ilvl w:val="0"/>
                <w:numId w:val="21"/>
              </w:numPr>
              <w:autoSpaceDE/>
              <w:autoSpaceDN/>
              <w:adjustRightInd/>
              <w:spacing w:after="40" w:line="240" w:lineRule="auto"/>
              <w:ind w:left="1260"/>
              <w:jc w:val="both"/>
              <w:rPr>
                <w:rFonts w:eastAsia="宋体"/>
                <w:b/>
                <w:bCs/>
                <w:lang w:eastAsia="zh-CN"/>
              </w:rPr>
            </w:pPr>
            <w:r>
              <w:rPr>
                <w:rFonts w:hint="eastAsia" w:eastAsia="宋体"/>
                <w:b/>
                <w:bCs/>
                <w:lang w:eastAsia="zh-CN"/>
              </w:rPr>
              <w:t>The whole USS set in multiple slots with higher SS set index is dropped when overbooking happens.</w:t>
            </w:r>
          </w:p>
          <w:p>
            <w:pPr>
              <w:widowControl w:val="0"/>
              <w:rPr>
                <w:b/>
                <w:i/>
                <w:szCs w:val="20"/>
                <w:lang w:eastAsia="zh-CN"/>
              </w:rPr>
            </w:pPr>
          </w:p>
        </w:tc>
      </w:tr>
    </w:tbl>
    <w:p>
      <w:pPr>
        <w:rPr>
          <w:lang w:eastAsia="zh-CN"/>
        </w:rPr>
      </w:pPr>
    </w:p>
    <w:p>
      <w:pPr>
        <w:pStyle w:val="4"/>
        <w:jc w:val="both"/>
        <w:rPr>
          <w:lang w:val="en-GB" w:eastAsia="zh-CN"/>
        </w:rPr>
      </w:pPr>
      <w:r>
        <w:rPr>
          <w:lang w:val="en-GB" w:eastAsia="zh-CN"/>
        </w:rPr>
        <w:t>R1-2108960 (vivo)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pStyle w:val="30"/>
              <w:widowControl w:val="0"/>
              <w:spacing w:before="120"/>
              <w:rPr>
                <w:sz w:val="18"/>
                <w:lang w:eastAsia="zh-CN"/>
              </w:rPr>
            </w:pPr>
            <w:r>
              <w:rPr>
                <w:rFonts w:hint="eastAsia"/>
                <w:lang w:eastAsia="zh-CN"/>
              </w:rPr>
              <w:t>F</w:t>
            </w:r>
            <w:r>
              <w:rPr>
                <w:lang w:eastAsia="zh-CN"/>
              </w:rPr>
              <w:t xml:space="preserve">or Alt. 1/Alt. 3 in Section </w:t>
            </w:r>
            <w:r>
              <w:rPr>
                <w:lang w:eastAsia="zh-CN"/>
              </w:rPr>
              <w:fldChar w:fldCharType="begin"/>
            </w:r>
            <w:r>
              <w:rPr>
                <w:lang w:eastAsia="zh-CN"/>
              </w:rPr>
              <w:instrText xml:space="preserve"> REF _Ref78826241 \r \h </w:instrText>
            </w:r>
            <w:r>
              <w:rPr>
                <w:lang w:eastAsia="zh-CN"/>
              </w:rPr>
              <w:fldChar w:fldCharType="separate"/>
            </w:r>
            <w:r>
              <w:rPr>
                <w:lang w:eastAsia="zh-CN"/>
              </w:rPr>
              <w:t>2.1.2</w:t>
            </w:r>
            <w:r>
              <w:rPr>
                <w:lang w:eastAsia="zh-CN"/>
              </w:rPr>
              <w:fldChar w:fldCharType="end"/>
            </w:r>
            <w:r>
              <w:rPr>
                <w:lang w:eastAsia="zh-CN"/>
              </w:rPr>
              <w:t xml:space="preserve">, the BD/CCE budget is defined per fixed or sliding slot group, i.e. PDCCH candidates and non-overlapped CCEs among the Y slots within the slot group should be less than </w:t>
            </w:r>
            <m:oMath>
              <m:sSubSup>
                <m:sSubSupPr>
                  <m:ctrlPr>
                    <w:rPr>
                      <w:rFonts w:ascii="Cambria Math" w:hAnsi="Cambria Math"/>
                      <w:i/>
                      <w:sz w:val="18"/>
                      <w:lang w:eastAsia="zh-CN"/>
                    </w:rPr>
                  </m:ctrlPr>
                </m:sSubSupPr>
                <m:e>
                  <m:r>
                    <w:rPr>
                      <w:rFonts w:ascii="Cambria Math" w:hAnsi="Cambria Math"/>
                      <w:lang w:eastAsia="zh-CN"/>
                    </w:rPr>
                    <m:t>M</m:t>
                  </m:r>
                  <m:ctrlPr>
                    <w:rPr>
                      <w:rFonts w:ascii="Cambria Math" w:hAnsi="Cambria Math"/>
                      <w:i/>
                      <w:sz w:val="18"/>
                      <w:lang w:eastAsia="zh-CN"/>
                    </w:rPr>
                  </m:ctrlPr>
                </m:e>
                <m:sub>
                  <m:r>
                    <m:rPr>
                      <m:sty m:val="p"/>
                    </m:rPr>
                    <w:rPr>
                      <w:rFonts w:ascii="Cambria Math" w:hAnsi="Cambria Math"/>
                      <w:lang w:eastAsia="zh-CN"/>
                    </w:rPr>
                    <m:t>PDCCH</m:t>
                  </m:r>
                  <m:ctrlPr>
                    <w:rPr>
                      <w:rFonts w:ascii="Cambria Math" w:hAnsi="Cambria Math"/>
                      <w:i/>
                      <w:sz w:val="18"/>
                      <w:lang w:eastAsia="zh-CN"/>
                    </w:rPr>
                  </m:ctrlPr>
                </m:sub>
                <m:sup>
                  <m:r>
                    <w:rPr>
                      <w:rFonts w:ascii="Cambria Math" w:hAnsi="Cambria Math"/>
                      <w:lang w:eastAsia="zh-CN"/>
                    </w:rPr>
                    <m:t>max,</m:t>
                  </m:r>
                  <m:r>
                    <m:rPr>
                      <m:sty m:val="p"/>
                    </m:rPr>
                    <w:rPr>
                      <w:rFonts w:ascii="Cambria Math" w:hAnsi="Cambria Math"/>
                      <w:lang w:eastAsia="zh-CN"/>
                    </w:rPr>
                    <m:t>multi-slot</m:t>
                  </m:r>
                  <m:r>
                    <w:rPr>
                      <w:rFonts w:ascii="Cambria Math" w:hAnsi="Cambria Math"/>
                      <w:lang w:eastAsia="zh-CN"/>
                    </w:rPr>
                    <m:t>,μ</m:t>
                  </m:r>
                  <m:ctrlPr>
                    <w:rPr>
                      <w:rFonts w:ascii="Cambria Math" w:hAnsi="Cambria Math"/>
                      <w:i/>
                      <w:sz w:val="18"/>
                      <w:lang w:eastAsia="zh-CN"/>
                    </w:rPr>
                  </m:ctrlPr>
                </m:sup>
              </m:sSubSup>
              <m:r>
                <w:rPr>
                  <w:rFonts w:ascii="Cambria Math" w:hAnsi="Cambria Math"/>
                  <w:sz w:val="18"/>
                  <w:lang w:eastAsia="zh-CN"/>
                </w:rPr>
                <m:t xml:space="preserve"> </m:t>
              </m:r>
            </m:oMath>
            <w:r>
              <w:rPr>
                <w:lang w:eastAsia="zh-CN"/>
              </w:rPr>
              <w:t xml:space="preserve"> </w:t>
            </w:r>
            <m:oMath>
              <m:r>
                <m:rPr>
                  <m:sty m:val="p"/>
                </m:rPr>
                <w:rPr>
                  <w:rFonts w:ascii="Cambria Math" w:hAnsi="Cambria Math"/>
                  <w:lang w:eastAsia="zh-CN"/>
                </w:rPr>
                <m:t xml:space="preserve">and </m:t>
              </m:r>
              <m:sSubSup>
                <m:sSubSupPr>
                  <m:ctrlPr>
                    <w:rPr>
                      <w:rFonts w:ascii="Cambria Math" w:hAnsi="Cambria Math"/>
                      <w:i/>
                      <w:sz w:val="18"/>
                      <w:lang w:eastAsia="zh-CN"/>
                    </w:rPr>
                  </m:ctrlPr>
                </m:sSubSupPr>
                <m:e>
                  <m:r>
                    <w:rPr>
                      <w:rFonts w:ascii="Cambria Math" w:hAnsi="Cambria Math"/>
                      <w:lang w:eastAsia="zh-CN"/>
                    </w:rPr>
                    <m:t>C</m:t>
                  </m:r>
                  <m:ctrlPr>
                    <w:rPr>
                      <w:rFonts w:ascii="Cambria Math" w:hAnsi="Cambria Math"/>
                      <w:i/>
                      <w:sz w:val="18"/>
                      <w:lang w:eastAsia="zh-CN"/>
                    </w:rPr>
                  </m:ctrlPr>
                </m:e>
                <m:sub>
                  <m:r>
                    <m:rPr>
                      <m:sty m:val="p"/>
                    </m:rPr>
                    <w:rPr>
                      <w:rFonts w:ascii="Cambria Math" w:hAnsi="Cambria Math"/>
                      <w:lang w:eastAsia="zh-CN"/>
                    </w:rPr>
                    <m:t>PDCCH</m:t>
                  </m:r>
                  <m:ctrlPr>
                    <w:rPr>
                      <w:rFonts w:ascii="Cambria Math" w:hAnsi="Cambria Math"/>
                      <w:i/>
                      <w:sz w:val="18"/>
                      <w:lang w:eastAsia="zh-CN"/>
                    </w:rPr>
                  </m:ctrlPr>
                </m:sub>
                <m:sup>
                  <m:r>
                    <w:rPr>
                      <w:rFonts w:ascii="Cambria Math" w:hAnsi="Cambria Math"/>
                      <w:lang w:eastAsia="zh-CN"/>
                    </w:rPr>
                    <m:t>max,</m:t>
                  </m:r>
                  <m:r>
                    <m:rPr>
                      <m:sty m:val="p"/>
                    </m:rPr>
                    <w:rPr>
                      <w:rFonts w:ascii="Cambria Math" w:hAnsi="Cambria Math"/>
                      <w:lang w:eastAsia="zh-CN"/>
                    </w:rPr>
                    <m:t>multi-slot</m:t>
                  </m:r>
                  <m:r>
                    <w:rPr>
                      <w:rFonts w:ascii="Cambria Math" w:hAnsi="Cambria Math"/>
                      <w:lang w:eastAsia="zh-CN"/>
                    </w:rPr>
                    <m:t>,μ</m:t>
                  </m:r>
                  <m:ctrlPr>
                    <w:rPr>
                      <w:rFonts w:ascii="Cambria Math" w:hAnsi="Cambria Math"/>
                      <w:i/>
                      <w:sz w:val="18"/>
                      <w:lang w:eastAsia="zh-CN"/>
                    </w:rPr>
                  </m:ctrlPr>
                </m:sup>
              </m:sSubSup>
            </m:oMath>
            <w:r>
              <w:rPr>
                <w:sz w:val="18"/>
                <w:lang w:eastAsia="zh-CN"/>
              </w:rPr>
              <w:t>.</w:t>
            </w:r>
          </w:p>
          <w:p>
            <w:pPr>
              <w:pStyle w:val="30"/>
              <w:widowControl w:val="0"/>
              <w:spacing w:before="120"/>
              <w:rPr>
                <w:sz w:val="18"/>
                <w:lang w:eastAsia="zh-CN"/>
              </w:rPr>
            </w:pPr>
            <w:r>
              <w:rPr>
                <w:lang w:eastAsia="zh-CN"/>
              </w:rPr>
              <w:t xml:space="preserve">For Alt. 2 in Section </w:t>
            </w:r>
            <w:r>
              <w:rPr>
                <w:lang w:eastAsia="zh-CN"/>
              </w:rPr>
              <w:fldChar w:fldCharType="begin"/>
            </w:r>
            <w:r>
              <w:rPr>
                <w:lang w:eastAsia="zh-CN"/>
              </w:rPr>
              <w:instrText xml:space="preserve"> REF _Ref78826241 \r \h </w:instrText>
            </w:r>
            <w:r>
              <w:rPr>
                <w:lang w:eastAsia="zh-CN"/>
              </w:rPr>
              <w:fldChar w:fldCharType="separate"/>
            </w:r>
            <w:r>
              <w:rPr>
                <w:lang w:eastAsia="zh-CN"/>
              </w:rPr>
              <w:t>2.1.2</w:t>
            </w:r>
            <w:r>
              <w:rPr>
                <w:lang w:eastAsia="zh-CN"/>
              </w:rPr>
              <w:fldChar w:fldCharType="end"/>
            </w:r>
            <w:r>
              <w:rPr>
                <w:lang w:eastAsia="zh-CN"/>
              </w:rPr>
              <w:t xml:space="preserve">, the BD/CCE budget is defined per Y-slot/symbol span, i.e. PDCCH candidates and non-overlapped CCEs among the Y slots within the slot group should be less than </w:t>
            </w:r>
            <m:oMath>
              <m:sSubSup>
                <m:sSubSupPr>
                  <m:ctrlPr>
                    <w:rPr>
                      <w:rFonts w:ascii="Cambria Math" w:hAnsi="Cambria Math"/>
                      <w:i/>
                      <w:sz w:val="18"/>
                      <w:lang w:eastAsia="zh-CN"/>
                    </w:rPr>
                  </m:ctrlPr>
                </m:sSubSupPr>
                <m:e>
                  <m:r>
                    <w:rPr>
                      <w:rFonts w:ascii="Cambria Math" w:hAnsi="Cambria Math"/>
                      <w:lang w:eastAsia="zh-CN"/>
                    </w:rPr>
                    <m:t>M</m:t>
                  </m:r>
                  <m:ctrlPr>
                    <w:rPr>
                      <w:rFonts w:ascii="Cambria Math" w:hAnsi="Cambria Math"/>
                      <w:i/>
                      <w:sz w:val="18"/>
                      <w:lang w:eastAsia="zh-CN"/>
                    </w:rPr>
                  </m:ctrlPr>
                </m:e>
                <m:sub>
                  <m:r>
                    <m:rPr>
                      <m:sty m:val="p"/>
                    </m:rPr>
                    <w:rPr>
                      <w:rFonts w:ascii="Cambria Math" w:hAnsi="Cambria Math"/>
                      <w:lang w:eastAsia="zh-CN"/>
                    </w:rPr>
                    <m:t>PDCCH</m:t>
                  </m:r>
                  <m:ctrlPr>
                    <w:rPr>
                      <w:rFonts w:ascii="Cambria Math" w:hAnsi="Cambria Math"/>
                      <w:i/>
                      <w:sz w:val="18"/>
                      <w:lang w:eastAsia="zh-CN"/>
                    </w:rPr>
                  </m:ctrlPr>
                </m:sub>
                <m:sup>
                  <m:r>
                    <w:rPr>
                      <w:rFonts w:ascii="Cambria Math" w:hAnsi="Cambria Math"/>
                      <w:lang w:eastAsia="zh-CN"/>
                    </w:rPr>
                    <m:t>max,</m:t>
                  </m:r>
                  <m:r>
                    <m:rPr>
                      <m:sty m:val="p"/>
                    </m:rPr>
                    <w:rPr>
                      <w:rFonts w:ascii="Cambria Math" w:hAnsi="Cambria Math"/>
                      <w:lang w:eastAsia="zh-CN"/>
                    </w:rPr>
                    <m:t>multi-slot</m:t>
                  </m:r>
                  <m:r>
                    <w:rPr>
                      <w:rFonts w:ascii="Cambria Math" w:hAnsi="Cambria Math"/>
                      <w:lang w:eastAsia="zh-CN"/>
                    </w:rPr>
                    <m:t>,μ</m:t>
                  </m:r>
                  <m:ctrlPr>
                    <w:rPr>
                      <w:rFonts w:ascii="Cambria Math" w:hAnsi="Cambria Math"/>
                      <w:i/>
                      <w:sz w:val="18"/>
                      <w:lang w:eastAsia="zh-CN"/>
                    </w:rPr>
                  </m:ctrlPr>
                </m:sup>
              </m:sSubSup>
              <m:r>
                <w:rPr>
                  <w:rFonts w:ascii="Cambria Math" w:hAnsi="Cambria Math"/>
                  <w:sz w:val="18"/>
                  <w:lang w:eastAsia="zh-CN"/>
                </w:rPr>
                <m:t xml:space="preserve"> </m:t>
              </m:r>
            </m:oMath>
            <w:r>
              <w:rPr>
                <w:lang w:eastAsia="zh-CN"/>
              </w:rPr>
              <w:t xml:space="preserve"> </w:t>
            </w:r>
            <m:oMath>
              <m:r>
                <m:rPr>
                  <m:sty m:val="p"/>
                </m:rPr>
                <w:rPr>
                  <w:rFonts w:ascii="Cambria Math" w:hAnsi="Cambria Math"/>
                  <w:lang w:eastAsia="zh-CN"/>
                </w:rPr>
                <m:t xml:space="preserve">and </m:t>
              </m:r>
              <m:sSubSup>
                <m:sSubSupPr>
                  <m:ctrlPr>
                    <w:rPr>
                      <w:rFonts w:ascii="Cambria Math" w:hAnsi="Cambria Math"/>
                      <w:i/>
                      <w:sz w:val="18"/>
                      <w:lang w:eastAsia="zh-CN"/>
                    </w:rPr>
                  </m:ctrlPr>
                </m:sSubSupPr>
                <m:e>
                  <m:r>
                    <w:rPr>
                      <w:rFonts w:ascii="Cambria Math" w:hAnsi="Cambria Math"/>
                      <w:lang w:eastAsia="zh-CN"/>
                    </w:rPr>
                    <m:t>C</m:t>
                  </m:r>
                  <m:ctrlPr>
                    <w:rPr>
                      <w:rFonts w:ascii="Cambria Math" w:hAnsi="Cambria Math"/>
                      <w:i/>
                      <w:sz w:val="18"/>
                      <w:lang w:eastAsia="zh-CN"/>
                    </w:rPr>
                  </m:ctrlPr>
                </m:e>
                <m:sub>
                  <m:r>
                    <m:rPr>
                      <m:sty m:val="p"/>
                    </m:rPr>
                    <w:rPr>
                      <w:rFonts w:ascii="Cambria Math" w:hAnsi="Cambria Math"/>
                      <w:lang w:eastAsia="zh-CN"/>
                    </w:rPr>
                    <m:t>PDCCH</m:t>
                  </m:r>
                  <m:ctrlPr>
                    <w:rPr>
                      <w:rFonts w:ascii="Cambria Math" w:hAnsi="Cambria Math"/>
                      <w:i/>
                      <w:sz w:val="18"/>
                      <w:lang w:eastAsia="zh-CN"/>
                    </w:rPr>
                  </m:ctrlPr>
                </m:sub>
                <m:sup>
                  <m:r>
                    <w:rPr>
                      <w:rFonts w:ascii="Cambria Math" w:hAnsi="Cambria Math"/>
                      <w:lang w:eastAsia="zh-CN"/>
                    </w:rPr>
                    <m:t>max,</m:t>
                  </m:r>
                  <m:r>
                    <m:rPr>
                      <m:sty m:val="p"/>
                    </m:rPr>
                    <w:rPr>
                      <w:rFonts w:ascii="Cambria Math" w:hAnsi="Cambria Math"/>
                      <w:lang w:eastAsia="zh-CN"/>
                    </w:rPr>
                    <m:t>multi-slot</m:t>
                  </m:r>
                  <m:r>
                    <w:rPr>
                      <w:rFonts w:ascii="Cambria Math" w:hAnsi="Cambria Math"/>
                      <w:lang w:eastAsia="zh-CN"/>
                    </w:rPr>
                    <m:t>,μ</m:t>
                  </m:r>
                  <m:ctrlPr>
                    <w:rPr>
                      <w:rFonts w:ascii="Cambria Math" w:hAnsi="Cambria Math"/>
                      <w:i/>
                      <w:sz w:val="18"/>
                      <w:lang w:eastAsia="zh-CN"/>
                    </w:rPr>
                  </m:ctrlPr>
                </m:sup>
              </m:sSubSup>
            </m:oMath>
            <w:r>
              <w:rPr>
                <w:sz w:val="18"/>
                <w:lang w:eastAsia="zh-CN"/>
              </w:rPr>
              <w:t>.</w:t>
            </w:r>
          </w:p>
          <w:p>
            <w:pPr>
              <w:pStyle w:val="30"/>
              <w:widowControl w:val="0"/>
              <w:spacing w:before="120"/>
              <w:rPr>
                <w:sz w:val="18"/>
                <w:lang w:eastAsia="zh-CN"/>
              </w:rPr>
            </w:pPr>
            <w:r>
              <w:rPr>
                <w:rFonts w:hint="eastAsia"/>
                <w:lang w:eastAsia="zh-CN"/>
              </w:rPr>
              <w:t>T</w:t>
            </w:r>
            <w:r>
              <w:rPr>
                <w:lang w:eastAsia="zh-CN"/>
              </w:rPr>
              <w:t xml:space="preserve">he following alternatives are the candidate method to determine the value of </w:t>
            </w:r>
            <m:oMath>
              <m:sSubSup>
                <m:sSubSupPr>
                  <m:ctrlPr>
                    <w:rPr>
                      <w:rFonts w:ascii="Cambria Math" w:hAnsi="Cambria Math"/>
                      <w:i/>
                      <w:sz w:val="18"/>
                      <w:lang w:eastAsia="zh-CN"/>
                    </w:rPr>
                  </m:ctrlPr>
                </m:sSubSupPr>
                <m:e>
                  <m:r>
                    <w:rPr>
                      <w:rFonts w:ascii="Cambria Math" w:hAnsi="Cambria Math"/>
                      <w:lang w:eastAsia="zh-CN"/>
                    </w:rPr>
                    <m:t>M</m:t>
                  </m:r>
                  <m:ctrlPr>
                    <w:rPr>
                      <w:rFonts w:ascii="Cambria Math" w:hAnsi="Cambria Math"/>
                      <w:i/>
                      <w:sz w:val="18"/>
                      <w:lang w:eastAsia="zh-CN"/>
                    </w:rPr>
                  </m:ctrlPr>
                </m:e>
                <m:sub>
                  <m:r>
                    <m:rPr>
                      <m:sty m:val="p"/>
                    </m:rPr>
                    <w:rPr>
                      <w:rFonts w:ascii="Cambria Math" w:hAnsi="Cambria Math"/>
                      <w:lang w:eastAsia="zh-CN"/>
                    </w:rPr>
                    <m:t>PDCCH</m:t>
                  </m:r>
                  <m:ctrlPr>
                    <w:rPr>
                      <w:rFonts w:ascii="Cambria Math" w:hAnsi="Cambria Math"/>
                      <w:i/>
                      <w:sz w:val="18"/>
                      <w:lang w:eastAsia="zh-CN"/>
                    </w:rPr>
                  </m:ctrlPr>
                </m:sub>
                <m:sup>
                  <m:r>
                    <w:rPr>
                      <w:rFonts w:ascii="Cambria Math" w:hAnsi="Cambria Math"/>
                      <w:lang w:eastAsia="zh-CN"/>
                    </w:rPr>
                    <m:t>max,</m:t>
                  </m:r>
                  <m:r>
                    <m:rPr>
                      <m:sty m:val="p"/>
                    </m:rPr>
                    <w:rPr>
                      <w:rFonts w:ascii="Cambria Math" w:hAnsi="Cambria Math"/>
                      <w:lang w:eastAsia="zh-CN"/>
                    </w:rPr>
                    <m:t>multi-slot</m:t>
                  </m:r>
                  <m:r>
                    <w:rPr>
                      <w:rFonts w:ascii="Cambria Math" w:hAnsi="Cambria Math"/>
                      <w:lang w:eastAsia="zh-CN"/>
                    </w:rPr>
                    <m:t>,μ</m:t>
                  </m:r>
                  <m:ctrlPr>
                    <w:rPr>
                      <w:rFonts w:ascii="Cambria Math" w:hAnsi="Cambria Math"/>
                      <w:i/>
                      <w:sz w:val="18"/>
                      <w:lang w:eastAsia="zh-CN"/>
                    </w:rPr>
                  </m:ctrlPr>
                </m:sup>
              </m:sSubSup>
              <m:r>
                <w:rPr>
                  <w:rFonts w:ascii="Cambria Math" w:hAnsi="Cambria Math"/>
                  <w:sz w:val="18"/>
                  <w:lang w:eastAsia="zh-CN"/>
                </w:rPr>
                <m:t xml:space="preserve"> </m:t>
              </m:r>
            </m:oMath>
            <w:r>
              <w:rPr>
                <w:lang w:eastAsia="zh-CN"/>
              </w:rPr>
              <w:t xml:space="preserve"> </w:t>
            </w:r>
            <m:oMath>
              <m:r>
                <m:rPr>
                  <m:sty m:val="p"/>
                </m:rPr>
                <w:rPr>
                  <w:rFonts w:ascii="Cambria Math" w:hAnsi="Cambria Math"/>
                  <w:lang w:eastAsia="zh-CN"/>
                </w:rPr>
                <m:t xml:space="preserve">and </m:t>
              </m:r>
              <m:sSubSup>
                <m:sSubSupPr>
                  <m:ctrlPr>
                    <w:rPr>
                      <w:rFonts w:ascii="Cambria Math" w:hAnsi="Cambria Math"/>
                      <w:i/>
                      <w:sz w:val="18"/>
                      <w:lang w:eastAsia="zh-CN"/>
                    </w:rPr>
                  </m:ctrlPr>
                </m:sSubSupPr>
                <m:e>
                  <m:r>
                    <w:rPr>
                      <w:rFonts w:ascii="Cambria Math" w:hAnsi="Cambria Math"/>
                      <w:lang w:eastAsia="zh-CN"/>
                    </w:rPr>
                    <m:t>C</m:t>
                  </m:r>
                  <m:ctrlPr>
                    <w:rPr>
                      <w:rFonts w:ascii="Cambria Math" w:hAnsi="Cambria Math"/>
                      <w:i/>
                      <w:sz w:val="18"/>
                      <w:lang w:eastAsia="zh-CN"/>
                    </w:rPr>
                  </m:ctrlPr>
                </m:e>
                <m:sub>
                  <m:r>
                    <m:rPr>
                      <m:sty m:val="p"/>
                    </m:rPr>
                    <w:rPr>
                      <w:rFonts w:ascii="Cambria Math" w:hAnsi="Cambria Math"/>
                      <w:lang w:eastAsia="zh-CN"/>
                    </w:rPr>
                    <m:t>PDCCH</m:t>
                  </m:r>
                  <m:ctrlPr>
                    <w:rPr>
                      <w:rFonts w:ascii="Cambria Math" w:hAnsi="Cambria Math"/>
                      <w:i/>
                      <w:sz w:val="18"/>
                      <w:lang w:eastAsia="zh-CN"/>
                    </w:rPr>
                  </m:ctrlPr>
                </m:sub>
                <m:sup>
                  <m:r>
                    <w:rPr>
                      <w:rFonts w:ascii="Cambria Math" w:hAnsi="Cambria Math"/>
                      <w:lang w:eastAsia="zh-CN"/>
                    </w:rPr>
                    <m:t>max,</m:t>
                  </m:r>
                  <m:r>
                    <m:rPr>
                      <m:sty m:val="p"/>
                    </m:rPr>
                    <w:rPr>
                      <w:rFonts w:ascii="Cambria Math" w:hAnsi="Cambria Math"/>
                      <w:lang w:eastAsia="zh-CN"/>
                    </w:rPr>
                    <m:t>multi-slot</m:t>
                  </m:r>
                  <m:r>
                    <w:rPr>
                      <w:rFonts w:ascii="Cambria Math" w:hAnsi="Cambria Math"/>
                      <w:lang w:eastAsia="zh-CN"/>
                    </w:rPr>
                    <m:t>,μ</m:t>
                  </m:r>
                  <m:ctrlPr>
                    <w:rPr>
                      <w:rFonts w:ascii="Cambria Math" w:hAnsi="Cambria Math"/>
                      <w:i/>
                      <w:sz w:val="18"/>
                      <w:lang w:eastAsia="zh-CN"/>
                    </w:rPr>
                  </m:ctrlPr>
                </m:sup>
              </m:sSubSup>
            </m:oMath>
            <w:r>
              <w:rPr>
                <w:rFonts w:hint="eastAsia"/>
                <w:sz w:val="18"/>
                <w:lang w:eastAsia="zh-CN"/>
              </w:rPr>
              <w:t>:</w:t>
            </w:r>
          </w:p>
          <w:p>
            <w:pPr>
              <w:pStyle w:val="73"/>
              <w:widowControl w:val="0"/>
              <w:numPr>
                <w:ilvl w:val="0"/>
                <w:numId w:val="70"/>
              </w:numPr>
              <w:snapToGrid/>
              <w:spacing w:line="240" w:lineRule="auto"/>
              <w:jc w:val="both"/>
              <w:rPr>
                <w:rFonts w:ascii="Times New Roman" w:hAnsi="Times New Roman"/>
              </w:rPr>
            </w:pPr>
            <w:r>
              <w:rPr>
                <w:rFonts w:hint="eastAsia" w:ascii="Times New Roman" w:hAnsi="Times New Roman"/>
              </w:rPr>
              <w:t>A</w:t>
            </w:r>
            <w:r>
              <w:rPr>
                <w:rFonts w:ascii="Times New Roman" w:hAnsi="Times New Roman"/>
              </w:rPr>
              <w:t xml:space="preserve">lt. 1: </w:t>
            </w:r>
            <m:oMath>
              <m:sSubSup>
                <m:sSubSupPr>
                  <m:ctrlPr>
                    <w:rPr>
                      <w:rFonts w:ascii="Cambria Math" w:hAnsi="Cambria Math"/>
                      <w:i/>
                      <w:sz w:val="18"/>
                    </w:rPr>
                  </m:ctrlPr>
                </m:sSubSupPr>
                <m:e>
                  <m:r>
                    <w:rPr>
                      <w:rFonts w:ascii="Cambria Math" w:hAnsi="Cambria Math"/>
                    </w:rPr>
                    <m:t>M</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multi-slot</m:t>
                  </m:r>
                  <m:r>
                    <w:rPr>
                      <w:rFonts w:ascii="Cambria Math" w:hAnsi="Cambria Math"/>
                    </w:rPr>
                    <m:t>,μ</m:t>
                  </m:r>
                  <m:ctrlPr>
                    <w:rPr>
                      <w:rFonts w:ascii="Cambria Math" w:hAnsi="Cambria Math"/>
                      <w:i/>
                      <w:sz w:val="18"/>
                    </w:rPr>
                  </m:ctrlPr>
                </m:sup>
              </m:sSubSup>
            </m:oMath>
            <w:r>
              <w:rPr>
                <w:rFonts w:hint="eastAsia" w:ascii="Times New Roman" w:hAnsi="Times New Roman"/>
                <w:sz w:val="18"/>
              </w:rPr>
              <w:t>=</w:t>
            </w:r>
            <w:r>
              <w:rPr>
                <w:rFonts w:ascii="Times New Roman" w:hAnsi="Times New Roman"/>
                <w:sz w:val="18"/>
              </w:rPr>
              <w:t>X*</w:t>
            </w:r>
            <m:oMath>
              <m:sSubSup>
                <m:sSubSupPr>
                  <m:ctrlPr>
                    <w:rPr>
                      <w:rFonts w:ascii="Cambria Math" w:hAnsi="Cambria Math"/>
                      <w:i/>
                      <w:sz w:val="18"/>
                    </w:rPr>
                  </m:ctrlPr>
                </m:sSubSupPr>
                <m:e>
                  <m:r>
                    <w:rPr>
                      <w:rFonts w:ascii="Cambria Math" w:hAnsi="Cambria Math"/>
                    </w:rPr>
                    <m:t>M</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slot</m:t>
                  </m:r>
                  <m:r>
                    <w:rPr>
                      <w:rFonts w:ascii="Cambria Math" w:hAnsi="Cambria Math"/>
                    </w:rPr>
                    <m:t>,μ</m:t>
                  </m:r>
                  <m:ctrlPr>
                    <w:rPr>
                      <w:rFonts w:ascii="Cambria Math" w:hAnsi="Cambria Math"/>
                      <w:i/>
                      <w:sz w:val="18"/>
                    </w:rPr>
                  </m:ctrlPr>
                </m:sup>
              </m:sSubSup>
            </m:oMath>
            <w:r>
              <w:rPr>
                <w:rFonts w:hint="eastAsia" w:ascii="Times New Roman" w:hAnsi="Times New Roman"/>
                <w:sz w:val="18"/>
              </w:rPr>
              <w:t>,</w:t>
            </w:r>
            <w:r>
              <w:rPr>
                <w:rFonts w:ascii="Times New Roman" w:hAnsi="Times New Roman"/>
                <w:sz w:val="18"/>
              </w:rPr>
              <w:t xml:space="preserve"> </w:t>
            </w:r>
            <m:oMath>
              <m:sSubSup>
                <m:sSubSupPr>
                  <m:ctrlPr>
                    <w:rPr>
                      <w:rFonts w:ascii="Cambria Math" w:hAnsi="Cambria Math"/>
                      <w:i/>
                      <w:sz w:val="18"/>
                    </w:rPr>
                  </m:ctrlPr>
                </m:sSubSupPr>
                <m:e>
                  <m:r>
                    <w:rPr>
                      <w:rFonts w:ascii="Cambria Math" w:hAnsi="Cambria Math"/>
                    </w:rPr>
                    <m:t>C</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multi-slot</m:t>
                  </m:r>
                  <m:r>
                    <w:rPr>
                      <w:rFonts w:ascii="Cambria Math" w:hAnsi="Cambria Math"/>
                    </w:rPr>
                    <m:t>,μ</m:t>
                  </m:r>
                  <m:ctrlPr>
                    <w:rPr>
                      <w:rFonts w:ascii="Cambria Math" w:hAnsi="Cambria Math"/>
                      <w:i/>
                      <w:sz w:val="18"/>
                    </w:rPr>
                  </m:ctrlPr>
                </m:sup>
              </m:sSubSup>
              <m:r>
                <w:rPr>
                  <w:rFonts w:ascii="Cambria Math" w:hAnsi="Cambria Math"/>
                  <w:sz w:val="18"/>
                </w:rPr>
                <m:t>=</m:t>
              </m:r>
            </m:oMath>
            <w:r>
              <w:rPr>
                <w:rFonts w:ascii="Times New Roman" w:hAnsi="Times New Roman"/>
                <w:sz w:val="18"/>
              </w:rPr>
              <w:t xml:space="preserve"> X*</w:t>
            </w:r>
            <m:oMath>
              <m:sSubSup>
                <m:sSubSupPr>
                  <m:ctrlPr>
                    <w:rPr>
                      <w:rFonts w:ascii="Cambria Math" w:hAnsi="Cambria Math"/>
                      <w:i/>
                      <w:sz w:val="18"/>
                    </w:rPr>
                  </m:ctrlPr>
                </m:sSubSupPr>
                <m:e>
                  <m:r>
                    <w:rPr>
                      <w:rFonts w:ascii="Cambria Math" w:hAnsi="Cambria Math"/>
                    </w:rPr>
                    <m:t>C</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slot</m:t>
                  </m:r>
                  <m:r>
                    <w:rPr>
                      <w:rFonts w:ascii="Cambria Math" w:hAnsi="Cambria Math"/>
                    </w:rPr>
                    <m:t>,μ</m:t>
                  </m:r>
                  <m:ctrlPr>
                    <w:rPr>
                      <w:rFonts w:ascii="Cambria Math" w:hAnsi="Cambria Math"/>
                      <w:i/>
                      <w:sz w:val="18"/>
                    </w:rPr>
                  </m:ctrlPr>
                </m:sup>
              </m:sSubSup>
            </m:oMath>
            <w:r>
              <w:rPr>
                <w:rFonts w:hint="eastAsia" w:ascii="Times New Roman" w:hAnsi="Times New Roman"/>
                <w:sz w:val="18"/>
              </w:rPr>
              <w:t>,</w:t>
            </w:r>
            <w:r>
              <w:rPr>
                <w:rFonts w:ascii="Times New Roman" w:hAnsi="Times New Roman"/>
                <w:sz w:val="18"/>
              </w:rPr>
              <w:t xml:space="preserve"> where per slot limit </w:t>
            </w:r>
            <m:oMath>
              <m:sSubSup>
                <m:sSubSupPr>
                  <m:ctrlPr>
                    <w:rPr>
                      <w:rFonts w:ascii="Cambria Math" w:hAnsi="Cambria Math"/>
                      <w:i/>
                      <w:sz w:val="18"/>
                    </w:rPr>
                  </m:ctrlPr>
                </m:sSubSupPr>
                <m:e>
                  <m:r>
                    <w:rPr>
                      <w:rFonts w:ascii="Cambria Math" w:hAnsi="Cambria Math"/>
                    </w:rPr>
                    <m:t>M</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slot</m:t>
                  </m:r>
                  <m:r>
                    <w:rPr>
                      <w:rFonts w:ascii="Cambria Math" w:hAnsi="Cambria Math"/>
                    </w:rPr>
                    <m:t>,μ</m:t>
                  </m:r>
                  <m:ctrlPr>
                    <w:rPr>
                      <w:rFonts w:ascii="Cambria Math" w:hAnsi="Cambria Math"/>
                      <w:i/>
                      <w:sz w:val="18"/>
                    </w:rPr>
                  </m:ctrlPr>
                </m:sup>
              </m:sSubSup>
            </m:oMath>
            <w:r>
              <w:rPr>
                <w:rFonts w:ascii="Times New Roman" w:hAnsi="Times New Roman"/>
                <w:sz w:val="18"/>
              </w:rPr>
              <w:t xml:space="preserve"> and </w:t>
            </w:r>
            <m:oMath>
              <m:sSubSup>
                <m:sSubSupPr>
                  <m:ctrlPr>
                    <w:rPr>
                      <w:rFonts w:ascii="Cambria Math" w:hAnsi="Cambria Math"/>
                      <w:i/>
                      <w:sz w:val="18"/>
                    </w:rPr>
                  </m:ctrlPr>
                </m:sSubSupPr>
                <m:e>
                  <m:r>
                    <w:rPr>
                      <w:rFonts w:ascii="Cambria Math" w:hAnsi="Cambria Math"/>
                    </w:rPr>
                    <m:t>C</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slot</m:t>
                  </m:r>
                  <m:r>
                    <w:rPr>
                      <w:rFonts w:ascii="Cambria Math" w:hAnsi="Cambria Math"/>
                    </w:rPr>
                    <m:t>,μ</m:t>
                  </m:r>
                  <m:ctrlPr>
                    <w:rPr>
                      <w:rFonts w:ascii="Cambria Math" w:hAnsi="Cambria Math"/>
                      <w:i/>
                      <w:sz w:val="18"/>
                    </w:rPr>
                  </m:ctrlPr>
                </m:sup>
              </m:sSubSup>
            </m:oMath>
            <w:r>
              <w:rPr>
                <w:rFonts w:hint="eastAsia" w:ascii="Times New Roman" w:hAnsi="Times New Roman"/>
                <w:sz w:val="18"/>
              </w:rPr>
              <w:t xml:space="preserve"> </w:t>
            </w:r>
            <w:r>
              <w:rPr>
                <w:rFonts w:ascii="Times New Roman" w:hAnsi="Times New Roman"/>
                <w:sz w:val="18"/>
              </w:rPr>
              <w:t>should be defined first;</w:t>
            </w:r>
          </w:p>
          <w:p>
            <w:pPr>
              <w:pStyle w:val="73"/>
              <w:widowControl w:val="0"/>
              <w:numPr>
                <w:ilvl w:val="0"/>
                <w:numId w:val="70"/>
              </w:numPr>
              <w:snapToGrid/>
              <w:spacing w:line="240" w:lineRule="auto"/>
              <w:jc w:val="both"/>
              <w:rPr>
                <w:rFonts w:ascii="Times New Roman" w:hAnsi="Times New Roman"/>
              </w:rPr>
            </w:pPr>
            <w:r>
              <w:rPr>
                <w:rFonts w:hint="eastAsia" w:ascii="Times New Roman" w:hAnsi="Times New Roman"/>
              </w:rPr>
              <w:t>A</w:t>
            </w:r>
            <w:r>
              <w:rPr>
                <w:rFonts w:ascii="Times New Roman" w:hAnsi="Times New Roman"/>
              </w:rPr>
              <w:t xml:space="preserve">lt. 2: Use the value in 120K as the reference, </w:t>
            </w:r>
            <m:oMath>
              <m:sSubSup>
                <m:sSubSupPr>
                  <m:ctrlPr>
                    <w:rPr>
                      <w:rFonts w:ascii="Cambria Math" w:hAnsi="Cambria Math"/>
                      <w:i/>
                      <w:sz w:val="18"/>
                    </w:rPr>
                  </m:ctrlPr>
                </m:sSubSupPr>
                <m:e>
                  <m:r>
                    <w:rPr>
                      <w:rFonts w:ascii="Cambria Math" w:hAnsi="Cambria Math"/>
                    </w:rPr>
                    <m:t>M</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multi-slot (X, Y)</m:t>
                  </m:r>
                  <m:r>
                    <w:rPr>
                      <w:rFonts w:ascii="Cambria Math" w:hAnsi="Cambria Math"/>
                    </w:rPr>
                    <m:t>,μ</m:t>
                  </m:r>
                  <m:ctrlPr>
                    <w:rPr>
                      <w:rFonts w:ascii="Cambria Math" w:hAnsi="Cambria Math"/>
                      <w:i/>
                      <w:sz w:val="18"/>
                    </w:rPr>
                  </m:ctrlPr>
                </m:sup>
              </m:sSubSup>
            </m:oMath>
            <w:r>
              <w:rPr>
                <w:rFonts w:hint="eastAsia" w:ascii="Times New Roman" w:hAnsi="Times New Roman"/>
                <w:sz w:val="18"/>
              </w:rPr>
              <w:t>=</w:t>
            </w:r>
            <m:oMath>
              <m:d>
                <m:dPr>
                  <m:begChr m:val="⌈"/>
                  <m:endChr m:val="⌉"/>
                  <m:ctrlPr>
                    <w:rPr>
                      <w:rFonts w:ascii="Cambria Math" w:hAnsi="Cambria Math"/>
                      <w:i/>
                    </w:rPr>
                  </m:ctrlPr>
                </m:dPr>
                <m:e>
                  <m:f>
                    <m:fPr>
                      <m:ctrlPr>
                        <w:rPr>
                          <w:rFonts w:ascii="Cambria Math" w:hAnsi="Cambria Math"/>
                          <w:i/>
                        </w:rPr>
                      </m:ctrlPr>
                    </m:fPr>
                    <m:num>
                      <m:r>
                        <w:rPr>
                          <w:rFonts w:ascii="Cambria Math" w:hAnsi="Cambria Math"/>
                        </w:rPr>
                        <m:t>X</m:t>
                      </m:r>
                      <m:ctrlPr>
                        <w:rPr>
                          <w:rFonts w:ascii="Cambria Math" w:hAnsi="Cambria Math"/>
                          <w:i/>
                        </w:rPr>
                      </m:ctrlPr>
                    </m:num>
                    <m:den>
                      <m:sSup>
                        <m:sSupPr>
                          <m:ctrlPr>
                            <w:rPr>
                              <w:rFonts w:ascii="Cambria Math" w:hAnsi="Cambria Math"/>
                            </w:rPr>
                          </m:ctrlPr>
                        </m:sSupPr>
                        <m:e>
                          <m:r>
                            <w:rPr>
                              <w:rFonts w:ascii="Cambria Math" w:hAnsi="Cambria Math"/>
                            </w:rPr>
                            <m:t>2</m:t>
                          </m:r>
                          <m:ctrlPr>
                            <w:rPr>
                              <w:rFonts w:ascii="Cambria Math" w:hAnsi="Cambria Math"/>
                            </w:rPr>
                          </m:ctrlPr>
                        </m:e>
                        <m:sup>
                          <m:r>
                            <w:rPr>
                              <w:rFonts w:ascii="Cambria Math" w:hAnsi="Cambria Math"/>
                            </w:rPr>
                            <m:t>μ</m:t>
                          </m:r>
                          <m:r>
                            <m:rPr>
                              <m:sty m:val="p"/>
                            </m:rPr>
                            <w:rPr>
                              <w:rFonts w:ascii="Cambria Math" w:hAnsi="Cambria Math"/>
                            </w:rPr>
                            <m:t>-3</m:t>
                          </m:r>
                          <m:ctrlPr>
                            <w:rPr>
                              <w:rFonts w:ascii="Cambria Math" w:hAnsi="Cambria Math"/>
                            </w:rPr>
                          </m:ctrlPr>
                        </m:sup>
                      </m:sSup>
                      <m:ctrlPr>
                        <w:rPr>
                          <w:rFonts w:ascii="Cambria Math" w:hAnsi="Cambria Math"/>
                          <w:i/>
                        </w:rPr>
                      </m:ctrlPr>
                    </m:den>
                  </m:f>
                  <m:ctrlPr>
                    <w:rPr>
                      <w:rFonts w:ascii="Cambria Math" w:hAnsi="Cambria Math"/>
                      <w:i/>
                    </w:rPr>
                  </m:ctrlPr>
                </m:e>
              </m:d>
              <m:r>
                <w:rPr>
                  <w:rFonts w:ascii="Cambria Math" w:hAnsi="Cambria Math"/>
                </w:rPr>
                <m:t>∙</m:t>
              </m:r>
              <m:sSubSup>
                <m:sSubSupPr>
                  <m:ctrlPr>
                    <w:rPr>
                      <w:rFonts w:ascii="Cambria Math" w:hAnsi="Cambria Math"/>
                      <w:i/>
                      <w:sz w:val="18"/>
                    </w:rPr>
                  </m:ctrlPr>
                </m:sSubSupPr>
                <m:e>
                  <m:r>
                    <w:rPr>
                      <w:rFonts w:ascii="Cambria Math" w:hAnsi="Cambria Math"/>
                    </w:rPr>
                    <m:t>M</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slot</m:t>
                  </m:r>
                  <m:r>
                    <w:rPr>
                      <w:rFonts w:ascii="Cambria Math" w:hAnsi="Cambria Math"/>
                    </w:rPr>
                    <m:t>,3</m:t>
                  </m:r>
                  <m:ctrlPr>
                    <w:rPr>
                      <w:rFonts w:ascii="Cambria Math" w:hAnsi="Cambria Math"/>
                      <w:i/>
                      <w:sz w:val="18"/>
                    </w:rPr>
                  </m:ctrlPr>
                </m:sup>
              </m:sSubSup>
            </m:oMath>
            <w:r>
              <w:rPr>
                <w:rFonts w:hint="eastAsia" w:ascii="Times New Roman" w:hAnsi="Times New Roman"/>
                <w:sz w:val="18"/>
              </w:rPr>
              <w:t xml:space="preserve"> </w:t>
            </w:r>
            <w:r>
              <w:rPr>
                <w:rFonts w:ascii="Times New Roman" w:hAnsi="Times New Roman"/>
                <w:sz w:val="18"/>
              </w:rPr>
              <w:t xml:space="preserve">and </w:t>
            </w:r>
            <m:oMath>
              <m:sSubSup>
                <m:sSubSupPr>
                  <m:ctrlPr>
                    <w:rPr>
                      <w:rFonts w:ascii="Cambria Math" w:hAnsi="Cambria Math"/>
                      <w:i/>
                      <w:sz w:val="18"/>
                    </w:rPr>
                  </m:ctrlPr>
                </m:sSubSupPr>
                <m:e>
                  <m:r>
                    <w:rPr>
                      <w:rFonts w:ascii="Cambria Math" w:hAnsi="Cambria Math"/>
                    </w:rPr>
                    <m:t>C</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multi-slot (X, Y)</m:t>
                  </m:r>
                  <m:r>
                    <w:rPr>
                      <w:rFonts w:ascii="Cambria Math" w:hAnsi="Cambria Math"/>
                    </w:rPr>
                    <m:t>,μ</m:t>
                  </m:r>
                  <m:ctrlPr>
                    <w:rPr>
                      <w:rFonts w:ascii="Cambria Math" w:hAnsi="Cambria Math"/>
                      <w:i/>
                      <w:sz w:val="18"/>
                    </w:rPr>
                  </m:ctrlPr>
                </m:sup>
              </m:sSubSup>
            </m:oMath>
            <w:r>
              <w:rPr>
                <w:rFonts w:hint="eastAsia" w:ascii="Times New Roman" w:hAnsi="Times New Roman"/>
                <w:sz w:val="18"/>
              </w:rPr>
              <w:t>=</w:t>
            </w:r>
            <m:oMath>
              <m:d>
                <m:dPr>
                  <m:begChr m:val="⌈"/>
                  <m:endChr m:val="⌉"/>
                  <m:ctrlPr>
                    <w:rPr>
                      <w:rFonts w:ascii="Cambria Math" w:hAnsi="Cambria Math"/>
                      <w:i/>
                    </w:rPr>
                  </m:ctrlPr>
                </m:dPr>
                <m:e>
                  <m:f>
                    <m:fPr>
                      <m:ctrlPr>
                        <w:rPr>
                          <w:rFonts w:ascii="Cambria Math" w:hAnsi="Cambria Math"/>
                          <w:i/>
                        </w:rPr>
                      </m:ctrlPr>
                    </m:fPr>
                    <m:num>
                      <m:r>
                        <w:rPr>
                          <w:rFonts w:ascii="Cambria Math" w:hAnsi="Cambria Math"/>
                        </w:rPr>
                        <m:t>X</m:t>
                      </m:r>
                      <m:ctrlPr>
                        <w:rPr>
                          <w:rFonts w:ascii="Cambria Math" w:hAnsi="Cambria Math"/>
                          <w:i/>
                        </w:rPr>
                      </m:ctrlPr>
                    </m:num>
                    <m:den>
                      <m:sSup>
                        <m:sSupPr>
                          <m:ctrlPr>
                            <w:rPr>
                              <w:rFonts w:ascii="Cambria Math" w:hAnsi="Cambria Math"/>
                            </w:rPr>
                          </m:ctrlPr>
                        </m:sSupPr>
                        <m:e>
                          <m:r>
                            <w:rPr>
                              <w:rFonts w:ascii="Cambria Math" w:hAnsi="Cambria Math"/>
                            </w:rPr>
                            <m:t>2</m:t>
                          </m:r>
                          <m:ctrlPr>
                            <w:rPr>
                              <w:rFonts w:ascii="Cambria Math" w:hAnsi="Cambria Math"/>
                            </w:rPr>
                          </m:ctrlPr>
                        </m:e>
                        <m:sup>
                          <m:r>
                            <w:rPr>
                              <w:rFonts w:ascii="Cambria Math" w:hAnsi="Cambria Math"/>
                            </w:rPr>
                            <m:t>μ</m:t>
                          </m:r>
                          <m:r>
                            <m:rPr>
                              <m:sty m:val="p"/>
                            </m:rPr>
                            <w:rPr>
                              <w:rFonts w:ascii="Cambria Math" w:hAnsi="Cambria Math"/>
                            </w:rPr>
                            <m:t>-3</m:t>
                          </m:r>
                          <m:ctrlPr>
                            <w:rPr>
                              <w:rFonts w:ascii="Cambria Math" w:hAnsi="Cambria Math"/>
                            </w:rPr>
                          </m:ctrlPr>
                        </m:sup>
                      </m:sSup>
                      <m:ctrlPr>
                        <w:rPr>
                          <w:rFonts w:ascii="Cambria Math" w:hAnsi="Cambria Math"/>
                          <w:i/>
                        </w:rPr>
                      </m:ctrlPr>
                    </m:den>
                  </m:f>
                  <m:ctrlPr>
                    <w:rPr>
                      <w:rFonts w:ascii="Cambria Math" w:hAnsi="Cambria Math"/>
                      <w:i/>
                    </w:rPr>
                  </m:ctrlPr>
                </m:e>
              </m:d>
              <m:r>
                <w:rPr>
                  <w:rFonts w:ascii="Cambria Math" w:hAnsi="Cambria Math"/>
                </w:rPr>
                <m:t>∙</m:t>
              </m:r>
              <m:sSubSup>
                <m:sSubSupPr>
                  <m:ctrlPr>
                    <w:rPr>
                      <w:rFonts w:ascii="Cambria Math" w:hAnsi="Cambria Math"/>
                      <w:i/>
                      <w:sz w:val="18"/>
                    </w:rPr>
                  </m:ctrlPr>
                </m:sSubSupPr>
                <m:e>
                  <m:r>
                    <w:rPr>
                      <w:rFonts w:ascii="Cambria Math" w:hAnsi="Cambria Math"/>
                    </w:rPr>
                    <m:t>C</m:t>
                  </m:r>
                  <m:ctrlPr>
                    <w:rPr>
                      <w:rFonts w:ascii="Cambria Math" w:hAnsi="Cambria Math"/>
                      <w:i/>
                      <w:sz w:val="18"/>
                    </w:rPr>
                  </m:ctrlPr>
                </m:e>
                <m:sub>
                  <m:r>
                    <m:rPr>
                      <m:sty m:val="p"/>
                    </m:rPr>
                    <w:rPr>
                      <w:rFonts w:ascii="Cambria Math" w:hAnsi="Cambria Math"/>
                    </w:rPr>
                    <m:t>PDCCH</m:t>
                  </m:r>
                  <m:ctrlPr>
                    <w:rPr>
                      <w:rFonts w:ascii="Cambria Math" w:hAnsi="Cambria Math"/>
                      <w:i/>
                      <w:sz w:val="18"/>
                    </w:rPr>
                  </m:ctrlPr>
                </m:sub>
                <m:sup>
                  <m:r>
                    <w:rPr>
                      <w:rFonts w:ascii="Cambria Math" w:hAnsi="Cambria Math"/>
                    </w:rPr>
                    <m:t>max,</m:t>
                  </m:r>
                  <m:r>
                    <m:rPr>
                      <m:sty m:val="p"/>
                    </m:rPr>
                    <w:rPr>
                      <w:rFonts w:ascii="Cambria Math" w:hAnsi="Cambria Math"/>
                    </w:rPr>
                    <m:t>slot</m:t>
                  </m:r>
                  <m:r>
                    <w:rPr>
                      <w:rFonts w:ascii="Cambria Math" w:hAnsi="Cambria Math"/>
                    </w:rPr>
                    <m:t>,3</m:t>
                  </m:r>
                  <m:ctrlPr>
                    <w:rPr>
                      <w:rFonts w:ascii="Cambria Math" w:hAnsi="Cambria Math"/>
                      <w:i/>
                      <w:sz w:val="18"/>
                    </w:rPr>
                  </m:ctrlPr>
                </m:sup>
              </m:sSubSup>
            </m:oMath>
          </w:p>
          <w:p>
            <w:pPr>
              <w:pStyle w:val="73"/>
              <w:widowControl w:val="0"/>
              <w:numPr>
                <w:ilvl w:val="0"/>
                <w:numId w:val="70"/>
              </w:numPr>
              <w:snapToGrid/>
              <w:spacing w:line="240" w:lineRule="auto"/>
              <w:jc w:val="both"/>
              <w:rPr>
                <w:rFonts w:ascii="Times New Roman" w:hAnsi="Times New Roman"/>
              </w:rPr>
            </w:pPr>
            <w:r>
              <w:rPr>
                <w:rFonts w:hint="eastAsia" w:ascii="Times New Roman" w:hAnsi="Times New Roman"/>
              </w:rPr>
              <w:t>A</w:t>
            </w:r>
            <w:r>
              <w:rPr>
                <w:rFonts w:ascii="Times New Roman" w:hAnsi="Times New Roman"/>
              </w:rPr>
              <w:t>lt. 3: Determine each value for supported (X, Y) using the following table:</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57"/>
              <w:gridCol w:w="1451"/>
              <w:gridCol w:w="1530"/>
              <w:gridCol w:w="1440"/>
              <w:gridCol w:w="1440"/>
              <w:gridCol w:w="19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657" w:type="dxa"/>
                  <w:shd w:val="clear" w:color="auto" w:fill="E0E0E0"/>
                  <w:vAlign w:val="center"/>
                </w:tcPr>
                <w:p>
                  <w:pPr>
                    <w:pStyle w:val="81"/>
                    <w:rPr>
                      <w:rFonts w:ascii="Times New Roman" w:hAnsi="Times New Roman"/>
                      <w:sz w:val="20"/>
                    </w:rPr>
                  </w:pPr>
                </w:p>
              </w:tc>
              <w:tc>
                <w:tcPr>
                  <w:tcW w:w="7843" w:type="dxa"/>
                  <w:gridSpan w:val="5"/>
                  <w:shd w:val="clear" w:color="auto" w:fill="E0E0E0"/>
                </w:tcPr>
                <w:p>
                  <w:pPr>
                    <w:pStyle w:val="81"/>
                  </w:pPr>
                  <w:r>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C</m:t>
                        </m:r>
                        <m:ctrlPr>
                          <w:rPr>
                            <w:rFonts w:ascii="Cambria Math" w:hAnsi="Cambria Math"/>
                            <w:i/>
                            <w:lang w:eastAsia="zh-CN"/>
                          </w:rPr>
                        </m:ctrlPr>
                      </m:e>
                      <m:sub>
                        <m:r>
                          <m:rPr>
                            <m:sty m:val="b"/>
                          </m:rPr>
                          <w:rPr>
                            <w:rFonts w:ascii="Cambria Math" w:hAnsi="Cambria Math"/>
                            <w:lang w:eastAsia="zh-CN"/>
                          </w:rPr>
                          <m:t>PDCCH</m:t>
                        </m:r>
                        <m:ctrlPr>
                          <w:rPr>
                            <w:rFonts w:ascii="Cambria Math" w:hAnsi="Cambria Math"/>
                            <w:i/>
                            <w:lang w:eastAsia="zh-CN"/>
                          </w:rPr>
                        </m:ctrlPr>
                      </m:sub>
                      <m:sup>
                        <m:r>
                          <m:rPr>
                            <m:sty m:val="bi"/>
                          </m:rPr>
                          <w:rPr>
                            <w:rFonts w:ascii="Cambria Math" w:hAnsi="Cambria Math"/>
                            <w:lang w:eastAsia="zh-CN"/>
                          </w:rPr>
                          <m:t>max,</m:t>
                        </m:r>
                        <m:r>
                          <m:rPr>
                            <m:sty m:val="b"/>
                          </m:rPr>
                          <w:rPr>
                            <w:rFonts w:ascii="Cambria Math" w:hAnsi="Cambria Math"/>
                            <w:lang w:eastAsia="zh-CN"/>
                          </w:rPr>
                          <m:t>multi-slot</m:t>
                        </m:r>
                        <m:r>
                          <m:rPr>
                            <m:sty m:val="bi"/>
                          </m:rPr>
                          <w:rPr>
                            <w:rFonts w:ascii="Cambria Math" w:hAnsi="Cambria Math"/>
                            <w:lang w:eastAsia="zh-CN"/>
                          </w:rPr>
                          <m:t xml:space="preserve"> </m:t>
                        </m:r>
                        <m:d>
                          <m:dPr>
                            <m:ctrlPr>
                              <w:rPr>
                                <w:rFonts w:ascii="Cambria Math" w:hAnsi="Cambria Math"/>
                                <w:i/>
                                <w:lang w:eastAsia="zh-CN"/>
                              </w:rPr>
                            </m:ctrlPr>
                          </m:dPr>
                          <m:e>
                            <m:r>
                              <m:rPr>
                                <m:sty m:val="bi"/>
                              </m:rPr>
                              <w:rPr>
                                <w:rFonts w:ascii="Cambria Math" w:hAnsi="Cambria Math"/>
                                <w:lang w:eastAsia="zh-CN"/>
                              </w:rPr>
                              <m:t>X,Y</m:t>
                            </m:r>
                            <m:ctrlPr>
                              <w:rPr>
                                <w:rFonts w:ascii="Cambria Math" w:hAnsi="Cambria Math"/>
                                <w:i/>
                                <w:lang w:eastAsia="zh-CN"/>
                              </w:rPr>
                            </m:ctrlPr>
                          </m:e>
                        </m:d>
                        <m:r>
                          <m:rPr>
                            <m:sty m:val="bi"/>
                          </m:rPr>
                          <w:rPr>
                            <w:rFonts w:ascii="Cambria Math" w:hAnsi="Cambria Math"/>
                            <w:lang w:eastAsia="zh-CN"/>
                          </w:rPr>
                          <m:t>,μ</m:t>
                        </m:r>
                        <m:ctrlPr>
                          <w:rPr>
                            <w:rFonts w:ascii="Cambria Math" w:hAnsi="Cambria Math"/>
                            <w:i/>
                            <w:lang w:eastAsia="zh-CN"/>
                          </w:rPr>
                        </m:ctrlPr>
                      </m:sup>
                    </m:sSubSup>
                  </m:oMath>
                  <w:r>
                    <w:t xml:space="preserve"> of non-overlapped CCEs per slot group for combination </w:t>
                  </w:r>
                  <m:oMath>
                    <m:d>
                      <m:dPr>
                        <m:ctrlPr>
                          <w:rPr>
                            <w:rFonts w:ascii="Cambria Math" w:hAnsi="Cambria Math"/>
                            <w:i/>
                          </w:rPr>
                        </m:ctrlPr>
                      </m:dPr>
                      <m:e>
                        <m:r>
                          <m:rPr>
                            <m:sty m:val="bi"/>
                          </m:rPr>
                          <w:rPr>
                            <w:rFonts w:ascii="Cambria Math" w:hAnsi="Cambria Math"/>
                          </w:rPr>
                          <m:t>X,Y</m:t>
                        </m:r>
                        <m:ctrlPr>
                          <w:rPr>
                            <w:rFonts w:ascii="Cambria Math" w:hAnsi="Cambria Math"/>
                            <w:i/>
                          </w:rPr>
                        </m:ctrlPr>
                      </m:e>
                    </m:d>
                  </m:oMath>
                  <w:r>
                    <w:rPr>
                      <w:lang w:eastAsia="zh-CN"/>
                    </w:rPr>
                    <w:t xml:space="preserve"> </w:t>
                  </w:r>
                  <w:r>
                    <w:t xml:space="preserve">and per serving cell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657" w:type="dxa"/>
                  <w:shd w:val="clear" w:color="auto" w:fill="E0E0E0"/>
                  <w:vAlign w:val="center"/>
                </w:tcPr>
                <w:p>
                  <w:pPr>
                    <w:pStyle w:val="105"/>
                  </w:pPr>
                  <m:oMathPara>
                    <m:oMath>
                      <m:r>
                        <w:rPr>
                          <w:rFonts w:ascii="Cambria Math" w:hAnsi="Cambria Math"/>
                          <w:lang w:eastAsia="zh-CN"/>
                        </w:rPr>
                        <m:t>μ</m:t>
                      </m:r>
                    </m:oMath>
                  </m:oMathPara>
                </w:p>
              </w:tc>
              <w:tc>
                <w:tcPr>
                  <w:tcW w:w="1451" w:type="dxa"/>
                  <w:vAlign w:val="center"/>
                </w:tcPr>
                <w:p>
                  <w:pPr>
                    <w:pStyle w:val="105"/>
                  </w:pPr>
                  <w:r>
                    <w:t>(4, 1)</w:t>
                  </w:r>
                </w:p>
              </w:tc>
              <w:tc>
                <w:tcPr>
                  <w:tcW w:w="1530" w:type="dxa"/>
                </w:tcPr>
                <w:p>
                  <w:pPr>
                    <w:pStyle w:val="105"/>
                  </w:pPr>
                  <w:r>
                    <w:t>(4, 2)</w:t>
                  </w:r>
                </w:p>
              </w:tc>
              <w:tc>
                <w:tcPr>
                  <w:tcW w:w="1440" w:type="dxa"/>
                </w:tcPr>
                <w:p>
                  <w:pPr>
                    <w:pStyle w:val="105"/>
                  </w:pPr>
                  <w:r>
                    <w:t>(8, 1)</w:t>
                  </w:r>
                </w:p>
              </w:tc>
              <w:tc>
                <w:tcPr>
                  <w:tcW w:w="1440" w:type="dxa"/>
                </w:tcPr>
                <w:p>
                  <w:pPr>
                    <w:pStyle w:val="105"/>
                    <w:rPr>
                      <w:rFonts w:eastAsiaTheme="minorEastAsia"/>
                      <w:lang w:eastAsia="zh-CN"/>
                    </w:rPr>
                  </w:pPr>
                  <w:r>
                    <w:rPr>
                      <w:rFonts w:hint="eastAsia" w:eastAsiaTheme="minorEastAsia"/>
                      <w:lang w:eastAsia="zh-CN"/>
                    </w:rPr>
                    <w:t>(</w:t>
                  </w:r>
                  <w:r>
                    <w:rPr>
                      <w:rFonts w:eastAsiaTheme="minorEastAsia"/>
                      <w:lang w:eastAsia="zh-CN"/>
                    </w:rPr>
                    <w:t>8, 2)</w:t>
                  </w:r>
                </w:p>
              </w:tc>
              <w:tc>
                <w:tcPr>
                  <w:tcW w:w="1982" w:type="dxa"/>
                </w:tcPr>
                <w:p>
                  <w:pPr>
                    <w:pStyle w:val="105"/>
                    <w:rPr>
                      <w:rFonts w:eastAsiaTheme="minorEastAsia"/>
                      <w:lang w:eastAsia="zh-CN"/>
                    </w:rPr>
                  </w:pPr>
                  <w:r>
                    <w:rPr>
                      <w:rFonts w:hint="eastAsia" w:eastAsiaTheme="minorEastAsia"/>
                      <w:lang w:eastAsia="zh-CN"/>
                    </w:rPr>
                    <w:t>(</w:t>
                  </w:r>
                  <w:r>
                    <w:rPr>
                      <w:rFonts w:eastAsiaTheme="minorEastAsia"/>
                      <w:lang w:eastAsia="zh-CN"/>
                    </w:rPr>
                    <w:t>8, 4)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657" w:type="dxa"/>
                  <w:vAlign w:val="center"/>
                </w:tcPr>
                <w:p>
                  <w:pPr>
                    <w:pStyle w:val="105"/>
                  </w:pPr>
                  <w:r>
                    <w:t>5</w:t>
                  </w:r>
                </w:p>
              </w:tc>
              <w:tc>
                <w:tcPr>
                  <w:tcW w:w="1451" w:type="dxa"/>
                  <w:vAlign w:val="center"/>
                </w:tcPr>
                <w:p>
                  <w:pPr>
                    <w:pStyle w:val="105"/>
                  </w:pPr>
                </w:p>
              </w:tc>
              <w:tc>
                <w:tcPr>
                  <w:tcW w:w="1530" w:type="dxa"/>
                </w:tcPr>
                <w:p>
                  <w:pPr>
                    <w:pStyle w:val="105"/>
                  </w:pPr>
                </w:p>
              </w:tc>
              <w:tc>
                <w:tcPr>
                  <w:tcW w:w="1440" w:type="dxa"/>
                </w:tcPr>
                <w:p>
                  <w:pPr>
                    <w:pStyle w:val="105"/>
                  </w:pPr>
                </w:p>
              </w:tc>
              <w:tc>
                <w:tcPr>
                  <w:tcW w:w="1440" w:type="dxa"/>
                </w:tcPr>
                <w:p>
                  <w:pPr>
                    <w:pStyle w:val="105"/>
                  </w:pPr>
                </w:p>
              </w:tc>
              <w:tc>
                <w:tcPr>
                  <w:tcW w:w="1982" w:type="dxa"/>
                </w:tcPr>
                <w:p>
                  <w:pPr>
                    <w:pStyle w:val="105"/>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jc w:val="center"/>
              </w:trPr>
              <w:tc>
                <w:tcPr>
                  <w:tcW w:w="657" w:type="dxa"/>
                  <w:vAlign w:val="center"/>
                </w:tcPr>
                <w:p>
                  <w:pPr>
                    <w:pStyle w:val="105"/>
                  </w:pPr>
                  <w:r>
                    <w:t>6</w:t>
                  </w:r>
                </w:p>
              </w:tc>
              <w:tc>
                <w:tcPr>
                  <w:tcW w:w="1451" w:type="dxa"/>
                  <w:vAlign w:val="center"/>
                </w:tcPr>
                <w:p>
                  <w:pPr>
                    <w:pStyle w:val="105"/>
                  </w:pPr>
                </w:p>
              </w:tc>
              <w:tc>
                <w:tcPr>
                  <w:tcW w:w="1530" w:type="dxa"/>
                </w:tcPr>
                <w:p>
                  <w:pPr>
                    <w:pStyle w:val="105"/>
                  </w:pPr>
                </w:p>
              </w:tc>
              <w:tc>
                <w:tcPr>
                  <w:tcW w:w="1440" w:type="dxa"/>
                </w:tcPr>
                <w:p>
                  <w:pPr>
                    <w:pStyle w:val="105"/>
                  </w:pPr>
                </w:p>
              </w:tc>
              <w:tc>
                <w:tcPr>
                  <w:tcW w:w="1440" w:type="dxa"/>
                </w:tcPr>
                <w:p>
                  <w:pPr>
                    <w:pStyle w:val="105"/>
                  </w:pPr>
                </w:p>
              </w:tc>
              <w:tc>
                <w:tcPr>
                  <w:tcW w:w="1982" w:type="dxa"/>
                </w:tcPr>
                <w:p>
                  <w:pPr>
                    <w:pStyle w:val="105"/>
                  </w:pPr>
                </w:p>
              </w:tc>
            </w:tr>
          </w:tbl>
          <w:p>
            <w:pPr>
              <w:widowControl w:val="0"/>
              <w:rPr>
                <w:sz w:val="18"/>
                <w:lang w:eastAsia="zh-CN"/>
              </w:rPr>
            </w:pPr>
          </w:p>
          <w:p>
            <w:pPr>
              <w:pStyle w:val="30"/>
              <w:widowControl w:val="0"/>
              <w:spacing w:before="120"/>
              <w:rPr>
                <w:lang w:eastAsia="zh-CN"/>
              </w:rPr>
            </w:pPr>
            <w:r>
              <w:rPr>
                <w:lang w:eastAsia="zh-CN"/>
              </w:rPr>
              <w:t>Among the above alternatives, Alt. 3 is a similar way with that for span-based capability, which clearly provides the BD/CCE budget value as well as supported (X, Y) value.</w:t>
            </w:r>
          </w:p>
          <w:p>
            <w:pPr>
              <w:widowControl/>
              <w:spacing w:before="120"/>
              <w:jc w:val="both"/>
              <w:rPr>
                <w:b/>
              </w:rPr>
            </w:pPr>
            <w:bookmarkStart w:id="128" w:name="_Ref78903416"/>
            <w:r>
              <w:rPr>
                <w:b/>
              </w:rPr>
              <w:t xml:space="preserve">Proposal </w:t>
            </w:r>
            <w:r>
              <w:rPr>
                <w:b/>
              </w:rPr>
              <w:fldChar w:fldCharType="begin"/>
            </w:r>
            <w:r>
              <w:rPr>
                <w:b/>
              </w:rPr>
              <w:instrText xml:space="preserve"> SEQ Proposal \* ARABIC </w:instrText>
            </w:r>
            <w:r>
              <w:rPr>
                <w:b/>
              </w:rPr>
              <w:fldChar w:fldCharType="separate"/>
            </w:r>
            <w:r>
              <w:rPr>
                <w:b/>
              </w:rPr>
              <w:t>5</w:t>
            </w:r>
            <w:r>
              <w:rPr>
                <w:b/>
              </w:rPr>
              <w:fldChar w:fldCharType="end"/>
            </w:r>
            <w:r>
              <w:rPr>
                <w:b/>
              </w:rPr>
              <w:t>: For NR Rel-17 UEs, supported (X, Y) value should be determined first and then decide corresponding BD/CCE budget value for each (X, Y) case by case.</w:t>
            </w:r>
            <w:bookmarkEnd w:id="128"/>
          </w:p>
          <w:p>
            <w:pPr>
              <w:widowControl w:val="0"/>
              <w:spacing w:before="120"/>
              <w:jc w:val="both"/>
              <w:rPr>
                <w:szCs w:val="20"/>
                <w:lang w:eastAsia="zh-CN"/>
              </w:rPr>
            </w:pPr>
            <w:r>
              <w:rPr>
                <w:rFonts w:hint="eastAsia"/>
                <w:szCs w:val="20"/>
                <w:lang w:eastAsia="zh-CN"/>
              </w:rPr>
              <w:t>I</w:t>
            </w:r>
            <w:r>
              <w:rPr>
                <w:szCs w:val="20"/>
                <w:lang w:eastAsia="zh-CN"/>
              </w:rPr>
              <w:t>n NR operation from 52.6-71GHz, BD/CCE budget will be defined for multiple slot as agreed. In this case, PDCCH candidates should be allocated for multiple slots in overbooking case. In existing NR operation, PDCCH candidates are allocated per slot in granularity of SS. However, in multi-slot-based PDCCH monitoring capability case, PDCCH candidates could be allocated to multiple slots in granularity of SS and slot. How to allocate the PDCCH candidates in two dimensions should be considered.</w:t>
            </w:r>
          </w:p>
          <w:p>
            <w:pPr>
              <w:widowControl w:val="0"/>
              <w:spacing w:before="120"/>
              <w:jc w:val="both"/>
              <w:rPr>
                <w:b/>
              </w:rPr>
            </w:pPr>
            <w:bookmarkStart w:id="129" w:name="_Ref68103532"/>
            <w:r>
              <w:rPr>
                <w:b/>
              </w:rPr>
              <w:t xml:space="preserve">Proposal </w:t>
            </w:r>
            <w:r>
              <w:rPr>
                <w:b/>
              </w:rPr>
              <w:fldChar w:fldCharType="begin"/>
            </w:r>
            <w:r>
              <w:rPr>
                <w:b/>
              </w:rPr>
              <w:instrText xml:space="preserve"> SEQ Proposal \* ARABIC </w:instrText>
            </w:r>
            <w:r>
              <w:rPr>
                <w:b/>
              </w:rPr>
              <w:fldChar w:fldCharType="separate"/>
            </w:r>
            <w:r>
              <w:rPr>
                <w:b/>
              </w:rPr>
              <w:t>7</w:t>
            </w:r>
            <w:r>
              <w:rPr>
                <w:b/>
              </w:rPr>
              <w:fldChar w:fldCharType="end"/>
            </w:r>
            <w:r>
              <w:rPr>
                <w:b/>
              </w:rPr>
              <w:t>: In multi-slot-based PDCCH monitoring capability case, PDCCH candidates could be allocated to multiple slots in granularity of SS and slot.</w:t>
            </w:r>
            <w:bookmarkEnd w:id="129"/>
          </w:p>
          <w:p>
            <w:pPr>
              <w:widowControl/>
              <w:spacing w:before="120"/>
              <w:jc w:val="both"/>
              <w:rPr>
                <w:b/>
              </w:rPr>
            </w:pPr>
          </w:p>
        </w:tc>
      </w:tr>
    </w:tbl>
    <w:p>
      <w:pPr>
        <w:rPr>
          <w:lang w:val="en-GB" w:eastAsia="zh-CN"/>
        </w:rPr>
      </w:pPr>
    </w:p>
    <w:p>
      <w:pPr>
        <w:pStyle w:val="4"/>
        <w:jc w:val="both"/>
        <w:rPr>
          <w:lang w:val="en-GB" w:eastAsia="zh-CN"/>
        </w:rPr>
      </w:pPr>
      <w:r>
        <w:rPr>
          <w:lang w:val="en-GB" w:eastAsia="zh-CN"/>
        </w:rPr>
        <w:t>R1-2109434 (Ericsson)</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30"/>
              <w:widowControl w:val="0"/>
            </w:pPr>
            <w:r>
              <w:t>With Rel-17 work approaching closing, RAN1 should strive to progress in the multi-slot PDCCH processing capabilities for 480/960 kHz SCS. Toward this end, we propose the following starting exemplary lower and upper bounds as the starting point for RAN1 discussion:</w:t>
            </w:r>
          </w:p>
          <w:p>
            <w:pPr>
              <w:pStyle w:val="30"/>
              <w:widowControl w:val="0"/>
              <w:numPr>
                <w:ilvl w:val="0"/>
                <w:numId w:val="71"/>
              </w:numPr>
              <w:autoSpaceDE/>
              <w:autoSpaceDN/>
              <w:adjustRightInd/>
              <w:snapToGrid/>
              <w:jc w:val="both"/>
            </w:pPr>
            <w:r>
              <w:t>480 kHz SCS with window size of X=4</w:t>
            </w:r>
          </w:p>
          <w:p>
            <w:pPr>
              <w:pStyle w:val="30"/>
              <w:widowControl w:val="0"/>
              <w:numPr>
                <w:ilvl w:val="1"/>
                <w:numId w:val="71"/>
              </w:numPr>
              <w:autoSpaceDE/>
              <w:autoSpaceDN/>
              <w:adjustRightInd/>
              <w:snapToGrid/>
              <w:jc w:val="both"/>
            </w:pPr>
            <m:oMath>
              <m:sSubSup>
                <m:sSubSupPr>
                  <m:ctrlPr>
                    <w:rPr>
                      <w:rFonts w:ascii="Cambria Math" w:hAnsi="Cambria Math"/>
                    </w:rPr>
                  </m:ctrlPr>
                </m:sSubSupPr>
                <m:e>
                  <m:r>
                    <w:rPr>
                      <w:rFonts w:ascii="Cambria Math" w:hAnsi="Cambria Math"/>
                    </w:rPr>
                    <m:t>N</m:t>
                  </m:r>
                  <m:ctrlPr>
                    <w:rPr>
                      <w:rFonts w:ascii="Cambria Math" w:hAnsi="Cambria Math"/>
                    </w:rPr>
                  </m:ctrlPr>
                </m:e>
                <m:sub>
                  <m:r>
                    <m:rPr>
                      <m:sty m:val="p"/>
                    </m:rPr>
                    <w:rPr>
                      <w:rFonts w:ascii="Cambria Math" w:hAnsi="Cambria Math"/>
                    </w:rPr>
                    <m:t xml:space="preserve">BD, </m:t>
                  </m:r>
                  <m:r>
                    <w:rPr>
                      <w:rFonts w:ascii="Cambria Math" w:hAnsi="Cambria Math"/>
                    </w:rPr>
                    <m:t>5</m:t>
                  </m:r>
                  <m:ctrlPr>
                    <w:rPr>
                      <w:rFonts w:ascii="Cambria Math" w:hAnsi="Cambria Math"/>
                    </w:rPr>
                  </m:ctrlPr>
                </m:sub>
                <m:sup>
                  <m:r>
                    <w:rPr>
                      <w:rFonts w:ascii="Cambria Math" w:hAnsi="Cambria Math"/>
                    </w:rPr>
                    <m:t>4</m:t>
                  </m:r>
                  <m:r>
                    <m:rPr>
                      <m:nor/>
                      <m:sty m:val="p"/>
                    </m:rPr>
                    <w:rPr>
                      <w:rFonts w:ascii="Cambria Math" w:hAnsi="Cambria Math"/>
                    </w:rPr>
                    <m:t>-</m:t>
                  </m:r>
                  <m:r>
                    <m:rPr>
                      <m:sty m:val="p"/>
                    </m:rPr>
                    <w:rPr>
                      <w:rFonts w:ascii="Cambria Math" w:hAnsi="Cambria Math"/>
                    </w:rPr>
                    <m:t>slot</m:t>
                  </m:r>
                  <m:ctrlPr>
                    <w:rPr>
                      <w:rFonts w:ascii="Cambria Math" w:hAnsi="Cambria Math"/>
                    </w:rPr>
                  </m:ctrlPr>
                </m:sup>
              </m:sSubSup>
              <m:r>
                <w:rPr>
                  <w:rFonts w:ascii="Cambria Math" w:hAnsi="Cambria Math"/>
                </w:rPr>
                <m:t>=</m:t>
              </m:r>
              <m:d>
                <m:dPr>
                  <m:begChr m:val="["/>
                  <m:endChr m:val="]"/>
                  <m:ctrlPr>
                    <w:rPr>
                      <w:rFonts w:ascii="Cambria Math" w:hAnsi="Cambria Math"/>
                      <w:i/>
                    </w:rPr>
                  </m:ctrlPr>
                </m:dPr>
                <m:e>
                  <m:r>
                    <w:rPr>
                      <w:rFonts w:ascii="Cambria Math" w:hAnsi="Cambria Math"/>
                    </w:rPr>
                    <m:t>20-48</m:t>
                  </m:r>
                  <m:ctrlPr>
                    <w:rPr>
                      <w:rFonts w:ascii="Cambria Math" w:hAnsi="Cambria Math"/>
                      <w:i/>
                    </w:rPr>
                  </m:ctrlPr>
                </m:e>
              </m:d>
            </m:oMath>
          </w:p>
          <w:p>
            <w:pPr>
              <w:pStyle w:val="30"/>
              <w:widowControl w:val="0"/>
              <w:numPr>
                <w:ilvl w:val="1"/>
                <w:numId w:val="71"/>
              </w:numPr>
              <w:autoSpaceDE/>
              <w:autoSpaceDN/>
              <w:adjustRightInd/>
              <w:snapToGrid/>
              <w:jc w:val="both"/>
            </w:pPr>
            <m:oMath>
              <m:sSubSup>
                <m:sSubSupPr>
                  <m:ctrlPr>
                    <w:rPr>
                      <w:rFonts w:ascii="Cambria Math" w:hAnsi="Cambria Math"/>
                    </w:rPr>
                  </m:ctrlPr>
                </m:sSubSupPr>
                <m:e>
                  <m:r>
                    <w:rPr>
                      <w:rFonts w:ascii="Cambria Math" w:hAnsi="Cambria Math"/>
                    </w:rPr>
                    <m:t>N</m:t>
                  </m:r>
                  <m:ctrlPr>
                    <w:rPr>
                      <w:rFonts w:ascii="Cambria Math" w:hAnsi="Cambria Math"/>
                    </w:rPr>
                  </m:ctrlPr>
                </m:e>
                <m:sub>
                  <m:r>
                    <m:rPr>
                      <m:sty m:val="p"/>
                    </m:rPr>
                    <w:rPr>
                      <w:rFonts w:ascii="Cambria Math" w:hAnsi="Cambria Math"/>
                    </w:rPr>
                    <m:t>CCE, 5</m:t>
                  </m:r>
                  <m:ctrlPr>
                    <w:rPr>
                      <w:rFonts w:ascii="Cambria Math" w:hAnsi="Cambria Math"/>
                    </w:rPr>
                  </m:ctrlPr>
                </m:sub>
                <m:sup>
                  <m:r>
                    <w:rPr>
                      <w:rFonts w:ascii="Cambria Math" w:hAnsi="Cambria Math"/>
                    </w:rPr>
                    <m:t>4</m:t>
                  </m:r>
                  <m:r>
                    <m:rPr>
                      <m:nor/>
                      <m:sty m:val="p"/>
                    </m:rPr>
                    <w:rPr>
                      <w:rFonts w:ascii="Cambria Math" w:hAnsi="Cambria Math"/>
                    </w:rPr>
                    <m:t>-</m:t>
                  </m:r>
                  <m:r>
                    <m:rPr>
                      <m:sty m:val="p"/>
                    </m:rPr>
                    <w:rPr>
                      <w:rFonts w:ascii="Cambria Math" w:hAnsi="Cambria Math"/>
                    </w:rPr>
                    <m:t>slot</m:t>
                  </m:r>
                  <m:ctrlPr>
                    <w:rPr>
                      <w:rFonts w:ascii="Cambria Math" w:hAnsi="Cambria Math"/>
                    </w:rPr>
                  </m:ctrlPr>
                </m:sup>
              </m:sSubSup>
              <m:r>
                <w:rPr>
                  <w:rFonts w:ascii="Cambria Math" w:hAnsi="Cambria Math"/>
                </w:rPr>
                <m:t>=[32-80]</m:t>
              </m:r>
            </m:oMath>
          </w:p>
          <w:p>
            <w:pPr>
              <w:pStyle w:val="30"/>
              <w:widowControl w:val="0"/>
              <w:numPr>
                <w:ilvl w:val="0"/>
                <w:numId w:val="71"/>
              </w:numPr>
              <w:autoSpaceDE/>
              <w:autoSpaceDN/>
              <w:adjustRightInd/>
              <w:snapToGrid/>
              <w:jc w:val="both"/>
            </w:pPr>
            <w:r>
              <w:t>960 kHz SCS with window size of X=8</w:t>
            </w:r>
          </w:p>
          <w:p>
            <w:pPr>
              <w:pStyle w:val="30"/>
              <w:widowControl w:val="0"/>
              <w:numPr>
                <w:ilvl w:val="1"/>
                <w:numId w:val="71"/>
              </w:numPr>
              <w:autoSpaceDE/>
              <w:autoSpaceDN/>
              <w:adjustRightInd/>
              <w:snapToGrid/>
              <w:jc w:val="both"/>
            </w:pPr>
            <m:oMath>
              <m:sSubSup>
                <m:sSubSupPr>
                  <m:ctrlPr>
                    <w:rPr>
                      <w:rFonts w:ascii="Cambria Math" w:hAnsi="Cambria Math"/>
                    </w:rPr>
                  </m:ctrlPr>
                </m:sSubSupPr>
                <m:e>
                  <m:r>
                    <w:rPr>
                      <w:rFonts w:ascii="Cambria Math" w:hAnsi="Cambria Math"/>
                    </w:rPr>
                    <m:t>N</m:t>
                  </m:r>
                  <m:ctrlPr>
                    <w:rPr>
                      <w:rFonts w:ascii="Cambria Math" w:hAnsi="Cambria Math"/>
                    </w:rPr>
                  </m:ctrlPr>
                </m:e>
                <m:sub>
                  <m:r>
                    <m:rPr>
                      <m:sty m:val="p"/>
                    </m:rPr>
                    <w:rPr>
                      <w:rFonts w:ascii="Cambria Math" w:hAnsi="Cambria Math"/>
                    </w:rPr>
                    <m:t xml:space="preserve">BD, </m:t>
                  </m:r>
                  <m:r>
                    <w:rPr>
                      <w:rFonts w:ascii="Cambria Math" w:hAnsi="Cambria Math"/>
                    </w:rPr>
                    <m:t>6</m:t>
                  </m:r>
                  <m:ctrlPr>
                    <w:rPr>
                      <w:rFonts w:ascii="Cambria Math" w:hAnsi="Cambria Math"/>
                    </w:rPr>
                  </m:ctrlPr>
                </m:sub>
                <m:sup>
                  <m:r>
                    <w:rPr>
                      <w:rFonts w:ascii="Cambria Math" w:hAnsi="Cambria Math"/>
                    </w:rPr>
                    <m:t>8</m:t>
                  </m:r>
                  <m:r>
                    <m:rPr>
                      <m:nor/>
                      <m:sty m:val="p"/>
                    </m:rPr>
                    <w:rPr>
                      <w:rFonts w:ascii="Cambria Math" w:hAnsi="Cambria Math"/>
                    </w:rPr>
                    <m:t>-</m:t>
                  </m:r>
                  <m:r>
                    <m:rPr>
                      <m:sty m:val="p"/>
                    </m:rPr>
                    <w:rPr>
                      <w:rFonts w:ascii="Cambria Math" w:hAnsi="Cambria Math"/>
                    </w:rPr>
                    <m:t>slot</m:t>
                  </m:r>
                  <m:ctrlPr>
                    <w:rPr>
                      <w:rFonts w:ascii="Cambria Math" w:hAnsi="Cambria Math"/>
                    </w:rPr>
                  </m:ctrlPr>
                </m:sup>
              </m:sSubSup>
              <m:r>
                <w:rPr>
                  <w:rFonts w:ascii="Cambria Math" w:hAnsi="Cambria Math"/>
                </w:rPr>
                <m:t>=</m:t>
              </m:r>
              <m:d>
                <m:dPr>
                  <m:begChr m:val="["/>
                  <m:endChr m:val="]"/>
                  <m:ctrlPr>
                    <w:rPr>
                      <w:rFonts w:ascii="Cambria Math" w:hAnsi="Cambria Math"/>
                      <w:i/>
                    </w:rPr>
                  </m:ctrlPr>
                </m:dPr>
                <m:e>
                  <m:r>
                    <w:rPr>
                      <w:rFonts w:ascii="Cambria Math" w:hAnsi="Cambria Math"/>
                    </w:rPr>
                    <m:t>20-72</m:t>
                  </m:r>
                  <m:ctrlPr>
                    <w:rPr>
                      <w:rFonts w:ascii="Cambria Math" w:hAnsi="Cambria Math"/>
                      <w:i/>
                    </w:rPr>
                  </m:ctrlPr>
                </m:e>
              </m:d>
            </m:oMath>
          </w:p>
          <w:p>
            <w:pPr>
              <w:pStyle w:val="30"/>
              <w:widowControl w:val="0"/>
              <w:numPr>
                <w:ilvl w:val="1"/>
                <w:numId w:val="71"/>
              </w:numPr>
              <w:autoSpaceDE/>
              <w:autoSpaceDN/>
              <w:adjustRightInd/>
              <w:snapToGrid/>
              <w:jc w:val="both"/>
            </w:pPr>
            <m:oMath>
              <m:sSubSup>
                <m:sSubSupPr>
                  <m:ctrlPr>
                    <w:rPr>
                      <w:rFonts w:ascii="Cambria Math" w:hAnsi="Cambria Math"/>
                    </w:rPr>
                  </m:ctrlPr>
                </m:sSubSupPr>
                <m:e>
                  <m:r>
                    <w:rPr>
                      <w:rFonts w:ascii="Cambria Math" w:hAnsi="Cambria Math"/>
                    </w:rPr>
                    <m:t>N</m:t>
                  </m:r>
                  <m:ctrlPr>
                    <w:rPr>
                      <w:rFonts w:ascii="Cambria Math" w:hAnsi="Cambria Math"/>
                    </w:rPr>
                  </m:ctrlPr>
                </m:e>
                <m:sub>
                  <m:r>
                    <m:rPr>
                      <m:sty m:val="p"/>
                    </m:rPr>
                    <w:rPr>
                      <w:rFonts w:ascii="Cambria Math" w:hAnsi="Cambria Math"/>
                    </w:rPr>
                    <m:t xml:space="preserve">CCE, </m:t>
                  </m:r>
                  <m:r>
                    <w:rPr>
                      <w:rFonts w:ascii="Cambria Math" w:hAnsi="Cambria Math"/>
                    </w:rPr>
                    <m:t>6</m:t>
                  </m:r>
                  <m:ctrlPr>
                    <w:rPr>
                      <w:rFonts w:ascii="Cambria Math" w:hAnsi="Cambria Math"/>
                    </w:rPr>
                  </m:ctrlPr>
                </m:sub>
                <m:sup>
                  <m:r>
                    <w:rPr>
                      <w:rFonts w:ascii="Cambria Math" w:hAnsi="Cambria Math"/>
                    </w:rPr>
                    <m:t>8</m:t>
                  </m:r>
                  <m:r>
                    <m:rPr>
                      <m:nor/>
                      <m:sty m:val="p"/>
                    </m:rPr>
                    <w:rPr>
                      <w:rFonts w:ascii="Cambria Math" w:hAnsi="Cambria Math"/>
                    </w:rPr>
                    <m:t>-</m:t>
                  </m:r>
                  <m:r>
                    <m:rPr>
                      <m:sty m:val="p"/>
                    </m:rPr>
                    <w:rPr>
                      <w:rFonts w:ascii="Cambria Math" w:hAnsi="Cambria Math"/>
                    </w:rPr>
                    <m:t>slot</m:t>
                  </m:r>
                  <m:ctrlPr>
                    <w:rPr>
                      <w:rFonts w:ascii="Cambria Math" w:hAnsi="Cambria Math"/>
                    </w:rPr>
                  </m:ctrlPr>
                </m:sup>
              </m:sSubSup>
              <m:r>
                <w:rPr>
                  <w:rFonts w:ascii="Cambria Math" w:hAnsi="Cambria Math"/>
                </w:rPr>
                <m:t>=[32-128]</m:t>
              </m:r>
            </m:oMath>
          </w:p>
          <w:p>
            <w:pPr>
              <w:pStyle w:val="30"/>
              <w:widowControl w:val="0"/>
            </w:pPr>
            <w:r>
              <w:t>Note that the capabilities of a UE supporting 960 kHz SCS can be higher than those for supporting only 480 kHz SCS since the former is equipped with higher processing powers to address larger bandwidths with shorter OFDM symbol and slot times.</w:t>
            </w:r>
          </w:p>
          <w:p>
            <w:pPr>
              <w:pStyle w:val="30"/>
              <w:widowControl w:val="0"/>
            </w:pPr>
          </w:p>
          <w:p>
            <w:pPr>
              <w:pStyle w:val="203"/>
              <w:widowControl w:val="0"/>
              <w:tabs>
                <w:tab w:val="clear" w:pos="2722"/>
              </w:tabs>
              <w:overflowPunct w:val="0"/>
              <w:autoSpaceDE w:val="0"/>
              <w:autoSpaceDN w:val="0"/>
              <w:adjustRightInd w:val="0"/>
              <w:spacing w:after="0" w:line="240" w:lineRule="auto"/>
              <w:jc w:val="both"/>
              <w:textAlignment w:val="baseline"/>
              <w:rPr>
                <w:rFonts w:eastAsiaTheme="minorEastAsia"/>
              </w:rPr>
            </w:pPr>
            <w:bookmarkStart w:id="130" w:name="_Toc83990580"/>
            <w:bookmarkStart w:id="131" w:name="_Ref79163691"/>
            <w:r>
              <w:rPr>
                <w:rFonts w:eastAsiaTheme="minorEastAsia"/>
              </w:rPr>
              <w:t>RAN1 agrees to the following m</w:t>
            </w:r>
            <w:r>
              <w:t>ulti-slot PDCCH processing capability ranges for 480/960 kHz SCS as the starting point to progress the Rel-17 specification effort:</w:t>
            </w:r>
            <w:bookmarkEnd w:id="130"/>
          </w:p>
          <w:p>
            <w:pPr>
              <w:pStyle w:val="203"/>
              <w:widowControl w:val="0"/>
              <w:numPr>
                <w:ilvl w:val="1"/>
                <w:numId w:val="13"/>
              </w:numPr>
              <w:tabs>
                <w:tab w:val="clear" w:pos="22"/>
                <w:tab w:val="clear" w:pos="1701"/>
                <w:tab w:val="clear" w:pos="2722"/>
              </w:tabs>
              <w:overflowPunct w:val="0"/>
              <w:autoSpaceDE w:val="0"/>
              <w:autoSpaceDN w:val="0"/>
              <w:adjustRightInd w:val="0"/>
              <w:spacing w:after="0" w:line="240" w:lineRule="auto"/>
              <w:ind w:left="2070"/>
              <w:jc w:val="both"/>
              <w:textAlignment w:val="baseline"/>
              <w:rPr>
                <w:rFonts w:eastAsiaTheme="minorEastAsia"/>
              </w:rPr>
            </w:pPr>
            <w:bookmarkStart w:id="132" w:name="_Toc83990581"/>
            <w:r>
              <w:rPr>
                <w:rFonts w:eastAsiaTheme="minorEastAsia"/>
              </w:rPr>
              <w:t xml:space="preserve">480 kHz SCS with window size of X=4: </w:t>
            </w:r>
            <m:oMath>
              <m:sSubSup>
                <m:sSubSupPr>
                  <m:ctrlPr>
                    <w:rPr>
                      <w:rFonts w:ascii="Cambria Math" w:hAnsi="Cambria Math" w:cs="Times New Roman"/>
                    </w:rPr>
                  </m:ctrlPr>
                </m:sSubSupPr>
                <m:e>
                  <m:r>
                    <m:rPr>
                      <m:sty m:val="bi"/>
                    </m:rPr>
                    <w:rPr>
                      <w:rFonts w:ascii="Cambria Math" w:hAnsi="Cambria Math" w:cs="Times New Roman"/>
                    </w:rPr>
                    <m:t>N</m:t>
                  </m:r>
                  <m:ctrlPr>
                    <w:rPr>
                      <w:rFonts w:ascii="Cambria Math" w:hAnsi="Cambria Math" w:cs="Times New Roman"/>
                    </w:rPr>
                  </m:ctrlPr>
                </m:e>
                <m:sub>
                  <m:r>
                    <m:rPr>
                      <m:sty m:val="b"/>
                    </m:rPr>
                    <w:rPr>
                      <w:rFonts w:ascii="Cambria Math" w:hAnsi="Cambria Math" w:cs="Times New Roman"/>
                    </w:rPr>
                    <m:t xml:space="preserve">BD, </m:t>
                  </m:r>
                  <m:r>
                    <m:rPr>
                      <m:sty m:val="bi"/>
                    </m:rPr>
                    <w:rPr>
                      <w:rFonts w:ascii="Cambria Math" w:hAnsi="Cambria Math" w:cs="Times New Roman"/>
                    </w:rPr>
                    <m:t>5</m:t>
                  </m:r>
                  <m:ctrlPr>
                    <w:rPr>
                      <w:rFonts w:ascii="Cambria Math" w:hAnsi="Cambria Math" w:cs="Times New Roman"/>
                    </w:rPr>
                  </m:ctrlPr>
                </m:sub>
                <m:sup>
                  <m:r>
                    <m:rPr>
                      <m:sty m:val="bi"/>
                    </m:rPr>
                    <w:rPr>
                      <w:rFonts w:ascii="Cambria Math" w:hAnsi="Cambria Math" w:cs="Times New Roman"/>
                    </w:rPr>
                    <m:t>4</m:t>
                  </m:r>
                  <m:r>
                    <m:rPr>
                      <m:nor/>
                      <m:sty m:val="p"/>
                    </m:rPr>
                    <w:rPr>
                      <w:rFonts w:ascii="Cambria Math" w:hAnsi="Cambria Math" w:cs="Times New Roman"/>
                    </w:rPr>
                    <m:t>-</m:t>
                  </m:r>
                  <m:r>
                    <m:rPr>
                      <m:sty m:val="b"/>
                    </m:rPr>
                    <w:rPr>
                      <w:rFonts w:ascii="Cambria Math" w:hAnsi="Cambria Math" w:cs="Times New Roman"/>
                    </w:rPr>
                    <m:t>slot</m:t>
                  </m:r>
                  <m:ctrlPr>
                    <w:rPr>
                      <w:rFonts w:ascii="Cambria Math" w:hAnsi="Cambria Math" w:cs="Times New Roman"/>
                    </w:rPr>
                  </m:ctrlPr>
                </m:sup>
              </m:sSubSup>
              <m:r>
                <m:rPr>
                  <m:sty m:val="bi"/>
                </m:rPr>
                <w:rPr>
                  <w:rFonts w:ascii="Cambria Math" w:hAnsi="Cambria Math" w:cs="Times New Roman"/>
                </w:rPr>
                <m:t>=</m:t>
              </m:r>
              <m:d>
                <m:dPr>
                  <m:begChr m:val="["/>
                  <m:endChr m:val="]"/>
                  <m:ctrlPr>
                    <w:rPr>
                      <w:rFonts w:ascii="Cambria Math" w:hAnsi="Cambria Math" w:cs="Times New Roman"/>
                      <w:i/>
                    </w:rPr>
                  </m:ctrlPr>
                </m:dPr>
                <m:e>
                  <m:r>
                    <m:rPr>
                      <m:sty m:val="bi"/>
                    </m:rPr>
                    <w:rPr>
                      <w:rFonts w:ascii="Cambria Math" w:hAnsi="Cambria Math" w:cs="Times New Roman"/>
                    </w:rPr>
                    <m:t>20-48</m:t>
                  </m:r>
                  <m:ctrlPr>
                    <w:rPr>
                      <w:rFonts w:ascii="Cambria Math" w:hAnsi="Cambria Math" w:cs="Times New Roman"/>
                      <w:i/>
                    </w:rPr>
                  </m:ctrlPr>
                </m:e>
              </m:d>
            </m:oMath>
            <w:r>
              <w:rPr>
                <w:rFonts w:eastAsiaTheme="minorEastAsia"/>
              </w:rPr>
              <w:t xml:space="preserve"> and </w:t>
            </w:r>
            <m:oMath>
              <m:sSubSup>
                <m:sSubSupPr>
                  <m:ctrlPr>
                    <w:rPr>
                      <w:rFonts w:ascii="Cambria Math" w:hAnsi="Cambria Math" w:cs="Times New Roman"/>
                    </w:rPr>
                  </m:ctrlPr>
                </m:sSubSupPr>
                <m:e>
                  <m:r>
                    <m:rPr>
                      <m:sty m:val="bi"/>
                    </m:rPr>
                    <w:rPr>
                      <w:rFonts w:ascii="Cambria Math" w:hAnsi="Cambria Math" w:cs="Times New Roman"/>
                    </w:rPr>
                    <m:t>N</m:t>
                  </m:r>
                  <m:ctrlPr>
                    <w:rPr>
                      <w:rFonts w:ascii="Cambria Math" w:hAnsi="Cambria Math" w:cs="Times New Roman"/>
                    </w:rPr>
                  </m:ctrlPr>
                </m:e>
                <m:sub>
                  <m:r>
                    <m:rPr>
                      <m:sty m:val="b"/>
                    </m:rPr>
                    <w:rPr>
                      <w:rFonts w:ascii="Cambria Math" w:hAnsi="Cambria Math" w:cs="Times New Roman"/>
                    </w:rPr>
                    <m:t xml:space="preserve">CCE, </m:t>
                  </m:r>
                  <m:r>
                    <m:rPr>
                      <m:sty m:val="bi"/>
                    </m:rPr>
                    <w:rPr>
                      <w:rFonts w:ascii="Cambria Math" w:hAnsi="Cambria Math" w:cs="Times New Roman"/>
                    </w:rPr>
                    <m:t>5</m:t>
                  </m:r>
                  <m:ctrlPr>
                    <w:rPr>
                      <w:rFonts w:ascii="Cambria Math" w:hAnsi="Cambria Math" w:cs="Times New Roman"/>
                    </w:rPr>
                  </m:ctrlPr>
                </m:sub>
                <m:sup>
                  <m:r>
                    <m:rPr>
                      <m:sty m:val="bi"/>
                    </m:rPr>
                    <w:rPr>
                      <w:rFonts w:ascii="Cambria Math" w:hAnsi="Cambria Math" w:cs="Times New Roman"/>
                    </w:rPr>
                    <m:t>4</m:t>
                  </m:r>
                  <m:r>
                    <m:rPr>
                      <m:nor/>
                      <m:sty m:val="p"/>
                    </m:rPr>
                    <w:rPr>
                      <w:rFonts w:ascii="Cambria Math" w:hAnsi="Cambria Math" w:cs="Times New Roman"/>
                    </w:rPr>
                    <m:t>-</m:t>
                  </m:r>
                  <m:r>
                    <m:rPr>
                      <m:sty m:val="b"/>
                    </m:rPr>
                    <w:rPr>
                      <w:rFonts w:ascii="Cambria Math" w:hAnsi="Cambria Math" w:cs="Times New Roman"/>
                    </w:rPr>
                    <m:t>slot</m:t>
                  </m:r>
                  <m:ctrlPr>
                    <w:rPr>
                      <w:rFonts w:ascii="Cambria Math" w:hAnsi="Cambria Math" w:cs="Times New Roman"/>
                    </w:rPr>
                  </m:ctrlPr>
                </m:sup>
              </m:sSubSup>
              <m:r>
                <m:rPr>
                  <m:sty m:val="bi"/>
                </m:rPr>
                <w:rPr>
                  <w:rFonts w:ascii="Cambria Math" w:hAnsi="Cambria Math" w:eastAsiaTheme="minorEastAsia"/>
                </w:rPr>
                <m:t>=[32-80]</m:t>
              </m:r>
            </m:oMath>
            <w:bookmarkEnd w:id="132"/>
            <w:r>
              <w:rPr>
                <w:rFonts w:eastAsiaTheme="minorEastAsia"/>
              </w:rPr>
              <w:t>.</w:t>
            </w:r>
          </w:p>
          <w:p>
            <w:pPr>
              <w:pStyle w:val="203"/>
              <w:widowControl w:val="0"/>
              <w:numPr>
                <w:ilvl w:val="1"/>
                <w:numId w:val="13"/>
              </w:numPr>
              <w:tabs>
                <w:tab w:val="clear" w:pos="22"/>
                <w:tab w:val="clear" w:pos="1701"/>
                <w:tab w:val="clear" w:pos="2722"/>
              </w:tabs>
              <w:overflowPunct w:val="0"/>
              <w:autoSpaceDE w:val="0"/>
              <w:autoSpaceDN w:val="0"/>
              <w:adjustRightInd w:val="0"/>
              <w:spacing w:after="120" w:line="240" w:lineRule="auto"/>
              <w:ind w:left="2070"/>
              <w:jc w:val="both"/>
              <w:textAlignment w:val="baseline"/>
              <w:rPr>
                <w:rFonts w:eastAsiaTheme="minorEastAsia"/>
              </w:rPr>
            </w:pPr>
            <w:bookmarkStart w:id="133" w:name="_Toc83990582"/>
            <w:r>
              <w:rPr>
                <w:rFonts w:eastAsiaTheme="minorEastAsia"/>
              </w:rPr>
              <w:t xml:space="preserve">960 kHz SCS with window size of X=8: </w:t>
            </w:r>
            <m:oMath>
              <m:sSubSup>
                <m:sSubSupPr>
                  <m:ctrlPr>
                    <w:rPr>
                      <w:rFonts w:ascii="Cambria Math" w:hAnsi="Cambria Math" w:cs="Times New Roman"/>
                    </w:rPr>
                  </m:ctrlPr>
                </m:sSubSupPr>
                <m:e>
                  <m:r>
                    <m:rPr>
                      <m:sty m:val="bi"/>
                    </m:rPr>
                    <w:rPr>
                      <w:rFonts w:ascii="Cambria Math" w:hAnsi="Cambria Math" w:cs="Times New Roman"/>
                    </w:rPr>
                    <m:t>N</m:t>
                  </m:r>
                  <m:ctrlPr>
                    <w:rPr>
                      <w:rFonts w:ascii="Cambria Math" w:hAnsi="Cambria Math" w:cs="Times New Roman"/>
                    </w:rPr>
                  </m:ctrlPr>
                </m:e>
                <m:sub>
                  <m:r>
                    <m:rPr>
                      <m:sty m:val="b"/>
                    </m:rPr>
                    <w:rPr>
                      <w:rFonts w:ascii="Cambria Math" w:hAnsi="Cambria Math" w:cs="Times New Roman"/>
                    </w:rPr>
                    <m:t xml:space="preserve">BD, </m:t>
                  </m:r>
                  <m:r>
                    <m:rPr>
                      <m:sty m:val="bi"/>
                    </m:rPr>
                    <w:rPr>
                      <w:rFonts w:ascii="Cambria Math" w:hAnsi="Cambria Math" w:cs="Times New Roman"/>
                    </w:rPr>
                    <m:t>6</m:t>
                  </m:r>
                  <m:ctrlPr>
                    <w:rPr>
                      <w:rFonts w:ascii="Cambria Math" w:hAnsi="Cambria Math" w:cs="Times New Roman"/>
                    </w:rPr>
                  </m:ctrlPr>
                </m:sub>
                <m:sup>
                  <m:r>
                    <m:rPr>
                      <m:sty m:val="bi"/>
                    </m:rPr>
                    <w:rPr>
                      <w:rFonts w:ascii="Cambria Math" w:hAnsi="Cambria Math" w:cs="Times New Roman"/>
                    </w:rPr>
                    <m:t>8</m:t>
                  </m:r>
                  <m:r>
                    <m:rPr>
                      <m:nor/>
                      <m:sty m:val="p"/>
                    </m:rPr>
                    <w:rPr>
                      <w:rFonts w:ascii="Cambria Math" w:hAnsi="Cambria Math" w:cs="Times New Roman"/>
                    </w:rPr>
                    <m:t>-</m:t>
                  </m:r>
                  <m:r>
                    <m:rPr>
                      <m:sty m:val="b"/>
                    </m:rPr>
                    <w:rPr>
                      <w:rFonts w:ascii="Cambria Math" w:hAnsi="Cambria Math" w:cs="Times New Roman"/>
                    </w:rPr>
                    <m:t>slot</m:t>
                  </m:r>
                  <m:ctrlPr>
                    <w:rPr>
                      <w:rFonts w:ascii="Cambria Math" w:hAnsi="Cambria Math" w:cs="Times New Roman"/>
                    </w:rPr>
                  </m:ctrlPr>
                </m:sup>
              </m:sSubSup>
              <m:r>
                <m:rPr>
                  <m:sty m:val="bi"/>
                </m:rPr>
                <w:rPr>
                  <w:rFonts w:ascii="Cambria Math" w:hAnsi="Cambria Math" w:cs="Times New Roman"/>
                </w:rPr>
                <m:t>=</m:t>
              </m:r>
              <m:d>
                <m:dPr>
                  <m:begChr m:val="["/>
                  <m:endChr m:val="]"/>
                  <m:ctrlPr>
                    <w:rPr>
                      <w:rFonts w:ascii="Cambria Math" w:hAnsi="Cambria Math" w:cs="Times New Roman"/>
                      <w:i/>
                    </w:rPr>
                  </m:ctrlPr>
                </m:dPr>
                <m:e>
                  <m:r>
                    <m:rPr>
                      <m:sty m:val="bi"/>
                    </m:rPr>
                    <w:rPr>
                      <w:rFonts w:ascii="Cambria Math" w:hAnsi="Cambria Math" w:cs="Times New Roman"/>
                    </w:rPr>
                    <m:t>20-72</m:t>
                  </m:r>
                  <m:ctrlPr>
                    <w:rPr>
                      <w:rFonts w:ascii="Cambria Math" w:hAnsi="Cambria Math" w:cs="Times New Roman"/>
                      <w:i/>
                    </w:rPr>
                  </m:ctrlPr>
                </m:e>
              </m:d>
            </m:oMath>
            <w:r>
              <w:rPr>
                <w:rFonts w:eastAsiaTheme="minorEastAsia"/>
              </w:rPr>
              <w:t xml:space="preserve"> and </w:t>
            </w:r>
            <m:oMath>
              <m:sSubSup>
                <m:sSubSupPr>
                  <m:ctrlPr>
                    <w:rPr>
                      <w:rFonts w:ascii="Cambria Math" w:hAnsi="Cambria Math" w:cs="Times New Roman"/>
                    </w:rPr>
                  </m:ctrlPr>
                </m:sSubSupPr>
                <m:e>
                  <m:r>
                    <m:rPr>
                      <m:sty m:val="bi"/>
                    </m:rPr>
                    <w:rPr>
                      <w:rFonts w:ascii="Cambria Math" w:hAnsi="Cambria Math" w:cs="Times New Roman"/>
                    </w:rPr>
                    <m:t>N</m:t>
                  </m:r>
                  <m:ctrlPr>
                    <w:rPr>
                      <w:rFonts w:ascii="Cambria Math" w:hAnsi="Cambria Math" w:cs="Times New Roman"/>
                    </w:rPr>
                  </m:ctrlPr>
                </m:e>
                <m:sub>
                  <m:r>
                    <m:rPr>
                      <m:sty m:val="b"/>
                    </m:rPr>
                    <w:rPr>
                      <w:rFonts w:ascii="Cambria Math" w:hAnsi="Cambria Math" w:cs="Times New Roman"/>
                    </w:rPr>
                    <m:t xml:space="preserve">CCE, </m:t>
                  </m:r>
                  <m:r>
                    <m:rPr>
                      <m:sty m:val="bi"/>
                    </m:rPr>
                    <w:rPr>
                      <w:rFonts w:ascii="Cambria Math" w:hAnsi="Cambria Math" w:cs="Times New Roman"/>
                    </w:rPr>
                    <m:t>6</m:t>
                  </m:r>
                  <m:ctrlPr>
                    <w:rPr>
                      <w:rFonts w:ascii="Cambria Math" w:hAnsi="Cambria Math" w:cs="Times New Roman"/>
                    </w:rPr>
                  </m:ctrlPr>
                </m:sub>
                <m:sup>
                  <m:r>
                    <m:rPr>
                      <m:sty m:val="bi"/>
                    </m:rPr>
                    <w:rPr>
                      <w:rFonts w:ascii="Cambria Math" w:hAnsi="Cambria Math" w:cs="Times New Roman"/>
                    </w:rPr>
                    <m:t>8</m:t>
                  </m:r>
                  <m:r>
                    <m:rPr>
                      <m:nor/>
                      <m:sty m:val="p"/>
                    </m:rPr>
                    <w:rPr>
                      <w:rFonts w:ascii="Cambria Math" w:hAnsi="Cambria Math" w:cs="Times New Roman"/>
                    </w:rPr>
                    <m:t>-</m:t>
                  </m:r>
                  <m:r>
                    <m:rPr>
                      <m:sty m:val="b"/>
                    </m:rPr>
                    <w:rPr>
                      <w:rFonts w:ascii="Cambria Math" w:hAnsi="Cambria Math" w:cs="Times New Roman"/>
                    </w:rPr>
                    <m:t>slot</m:t>
                  </m:r>
                  <m:ctrlPr>
                    <w:rPr>
                      <w:rFonts w:ascii="Cambria Math" w:hAnsi="Cambria Math" w:cs="Times New Roman"/>
                    </w:rPr>
                  </m:ctrlPr>
                </m:sup>
              </m:sSubSup>
              <m:r>
                <m:rPr>
                  <m:sty m:val="bi"/>
                </m:rPr>
                <w:rPr>
                  <w:rFonts w:ascii="Cambria Math" w:hAnsi="Cambria Math" w:eastAsiaTheme="minorEastAsia"/>
                </w:rPr>
                <m:t>=[32-128]</m:t>
              </m:r>
              <w:bookmarkEnd w:id="131"/>
              <w:bookmarkEnd w:id="133"/>
            </m:oMath>
            <w:r>
              <w:rPr>
                <w:rFonts w:eastAsiaTheme="minorEastAsia"/>
              </w:rPr>
              <w:t>.</w:t>
            </w:r>
          </w:p>
          <w:p>
            <w:pPr>
              <w:widowControl w:val="0"/>
              <w:spacing w:before="120"/>
              <w:jc w:val="both"/>
              <w:rPr>
                <w:b/>
              </w:rPr>
            </w:pPr>
          </w:p>
        </w:tc>
      </w:tr>
    </w:tbl>
    <w:p>
      <w:pPr>
        <w:rPr>
          <w:lang w:val="en-GB" w:eastAsia="zh-CN"/>
        </w:rPr>
      </w:pPr>
    </w:p>
    <w:p>
      <w:pPr>
        <w:pStyle w:val="4"/>
        <w:jc w:val="both"/>
        <w:rPr>
          <w:lang w:val="en-GB" w:eastAsia="zh-CN"/>
        </w:rPr>
      </w:pPr>
      <w:r>
        <w:rPr>
          <w:lang w:val="en-GB" w:eastAsia="zh-CN"/>
        </w:rPr>
        <w:t>R1-2109443 (Nokia, Nokia Shanghai Bell)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pStyle w:val="206"/>
              <w:widowControl w:val="0"/>
              <w:spacing w:before="0" w:beforeAutospacing="0" w:after="0" w:afterAutospacing="0"/>
              <w:textAlignment w:val="baseline"/>
              <w:rPr>
                <w:rStyle w:val="207"/>
                <w:i/>
                <w:iCs/>
                <w:sz w:val="20"/>
                <w:szCs w:val="20"/>
                <w:lang w:val="en-US"/>
              </w:rPr>
            </w:pPr>
            <w:r>
              <w:rPr>
                <w:rStyle w:val="207"/>
                <w:b/>
                <w:bCs/>
                <w:i/>
                <w:iCs/>
                <w:sz w:val="20"/>
                <w:szCs w:val="20"/>
                <w:lang w:val="en-US"/>
              </w:rPr>
              <w:t>Proposal 6</w:t>
            </w:r>
            <w:r>
              <w:rPr>
                <w:rStyle w:val="207"/>
                <w:i/>
                <w:iCs/>
                <w:sz w:val="20"/>
                <w:szCs w:val="20"/>
                <w:lang w:val="en-US"/>
              </w:rPr>
              <w:t>: For the cases with X=4 slots for 480 kHz SCS and X=8 for 960 kHz SCS</w:t>
            </w:r>
          </w:p>
          <w:p>
            <w:pPr>
              <w:pStyle w:val="206"/>
              <w:widowControl w:val="0"/>
              <w:numPr>
                <w:ilvl w:val="0"/>
                <w:numId w:val="72"/>
              </w:numPr>
              <w:spacing w:before="0" w:beforeAutospacing="0" w:after="0" w:afterAutospacing="0" w:line="240" w:lineRule="auto"/>
              <w:ind w:left="998" w:hanging="357"/>
              <w:rPr>
                <w:rStyle w:val="207"/>
                <w:i/>
                <w:iCs/>
                <w:sz w:val="20"/>
                <w:szCs w:val="20"/>
                <w:lang w:val="en-US"/>
              </w:rPr>
            </w:pPr>
            <w:r>
              <w:rPr>
                <w:rStyle w:val="207"/>
                <w:i/>
                <w:iCs/>
                <w:sz w:val="20"/>
                <w:szCs w:val="20"/>
                <w:lang w:val="en-US"/>
              </w:rPr>
              <w:t>support 20 PDCCH candidates per 120 kHz SCS slot duration</w:t>
            </w:r>
          </w:p>
          <w:p>
            <w:pPr>
              <w:pStyle w:val="206"/>
              <w:widowControl w:val="0"/>
              <w:numPr>
                <w:ilvl w:val="0"/>
                <w:numId w:val="72"/>
              </w:numPr>
              <w:spacing w:after="0" w:line="240" w:lineRule="auto"/>
              <w:rPr>
                <w:rStyle w:val="207"/>
                <w:i/>
                <w:iCs/>
                <w:sz w:val="20"/>
                <w:szCs w:val="20"/>
                <w:lang w:val="en-US"/>
              </w:rPr>
            </w:pPr>
            <w:r>
              <w:rPr>
                <w:rStyle w:val="207"/>
                <w:i/>
                <w:iCs/>
                <w:sz w:val="20"/>
                <w:szCs w:val="20"/>
                <w:lang w:val="en-US"/>
              </w:rPr>
              <w:t>support 32 non-overlapped CCEs per 120 kHz SCS slot duration.</w:t>
            </w:r>
          </w:p>
          <w:p>
            <w:pPr>
              <w:pStyle w:val="206"/>
              <w:widowControl w:val="0"/>
              <w:spacing w:before="0" w:beforeAutospacing="0" w:after="0" w:afterAutospacing="0"/>
              <w:textAlignment w:val="baseline"/>
              <w:rPr>
                <w:rStyle w:val="207"/>
                <w:i/>
                <w:iCs/>
                <w:sz w:val="20"/>
                <w:szCs w:val="20"/>
                <w:lang w:val="en-US"/>
              </w:rPr>
            </w:pPr>
            <w:r>
              <w:rPr>
                <w:rStyle w:val="207"/>
                <w:b/>
                <w:bCs/>
                <w:i/>
                <w:iCs/>
                <w:sz w:val="20"/>
                <w:szCs w:val="20"/>
                <w:lang w:val="en-US"/>
              </w:rPr>
              <w:t>Proposal 7</w:t>
            </w:r>
            <w:r>
              <w:rPr>
                <w:rStyle w:val="207"/>
                <w:i/>
                <w:iCs/>
                <w:sz w:val="20"/>
                <w:szCs w:val="20"/>
                <w:lang w:val="en-US"/>
              </w:rPr>
              <w:t>: For smaller values of X, select values defined in Table 1 as the baseline</w:t>
            </w:r>
          </w:p>
          <w:p>
            <w:pPr>
              <w:pStyle w:val="206"/>
              <w:widowControl w:val="0"/>
              <w:numPr>
                <w:ilvl w:val="0"/>
                <w:numId w:val="72"/>
              </w:numPr>
              <w:spacing w:before="0" w:beforeAutospacing="0" w:after="0" w:afterAutospacing="0" w:line="240" w:lineRule="auto"/>
              <w:ind w:left="998" w:hanging="357"/>
              <w:rPr>
                <w:rStyle w:val="207"/>
                <w:i/>
                <w:iCs/>
                <w:sz w:val="20"/>
                <w:szCs w:val="20"/>
                <w:lang w:val="en-US"/>
              </w:rPr>
            </w:pPr>
            <w:r>
              <w:rPr>
                <w:rStyle w:val="207"/>
                <w:i/>
                <w:iCs/>
                <w:sz w:val="20"/>
                <w:szCs w:val="20"/>
                <w:lang w:val="en-US"/>
              </w:rPr>
              <w:t>support at least 20 PDCCH candidates per 120 kHz SCS slot duration</w:t>
            </w:r>
          </w:p>
          <w:p>
            <w:pPr>
              <w:pStyle w:val="206"/>
              <w:widowControl w:val="0"/>
              <w:numPr>
                <w:ilvl w:val="0"/>
                <w:numId w:val="72"/>
              </w:numPr>
              <w:spacing w:after="0" w:line="240" w:lineRule="auto"/>
              <w:rPr>
                <w:i/>
                <w:iCs/>
                <w:sz w:val="20"/>
                <w:szCs w:val="20"/>
                <w:lang w:val="en-US"/>
              </w:rPr>
            </w:pPr>
            <w:r>
              <w:rPr>
                <w:rStyle w:val="207"/>
                <w:i/>
                <w:iCs/>
                <w:sz w:val="20"/>
                <w:szCs w:val="20"/>
                <w:lang w:val="en-US"/>
              </w:rPr>
              <w:t>support 32 non-overlapped CCEs per 120 kHz SCS slot duration.</w:t>
            </w:r>
          </w:p>
        </w:tc>
      </w:tr>
    </w:tbl>
    <w:p>
      <w:pPr>
        <w:rPr>
          <w:lang w:val="en-GB" w:eastAsia="zh-CN"/>
        </w:rPr>
      </w:pPr>
    </w:p>
    <w:p>
      <w:pPr>
        <w:pStyle w:val="4"/>
        <w:jc w:val="both"/>
        <w:rPr>
          <w:lang w:val="en-GB" w:eastAsia="zh-CN"/>
        </w:rPr>
      </w:pPr>
      <w:r>
        <w:rPr>
          <w:lang w:val="en-GB" w:eastAsia="zh-CN"/>
        </w:rPr>
        <w:t>R1-2109477 (Samsung)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pPr>
            <w:r>
              <w:t>Slot-based PDCCH monitoring could be considered as a baseline at high SCS (480 KHz and 960 KHz), e.g. for the case UE capability is not available, wherein the maximum number of monitored PDCCH candidates and maximum number of non-overlapping CCEs in a slot can be estimated by extrapolating Rel-16 numbers for other SCSs. Table 1 suggests corresponding numbers as reference for discussion and whether to keep the minimum maximum number of CCEs as 16 for 960 kHz SCS can be further discussed.</w:t>
            </w:r>
          </w:p>
          <w:p>
            <w:pPr>
              <w:widowControl w:val="0"/>
              <w:jc w:val="both"/>
            </w:pPr>
          </w:p>
          <w:p>
            <w:pPr>
              <w:widowControl w:val="0"/>
              <w:jc w:val="both"/>
              <w:rPr>
                <w:b/>
                <w:u w:val="single"/>
              </w:rPr>
            </w:pPr>
            <w:r>
              <w:rPr>
                <w:b/>
                <w:u w:val="single"/>
              </w:rPr>
              <w:t>Proposal 1: Support slot-based PDCCH monitoring for 480 KHz and 960 KHz, and use Table 1 as a reference for the maximum number of monitored PDCCH candidates and non-overlapped CCEs per slot.</w:t>
            </w:r>
          </w:p>
          <w:p>
            <w:pPr>
              <w:widowControl w:val="0"/>
              <w:jc w:val="both"/>
              <w:rPr>
                <w:b/>
                <w:u w:val="single"/>
              </w:rPr>
            </w:pPr>
          </w:p>
          <w:p>
            <w:pPr>
              <w:pStyle w:val="111"/>
              <w:widowControl w:val="0"/>
            </w:pPr>
            <w:r>
              <w:t xml:space="preserve">Table 1: Maximum number </w:t>
            </w:r>
            <w:r>
              <w:rPr>
                <w:position w:val="-10"/>
                <w:lang w:val="en-US" w:eastAsia="ko-KR"/>
              </w:rPr>
              <w:drawing>
                <wp:inline distT="0" distB="0" distL="0" distR="0">
                  <wp:extent cx="556260" cy="2362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556260" cy="236220"/>
                          </a:xfrm>
                          <a:prstGeom prst="rect">
                            <a:avLst/>
                          </a:prstGeom>
                          <a:noFill/>
                          <a:ln>
                            <a:noFill/>
                          </a:ln>
                        </pic:spPr>
                      </pic:pic>
                    </a:graphicData>
                  </a:graphic>
                </wp:inline>
              </w:drawing>
            </w:r>
            <w:r>
              <w:t xml:space="preserve"> of monitored PDCCH candidates and non-overlapped CCEs per slot for a DL BWP with SCS configuration </w:t>
            </w:r>
            <m:oMath>
              <m:r>
                <m:rPr>
                  <m:sty m:val="bi"/>
                </m:rPr>
                <w:rPr>
                  <w:rFonts w:ascii="Cambria Math" w:hAnsi="Cambria Math"/>
                </w:rPr>
                <m:t>μ∈{5,6}</m:t>
              </m:r>
            </m:oMath>
            <w:r>
              <w:t xml:space="preserve"> for a single serving cell</w:t>
            </w:r>
          </w:p>
          <w:p>
            <w:pPr>
              <w:widowControl w:val="0"/>
            </w:pP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36"/>
              <w:gridCol w:w="3163"/>
              <w:gridCol w:w="28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543" w:hRule="atLeast"/>
                <w:jc w:val="center"/>
              </w:trPr>
              <w:tc>
                <w:tcPr>
                  <w:tcW w:w="636" w:type="dxa"/>
                  <w:shd w:val="clear" w:color="auto" w:fill="E0E0E0"/>
                  <w:vAlign w:val="center"/>
                </w:tcPr>
                <w:p>
                  <w:pPr>
                    <w:pStyle w:val="81"/>
                    <w:rPr>
                      <w:rFonts w:ascii="Times New Roman" w:hAnsi="Times New Roman"/>
                      <w:sz w:val="20"/>
                    </w:rPr>
                  </w:pPr>
                  <w:r>
                    <w:rPr>
                      <w:position w:val="-10"/>
                      <w:lang w:val="en-US" w:eastAsia="ko-KR"/>
                    </w:rPr>
                    <w:drawing>
                      <wp:inline distT="0" distB="0" distL="0" distR="0">
                        <wp:extent cx="182880" cy="182880"/>
                        <wp:effectExtent l="0" t="0" r="762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182880" cy="182880"/>
                                </a:xfrm>
                                <a:prstGeom prst="rect">
                                  <a:avLst/>
                                </a:prstGeom>
                                <a:noFill/>
                                <a:ln>
                                  <a:noFill/>
                                </a:ln>
                              </pic:spPr>
                            </pic:pic>
                          </a:graphicData>
                        </a:graphic>
                      </wp:inline>
                    </w:drawing>
                  </w:r>
                </w:p>
              </w:tc>
              <w:tc>
                <w:tcPr>
                  <w:tcW w:w="3163" w:type="dxa"/>
                  <w:shd w:val="clear" w:color="auto" w:fill="E0E0E0"/>
                  <w:vAlign w:val="center"/>
                </w:tcPr>
                <w:p>
                  <w:pPr>
                    <w:pStyle w:val="81"/>
                    <w:rPr>
                      <w:rFonts w:ascii="Times New Roman" w:hAnsi="Times New Roman"/>
                      <w:sz w:val="20"/>
                    </w:rPr>
                  </w:pPr>
                  <w:r>
                    <w:t xml:space="preserve">Maximum number of monitored PDCCH candidates per slot and per serving cell </w:t>
                  </w:r>
                  <w:r>
                    <w:rPr>
                      <w:position w:val="-10"/>
                      <w:lang w:val="en-US" w:eastAsia="ko-KR"/>
                    </w:rPr>
                    <w:drawing>
                      <wp:inline distT="0" distB="0" distL="0" distR="0">
                        <wp:extent cx="556260" cy="2514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556260" cy="251460"/>
                                </a:xfrm>
                                <a:prstGeom prst="rect">
                                  <a:avLst/>
                                </a:prstGeom>
                                <a:noFill/>
                                <a:ln>
                                  <a:noFill/>
                                </a:ln>
                              </pic:spPr>
                            </pic:pic>
                          </a:graphicData>
                        </a:graphic>
                      </wp:inline>
                    </w:drawing>
                  </w:r>
                </w:p>
              </w:tc>
              <w:tc>
                <w:tcPr>
                  <w:tcW w:w="2859" w:type="dxa"/>
                  <w:shd w:val="clear" w:color="auto" w:fill="E0E0E0"/>
                </w:tcPr>
                <w:p>
                  <w:pPr>
                    <w:pStyle w:val="81"/>
                    <w:rPr>
                      <w:lang w:val="en-US"/>
                    </w:rPr>
                  </w:pPr>
                  <w:r>
                    <w:t xml:space="preserve">Maximum number of non-overlapped CCEs per slot and per serving cell </w:t>
                  </w:r>
                  <w:r>
                    <w:rPr>
                      <w:position w:val="-10"/>
                      <w:lang w:val="en-US" w:eastAsia="ko-KR"/>
                    </w:rPr>
                    <w:drawing>
                      <wp:inline distT="0" distB="0" distL="0" distR="0">
                        <wp:extent cx="487680" cy="25146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487680" cy="25146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82" w:hRule="atLeast"/>
                <w:jc w:val="center"/>
              </w:trPr>
              <w:tc>
                <w:tcPr>
                  <w:tcW w:w="636" w:type="dxa"/>
                  <w:vAlign w:val="center"/>
                </w:tcPr>
                <w:p>
                  <w:pPr>
                    <w:pStyle w:val="105"/>
                  </w:pPr>
                  <w:r>
                    <w:t>5</w:t>
                  </w:r>
                </w:p>
              </w:tc>
              <w:tc>
                <w:tcPr>
                  <w:tcW w:w="3163" w:type="dxa"/>
                  <w:vAlign w:val="center"/>
                </w:tcPr>
                <w:p>
                  <w:pPr>
                    <w:pStyle w:val="105"/>
                  </w:pPr>
                  <w:r>
                    <w:t>[10-12]</w:t>
                  </w:r>
                </w:p>
              </w:tc>
              <w:tc>
                <w:tcPr>
                  <w:tcW w:w="2859" w:type="dxa"/>
                </w:tcPr>
                <w:p>
                  <w:pPr>
                    <w:pStyle w:val="105"/>
                  </w:pPr>
                  <w:r>
                    <w:t>[18-20]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71" w:hRule="atLeast"/>
                <w:jc w:val="center"/>
              </w:trPr>
              <w:tc>
                <w:tcPr>
                  <w:tcW w:w="636" w:type="dxa"/>
                  <w:vAlign w:val="center"/>
                </w:tcPr>
                <w:p>
                  <w:pPr>
                    <w:pStyle w:val="105"/>
                  </w:pPr>
                  <w:r>
                    <w:t>6</w:t>
                  </w:r>
                </w:p>
              </w:tc>
              <w:tc>
                <w:tcPr>
                  <w:tcW w:w="3163" w:type="dxa"/>
                  <w:vAlign w:val="center"/>
                </w:tcPr>
                <w:p>
                  <w:pPr>
                    <w:pStyle w:val="105"/>
                  </w:pPr>
                  <w:r>
                    <w:t>[8-9]</w:t>
                  </w:r>
                </w:p>
              </w:tc>
              <w:tc>
                <w:tcPr>
                  <w:tcW w:w="2859" w:type="dxa"/>
                </w:tcPr>
                <w:p>
                  <w:pPr>
                    <w:pStyle w:val="105"/>
                  </w:pPr>
                  <w:r>
                    <w:t>[14-16]</w:t>
                  </w:r>
                </w:p>
              </w:tc>
            </w:tr>
          </w:tbl>
          <w:p>
            <w:pPr>
              <w:widowControl w:val="0"/>
              <w:jc w:val="both"/>
            </w:pPr>
          </w:p>
          <w:p>
            <w:pPr>
              <w:widowControl w:val="0"/>
              <w:jc w:val="both"/>
            </w:pPr>
            <w:r>
              <w:t xml:space="preserve">In Rel-16, a procedure to resolve overbooking conditions for PDCCH monitoring per slot or span in a slot as specified in TS38.213 [2]. When for a search space set, a resulting total of monitored PDCCH candidates or non-overlapped CCEs would exceed corresponding maximum values in a slot or span, the UE will drop PDCCH monitoring for the search space set and for remaining search space sets with higher indexes. </w:t>
            </w:r>
          </w:p>
          <w:p>
            <w:pPr>
              <w:widowControl w:val="0"/>
            </w:pPr>
          </w:p>
          <w:p>
            <w:pPr>
              <w:widowControl w:val="0"/>
              <w:jc w:val="center"/>
            </w:pPr>
            <w:r>
              <w:object>
                <v:shape id="_x0000_i1041" o:spt="75" type="#_x0000_t75" style="height:103.4pt;width:481.8pt;" o:ole="t" filled="f" o:preferrelative="t" stroked="f" coordsize="21600,21600">
                  <v:path/>
                  <v:fill on="f" focussize="0,0"/>
                  <v:stroke on="f" joinstyle="miter"/>
                  <v:imagedata r:id="rId54" o:title=""/>
                  <o:lock v:ext="edit" aspectratio="t"/>
                  <w10:wrap type="none"/>
                  <w10:anchorlock/>
                </v:shape>
                <o:OLEObject Type="Embed" ProgID="Visio.Drawing.15" ShapeID="_x0000_i1041" DrawAspect="Content" ObjectID="_1468075741" r:id="rId53">
                  <o:LockedField>false</o:LockedField>
                </o:OLEObject>
              </w:object>
            </w:r>
          </w:p>
          <w:p>
            <w:pPr>
              <w:widowControl w:val="0"/>
              <w:jc w:val="center"/>
              <w:rPr>
                <w:b/>
              </w:rPr>
            </w:pPr>
            <w:r>
              <w:rPr>
                <w:b/>
              </w:rPr>
              <w:t>Figure 3: Allocation of PDCCH candidates with combination (X = 4, Y =2).</w:t>
            </w:r>
          </w:p>
          <w:p>
            <w:pPr>
              <w:widowControl w:val="0"/>
              <w:rPr>
                <w:b/>
                <w:lang w:eastAsia="zh-CN"/>
              </w:rPr>
            </w:pPr>
          </w:p>
          <w:p>
            <w:pPr>
              <w:widowControl w:val="0"/>
              <w:jc w:val="both"/>
            </w:pPr>
            <w:r>
              <w:t xml:space="preserve">For multi-slot span based PDCCH monitoring as illustrated in Figure 2, a span for PDCCH monitoring can be over multiple slots based on combination (X, Y). The PDCCH candidate allocation/dropping rule from Rel-16 should be extended to support PDCCH monitoring in a multi-slot span. </w:t>
            </w:r>
          </w:p>
          <w:p>
            <w:pPr>
              <w:widowControl w:val="0"/>
              <w:jc w:val="both"/>
            </w:pPr>
          </w:p>
          <w:p>
            <w:pPr>
              <w:widowControl w:val="0"/>
              <w:jc w:val="both"/>
            </w:pPr>
            <w:r>
              <w:t xml:space="preserve">When a UE is configured with CA operation, the PDCCH candidate allocation/dropping rule per multi-slot should be extended to multiple CCs that are configured with multi-slot PDCCH monitoring capability. For a UE configured with CA operation, NR Rel-16 supports multiple PDCCH monitoring capabilities, such that gNB can configure some cells with Rel-15 per slot based PDCCH monitoring capability, and some other cells with Rel-16 per span based PDCCH monitoring capability. The same principle can be reused to include multi-slot PDCCH monitoring capability as another candidate for PDCCH monitoring capability configuration. </w:t>
            </w:r>
          </w:p>
          <w:p>
            <w:pPr>
              <w:widowControl w:val="0"/>
              <w:jc w:val="both"/>
              <w:rPr>
                <w:b/>
                <w:lang w:eastAsia="zh-CN"/>
              </w:rPr>
            </w:pPr>
          </w:p>
          <w:p>
            <w:pPr>
              <w:widowControl w:val="0"/>
              <w:jc w:val="both"/>
              <w:rPr>
                <w:b/>
                <w:u w:val="single"/>
              </w:rPr>
            </w:pPr>
            <w:r>
              <w:rPr>
                <w:b/>
                <w:u w:val="single"/>
              </w:rPr>
              <w:t>Proposal 8: Support PDCCH candidate allocation/dropping per a span over multiple slots for a single serving cell and across multiple CCs in CA.</w:t>
            </w:r>
          </w:p>
        </w:tc>
      </w:tr>
    </w:tbl>
    <w:p>
      <w:pPr>
        <w:rPr>
          <w:lang w:val="en-GB" w:eastAsia="zh-CN"/>
        </w:rPr>
      </w:pPr>
    </w:p>
    <w:p>
      <w:pPr>
        <w:pStyle w:val="4"/>
        <w:jc w:val="both"/>
        <w:rPr>
          <w:lang w:val="en-GB" w:eastAsia="zh-CN"/>
        </w:rPr>
      </w:pPr>
      <w:r>
        <w:rPr>
          <w:lang w:val="en-GB" w:eastAsia="zh-CN"/>
        </w:rPr>
        <w:t>R1-2109599 (Intel)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lang w:val="en-GB" w:eastAsia="zh-CN"/>
              </w:rPr>
            </w:pPr>
            <w:r>
              <w:rPr>
                <w:lang w:val="en-GB" w:eastAsia="zh-CN"/>
              </w:rPr>
              <w:t xml:space="preserve">As in Rel-15, it is desired there is no dropping for CSS sets even for PCell/PSCell. Therefore, it is up to gNB to guarantee that CSS sets are properly configured. One thing to note is that multiple slots in a X-slot group may contain MOs for a CSS set subject to gNB configuration. In this case, the total numbers of BDs/CCEs in the multiple slots for the CSS set are multiple times of that configured in single slot.  Consequently, the numbers of available BDs/CCEs for USS sets are reduced. The UE capability on maximum numbers of BDs/CCEs needs to consider the increase of BDs/CCEs in the X-slot group for a CSS set. </w:t>
            </w:r>
          </w:p>
          <w:p>
            <w:pPr>
              <w:widowControl w:val="0"/>
              <w:jc w:val="both"/>
              <w:rPr>
                <w:lang w:eastAsia="zh-CN"/>
              </w:rPr>
            </w:pPr>
            <w:r>
              <w:rPr>
                <w:lang w:eastAsia="zh-CN"/>
              </w:rPr>
              <w:t xml:space="preserve">Regarding handling USS sets if total number of BDs/CCEs exceed the corresponding maximum numbers, a same principle as in Rel-15 can be reused, i.e., a USS set with high SS set index is dropped. Further, since the PDCCH MOs of the USS set may be configured in multiple slots in the </w:t>
            </w:r>
            <w:r>
              <w:rPr>
                <w:lang w:val="en-GB" w:eastAsia="zh-CN"/>
              </w:rPr>
              <w:t>X-slot group</w:t>
            </w:r>
            <w:r>
              <w:rPr>
                <w:lang w:eastAsia="zh-CN"/>
              </w:rPr>
              <w:t xml:space="preserve">, a discussion point is whether the USS set in all the multiple slots is dropped as a whole or dropped slot by slot. The latter option is preferred since it allows more capacity for PDCCH monitoring without exceeding UE capability. </w:t>
            </w:r>
          </w:p>
          <w:p>
            <w:pPr>
              <w:widowControl w:val="0"/>
              <w:spacing w:before="240" w:after="0"/>
              <w:jc w:val="both"/>
              <w:rPr>
                <w:b/>
              </w:rPr>
            </w:pPr>
            <w:r>
              <w:rPr>
                <w:b/>
              </w:rPr>
              <w:t xml:space="preserve">Proposal 5: </w:t>
            </w:r>
          </w:p>
          <w:p>
            <w:pPr>
              <w:pStyle w:val="94"/>
              <w:widowControl w:val="0"/>
              <w:numPr>
                <w:ilvl w:val="0"/>
                <w:numId w:val="22"/>
              </w:numPr>
              <w:spacing w:before="60" w:after="0" w:line="240" w:lineRule="auto"/>
              <w:rPr>
                <w:lang w:eastAsia="zh-CN"/>
              </w:rPr>
            </w:pPr>
            <w:r>
              <w:rPr>
                <w:lang w:eastAsia="zh-CN"/>
              </w:rPr>
              <w:t xml:space="preserve">To handling USS dropping in PDCCH overbooking </w:t>
            </w:r>
          </w:p>
          <w:p>
            <w:pPr>
              <w:pStyle w:val="94"/>
              <w:widowControl w:val="0"/>
              <w:numPr>
                <w:ilvl w:val="1"/>
                <w:numId w:val="22"/>
              </w:numPr>
              <w:spacing w:before="60" w:after="0" w:line="240" w:lineRule="auto"/>
              <w:rPr>
                <w:lang w:eastAsia="zh-CN"/>
              </w:rPr>
            </w:pPr>
            <w:r>
              <w:rPr>
                <w:lang w:eastAsia="zh-CN"/>
              </w:rPr>
              <w:t>A USS set with largest SS set index is dropped</w:t>
            </w:r>
          </w:p>
          <w:p>
            <w:pPr>
              <w:pStyle w:val="94"/>
              <w:widowControl w:val="0"/>
              <w:numPr>
                <w:ilvl w:val="1"/>
                <w:numId w:val="22"/>
              </w:numPr>
              <w:spacing w:before="60" w:after="0" w:line="240" w:lineRule="auto"/>
              <w:rPr>
                <w:lang w:eastAsia="zh-CN"/>
              </w:rPr>
            </w:pPr>
            <w:r>
              <w:rPr>
                <w:lang w:eastAsia="zh-CN"/>
              </w:rPr>
              <w:t>If the PDCCH MOs of a USS set are configured in multiple slots in the X slots, the USS set in the multiple slots is dropped slot by slot.</w:t>
            </w:r>
          </w:p>
          <w:p>
            <w:pPr>
              <w:pStyle w:val="94"/>
              <w:widowControl w:val="0"/>
              <w:spacing w:before="60" w:after="0" w:line="240" w:lineRule="auto"/>
              <w:ind w:left="0" w:firstLine="0"/>
              <w:rPr>
                <w:b/>
                <w:bCs/>
                <w:i/>
                <w:sz w:val="22"/>
                <w:szCs w:val="22"/>
                <w:lang w:eastAsia="zh-CN"/>
              </w:rPr>
            </w:pPr>
          </w:p>
        </w:tc>
      </w:tr>
    </w:tbl>
    <w:p>
      <w:pPr>
        <w:rPr>
          <w:lang w:eastAsia="zh-CN"/>
        </w:rPr>
      </w:pPr>
    </w:p>
    <w:p>
      <w:pPr>
        <w:pStyle w:val="4"/>
        <w:jc w:val="both"/>
        <w:rPr>
          <w:lang w:val="en-GB" w:eastAsia="zh-CN"/>
        </w:rPr>
      </w:pPr>
      <w:r>
        <w:rPr>
          <w:lang w:val="en-GB" w:eastAsia="zh-CN"/>
        </w:rPr>
        <w:t>R1-2109666 (NTT DOCOMO)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szCs w:val="18"/>
              </w:rPr>
            </w:pPr>
            <w:r>
              <w:rPr>
                <w:szCs w:val="18"/>
              </w:rPr>
              <w:t>At RAN1#106-e meeting, it was agreed that X=4/8 slots are supported for 480/960 kHz SCS for multi-slot PDCCH monitoring capability. The duration of 4/8 slots for 480/960 kHz SCS are same as that of 1 slot for 120 kHz SCS. Thus, the same maximum number of monitored PDCCH candidates and non-overlapped CCEs per slot for 120 kHz SCS as below table 10.1-2 and 10.1-3 should be supported per 4/8 slots for 480/960 kHz SCS, i.e., the maximum number of monitored PDCCH candidates per 4/8/ slots for 480/960 kHz SCS should be 20 and the maximum number of non-overlapped CCEs per 4/8/ slots for 480/960 kHz SCS should be 32.</w:t>
            </w:r>
          </w:p>
          <w:p>
            <w:pPr>
              <w:widowControl w:val="0"/>
              <w:rPr>
                <w:szCs w:val="18"/>
              </w:rPr>
            </w:pPr>
          </w:p>
          <w:p>
            <w:pPr>
              <w:widowControl w:val="0"/>
              <w:rPr>
                <w:szCs w:val="18"/>
              </w:rPr>
            </w:pPr>
            <w:r>
              <w:rPr>
                <w:b/>
                <w:bCs/>
                <w:i/>
                <w:iCs/>
                <w:szCs w:val="18"/>
              </w:rPr>
              <w:t>Proposal 3:</w:t>
            </w:r>
            <w:r>
              <w:rPr>
                <w:szCs w:val="18"/>
              </w:rPr>
              <w:t xml:space="preserve"> </w:t>
            </w:r>
            <w:r>
              <w:rPr>
                <w:i/>
              </w:rPr>
              <w:t xml:space="preserve">For defining the multi-slot PDCCH monitoring capability for 480 and 960 kHz SCS, </w:t>
            </w:r>
          </w:p>
          <w:p>
            <w:pPr>
              <w:pStyle w:val="73"/>
              <w:widowControl w:val="0"/>
              <w:numPr>
                <w:ilvl w:val="0"/>
                <w:numId w:val="73"/>
              </w:numPr>
              <w:snapToGrid/>
              <w:spacing w:after="80" w:line="240" w:lineRule="auto"/>
              <w:rPr>
                <w:i/>
                <w:iCs/>
                <w:szCs w:val="18"/>
              </w:rPr>
            </w:pPr>
            <w:r>
              <w:rPr>
                <w:i/>
                <w:iCs/>
                <w:szCs w:val="18"/>
              </w:rPr>
              <w:t>the maximum number of monitored PDCCH candidates per X slots and per serving cell should be 20 when X=4/8 for 480/960 kHz SCS respectively.</w:t>
            </w:r>
          </w:p>
          <w:p>
            <w:pPr>
              <w:pStyle w:val="73"/>
              <w:widowControl w:val="0"/>
              <w:numPr>
                <w:ilvl w:val="0"/>
                <w:numId w:val="73"/>
              </w:numPr>
              <w:snapToGrid/>
              <w:spacing w:after="80" w:line="240" w:lineRule="auto"/>
              <w:rPr>
                <w:i/>
                <w:iCs/>
                <w:szCs w:val="18"/>
              </w:rPr>
            </w:pPr>
            <w:r>
              <w:rPr>
                <w:i/>
                <w:iCs/>
                <w:szCs w:val="18"/>
              </w:rPr>
              <w:t>the maximum number of non-overlapped CCEs per X slots and per serving cell should be 32 when X=4/8 for 480/960 kHz SCS respectively.</w:t>
            </w:r>
          </w:p>
          <w:p>
            <w:pPr>
              <w:widowControl w:val="0"/>
              <w:jc w:val="both"/>
              <w:rPr>
                <w:b/>
                <w:u w:val="single"/>
              </w:rPr>
            </w:pPr>
          </w:p>
          <w:p>
            <w:pPr>
              <w:widowControl w:val="0"/>
              <w:rPr>
                <w:szCs w:val="18"/>
              </w:rPr>
            </w:pPr>
            <w:r>
              <w:rPr>
                <w:szCs w:val="18"/>
              </w:rPr>
              <w:t xml:space="preserve">In Rel-15/16, the SS set can be overbooked per NW configuration, and the SS set dropping rule is defined per slot/span to deal with the situation when the BD/CCE exceed their budget from UE perspective. More specifically, PDCCH candidates or non-overlapped CCEs </w:t>
            </w:r>
            <w:r>
              <w:rPr>
                <w:rFonts w:hint="eastAsia"/>
                <w:szCs w:val="18"/>
              </w:rPr>
              <w:t>c</w:t>
            </w:r>
            <w:r>
              <w:rPr>
                <w:szCs w:val="18"/>
              </w:rPr>
              <w:t xml:space="preserve">an exceed BD/CCE limit only for </w:t>
            </w:r>
            <w:bookmarkStart w:id="134" w:name="_Hlk79057913"/>
            <w:r>
              <w:rPr>
                <w:szCs w:val="18"/>
              </w:rPr>
              <w:t>USS in PCell and PSCell</w:t>
            </w:r>
            <w:bookmarkEnd w:id="134"/>
            <w:r>
              <w:rPr>
                <w:szCs w:val="18"/>
              </w:rPr>
              <w:t xml:space="preserve"> to allow NW to configure proper SS set locations considering all the UEs in the cells.</w:t>
            </w:r>
            <w:r>
              <w:rPr>
                <w:rFonts w:hint="eastAsia"/>
                <w:szCs w:val="18"/>
              </w:rPr>
              <w:t xml:space="preserve"> </w:t>
            </w:r>
            <w:r>
              <w:rPr>
                <w:szCs w:val="18"/>
              </w:rPr>
              <w:t>These PDCCH overbooking rules can be reused for multi-slot PDCCH monitoring capability, i.e., for USS in PCell and PSCell, PDCCH overbooking should be allowed.</w:t>
            </w:r>
          </w:p>
          <w:p>
            <w:pPr>
              <w:widowControl w:val="0"/>
              <w:rPr>
                <w:szCs w:val="18"/>
              </w:rPr>
            </w:pPr>
            <w:r>
              <w:rPr>
                <w:szCs w:val="18"/>
              </w:rPr>
              <w:t>When SS set overbooking happens as a result, a UE drops search space set(s) with higher index to ensure actual PDCCH candidates or non-overlapped CCEs to be no more than their budget per slot in Rel-15/16.</w:t>
            </w:r>
            <w:r>
              <w:rPr>
                <w:rFonts w:hint="eastAsia"/>
                <w:szCs w:val="18"/>
              </w:rPr>
              <w:t xml:space="preserve"> </w:t>
            </w:r>
            <w:r>
              <w:rPr>
                <w:szCs w:val="18"/>
              </w:rPr>
              <w:t>To extend it considering multi-slot PDCCH monitoring capability, at least the rule for the case when a SS set is configured across multiple slots in a slot group needs to be discussed. If SS set(s) is checked and dropped slot by slot, how many SS set(s) is dropped may be divergent per slot, which will cause more UE complexity and specification effort in our view.</w:t>
            </w:r>
            <w:r>
              <w:rPr>
                <w:rFonts w:hint="eastAsia"/>
                <w:szCs w:val="18"/>
              </w:rPr>
              <w:t xml:space="preserve"> </w:t>
            </w:r>
            <w:r>
              <w:rPr>
                <w:szCs w:val="18"/>
              </w:rPr>
              <w:t>Therefore, the USS set in multiple slots should be checked and dropped per slot group.</w:t>
            </w:r>
          </w:p>
          <w:p>
            <w:pPr>
              <w:widowControl w:val="0"/>
              <w:rPr>
                <w:szCs w:val="18"/>
              </w:rPr>
            </w:pPr>
          </w:p>
          <w:p>
            <w:pPr>
              <w:widowControl w:val="0"/>
              <w:rPr>
                <w:i/>
                <w:iCs/>
                <w:szCs w:val="18"/>
              </w:rPr>
            </w:pPr>
            <w:r>
              <w:rPr>
                <w:b/>
                <w:bCs/>
                <w:i/>
                <w:iCs/>
                <w:szCs w:val="18"/>
              </w:rPr>
              <w:t>Proposal 4:</w:t>
            </w:r>
            <w:r>
              <w:rPr>
                <w:i/>
                <w:iCs/>
                <w:szCs w:val="18"/>
              </w:rPr>
              <w:t xml:space="preserve"> The SS set overbooking can be allowed with multi-slot PDCCH monitoring capability same as the current specification, i.e., SS set overbooking is allowed for USS in PCell and PSCell and UE expects no overbooking for CSS and CSS/USS in SCell.</w:t>
            </w:r>
          </w:p>
          <w:p>
            <w:pPr>
              <w:widowControl w:val="0"/>
              <w:rPr>
                <w:i/>
                <w:iCs/>
                <w:szCs w:val="18"/>
              </w:rPr>
            </w:pPr>
            <w:r>
              <w:rPr>
                <w:b/>
                <w:bCs/>
                <w:i/>
                <w:iCs/>
                <w:szCs w:val="18"/>
              </w:rPr>
              <w:t>Proposal 5:</w:t>
            </w:r>
            <w:r>
              <w:rPr>
                <w:i/>
                <w:iCs/>
                <w:szCs w:val="18"/>
              </w:rPr>
              <w:t xml:space="preserve"> The dropping rule for multi-slot PDCCH monitoring capability can be the same as the current specification, i.e., a UE drops UE specific search space set(s) with higher index when SS sets are overbooked and expects there is no overbooking for CSS sets. In addition, if USS set is configured across multiple slots in a slot group, USS set should be checked and dropped as a whole.</w:t>
            </w:r>
          </w:p>
          <w:p>
            <w:pPr>
              <w:widowControl w:val="0"/>
              <w:jc w:val="both"/>
              <w:rPr>
                <w:b/>
                <w:u w:val="single"/>
              </w:rPr>
            </w:pPr>
          </w:p>
        </w:tc>
      </w:tr>
    </w:tbl>
    <w:p>
      <w:pPr>
        <w:rPr>
          <w:lang w:eastAsia="zh-CN"/>
        </w:rPr>
      </w:pPr>
    </w:p>
    <w:p>
      <w:pPr>
        <w:pStyle w:val="4"/>
        <w:jc w:val="both"/>
        <w:rPr>
          <w:lang w:val="en-GB" w:eastAsia="zh-CN"/>
        </w:rPr>
      </w:pPr>
      <w:r>
        <w:rPr>
          <w:lang w:val="en-GB" w:eastAsia="zh-CN"/>
        </w:rPr>
        <w:t>R1-2109962 (LG)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spacing w:before="120" w:line="240" w:lineRule="auto"/>
              <w:ind w:firstLine="220" w:firstLineChars="100"/>
              <w:rPr>
                <w:rFonts w:eastAsia="Batang"/>
                <w:lang w:eastAsia="ko-KR"/>
              </w:rPr>
            </w:pPr>
            <w:r>
              <w:rPr>
                <w:rFonts w:eastAsia="Batang"/>
                <w:lang w:eastAsia="ko-KR"/>
              </w:rPr>
              <w:t xml:space="preserve">Regarding the PDCCH monitoring per slot-group, USS overbooking and dropping procedure may also be enhanced. Basically, if </w:t>
            </w:r>
            <w:r>
              <w:rPr>
                <w:rFonts w:hint="eastAsia" w:eastAsia="Batang"/>
                <w:lang w:eastAsia="ko-KR"/>
              </w:rPr>
              <w:t xml:space="preserve">the </w:t>
            </w:r>
            <w:r>
              <w:rPr>
                <w:rFonts w:eastAsia="Batang"/>
                <w:lang w:eastAsia="ko-KR"/>
              </w:rPr>
              <w:t xml:space="preserve">total number of BDs (or CCEs) exceeds the corresponding maximum number, the same principle as in Rel-15 can be reused, i.e. a USS set(s) with the highest SS set index(es) is dropped. In addition, since BD/CCE budget would be handled in unit of slot-group, additional dropping rules may be considered, e.g., by applying dropping rules in slot-by-slot manner within a slot group or by applying dropping rules considering all SS set indexes in all slots within a slot group. </w:t>
            </w:r>
          </w:p>
          <w:p>
            <w:pPr>
              <w:widowControl w:val="0"/>
              <w:spacing w:before="120" w:line="240" w:lineRule="auto"/>
              <w:ind w:firstLine="220" w:firstLineChars="100"/>
              <w:rPr>
                <w:rFonts w:eastAsia="Batang"/>
                <w:b/>
                <w:lang w:eastAsia="ko-KR"/>
              </w:rPr>
            </w:pPr>
            <w:r>
              <w:rPr>
                <w:rFonts w:hint="eastAsia" w:eastAsia="Batang"/>
                <w:b/>
                <w:lang w:eastAsia="ko-KR"/>
              </w:rPr>
              <w:t>P</w:t>
            </w:r>
            <w:r>
              <w:rPr>
                <w:rFonts w:eastAsia="Batang"/>
                <w:b/>
                <w:lang w:eastAsia="ko-KR"/>
              </w:rPr>
              <w:t>roposal #4: How to perform SS set dropping due to overbooking should be further discussed for multi-slot monitoring.</w:t>
            </w:r>
          </w:p>
          <w:p>
            <w:pPr>
              <w:widowControl w:val="0"/>
              <w:jc w:val="both"/>
              <w:rPr>
                <w:b/>
                <w:u w:val="single"/>
              </w:rPr>
            </w:pPr>
          </w:p>
        </w:tc>
      </w:tr>
    </w:tbl>
    <w:p>
      <w:pPr>
        <w:rPr>
          <w:lang w:eastAsia="zh-CN"/>
        </w:rPr>
      </w:pPr>
    </w:p>
    <w:p>
      <w:pPr>
        <w:pStyle w:val="4"/>
        <w:jc w:val="both"/>
        <w:rPr>
          <w:lang w:val="en-GB" w:eastAsia="zh-CN"/>
        </w:rPr>
      </w:pPr>
      <w:r>
        <w:rPr>
          <w:lang w:val="en-GB" w:eastAsia="zh-CN"/>
        </w:rPr>
        <w:t>R1-2109993 (Sharp)</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sz w:val="24"/>
                <w:szCs w:val="24"/>
                <w:lang w:val="en-GB" w:eastAsia="ja-JP"/>
              </w:rPr>
              <w:t xml:space="preserve">For 120 kHz SCS, the BD/CCE budget is set to (M, C) = (20, 32). Since the value of X is determined to maintain the same monitoring capability as 120 kHz SCS, the BD/CCE budget should be (M, C) = (20, 32) for X=4/8 at 480kHz/960kHz SCS. If a smaller X value is set as an optional capability, the BD/CCE budget will be reduced because the gap between Y slots becomes shorter. Even though the symbol length is shorter than 120 kHz, ensuring the same budget may affect the processing time of PDSCH/PUSCH (N1/N2). </w:t>
            </w:r>
          </w:p>
          <w:p>
            <w:pPr>
              <w:pStyle w:val="221"/>
              <w:widowControl w:val="0"/>
              <w:snapToGrid w:val="0"/>
              <w:spacing w:line="240" w:lineRule="auto"/>
              <w:ind w:firstLine="0"/>
              <w:contextualSpacing w:val="0"/>
              <w:rPr>
                <w:rFonts w:eastAsiaTheme="minorEastAsia"/>
                <w:b/>
                <w:sz w:val="24"/>
                <w:szCs w:val="24"/>
                <w:lang w:val="en-GB" w:eastAsia="ja-JP"/>
              </w:rPr>
            </w:pPr>
            <w:r>
              <w:rPr>
                <w:rFonts w:hint="eastAsia" w:eastAsiaTheme="minorEastAsia"/>
                <w:b/>
                <w:sz w:val="24"/>
                <w:szCs w:val="24"/>
                <w:lang w:val="en-GB" w:eastAsia="ja-JP"/>
              </w:rPr>
              <w:t>P</w:t>
            </w:r>
            <w:r>
              <w:rPr>
                <w:rFonts w:eastAsiaTheme="minorEastAsia"/>
                <w:b/>
                <w:sz w:val="24"/>
                <w:szCs w:val="24"/>
                <w:lang w:val="en-GB" w:eastAsia="ja-JP"/>
              </w:rPr>
              <w:t xml:space="preserve">roposal 6: For X=4/8 at 480kHz/960kHz SCS, the BD/CCE budget should be set to (M, C) = (20, 32). </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b/>
                <w:sz w:val="24"/>
                <w:szCs w:val="24"/>
                <w:lang w:val="en-GB" w:eastAsia="ja-JP"/>
              </w:rPr>
              <w:t>Observation 1: If a smaller X value is set as an optional capability, the BD/CCE budget will be reduced.</w:t>
            </w:r>
          </w:p>
          <w:p>
            <w:pPr>
              <w:pStyle w:val="221"/>
              <w:widowControl w:val="0"/>
              <w:snapToGrid w:val="0"/>
              <w:spacing w:line="240" w:lineRule="auto"/>
              <w:ind w:firstLine="0"/>
              <w:contextualSpacing w:val="0"/>
              <w:rPr>
                <w:rFonts w:eastAsiaTheme="minorEastAsia"/>
                <w:sz w:val="24"/>
                <w:szCs w:val="24"/>
                <w:lang w:val="en-GB" w:eastAsia="ja-JP"/>
              </w:rPr>
            </w:pPr>
            <w:r>
              <w:rPr>
                <w:rFonts w:eastAsiaTheme="minorEastAsia"/>
                <w:b/>
                <w:sz w:val="24"/>
                <w:szCs w:val="24"/>
                <w:lang w:val="en-GB" w:eastAsia="ja-JP"/>
              </w:rPr>
              <w:t>Observation 2: Ensuring the budget may affect the processing time of PDSCH/PUSCH (N1/N2).</w:t>
            </w:r>
          </w:p>
          <w:p>
            <w:pPr>
              <w:widowControl w:val="0"/>
              <w:jc w:val="both"/>
              <w:rPr>
                <w:b/>
                <w:u w:val="single"/>
                <w:lang w:val="en-GB"/>
              </w:rPr>
            </w:pPr>
          </w:p>
        </w:tc>
      </w:tr>
    </w:tbl>
    <w:p>
      <w:pPr>
        <w:rPr>
          <w:lang w:eastAsia="zh-CN"/>
        </w:rPr>
      </w:pPr>
    </w:p>
    <w:p>
      <w:pPr>
        <w:pStyle w:val="4"/>
        <w:jc w:val="both"/>
        <w:rPr>
          <w:lang w:val="en-GB" w:eastAsia="zh-CN"/>
        </w:rPr>
      </w:pPr>
      <w:r>
        <w:rPr>
          <w:lang w:val="en-GB" w:eastAsia="zh-CN"/>
        </w:rPr>
        <w:t>R1-2110022 (Apple)</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i/>
                <w:iCs/>
              </w:rPr>
            </w:pPr>
            <w:r>
              <w:rPr>
                <w:b/>
                <w:bCs/>
                <w:i/>
                <w:iCs/>
              </w:rPr>
              <w:t>Proposal 8:</w:t>
            </w:r>
            <w:r>
              <w:rPr>
                <w:i/>
                <w:iCs/>
              </w:rPr>
              <w:t xml:space="preserve"> For Alt-1, the Max # of monitored PDCCH candidate per (multi-)slot per CC (BD) can and the Max # 8f non-overlapped CCEs per (multi-)slot per CC can be set as  in </w:t>
            </w:r>
            <w:r>
              <w:rPr>
                <w:i/>
                <w:iCs/>
              </w:rPr>
              <w:fldChar w:fldCharType="begin"/>
            </w:r>
            <w:r>
              <w:rPr>
                <w:i/>
                <w:iCs/>
              </w:rPr>
              <w:instrText xml:space="preserve"> REF _Ref79128577 \h  \* MERGEFORMAT </w:instrText>
            </w:r>
            <w:r>
              <w:rPr>
                <w:i/>
                <w:iCs/>
              </w:rPr>
              <w:fldChar w:fldCharType="separate"/>
            </w:r>
            <w:r>
              <w:rPr>
                <w:i/>
                <w:iCs/>
              </w:rPr>
              <w:t>Table 1</w:t>
            </w:r>
            <w:r>
              <w:rPr>
                <w:i/>
                <w:iCs/>
              </w:rPr>
              <w:fldChar w:fldCharType="end"/>
            </w:r>
            <w:r>
              <w:rPr>
                <w:i/>
                <w:iCs/>
              </w:rPr>
              <w:t xml:space="preserve">. </w:t>
            </w:r>
          </w:p>
          <w:p>
            <w:pPr>
              <w:pStyle w:val="27"/>
              <w:keepNext/>
              <w:widowControl w:val="0"/>
            </w:pPr>
            <w:bookmarkStart w:id="135" w:name="_Ref79128577"/>
            <w:r>
              <w:t xml:space="preserve">Table </w:t>
            </w:r>
            <w:r>
              <w:fldChar w:fldCharType="begin"/>
            </w:r>
            <w:r>
              <w:instrText xml:space="preserve"> SEQ Table \* ARABIC </w:instrText>
            </w:r>
            <w:r>
              <w:fldChar w:fldCharType="separate"/>
            </w:r>
            <w:r>
              <w:t>1</w:t>
            </w:r>
            <w:r>
              <w:fldChar w:fldCharType="end"/>
            </w:r>
            <w:bookmarkEnd w:id="135"/>
            <w:r>
              <w:t>: BD/CCE Budget for Alt. 1</w:t>
            </w:r>
          </w:p>
          <w:tbl>
            <w:tblPr>
              <w:tblStyle w:val="52"/>
              <w:tblW w:w="93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1"/>
              <w:gridCol w:w="1185"/>
              <w:gridCol w:w="1109"/>
              <w:gridCol w:w="1185"/>
              <w:gridCol w:w="1109"/>
              <w:gridCol w:w="1109"/>
              <w:gridCol w:w="1032"/>
              <w:gridCol w:w="1185"/>
              <w:gridCol w:w="9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 w:type="dxa"/>
                  <w:vMerge w:val="restart"/>
                  <w:tcBorders>
                    <w:right w:val="single" w:color="auto" w:sz="12" w:space="0"/>
                  </w:tcBorders>
                  <w:shd w:val="clear" w:color="auto" w:fill="D8D8D8" w:themeFill="background1" w:themeFillShade="D9"/>
                  <w:vAlign w:val="center"/>
                </w:tcPr>
                <w:p>
                  <w:pPr>
                    <w:widowControl w:val="0"/>
                    <w:spacing w:after="60"/>
                    <w:jc w:val="center"/>
                  </w:pPr>
                  <w:r>
                    <w:rPr>
                      <w:i/>
                      <w:iCs/>
                    </w:rPr>
                    <w:t>μ</w:t>
                  </w:r>
                </w:p>
              </w:tc>
              <w:tc>
                <w:tcPr>
                  <w:tcW w:w="4588" w:type="dxa"/>
                  <w:gridSpan w:val="4"/>
                  <w:tcBorders>
                    <w:right w:val="single" w:color="auto" w:sz="12" w:space="0"/>
                  </w:tcBorders>
                  <w:shd w:val="clear" w:color="auto" w:fill="D8D8D8" w:themeFill="background1" w:themeFillShade="D9"/>
                  <w:vAlign w:val="center"/>
                </w:tcPr>
                <w:p>
                  <w:pPr>
                    <w:widowControl w:val="0"/>
                    <w:spacing w:after="60"/>
                    <w:jc w:val="center"/>
                  </w:pPr>
                  <w:r>
                    <w:t>Maximum number of monitored PDCCH candidates</w:t>
                  </w:r>
                </w:p>
              </w:tc>
              <w:tc>
                <w:tcPr>
                  <w:tcW w:w="4281" w:type="dxa"/>
                  <w:gridSpan w:val="4"/>
                  <w:shd w:val="clear" w:color="auto" w:fill="D8D8D8" w:themeFill="background1" w:themeFillShade="D9"/>
                  <w:vAlign w:val="center"/>
                </w:tcPr>
                <w:p>
                  <w:pPr>
                    <w:widowControl w:val="0"/>
                    <w:spacing w:after="60"/>
                    <w:jc w:val="center"/>
                  </w:pPr>
                  <w:r>
                    <w:t>Maximum number of non-overlapping CCEs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 w:type="dxa"/>
                  <w:vMerge w:val="continue"/>
                  <w:tcBorders>
                    <w:bottom w:val="single" w:color="auto" w:sz="12" w:space="0"/>
                    <w:right w:val="single" w:color="auto" w:sz="12" w:space="0"/>
                  </w:tcBorders>
                  <w:shd w:val="clear" w:color="auto" w:fill="D8D8D8" w:themeFill="background1" w:themeFillShade="D9"/>
                  <w:vAlign w:val="center"/>
                </w:tcPr>
                <w:p>
                  <w:pPr>
                    <w:widowControl w:val="0"/>
                    <w:spacing w:after="60"/>
                    <w:jc w:val="center"/>
                    <w:rPr>
                      <w:i/>
                      <w:iCs/>
                    </w:rPr>
                  </w:pPr>
                </w:p>
              </w:tc>
              <w:tc>
                <w:tcPr>
                  <w:tcW w:w="1185" w:type="dxa"/>
                  <w:tcBorders>
                    <w:bottom w:val="single" w:color="auto" w:sz="12" w:space="0"/>
                    <w:right w:val="single" w:color="auto" w:sz="12" w:space="0"/>
                  </w:tcBorders>
                  <w:vAlign w:val="center"/>
                </w:tcPr>
                <w:p>
                  <w:pPr>
                    <w:widowControl w:val="0"/>
                    <w:spacing w:after="60"/>
                    <w:jc w:val="center"/>
                  </w:pPr>
                  <w:r>
                    <w:t>X=1</w:t>
                  </w:r>
                </w:p>
              </w:tc>
              <w:tc>
                <w:tcPr>
                  <w:tcW w:w="1109" w:type="dxa"/>
                  <w:tcBorders>
                    <w:left w:val="single" w:color="auto" w:sz="12" w:space="0"/>
                    <w:bottom w:val="single" w:color="auto" w:sz="12" w:space="0"/>
                  </w:tcBorders>
                  <w:vAlign w:val="center"/>
                </w:tcPr>
                <w:p>
                  <w:pPr>
                    <w:widowControl w:val="0"/>
                    <w:spacing w:after="60"/>
                    <w:jc w:val="center"/>
                  </w:pPr>
                  <w:r>
                    <w:t>X=2</w:t>
                  </w:r>
                </w:p>
              </w:tc>
              <w:tc>
                <w:tcPr>
                  <w:tcW w:w="1185" w:type="dxa"/>
                  <w:tcBorders>
                    <w:bottom w:val="single" w:color="auto" w:sz="12" w:space="0"/>
                  </w:tcBorders>
                  <w:vAlign w:val="center"/>
                </w:tcPr>
                <w:p>
                  <w:pPr>
                    <w:widowControl w:val="0"/>
                    <w:spacing w:after="60"/>
                    <w:jc w:val="center"/>
                  </w:pPr>
                  <w:r>
                    <w:t>X=4</w:t>
                  </w:r>
                </w:p>
              </w:tc>
              <w:tc>
                <w:tcPr>
                  <w:tcW w:w="1109" w:type="dxa"/>
                  <w:tcBorders>
                    <w:bottom w:val="single" w:color="auto" w:sz="12" w:space="0"/>
                    <w:right w:val="single" w:color="auto" w:sz="12" w:space="0"/>
                  </w:tcBorders>
                  <w:vAlign w:val="center"/>
                </w:tcPr>
                <w:p>
                  <w:pPr>
                    <w:widowControl w:val="0"/>
                    <w:spacing w:after="60"/>
                    <w:jc w:val="center"/>
                  </w:pPr>
                  <w:r>
                    <w:t>X=8</w:t>
                  </w:r>
                </w:p>
              </w:tc>
              <w:tc>
                <w:tcPr>
                  <w:tcW w:w="1109" w:type="dxa"/>
                  <w:tcBorders>
                    <w:left w:val="single" w:color="auto" w:sz="12" w:space="0"/>
                    <w:bottom w:val="single" w:color="auto" w:sz="12" w:space="0"/>
                  </w:tcBorders>
                  <w:vAlign w:val="center"/>
                </w:tcPr>
                <w:p>
                  <w:pPr>
                    <w:widowControl w:val="0"/>
                    <w:spacing w:after="60"/>
                    <w:jc w:val="center"/>
                  </w:pPr>
                  <w:r>
                    <w:t>X=1</w:t>
                  </w:r>
                </w:p>
              </w:tc>
              <w:tc>
                <w:tcPr>
                  <w:tcW w:w="1032" w:type="dxa"/>
                  <w:tcBorders>
                    <w:bottom w:val="single" w:color="auto" w:sz="12" w:space="0"/>
                  </w:tcBorders>
                  <w:vAlign w:val="center"/>
                </w:tcPr>
                <w:p>
                  <w:pPr>
                    <w:widowControl w:val="0"/>
                    <w:spacing w:after="60"/>
                    <w:jc w:val="center"/>
                  </w:pPr>
                  <w:r>
                    <w:t>X=2</w:t>
                  </w:r>
                </w:p>
              </w:tc>
              <w:tc>
                <w:tcPr>
                  <w:tcW w:w="1185" w:type="dxa"/>
                  <w:tcBorders>
                    <w:bottom w:val="single" w:color="auto" w:sz="12" w:space="0"/>
                  </w:tcBorders>
                  <w:vAlign w:val="center"/>
                </w:tcPr>
                <w:p>
                  <w:pPr>
                    <w:widowControl w:val="0"/>
                    <w:spacing w:after="60"/>
                    <w:jc w:val="center"/>
                  </w:pPr>
                  <w:r>
                    <w:t>X=4</w:t>
                  </w:r>
                </w:p>
              </w:tc>
              <w:tc>
                <w:tcPr>
                  <w:tcW w:w="955" w:type="dxa"/>
                  <w:tcBorders>
                    <w:bottom w:val="single" w:color="auto" w:sz="12" w:space="0"/>
                  </w:tcBorders>
                  <w:vAlign w:val="center"/>
                </w:tcPr>
                <w:p>
                  <w:pPr>
                    <w:widowControl w:val="0"/>
                    <w:spacing w:after="60"/>
                    <w:jc w:val="center"/>
                  </w:pPr>
                  <w:r>
                    <w:t>X=8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 w:type="dxa"/>
                  <w:tcBorders>
                    <w:top w:val="single" w:color="auto" w:sz="12" w:space="0"/>
                    <w:right w:val="single" w:color="auto" w:sz="12" w:space="0"/>
                  </w:tcBorders>
                  <w:vAlign w:val="center"/>
                </w:tcPr>
                <w:p>
                  <w:pPr>
                    <w:widowControl w:val="0"/>
                    <w:spacing w:after="60"/>
                    <w:jc w:val="center"/>
                  </w:pPr>
                  <w:r>
                    <w:t>3</w:t>
                  </w:r>
                </w:p>
              </w:tc>
              <w:tc>
                <w:tcPr>
                  <w:tcW w:w="1185" w:type="dxa"/>
                  <w:tcBorders>
                    <w:top w:val="single" w:color="auto" w:sz="12" w:space="0"/>
                    <w:right w:val="single" w:color="auto" w:sz="12" w:space="0"/>
                  </w:tcBorders>
                  <w:vAlign w:val="center"/>
                </w:tcPr>
                <w:p>
                  <w:pPr>
                    <w:widowControl w:val="0"/>
                    <w:spacing w:after="60"/>
                    <w:jc w:val="center"/>
                  </w:pPr>
                  <w:r>
                    <w:t>20</w:t>
                  </w:r>
                </w:p>
              </w:tc>
              <w:tc>
                <w:tcPr>
                  <w:tcW w:w="1109" w:type="dxa"/>
                  <w:tcBorders>
                    <w:top w:val="single" w:color="auto" w:sz="12" w:space="0"/>
                    <w:left w:val="single" w:color="auto" w:sz="12" w:space="0"/>
                  </w:tcBorders>
                  <w:vAlign w:val="center"/>
                </w:tcPr>
                <w:p>
                  <w:pPr>
                    <w:widowControl w:val="0"/>
                    <w:spacing w:after="60"/>
                    <w:jc w:val="center"/>
                  </w:pPr>
                  <w:r>
                    <w:t>-</w:t>
                  </w:r>
                </w:p>
              </w:tc>
              <w:tc>
                <w:tcPr>
                  <w:tcW w:w="1185" w:type="dxa"/>
                  <w:tcBorders>
                    <w:top w:val="single" w:color="auto" w:sz="12" w:space="0"/>
                  </w:tcBorders>
                  <w:vAlign w:val="center"/>
                </w:tcPr>
                <w:p>
                  <w:pPr>
                    <w:widowControl w:val="0"/>
                    <w:spacing w:after="60"/>
                    <w:jc w:val="center"/>
                  </w:pPr>
                  <w:r>
                    <w:t>-</w:t>
                  </w:r>
                </w:p>
              </w:tc>
              <w:tc>
                <w:tcPr>
                  <w:tcW w:w="1109" w:type="dxa"/>
                  <w:tcBorders>
                    <w:top w:val="single" w:color="auto" w:sz="12" w:space="0"/>
                    <w:right w:val="single" w:color="auto" w:sz="12" w:space="0"/>
                  </w:tcBorders>
                  <w:vAlign w:val="center"/>
                </w:tcPr>
                <w:p>
                  <w:pPr>
                    <w:widowControl w:val="0"/>
                    <w:spacing w:after="60"/>
                    <w:jc w:val="center"/>
                  </w:pPr>
                  <w:r>
                    <w:t>-</w:t>
                  </w:r>
                </w:p>
              </w:tc>
              <w:tc>
                <w:tcPr>
                  <w:tcW w:w="1109" w:type="dxa"/>
                  <w:tcBorders>
                    <w:top w:val="single" w:color="auto" w:sz="12" w:space="0"/>
                    <w:left w:val="single" w:color="auto" w:sz="12" w:space="0"/>
                  </w:tcBorders>
                  <w:vAlign w:val="center"/>
                </w:tcPr>
                <w:p>
                  <w:pPr>
                    <w:widowControl w:val="0"/>
                    <w:spacing w:after="60"/>
                    <w:jc w:val="center"/>
                  </w:pPr>
                  <w:r>
                    <w:t>32</w:t>
                  </w:r>
                </w:p>
              </w:tc>
              <w:tc>
                <w:tcPr>
                  <w:tcW w:w="1032" w:type="dxa"/>
                  <w:tcBorders>
                    <w:top w:val="single" w:color="auto" w:sz="12" w:space="0"/>
                  </w:tcBorders>
                  <w:vAlign w:val="center"/>
                </w:tcPr>
                <w:p>
                  <w:pPr>
                    <w:widowControl w:val="0"/>
                    <w:spacing w:after="60"/>
                    <w:jc w:val="center"/>
                  </w:pPr>
                  <w:r>
                    <w:t>-</w:t>
                  </w:r>
                </w:p>
              </w:tc>
              <w:tc>
                <w:tcPr>
                  <w:tcW w:w="1185" w:type="dxa"/>
                  <w:tcBorders>
                    <w:top w:val="single" w:color="auto" w:sz="12" w:space="0"/>
                  </w:tcBorders>
                  <w:vAlign w:val="center"/>
                </w:tcPr>
                <w:p>
                  <w:pPr>
                    <w:widowControl w:val="0"/>
                    <w:spacing w:after="60"/>
                    <w:jc w:val="center"/>
                  </w:pPr>
                  <w:r>
                    <w:t>-</w:t>
                  </w:r>
                </w:p>
              </w:tc>
              <w:tc>
                <w:tcPr>
                  <w:tcW w:w="955" w:type="dxa"/>
                  <w:tcBorders>
                    <w:top w:val="single" w:color="auto" w:sz="12" w:space="0"/>
                  </w:tcBorders>
                  <w:vAlign w:val="center"/>
                </w:tcPr>
                <w:p>
                  <w:pPr>
                    <w:widowControl w:val="0"/>
                    <w:spacing w:after="6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 w:type="dxa"/>
                  <w:tcBorders>
                    <w:top w:val="single" w:color="auto" w:sz="12" w:space="0"/>
                    <w:right w:val="single" w:color="auto" w:sz="12" w:space="0"/>
                  </w:tcBorders>
                  <w:vAlign w:val="center"/>
                </w:tcPr>
                <w:p>
                  <w:pPr>
                    <w:widowControl w:val="0"/>
                    <w:spacing w:after="60"/>
                    <w:jc w:val="center"/>
                  </w:pPr>
                  <w:r>
                    <w:t>5</w:t>
                  </w:r>
                </w:p>
              </w:tc>
              <w:tc>
                <w:tcPr>
                  <w:tcW w:w="1185" w:type="dxa"/>
                  <w:tcBorders>
                    <w:top w:val="single" w:color="auto" w:sz="12" w:space="0"/>
                    <w:right w:val="single" w:color="auto" w:sz="12" w:space="0"/>
                  </w:tcBorders>
                  <w:vAlign w:val="center"/>
                </w:tcPr>
                <w:p>
                  <w:pPr>
                    <w:widowControl w:val="0"/>
                    <w:spacing w:after="60"/>
                    <w:jc w:val="center"/>
                  </w:pPr>
                  <w:r>
                    <w:t>N/A</w:t>
                  </w:r>
                </w:p>
              </w:tc>
              <w:tc>
                <w:tcPr>
                  <w:tcW w:w="1109" w:type="dxa"/>
                  <w:tcBorders>
                    <w:top w:val="single" w:color="auto" w:sz="12" w:space="0"/>
                    <w:left w:val="single" w:color="auto" w:sz="12" w:space="0"/>
                  </w:tcBorders>
                  <w:vAlign w:val="center"/>
                </w:tcPr>
                <w:p>
                  <w:pPr>
                    <w:widowControl w:val="0"/>
                    <w:spacing w:after="60"/>
                    <w:jc w:val="center"/>
                  </w:pPr>
                  <w:r>
                    <w:t>10</w:t>
                  </w:r>
                </w:p>
              </w:tc>
              <w:tc>
                <w:tcPr>
                  <w:tcW w:w="1185" w:type="dxa"/>
                  <w:tcBorders>
                    <w:top w:val="single" w:color="auto" w:sz="12" w:space="0"/>
                  </w:tcBorders>
                  <w:vAlign w:val="center"/>
                </w:tcPr>
                <w:p>
                  <w:pPr>
                    <w:widowControl w:val="0"/>
                    <w:spacing w:after="60"/>
                    <w:jc w:val="center"/>
                  </w:pPr>
                  <w:r>
                    <w:t>20</w:t>
                  </w:r>
                </w:p>
              </w:tc>
              <w:tc>
                <w:tcPr>
                  <w:tcW w:w="1109" w:type="dxa"/>
                  <w:tcBorders>
                    <w:top w:val="single" w:color="auto" w:sz="12" w:space="0"/>
                    <w:right w:val="single" w:color="auto" w:sz="12" w:space="0"/>
                  </w:tcBorders>
                  <w:vAlign w:val="center"/>
                </w:tcPr>
                <w:p>
                  <w:pPr>
                    <w:widowControl w:val="0"/>
                    <w:spacing w:after="60"/>
                    <w:jc w:val="center"/>
                  </w:pPr>
                  <w:r>
                    <w:t>-</w:t>
                  </w:r>
                </w:p>
              </w:tc>
              <w:tc>
                <w:tcPr>
                  <w:tcW w:w="1109" w:type="dxa"/>
                  <w:tcBorders>
                    <w:top w:val="single" w:color="auto" w:sz="12" w:space="0"/>
                    <w:left w:val="single" w:color="auto" w:sz="12" w:space="0"/>
                  </w:tcBorders>
                  <w:vAlign w:val="center"/>
                </w:tcPr>
                <w:p>
                  <w:pPr>
                    <w:widowControl w:val="0"/>
                    <w:spacing w:after="60"/>
                    <w:jc w:val="center"/>
                  </w:pPr>
                  <w:r>
                    <w:t>N/A</w:t>
                  </w:r>
                </w:p>
              </w:tc>
              <w:tc>
                <w:tcPr>
                  <w:tcW w:w="1032" w:type="dxa"/>
                  <w:tcBorders>
                    <w:top w:val="single" w:color="auto" w:sz="12" w:space="0"/>
                  </w:tcBorders>
                  <w:vAlign w:val="center"/>
                </w:tcPr>
                <w:p>
                  <w:pPr>
                    <w:widowControl w:val="0"/>
                    <w:spacing w:after="60"/>
                    <w:jc w:val="center"/>
                  </w:pPr>
                  <w:r>
                    <w:t>18</w:t>
                  </w:r>
                </w:p>
              </w:tc>
              <w:tc>
                <w:tcPr>
                  <w:tcW w:w="1185" w:type="dxa"/>
                  <w:tcBorders>
                    <w:top w:val="single" w:color="auto" w:sz="12" w:space="0"/>
                  </w:tcBorders>
                  <w:vAlign w:val="center"/>
                </w:tcPr>
                <w:p>
                  <w:pPr>
                    <w:widowControl w:val="0"/>
                    <w:spacing w:after="60"/>
                    <w:jc w:val="center"/>
                  </w:pPr>
                  <w:r>
                    <w:t>32</w:t>
                  </w:r>
                </w:p>
              </w:tc>
              <w:tc>
                <w:tcPr>
                  <w:tcW w:w="955" w:type="dxa"/>
                  <w:tcBorders>
                    <w:top w:val="single" w:color="auto" w:sz="12" w:space="0"/>
                  </w:tcBorders>
                  <w:vAlign w:val="center"/>
                </w:tcPr>
                <w:p>
                  <w:pPr>
                    <w:widowControl w:val="0"/>
                    <w:spacing w:after="6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491" w:type="dxa"/>
                  <w:tcBorders>
                    <w:right w:val="single" w:color="auto" w:sz="12" w:space="0"/>
                  </w:tcBorders>
                  <w:vAlign w:val="center"/>
                </w:tcPr>
                <w:p>
                  <w:pPr>
                    <w:widowControl w:val="0"/>
                    <w:spacing w:after="60"/>
                    <w:jc w:val="center"/>
                  </w:pPr>
                  <w:r>
                    <w:t>6</w:t>
                  </w:r>
                </w:p>
              </w:tc>
              <w:tc>
                <w:tcPr>
                  <w:tcW w:w="1185" w:type="dxa"/>
                  <w:tcBorders>
                    <w:right w:val="single" w:color="auto" w:sz="12" w:space="0"/>
                  </w:tcBorders>
                  <w:vAlign w:val="center"/>
                </w:tcPr>
                <w:p>
                  <w:pPr>
                    <w:widowControl w:val="0"/>
                    <w:spacing w:after="60"/>
                    <w:jc w:val="center"/>
                  </w:pPr>
                  <w:r>
                    <w:t>N/A</w:t>
                  </w:r>
                </w:p>
              </w:tc>
              <w:tc>
                <w:tcPr>
                  <w:tcW w:w="1109" w:type="dxa"/>
                  <w:tcBorders>
                    <w:left w:val="single" w:color="auto" w:sz="12" w:space="0"/>
                  </w:tcBorders>
                  <w:vAlign w:val="center"/>
                </w:tcPr>
                <w:p>
                  <w:pPr>
                    <w:widowControl w:val="0"/>
                    <w:spacing w:after="60"/>
                    <w:jc w:val="center"/>
                  </w:pPr>
                  <w:r>
                    <w:t>8</w:t>
                  </w:r>
                </w:p>
              </w:tc>
              <w:tc>
                <w:tcPr>
                  <w:tcW w:w="1185" w:type="dxa"/>
                  <w:vAlign w:val="center"/>
                </w:tcPr>
                <w:p>
                  <w:pPr>
                    <w:widowControl w:val="0"/>
                    <w:spacing w:after="60"/>
                    <w:jc w:val="center"/>
                  </w:pPr>
                  <w:r>
                    <w:t>10</w:t>
                  </w:r>
                </w:p>
              </w:tc>
              <w:tc>
                <w:tcPr>
                  <w:tcW w:w="1109" w:type="dxa"/>
                  <w:tcBorders>
                    <w:right w:val="single" w:color="auto" w:sz="12" w:space="0"/>
                  </w:tcBorders>
                  <w:vAlign w:val="center"/>
                </w:tcPr>
                <w:p>
                  <w:pPr>
                    <w:widowControl w:val="0"/>
                    <w:spacing w:after="60"/>
                    <w:jc w:val="center"/>
                  </w:pPr>
                  <w:r>
                    <w:t>20</w:t>
                  </w:r>
                </w:p>
              </w:tc>
              <w:tc>
                <w:tcPr>
                  <w:tcW w:w="1109" w:type="dxa"/>
                  <w:tcBorders>
                    <w:left w:val="single" w:color="auto" w:sz="12" w:space="0"/>
                  </w:tcBorders>
                  <w:vAlign w:val="center"/>
                </w:tcPr>
                <w:p>
                  <w:pPr>
                    <w:widowControl w:val="0"/>
                    <w:spacing w:after="60"/>
                    <w:jc w:val="center"/>
                  </w:pPr>
                  <w:r>
                    <w:t>N/A</w:t>
                  </w:r>
                </w:p>
              </w:tc>
              <w:tc>
                <w:tcPr>
                  <w:tcW w:w="1032" w:type="dxa"/>
                  <w:vAlign w:val="center"/>
                </w:tcPr>
                <w:p>
                  <w:pPr>
                    <w:widowControl w:val="0"/>
                    <w:spacing w:after="60"/>
                    <w:jc w:val="center"/>
                  </w:pPr>
                  <w:r>
                    <w:t>14</w:t>
                  </w:r>
                </w:p>
              </w:tc>
              <w:tc>
                <w:tcPr>
                  <w:tcW w:w="1185" w:type="dxa"/>
                  <w:vAlign w:val="center"/>
                </w:tcPr>
                <w:p>
                  <w:pPr>
                    <w:widowControl w:val="0"/>
                    <w:spacing w:after="60"/>
                    <w:jc w:val="center"/>
                  </w:pPr>
                  <w:r>
                    <w:t>18</w:t>
                  </w:r>
                </w:p>
              </w:tc>
              <w:tc>
                <w:tcPr>
                  <w:tcW w:w="955" w:type="dxa"/>
                  <w:vAlign w:val="center"/>
                </w:tcPr>
                <w:p>
                  <w:pPr>
                    <w:widowControl w:val="0"/>
                    <w:spacing w:after="60"/>
                    <w:jc w:val="center"/>
                  </w:pPr>
                  <w:r>
                    <w:t>32</w:t>
                  </w:r>
                </w:p>
              </w:tc>
            </w:tr>
          </w:tbl>
          <w:p>
            <w:pPr>
              <w:widowControl w:val="0"/>
              <w:jc w:val="both"/>
              <w:rPr>
                <w:b/>
                <w:u w:val="single"/>
              </w:rPr>
            </w:pPr>
          </w:p>
          <w:p>
            <w:pPr>
              <w:widowControl w:val="0"/>
              <w:jc w:val="both"/>
            </w:pPr>
            <w:r>
              <w:rPr>
                <w:b/>
                <w:bCs/>
                <w:i/>
                <w:iCs/>
              </w:rPr>
              <w:t>Proposal 10:</w:t>
            </w:r>
            <w:r>
              <w:rPr>
                <w:i/>
                <w:iCs/>
              </w:rPr>
              <w:t xml:space="preserve"> The Max # of monitored PDCCH candidate per slot/span per CC (BD) and  the Max # of non-overlapped CCEs per slot/span per CC can be set as in </w:t>
            </w:r>
            <w:r>
              <w:rPr>
                <w:i/>
                <w:iCs/>
              </w:rPr>
              <w:fldChar w:fldCharType="begin"/>
            </w:r>
            <w:r>
              <w:rPr>
                <w:i/>
                <w:iCs/>
              </w:rPr>
              <w:instrText xml:space="preserve"> REF _Ref79128597 \h  \* MERGEFORMAT </w:instrText>
            </w:r>
            <w:r>
              <w:rPr>
                <w:i/>
                <w:iCs/>
              </w:rPr>
              <w:fldChar w:fldCharType="separate"/>
            </w:r>
            <w:r>
              <w:rPr>
                <w:i/>
                <w:iCs/>
              </w:rPr>
              <w:t>Table 2</w:t>
            </w:r>
            <w:r>
              <w:rPr>
                <w:i/>
                <w:iCs/>
              </w:rPr>
              <w:fldChar w:fldCharType="end"/>
            </w:r>
            <w:r>
              <w:rPr>
                <w:i/>
                <w:iCs/>
              </w:rPr>
              <w:t>.</w:t>
            </w:r>
          </w:p>
          <w:p>
            <w:pPr>
              <w:pStyle w:val="27"/>
              <w:keepNext/>
              <w:widowControl w:val="0"/>
            </w:pPr>
            <w:bookmarkStart w:id="136" w:name="_Ref79128597"/>
            <w:r>
              <w:t xml:space="preserve">Table </w:t>
            </w:r>
            <w:r>
              <w:fldChar w:fldCharType="begin"/>
            </w:r>
            <w:r>
              <w:instrText xml:space="preserve"> SEQ Table \* ARABIC </w:instrText>
            </w:r>
            <w:r>
              <w:fldChar w:fldCharType="separate"/>
            </w:r>
            <w:r>
              <w:t>2</w:t>
            </w:r>
            <w:r>
              <w:fldChar w:fldCharType="end"/>
            </w:r>
            <w:bookmarkEnd w:id="136"/>
            <w:r>
              <w:t>: BD/CCE Budget for Alt. 2</w:t>
            </w:r>
          </w:p>
          <w:tbl>
            <w:tblPr>
              <w:tblStyle w:val="52"/>
              <w:tblW w:w="95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5"/>
              <w:gridCol w:w="1256"/>
              <w:gridCol w:w="1081"/>
              <w:gridCol w:w="1081"/>
              <w:gridCol w:w="1083"/>
              <w:gridCol w:w="1143"/>
              <w:gridCol w:w="957"/>
              <w:gridCol w:w="1031"/>
              <w:gridCol w:w="10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46" w:type="dxa"/>
                  <w:tcBorders>
                    <w:top w:val="single" w:color="auto" w:sz="4" w:space="0"/>
                    <w:left w:val="single" w:color="auto" w:sz="4" w:space="0"/>
                    <w:bottom w:val="single" w:color="auto" w:sz="4" w:space="0"/>
                    <w:right w:val="single" w:color="auto" w:sz="12" w:space="0"/>
                  </w:tcBorders>
                  <w:shd w:val="clear" w:color="auto" w:fill="D8D8D8" w:themeFill="background1" w:themeFillShade="D9"/>
                  <w:vAlign w:val="center"/>
                </w:tcPr>
                <w:p>
                  <w:pPr>
                    <w:widowControl w:val="0"/>
                    <w:spacing w:after="60"/>
                    <w:jc w:val="center"/>
                  </w:pPr>
                </w:p>
              </w:tc>
              <w:tc>
                <w:tcPr>
                  <w:tcW w:w="4561" w:type="dxa"/>
                  <w:gridSpan w:val="4"/>
                  <w:tcBorders>
                    <w:top w:val="single" w:color="auto" w:sz="4" w:space="0"/>
                    <w:left w:val="single" w:color="auto" w:sz="12" w:space="0"/>
                    <w:bottom w:val="single" w:color="auto" w:sz="4" w:space="0"/>
                    <w:right w:val="single" w:color="auto" w:sz="12" w:space="0"/>
                  </w:tcBorders>
                  <w:shd w:val="clear" w:color="auto" w:fill="D8D8D8" w:themeFill="background1" w:themeFillShade="D9"/>
                  <w:vAlign w:val="center"/>
                </w:tcPr>
                <w:p>
                  <w:pPr>
                    <w:widowControl w:val="0"/>
                    <w:spacing w:after="60"/>
                    <w:jc w:val="center"/>
                  </w:pPr>
                  <w:r>
                    <w:t>Max. # of monitored PDCCH candidates per slot/span per combination (X,Y) and per serving cell</w:t>
                  </w:r>
                </w:p>
              </w:tc>
              <w:tc>
                <w:tcPr>
                  <w:tcW w:w="4222" w:type="dxa"/>
                  <w:gridSpan w:val="4"/>
                  <w:tcBorders>
                    <w:top w:val="single" w:color="auto" w:sz="4" w:space="0"/>
                    <w:left w:val="single" w:color="auto" w:sz="12" w:space="0"/>
                    <w:bottom w:val="single" w:color="auto" w:sz="4" w:space="0"/>
                    <w:right w:val="single" w:color="auto" w:sz="4" w:space="0"/>
                  </w:tcBorders>
                  <w:shd w:val="clear" w:color="auto" w:fill="D8D8D8" w:themeFill="background1" w:themeFillShade="D9"/>
                  <w:vAlign w:val="center"/>
                </w:tcPr>
                <w:p>
                  <w:pPr>
                    <w:widowControl w:val="0"/>
                    <w:spacing w:after="60"/>
                    <w:jc w:val="center"/>
                  </w:pPr>
                  <w:r>
                    <w:t>Max. # of non-overlapped CCEs per slot/span for per combination (X,Y) and per serving cell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Borders>
                    <w:top w:val="single" w:color="auto" w:sz="4" w:space="0"/>
                    <w:left w:val="single" w:color="auto" w:sz="4" w:space="0"/>
                    <w:bottom w:val="single" w:color="auto" w:sz="12" w:space="0"/>
                    <w:right w:val="single" w:color="auto" w:sz="12" w:space="0"/>
                  </w:tcBorders>
                  <w:shd w:val="clear" w:color="auto" w:fill="D8D8D8" w:themeFill="background1" w:themeFillShade="D9"/>
                  <w:vAlign w:val="center"/>
                </w:tcPr>
                <w:p>
                  <w:pPr>
                    <w:widowControl w:val="0"/>
                    <w:spacing w:after="60"/>
                    <w:jc w:val="center"/>
                    <w:rPr>
                      <w:i/>
                      <w:iCs/>
                    </w:rPr>
                  </w:pPr>
                  <w:r>
                    <w:rPr>
                      <w:i/>
                      <w:iCs/>
                    </w:rPr>
                    <w:t>μ</w:t>
                  </w:r>
                </w:p>
              </w:tc>
              <w:tc>
                <w:tcPr>
                  <w:tcW w:w="1274" w:type="dxa"/>
                  <w:tcBorders>
                    <w:top w:val="single" w:color="auto" w:sz="4" w:space="0"/>
                    <w:left w:val="single" w:color="auto" w:sz="12" w:space="0"/>
                    <w:bottom w:val="single" w:color="auto" w:sz="12" w:space="0"/>
                    <w:right w:val="single" w:color="auto" w:sz="4" w:space="0"/>
                  </w:tcBorders>
                  <w:vAlign w:val="center"/>
                </w:tcPr>
                <w:p>
                  <w:pPr>
                    <w:widowControl w:val="0"/>
                    <w:spacing w:after="60"/>
                    <w:jc w:val="center"/>
                  </w:pPr>
                  <w:r>
                    <w:t>Slot-based</w:t>
                  </w:r>
                </w:p>
              </w:tc>
              <w:tc>
                <w:tcPr>
                  <w:tcW w:w="1095" w:type="dxa"/>
                  <w:tcBorders>
                    <w:top w:val="single" w:color="auto" w:sz="4" w:space="0"/>
                    <w:left w:val="single" w:color="auto" w:sz="4" w:space="0"/>
                    <w:bottom w:val="single" w:color="auto" w:sz="12" w:space="0"/>
                    <w:right w:val="single" w:color="auto" w:sz="4" w:space="0"/>
                  </w:tcBorders>
                  <w:vAlign w:val="center"/>
                </w:tcPr>
                <w:p>
                  <w:pPr>
                    <w:widowControl w:val="0"/>
                    <w:spacing w:after="60"/>
                    <w:jc w:val="center"/>
                  </w:pPr>
                  <w:r>
                    <w:t>(28, Y)</w:t>
                  </w:r>
                </w:p>
              </w:tc>
              <w:tc>
                <w:tcPr>
                  <w:tcW w:w="1095" w:type="dxa"/>
                  <w:tcBorders>
                    <w:top w:val="single" w:color="auto" w:sz="4" w:space="0"/>
                    <w:left w:val="single" w:color="auto" w:sz="4" w:space="0"/>
                    <w:bottom w:val="single" w:color="auto" w:sz="12" w:space="0"/>
                    <w:right w:val="single" w:color="auto" w:sz="4" w:space="0"/>
                  </w:tcBorders>
                  <w:vAlign w:val="center"/>
                </w:tcPr>
                <w:p>
                  <w:pPr>
                    <w:widowControl w:val="0"/>
                    <w:spacing w:after="60"/>
                    <w:jc w:val="center"/>
                  </w:pPr>
                  <w:r>
                    <w:t>(56, Y)</w:t>
                  </w:r>
                </w:p>
              </w:tc>
              <w:tc>
                <w:tcPr>
                  <w:tcW w:w="1097" w:type="dxa"/>
                  <w:tcBorders>
                    <w:top w:val="single" w:color="auto" w:sz="4" w:space="0"/>
                    <w:left w:val="single" w:color="auto" w:sz="4" w:space="0"/>
                    <w:bottom w:val="single" w:color="auto" w:sz="12" w:space="0"/>
                    <w:right w:val="single" w:color="auto" w:sz="12" w:space="0"/>
                  </w:tcBorders>
                  <w:vAlign w:val="center"/>
                </w:tcPr>
                <w:p>
                  <w:pPr>
                    <w:widowControl w:val="0"/>
                    <w:spacing w:after="60"/>
                    <w:jc w:val="center"/>
                  </w:pPr>
                  <w:r>
                    <w:t>(112, Y)</w:t>
                  </w:r>
                </w:p>
              </w:tc>
              <w:tc>
                <w:tcPr>
                  <w:tcW w:w="1158" w:type="dxa"/>
                  <w:tcBorders>
                    <w:top w:val="single" w:color="auto" w:sz="4" w:space="0"/>
                    <w:left w:val="single" w:color="auto" w:sz="12" w:space="0"/>
                    <w:bottom w:val="single" w:color="auto" w:sz="12" w:space="0"/>
                    <w:right w:val="single" w:color="auto" w:sz="4" w:space="0"/>
                  </w:tcBorders>
                  <w:vAlign w:val="center"/>
                </w:tcPr>
                <w:p>
                  <w:pPr>
                    <w:widowControl w:val="0"/>
                    <w:spacing w:after="60"/>
                    <w:jc w:val="center"/>
                  </w:pPr>
                  <w:r>
                    <w:t>Slot based</w:t>
                  </w:r>
                </w:p>
              </w:tc>
              <w:tc>
                <w:tcPr>
                  <w:tcW w:w="969" w:type="dxa"/>
                  <w:tcBorders>
                    <w:top w:val="single" w:color="auto" w:sz="4" w:space="0"/>
                    <w:left w:val="single" w:color="auto" w:sz="4" w:space="0"/>
                    <w:bottom w:val="single" w:color="auto" w:sz="12" w:space="0"/>
                    <w:right w:val="single" w:color="auto" w:sz="4" w:space="0"/>
                  </w:tcBorders>
                  <w:vAlign w:val="center"/>
                </w:tcPr>
                <w:p>
                  <w:pPr>
                    <w:widowControl w:val="0"/>
                    <w:spacing w:after="60"/>
                    <w:jc w:val="center"/>
                  </w:pPr>
                  <w:r>
                    <w:t>(28, Y)</w:t>
                  </w:r>
                </w:p>
              </w:tc>
              <w:tc>
                <w:tcPr>
                  <w:tcW w:w="1044" w:type="dxa"/>
                  <w:tcBorders>
                    <w:top w:val="single" w:color="auto" w:sz="4" w:space="0"/>
                    <w:left w:val="single" w:color="auto" w:sz="4" w:space="0"/>
                    <w:bottom w:val="single" w:color="auto" w:sz="12" w:space="0"/>
                    <w:right w:val="single" w:color="auto" w:sz="4" w:space="0"/>
                  </w:tcBorders>
                  <w:vAlign w:val="center"/>
                </w:tcPr>
                <w:p>
                  <w:pPr>
                    <w:widowControl w:val="0"/>
                    <w:spacing w:after="60"/>
                    <w:jc w:val="center"/>
                  </w:pPr>
                  <w:r>
                    <w:t>(56, Y)</w:t>
                  </w:r>
                </w:p>
              </w:tc>
              <w:tc>
                <w:tcPr>
                  <w:tcW w:w="1051" w:type="dxa"/>
                  <w:tcBorders>
                    <w:top w:val="single" w:color="auto" w:sz="4" w:space="0"/>
                    <w:left w:val="single" w:color="auto" w:sz="4" w:space="0"/>
                    <w:bottom w:val="single" w:color="auto" w:sz="12" w:space="0"/>
                    <w:right w:val="single" w:color="auto" w:sz="4" w:space="0"/>
                  </w:tcBorders>
                  <w:vAlign w:val="center"/>
                </w:tcPr>
                <w:p>
                  <w:pPr>
                    <w:widowControl w:val="0"/>
                    <w:spacing w:after="60"/>
                    <w:jc w:val="center"/>
                  </w:pPr>
                  <w:r>
                    <w:t>(112, 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Borders>
                    <w:top w:val="single" w:color="auto" w:sz="12" w:space="0"/>
                    <w:left w:val="single" w:color="auto" w:sz="4" w:space="0"/>
                    <w:bottom w:val="single" w:color="auto" w:sz="4" w:space="0"/>
                    <w:right w:val="single" w:color="auto" w:sz="12" w:space="0"/>
                  </w:tcBorders>
                  <w:vAlign w:val="center"/>
                </w:tcPr>
                <w:p>
                  <w:pPr>
                    <w:widowControl w:val="0"/>
                    <w:spacing w:after="60"/>
                    <w:jc w:val="center"/>
                  </w:pPr>
                  <w:r>
                    <w:t>3</w:t>
                  </w:r>
                </w:p>
              </w:tc>
              <w:tc>
                <w:tcPr>
                  <w:tcW w:w="1274" w:type="dxa"/>
                  <w:tcBorders>
                    <w:top w:val="single" w:color="auto" w:sz="12" w:space="0"/>
                    <w:left w:val="single" w:color="auto" w:sz="12" w:space="0"/>
                    <w:bottom w:val="single" w:color="auto" w:sz="4" w:space="0"/>
                    <w:right w:val="single" w:color="auto" w:sz="4" w:space="0"/>
                  </w:tcBorders>
                  <w:vAlign w:val="center"/>
                </w:tcPr>
                <w:p>
                  <w:pPr>
                    <w:widowControl w:val="0"/>
                    <w:spacing w:after="60"/>
                    <w:jc w:val="center"/>
                  </w:pPr>
                  <w:r>
                    <w:t>20</w:t>
                  </w:r>
                </w:p>
              </w:tc>
              <w:tc>
                <w:tcPr>
                  <w:tcW w:w="1095" w:type="dxa"/>
                  <w:tcBorders>
                    <w:top w:val="single" w:color="auto" w:sz="12" w:space="0"/>
                    <w:left w:val="single" w:color="auto" w:sz="4" w:space="0"/>
                    <w:bottom w:val="single" w:color="auto" w:sz="4" w:space="0"/>
                    <w:right w:val="single" w:color="auto" w:sz="4" w:space="0"/>
                  </w:tcBorders>
                  <w:vAlign w:val="center"/>
                </w:tcPr>
                <w:p>
                  <w:pPr>
                    <w:widowControl w:val="0"/>
                    <w:spacing w:after="60"/>
                    <w:jc w:val="center"/>
                  </w:pPr>
                  <w:r>
                    <w:t>-</w:t>
                  </w:r>
                </w:p>
              </w:tc>
              <w:tc>
                <w:tcPr>
                  <w:tcW w:w="1095" w:type="dxa"/>
                  <w:tcBorders>
                    <w:top w:val="single" w:color="auto" w:sz="12" w:space="0"/>
                    <w:left w:val="single" w:color="auto" w:sz="4" w:space="0"/>
                    <w:bottom w:val="single" w:color="auto" w:sz="4" w:space="0"/>
                    <w:right w:val="single" w:color="auto" w:sz="4" w:space="0"/>
                  </w:tcBorders>
                  <w:vAlign w:val="center"/>
                </w:tcPr>
                <w:p>
                  <w:pPr>
                    <w:widowControl w:val="0"/>
                    <w:spacing w:after="60"/>
                    <w:jc w:val="center"/>
                  </w:pPr>
                  <w:r>
                    <w:t>-</w:t>
                  </w:r>
                </w:p>
              </w:tc>
              <w:tc>
                <w:tcPr>
                  <w:tcW w:w="1097" w:type="dxa"/>
                  <w:tcBorders>
                    <w:top w:val="single" w:color="auto" w:sz="12" w:space="0"/>
                    <w:left w:val="single" w:color="auto" w:sz="4" w:space="0"/>
                    <w:bottom w:val="single" w:color="auto" w:sz="4" w:space="0"/>
                    <w:right w:val="single" w:color="auto" w:sz="12" w:space="0"/>
                  </w:tcBorders>
                  <w:vAlign w:val="center"/>
                </w:tcPr>
                <w:p>
                  <w:pPr>
                    <w:widowControl w:val="0"/>
                    <w:spacing w:after="60"/>
                    <w:jc w:val="center"/>
                  </w:pPr>
                  <w:r>
                    <w:t>-</w:t>
                  </w:r>
                </w:p>
              </w:tc>
              <w:tc>
                <w:tcPr>
                  <w:tcW w:w="1158" w:type="dxa"/>
                  <w:tcBorders>
                    <w:top w:val="single" w:color="auto" w:sz="12" w:space="0"/>
                    <w:left w:val="single" w:color="auto" w:sz="12" w:space="0"/>
                    <w:bottom w:val="single" w:color="auto" w:sz="4" w:space="0"/>
                    <w:right w:val="single" w:color="auto" w:sz="4" w:space="0"/>
                  </w:tcBorders>
                  <w:vAlign w:val="center"/>
                </w:tcPr>
                <w:p>
                  <w:pPr>
                    <w:widowControl w:val="0"/>
                    <w:spacing w:after="60"/>
                    <w:jc w:val="center"/>
                  </w:pPr>
                  <w:r>
                    <w:t>32</w:t>
                  </w:r>
                </w:p>
              </w:tc>
              <w:tc>
                <w:tcPr>
                  <w:tcW w:w="969" w:type="dxa"/>
                  <w:tcBorders>
                    <w:top w:val="single" w:color="auto" w:sz="12" w:space="0"/>
                    <w:left w:val="single" w:color="auto" w:sz="4" w:space="0"/>
                    <w:bottom w:val="single" w:color="auto" w:sz="4" w:space="0"/>
                    <w:right w:val="single" w:color="auto" w:sz="4" w:space="0"/>
                  </w:tcBorders>
                  <w:vAlign w:val="center"/>
                </w:tcPr>
                <w:p>
                  <w:pPr>
                    <w:widowControl w:val="0"/>
                    <w:spacing w:after="60"/>
                    <w:jc w:val="center"/>
                  </w:pPr>
                  <w:r>
                    <w:t>-</w:t>
                  </w:r>
                </w:p>
              </w:tc>
              <w:tc>
                <w:tcPr>
                  <w:tcW w:w="1044" w:type="dxa"/>
                  <w:tcBorders>
                    <w:top w:val="single" w:color="auto" w:sz="12" w:space="0"/>
                    <w:left w:val="single" w:color="auto" w:sz="4" w:space="0"/>
                    <w:bottom w:val="single" w:color="auto" w:sz="4" w:space="0"/>
                    <w:right w:val="single" w:color="auto" w:sz="4" w:space="0"/>
                  </w:tcBorders>
                  <w:vAlign w:val="center"/>
                </w:tcPr>
                <w:p>
                  <w:pPr>
                    <w:widowControl w:val="0"/>
                    <w:spacing w:after="60"/>
                    <w:jc w:val="center"/>
                  </w:pPr>
                  <w:r>
                    <w:t>-</w:t>
                  </w:r>
                </w:p>
              </w:tc>
              <w:tc>
                <w:tcPr>
                  <w:tcW w:w="1051" w:type="dxa"/>
                  <w:tcBorders>
                    <w:top w:val="single" w:color="auto" w:sz="12" w:space="0"/>
                    <w:left w:val="single" w:color="auto" w:sz="4" w:space="0"/>
                    <w:bottom w:val="single" w:color="auto" w:sz="4" w:space="0"/>
                    <w:right w:val="single" w:color="auto" w:sz="4" w:space="0"/>
                  </w:tcBorders>
                  <w:vAlign w:val="center"/>
                </w:tcPr>
                <w:p>
                  <w:pPr>
                    <w:widowControl w:val="0"/>
                    <w:spacing w:after="6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trPr>
              <w:tc>
                <w:tcPr>
                  <w:tcW w:w="846" w:type="dxa"/>
                  <w:tcBorders>
                    <w:top w:val="single" w:color="auto" w:sz="4" w:space="0"/>
                    <w:left w:val="single" w:color="auto" w:sz="4" w:space="0"/>
                    <w:bottom w:val="single" w:color="auto" w:sz="4" w:space="0"/>
                    <w:right w:val="single" w:color="auto" w:sz="12" w:space="0"/>
                  </w:tcBorders>
                  <w:vAlign w:val="center"/>
                </w:tcPr>
                <w:p>
                  <w:pPr>
                    <w:widowControl w:val="0"/>
                    <w:spacing w:after="60"/>
                    <w:jc w:val="center"/>
                  </w:pPr>
                  <w:r>
                    <w:t>5</w:t>
                  </w:r>
                </w:p>
              </w:tc>
              <w:tc>
                <w:tcPr>
                  <w:tcW w:w="1274" w:type="dxa"/>
                  <w:tcBorders>
                    <w:top w:val="single" w:color="auto" w:sz="4" w:space="0"/>
                    <w:left w:val="single" w:color="auto" w:sz="12" w:space="0"/>
                    <w:bottom w:val="single" w:color="auto" w:sz="4" w:space="0"/>
                    <w:right w:val="single" w:color="auto" w:sz="4" w:space="0"/>
                  </w:tcBorders>
                  <w:vAlign w:val="center"/>
                </w:tcPr>
                <w:p>
                  <w:pPr>
                    <w:widowControl w:val="0"/>
                    <w:spacing w:after="60"/>
                    <w:jc w:val="center"/>
                  </w:pPr>
                  <w:r>
                    <w:t>N/A</w:t>
                  </w:r>
                </w:p>
              </w:tc>
              <w:tc>
                <w:tcPr>
                  <w:tcW w:w="1095"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10</w:t>
                  </w:r>
                </w:p>
              </w:tc>
              <w:tc>
                <w:tcPr>
                  <w:tcW w:w="1095"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20</w:t>
                  </w:r>
                </w:p>
              </w:tc>
              <w:tc>
                <w:tcPr>
                  <w:tcW w:w="1097" w:type="dxa"/>
                  <w:tcBorders>
                    <w:top w:val="single" w:color="auto" w:sz="4" w:space="0"/>
                    <w:left w:val="single" w:color="auto" w:sz="4" w:space="0"/>
                    <w:bottom w:val="single" w:color="auto" w:sz="4" w:space="0"/>
                    <w:right w:val="single" w:color="auto" w:sz="12" w:space="0"/>
                  </w:tcBorders>
                  <w:vAlign w:val="center"/>
                </w:tcPr>
                <w:p>
                  <w:pPr>
                    <w:widowControl w:val="0"/>
                    <w:spacing w:after="60"/>
                    <w:jc w:val="center"/>
                  </w:pPr>
                  <w:r>
                    <w:t>-</w:t>
                  </w:r>
                </w:p>
              </w:tc>
              <w:tc>
                <w:tcPr>
                  <w:tcW w:w="1158" w:type="dxa"/>
                  <w:tcBorders>
                    <w:top w:val="single" w:color="auto" w:sz="4" w:space="0"/>
                    <w:left w:val="single" w:color="auto" w:sz="12" w:space="0"/>
                    <w:bottom w:val="single" w:color="auto" w:sz="4" w:space="0"/>
                    <w:right w:val="single" w:color="auto" w:sz="4" w:space="0"/>
                  </w:tcBorders>
                  <w:vAlign w:val="center"/>
                </w:tcPr>
                <w:p>
                  <w:pPr>
                    <w:widowControl w:val="0"/>
                    <w:spacing w:after="60"/>
                    <w:jc w:val="center"/>
                  </w:pPr>
                  <w:r>
                    <w:t>N/A</w:t>
                  </w:r>
                </w:p>
              </w:tc>
              <w:tc>
                <w:tcPr>
                  <w:tcW w:w="969"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18</w:t>
                  </w:r>
                </w:p>
              </w:tc>
              <w:tc>
                <w:tcPr>
                  <w:tcW w:w="1044"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32</w:t>
                  </w:r>
                </w:p>
              </w:tc>
              <w:tc>
                <w:tcPr>
                  <w:tcW w:w="1051"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trPr>
              <w:tc>
                <w:tcPr>
                  <w:tcW w:w="846" w:type="dxa"/>
                  <w:tcBorders>
                    <w:top w:val="single" w:color="auto" w:sz="4" w:space="0"/>
                    <w:left w:val="single" w:color="auto" w:sz="4" w:space="0"/>
                    <w:bottom w:val="single" w:color="auto" w:sz="4" w:space="0"/>
                    <w:right w:val="single" w:color="auto" w:sz="12" w:space="0"/>
                  </w:tcBorders>
                  <w:vAlign w:val="center"/>
                </w:tcPr>
                <w:p>
                  <w:pPr>
                    <w:widowControl w:val="0"/>
                    <w:spacing w:after="60"/>
                    <w:jc w:val="center"/>
                  </w:pPr>
                  <w:r>
                    <w:t>6</w:t>
                  </w:r>
                </w:p>
              </w:tc>
              <w:tc>
                <w:tcPr>
                  <w:tcW w:w="1274" w:type="dxa"/>
                  <w:tcBorders>
                    <w:top w:val="single" w:color="auto" w:sz="4" w:space="0"/>
                    <w:left w:val="single" w:color="auto" w:sz="12" w:space="0"/>
                    <w:bottom w:val="single" w:color="auto" w:sz="4" w:space="0"/>
                    <w:right w:val="single" w:color="auto" w:sz="4" w:space="0"/>
                  </w:tcBorders>
                  <w:vAlign w:val="center"/>
                </w:tcPr>
                <w:p>
                  <w:pPr>
                    <w:widowControl w:val="0"/>
                    <w:spacing w:after="60"/>
                    <w:jc w:val="center"/>
                  </w:pPr>
                  <w:r>
                    <w:t>N/A</w:t>
                  </w:r>
                </w:p>
              </w:tc>
              <w:tc>
                <w:tcPr>
                  <w:tcW w:w="1095"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8</w:t>
                  </w:r>
                </w:p>
              </w:tc>
              <w:tc>
                <w:tcPr>
                  <w:tcW w:w="1095"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10</w:t>
                  </w:r>
                </w:p>
              </w:tc>
              <w:tc>
                <w:tcPr>
                  <w:tcW w:w="1097" w:type="dxa"/>
                  <w:tcBorders>
                    <w:top w:val="single" w:color="auto" w:sz="4" w:space="0"/>
                    <w:left w:val="single" w:color="auto" w:sz="4" w:space="0"/>
                    <w:bottom w:val="single" w:color="auto" w:sz="4" w:space="0"/>
                    <w:right w:val="single" w:color="auto" w:sz="12" w:space="0"/>
                  </w:tcBorders>
                  <w:vAlign w:val="center"/>
                </w:tcPr>
                <w:p>
                  <w:pPr>
                    <w:widowControl w:val="0"/>
                    <w:spacing w:after="60"/>
                    <w:jc w:val="center"/>
                  </w:pPr>
                  <w:r>
                    <w:t>20</w:t>
                  </w:r>
                </w:p>
              </w:tc>
              <w:tc>
                <w:tcPr>
                  <w:tcW w:w="1158" w:type="dxa"/>
                  <w:tcBorders>
                    <w:top w:val="single" w:color="auto" w:sz="4" w:space="0"/>
                    <w:left w:val="single" w:color="auto" w:sz="12" w:space="0"/>
                    <w:bottom w:val="single" w:color="auto" w:sz="4" w:space="0"/>
                    <w:right w:val="single" w:color="auto" w:sz="4" w:space="0"/>
                  </w:tcBorders>
                  <w:vAlign w:val="center"/>
                </w:tcPr>
                <w:p>
                  <w:pPr>
                    <w:widowControl w:val="0"/>
                    <w:spacing w:after="60"/>
                    <w:jc w:val="center"/>
                  </w:pPr>
                  <w:r>
                    <w:t>N/A</w:t>
                  </w:r>
                </w:p>
              </w:tc>
              <w:tc>
                <w:tcPr>
                  <w:tcW w:w="969"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14</w:t>
                  </w:r>
                </w:p>
              </w:tc>
              <w:tc>
                <w:tcPr>
                  <w:tcW w:w="1044"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18</w:t>
                  </w:r>
                </w:p>
              </w:tc>
              <w:tc>
                <w:tcPr>
                  <w:tcW w:w="1051" w:type="dxa"/>
                  <w:tcBorders>
                    <w:top w:val="single" w:color="auto" w:sz="4" w:space="0"/>
                    <w:left w:val="single" w:color="auto" w:sz="4" w:space="0"/>
                    <w:bottom w:val="single" w:color="auto" w:sz="4" w:space="0"/>
                    <w:right w:val="single" w:color="auto" w:sz="4" w:space="0"/>
                  </w:tcBorders>
                  <w:vAlign w:val="center"/>
                </w:tcPr>
                <w:p>
                  <w:pPr>
                    <w:widowControl w:val="0"/>
                    <w:spacing w:after="60"/>
                    <w:jc w:val="center"/>
                  </w:pPr>
                  <w:r>
                    <w:t>32</w:t>
                  </w:r>
                </w:p>
              </w:tc>
            </w:tr>
          </w:tbl>
          <w:p>
            <w:pPr>
              <w:widowControl w:val="0"/>
              <w:jc w:val="both"/>
              <w:rPr>
                <w:b/>
                <w:u w:val="single"/>
              </w:rPr>
            </w:pPr>
          </w:p>
        </w:tc>
      </w:tr>
    </w:tbl>
    <w:p>
      <w:pPr>
        <w:rPr>
          <w:lang w:eastAsia="zh-CN"/>
        </w:rPr>
      </w:pPr>
    </w:p>
    <w:p>
      <w:pPr>
        <w:pStyle w:val="4"/>
        <w:jc w:val="both"/>
        <w:rPr>
          <w:lang w:val="en-GB" w:eastAsia="zh-CN"/>
        </w:rPr>
      </w:pPr>
      <w:r>
        <w:rPr>
          <w:lang w:val="en-GB" w:eastAsia="zh-CN"/>
        </w:rPr>
        <w:t>R1-2110110 (Convida Wireless)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spacing w:line="276" w:lineRule="auto"/>
            </w:pPr>
            <w:r>
              <w:t>The UE can be configured by the gNB to monitor PDCCH for the maximum number of PDCCH candidates (</w:t>
            </w:r>
            <m:oMath>
              <m:sSubSup>
                <m:sSubSupPr>
                  <m:ctrlPr>
                    <w:rPr>
                      <w:rFonts w:ascii="Cambria Math" w:hAnsi="Cambria Math"/>
                    </w:rPr>
                  </m:ctrlPr>
                </m:sSubSupPr>
                <m:e>
                  <m:r>
                    <w:rPr>
                      <w:rFonts w:ascii="Cambria Math" w:hAnsi="Cambria Math"/>
                    </w:rPr>
                    <m:t>M</m:t>
                  </m:r>
                  <m:ctrlPr>
                    <w:rPr>
                      <w:rFonts w:ascii="Cambria Math" w:hAnsi="Cambria Math"/>
                    </w:rPr>
                  </m:ctrlPr>
                </m:e>
                <m:sub>
                  <m:r>
                    <m:rPr>
                      <m:sty m:val="p"/>
                    </m:rPr>
                    <w:rPr>
                      <w:rFonts w:ascii="Cambria Math" w:hAnsi="Cambria Math"/>
                    </w:rPr>
                    <m:t>PDCCH</m:t>
                  </m:r>
                  <m:ctrlPr>
                    <w:rPr>
                      <w:rFonts w:ascii="Cambria Math" w:hAnsi="Cambria Math"/>
                    </w:rPr>
                  </m:ctrlPr>
                </m:sub>
                <m:sup>
                  <m:r>
                    <m:rPr>
                      <m:sty m:val="p"/>
                    </m:rPr>
                    <w:rPr>
                      <w:rFonts w:ascii="Cambria Math" w:hAnsi="Cambria Math"/>
                    </w:rPr>
                    <m:t>max,span,</m:t>
                  </m:r>
                  <m:r>
                    <w:rPr>
                      <w:rFonts w:ascii="Cambria Math" w:hAnsi="Cambria Math"/>
                    </w:rPr>
                    <m:t>μ</m:t>
                  </m:r>
                  <m:ctrlPr>
                    <w:rPr>
                      <w:rFonts w:ascii="Cambria Math" w:hAnsi="Cambria Math"/>
                    </w:rPr>
                  </m:ctrlPr>
                </m:sup>
              </m:sSubSup>
            </m:oMath>
            <w:r>
              <w:t>) and nonoverlapping CCEs (</w:t>
            </w:r>
            <m:oMath>
              <m:sSubSup>
                <m:sSubSupPr>
                  <m:ctrlPr>
                    <w:rPr>
                      <w:rFonts w:ascii="Cambria Math" w:hAnsi="Cambria Math"/>
                    </w:rPr>
                  </m:ctrlPr>
                </m:sSubSupPr>
                <m:e>
                  <m:r>
                    <w:rPr>
                      <w:rFonts w:ascii="Cambria Math" w:hAnsi="Cambria Math"/>
                    </w:rPr>
                    <m:t>C</m:t>
                  </m:r>
                  <m:ctrlPr>
                    <w:rPr>
                      <w:rFonts w:ascii="Cambria Math" w:hAnsi="Cambria Math"/>
                    </w:rPr>
                  </m:ctrlPr>
                </m:e>
                <m:sub>
                  <m:r>
                    <m:rPr>
                      <m:sty m:val="p"/>
                    </m:rPr>
                    <w:rPr>
                      <w:rFonts w:ascii="Cambria Math" w:hAnsi="Cambria Math"/>
                    </w:rPr>
                    <m:t>PDCCH</m:t>
                  </m:r>
                  <m:ctrlPr>
                    <w:rPr>
                      <w:rFonts w:ascii="Cambria Math" w:hAnsi="Cambria Math"/>
                    </w:rPr>
                  </m:ctrlPr>
                </m:sub>
                <m:sup>
                  <m:r>
                    <m:rPr>
                      <m:sty m:val="p"/>
                    </m:rPr>
                    <w:rPr>
                      <w:rFonts w:ascii="Cambria Math" w:hAnsi="Cambria Math"/>
                    </w:rPr>
                    <m:t>max,span,</m:t>
                  </m:r>
                  <m:r>
                    <w:rPr>
                      <w:rFonts w:ascii="Cambria Math" w:hAnsi="Cambria Math"/>
                    </w:rPr>
                    <m:t>μ</m:t>
                  </m:r>
                  <m:ctrlPr>
                    <w:rPr>
                      <w:rFonts w:ascii="Cambria Math" w:hAnsi="Cambria Math"/>
                    </w:rPr>
                  </m:ctrlPr>
                </m:sup>
              </m:sSubSup>
            </m:oMath>
            <w:r>
              <w:t>) defined per span like in Rel-16. In each PDCCH monitoring span, the number of PDCCH candidates and nonoverlapping CCE cannot exceed the UE capability. Therefore, UE behavior can be like legacy NR specification when there is an overbooking. For example, the UE and gNB can map PDCCH candidates in each PDCCH monitoring span as the following mapping rules in legacy NR specification: (1) CSS sets are mapped before USS sets; (2) USS sets are mapped in ascending order of the SS set indices, and if the number of PDCCH candidates/CCEs exceeds either of the UE processing limits, etc.</w:t>
            </w:r>
          </w:p>
          <w:p>
            <w:pPr>
              <w:widowControl w:val="0"/>
              <w:rPr>
                <w:b/>
                <w:i/>
              </w:rPr>
            </w:pPr>
            <w:r>
              <w:rPr>
                <w:b/>
                <w:i/>
              </w:rPr>
              <w:t>Proposal 3</w:t>
            </w:r>
            <w:r>
              <w:rPr>
                <w:b/>
                <w:i/>
                <w:lang w:eastAsia="zh-CN"/>
              </w:rPr>
              <w:t xml:space="preserve">. UE behavior can be like legacy NR specification when there is an overbooking for single DCI scheduling multi-PDSCHs. </w:t>
            </w:r>
          </w:p>
        </w:tc>
      </w:tr>
    </w:tbl>
    <w:p>
      <w:pPr>
        <w:rPr>
          <w:lang w:eastAsia="zh-CN"/>
        </w:rPr>
      </w:pPr>
    </w:p>
    <w:p>
      <w:pPr>
        <w:pStyle w:val="4"/>
        <w:jc w:val="both"/>
        <w:rPr>
          <w:lang w:val="en-GB" w:eastAsia="zh-CN"/>
        </w:rPr>
      </w:pPr>
      <w:r>
        <w:rPr>
          <w:lang w:val="en-GB" w:eastAsia="zh-CN"/>
        </w:rPr>
        <w:t>R1-2110173 (Qualcomm)</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pPr>
            <w:r>
              <w:t>Not to harm the performance compared to that of 120 kHz SCS, the same number of BD/CCE limit should be considered as the starting point with X = 4 slots for 480 kHz SCS and X = 8 slots for 960 kHz SCS.</w:t>
            </w:r>
          </w:p>
          <w:p>
            <w:pPr>
              <w:pStyle w:val="27"/>
              <w:widowControl w:val="0"/>
              <w:jc w:val="left"/>
            </w:pPr>
            <w:bookmarkStart w:id="137" w:name="_Toc83632382"/>
            <w:bookmarkStart w:id="138" w:name="_Toc83587356"/>
            <w:bookmarkStart w:id="139" w:name="_Toc83573326"/>
            <w:bookmarkStart w:id="140" w:name="P_2"/>
            <w:r>
              <w:t xml:space="preserve">Proposal </w:t>
            </w:r>
            <w:r>
              <w:fldChar w:fldCharType="begin"/>
            </w:r>
            <w:r>
              <w:instrText xml:space="preserve"> SEQ Proposal \* ARABIC </w:instrText>
            </w:r>
            <w:r>
              <w:fldChar w:fldCharType="separate"/>
            </w:r>
            <w:r>
              <w:t>2</w:t>
            </w:r>
            <w:r>
              <w:fldChar w:fldCharType="end"/>
            </w:r>
            <w:r>
              <w:t>: For the multi-slot PDCCH monitoring capability with X = 4 for 480 kHz SCS and X = 8 for 960 kHz SCS, at least the same maximum numbers of PDCCH candidates and non-overlapped CCEs as 120 kHz SCS are supported (i.e., 20 BDs and 32 CCEs).</w:t>
            </w:r>
            <w:bookmarkEnd w:id="137"/>
            <w:bookmarkEnd w:id="138"/>
            <w:bookmarkEnd w:id="139"/>
          </w:p>
          <w:bookmarkEnd w:id="140"/>
          <w:p>
            <w:pPr>
              <w:widowControl w:val="0"/>
              <w:jc w:val="both"/>
              <w:rPr>
                <w:b/>
                <w:u w:val="single"/>
              </w:rPr>
            </w:pPr>
          </w:p>
        </w:tc>
      </w:tr>
    </w:tbl>
    <w:p>
      <w:pPr>
        <w:rPr>
          <w:lang w:eastAsia="zh-CN"/>
        </w:rPr>
      </w:pPr>
    </w:p>
    <w:p>
      <w:pPr>
        <w:pStyle w:val="4"/>
        <w:jc w:val="both"/>
        <w:rPr>
          <w:lang w:val="en-GB" w:eastAsia="zh-CN"/>
        </w:rPr>
      </w:pPr>
      <w:r>
        <w:rPr>
          <w:lang w:val="en-GB" w:eastAsia="zh-CN"/>
        </w:rPr>
        <w:t>R1-2110252 (Panasonic)</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30"/>
              <w:widowControl w:val="0"/>
            </w:pPr>
            <w:r>
              <w:t xml:space="preserve">In Rel-15/16, gNB is allowed to configure UE with UE-specific search spaces (USS) exceeding the BD/CCE limits that UE is capable of processing, which is referred to as overbooking. When allocating PDCCH candidates for monitoring, the USS with higher set index can be dropped in order to respect the UE capability. The overbooking with dropping rules facilitate gNB to use UE capability to its maximum. Otherwise, the configuration of MOs would be restricted to the worst case, resulting in resource under-utilization for typical cases. </w:t>
            </w:r>
          </w:p>
          <w:p>
            <w:pPr>
              <w:pStyle w:val="30"/>
              <w:widowControl w:val="0"/>
            </w:pPr>
            <w:r>
              <w:t>The existing dropping rules for overbooking are applicable for individual slot or individual span within one slot. In the context of multi-slot monitoring capability, there is a need to extend the dropping rules for overbooking to across-slots or across-spans. However, the design would depend on whether Alt 1 or Alt 2 is selected for the multi-slot capability definition, and how further capability is defined for Y slots within X. Therefore, the details of enhancement can be further discussed when the multi-slot capability definition as discussed in previous two sections is finalized.</w:t>
            </w:r>
          </w:p>
          <w:p>
            <w:pPr>
              <w:pStyle w:val="30"/>
              <w:widowControl w:val="0"/>
              <w:rPr>
                <w:b/>
                <w:bCs/>
              </w:rPr>
            </w:pPr>
            <w:r>
              <w:rPr>
                <w:b/>
                <w:bCs/>
              </w:rPr>
              <w:t xml:space="preserve">Proposal 4: Dropping rules for overbooking need to be extended to across-slots or across-spans for multi-slot monitoring capability. Details are FFS after multi-slot monitoring capability definition is clear. </w:t>
            </w:r>
          </w:p>
          <w:p>
            <w:pPr>
              <w:widowControl w:val="0"/>
              <w:jc w:val="both"/>
              <w:rPr>
                <w:b/>
                <w:u w:val="single"/>
              </w:rPr>
            </w:pPr>
          </w:p>
        </w:tc>
      </w:tr>
    </w:tbl>
    <w:p>
      <w:pPr>
        <w:rPr>
          <w:lang w:eastAsia="zh-CN"/>
        </w:rPr>
      </w:pPr>
    </w:p>
    <w:p>
      <w:pPr>
        <w:pStyle w:val="3"/>
      </w:pPr>
      <w:r>
        <w:t>Topic A4: PDCCH Extensions for e.g. Coverage, Reliability</w:t>
      </w:r>
    </w:p>
    <w:p>
      <w:pPr>
        <w:pStyle w:val="4"/>
        <w:jc w:val="both"/>
        <w:rPr>
          <w:lang w:val="en-GB" w:eastAsia="zh-CN"/>
        </w:rPr>
      </w:pPr>
      <w:r>
        <w:rPr>
          <w:lang w:val="en-GB" w:eastAsia="zh-CN"/>
        </w:rPr>
        <w:t>R1-2108935 (ZTE, Sanechips)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jc w:val="both"/>
              <w:rPr>
                <w:lang w:eastAsia="zh-CN"/>
              </w:rPr>
            </w:pPr>
            <w:r>
              <w:rPr>
                <w:lang w:eastAsia="zh-CN"/>
              </w:rPr>
              <w:t>For the newly introduced SCS i.e. 480/960 kHz in Rel-17 NR above 52.6 GHz, the length of the slot/symbol becomes shorter. Given the current CORESET config</w:t>
            </w:r>
            <w:r>
              <w:rPr>
                <w:rFonts w:hint="eastAsia"/>
                <w:lang w:eastAsia="zh-CN"/>
              </w:rPr>
              <w:t>u</w:t>
            </w:r>
            <w:r>
              <w:rPr>
                <w:lang w:eastAsia="zh-CN"/>
              </w:rPr>
              <w:t>ration</w:t>
            </w:r>
            <w:r>
              <w:rPr>
                <w:rFonts w:hint="eastAsia"/>
                <w:lang w:eastAsia="zh-CN"/>
              </w:rPr>
              <w:t xml:space="preserve"> in Rel-16</w:t>
            </w:r>
            <w:r>
              <w:rPr>
                <w:lang w:eastAsia="zh-CN"/>
              </w:rPr>
              <w:t>, the PDCCH is transmitted on up to 3 OFDM symbols</w:t>
            </w:r>
            <w:r>
              <w:rPr>
                <w:rFonts w:hint="eastAsia"/>
                <w:lang w:eastAsia="zh-CN"/>
              </w:rPr>
              <w:t xml:space="preserve"> which are quite short and limited. In addition, since a single DCI can schedule multiple PDSCH/PUSCH over multi-slot PDCCH monitoring slots, the DCI transmission reliability is essential to the data transmission efficiency and system performance. Therefore, we suggest considering a duration of more than 3 OFDM symbols for </w:t>
            </w:r>
            <w:r>
              <w:rPr>
                <w:lang w:eastAsia="zh-CN"/>
              </w:rPr>
              <w:t>480/960 kHz</w:t>
            </w:r>
            <w:r>
              <w:rPr>
                <w:rFonts w:hint="eastAsia"/>
                <w:lang w:eastAsia="zh-CN"/>
              </w:rPr>
              <w:t xml:space="preserve"> SCS since it is beneficial for improving PDCCH coverage and PDCCH monitoring capability.</w:t>
            </w:r>
          </w:p>
          <w:p>
            <w:pPr>
              <w:widowControl w:val="0"/>
              <w:rPr>
                <w:lang w:eastAsia="zh-CN"/>
              </w:rPr>
            </w:pPr>
            <w:r>
              <w:rPr>
                <w:rFonts w:hint="eastAsia" w:eastAsia="宋体"/>
                <w:b/>
                <w:bCs/>
                <w:lang w:eastAsia="zh-CN"/>
              </w:rPr>
              <w:t>Proposal 7: C</w:t>
            </w:r>
            <w:r>
              <w:rPr>
                <w:rFonts w:hint="eastAsia"/>
                <w:b/>
                <w:bCs/>
                <w:lang w:eastAsia="zh-CN"/>
              </w:rPr>
              <w:t xml:space="preserve">onsidering a duration of more than 3 OFDM symbols for </w:t>
            </w:r>
            <w:r>
              <w:rPr>
                <w:b/>
                <w:bCs/>
                <w:lang w:eastAsia="zh-CN"/>
              </w:rPr>
              <w:t>480/960 kHz</w:t>
            </w:r>
            <w:r>
              <w:rPr>
                <w:rFonts w:hint="eastAsia"/>
                <w:b/>
                <w:bCs/>
                <w:lang w:eastAsia="zh-CN"/>
              </w:rPr>
              <w:t xml:space="preserve"> SCS </w:t>
            </w:r>
            <w:r>
              <w:rPr>
                <w:b/>
                <w:bCs/>
                <w:lang w:eastAsia="zh-CN"/>
              </w:rPr>
              <w:t>in Rel-17 NR above 52.6 GHz</w:t>
            </w:r>
            <w:r>
              <w:rPr>
                <w:rFonts w:hint="eastAsia"/>
                <w:b/>
                <w:bCs/>
                <w:lang w:eastAsia="zh-CN"/>
              </w:rPr>
              <w:t>.</w:t>
            </w:r>
          </w:p>
        </w:tc>
      </w:tr>
    </w:tbl>
    <w:p>
      <w:pPr>
        <w:rPr>
          <w:lang w:eastAsia="zh-CN"/>
        </w:rPr>
      </w:pPr>
    </w:p>
    <w:p>
      <w:pPr>
        <w:pStyle w:val="4"/>
        <w:jc w:val="both"/>
        <w:rPr>
          <w:lang w:val="en-GB" w:eastAsia="zh-CN"/>
        </w:rPr>
      </w:pPr>
      <w:r>
        <w:rPr>
          <w:lang w:val="en-GB" w:eastAsia="zh-CN"/>
        </w:rPr>
        <w:t>R1-2109071 (OPPO)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30"/>
              <w:widowControl w:val="0"/>
              <w:rPr>
                <w:rFonts w:eastAsia="宋体"/>
                <w:lang w:eastAsia="zh-CN"/>
              </w:rPr>
            </w:pPr>
            <w:r>
              <w:rPr>
                <w:rFonts w:eastAsia="宋体"/>
                <w:lang w:eastAsia="zh-CN"/>
              </w:rPr>
              <w:t xml:space="preserve">With the introduction of 480 kHz and 960 kHz for data and control transmission in the high frequency range, compared to existing SCS, the symbols become much shorter and the frequency range will be much larger for a given CORESET configuration. Figure 1 compares the CORESET configuration of {12RBs, 2symbols} for 120kHz and 480kHz respectively. </w:t>
            </w:r>
          </w:p>
          <w:p>
            <w:pPr>
              <w:pStyle w:val="30"/>
              <w:widowControl w:val="0"/>
              <w:jc w:val="center"/>
              <w:rPr>
                <w:rFonts w:eastAsia="宋体"/>
                <w:b/>
                <w:sz w:val="18"/>
                <w:szCs w:val="18"/>
                <w:lang w:eastAsia="zh-CN"/>
              </w:rPr>
            </w:pPr>
            <w:r>
              <w:object>
                <v:shape id="_x0000_i1042" o:spt="75" type="#_x0000_t75" style="height:365.8pt;width:206.8pt;" o:ole="t" filled="f" o:preferrelative="t" stroked="f" coordsize="21600,21600">
                  <v:path/>
                  <v:fill on="f" focussize="0,0"/>
                  <v:stroke on="f" joinstyle="miter"/>
                  <v:imagedata r:id="rId56" o:title=""/>
                  <o:lock v:ext="edit" aspectratio="t"/>
                  <w10:wrap type="none"/>
                  <w10:anchorlock/>
                </v:shape>
                <o:OLEObject Type="Embed" ProgID="Visio.Drawing.15" ShapeID="_x0000_i1042" DrawAspect="Content" ObjectID="_1468075742" r:id="rId55">
                  <o:LockedField>false</o:LockedField>
                </o:OLEObject>
              </w:object>
            </w:r>
          </w:p>
          <w:p>
            <w:pPr>
              <w:pStyle w:val="30"/>
              <w:widowControl w:val="0"/>
              <w:jc w:val="center"/>
              <w:rPr>
                <w:rFonts w:eastAsia="宋体"/>
                <w:b/>
                <w:sz w:val="18"/>
                <w:szCs w:val="18"/>
                <w:lang w:eastAsia="zh-CN"/>
              </w:rPr>
            </w:pPr>
            <w:r>
              <w:rPr>
                <w:rFonts w:eastAsia="宋体"/>
                <w:b/>
                <w:sz w:val="18"/>
                <w:szCs w:val="18"/>
                <w:lang w:eastAsia="zh-CN"/>
              </w:rPr>
              <w:t>Figure 1: CORESET configuration of {12RBs, 2symbols} for 120kHz and 480kHz</w:t>
            </w:r>
          </w:p>
          <w:p>
            <w:pPr>
              <w:pStyle w:val="30"/>
              <w:widowControl w:val="0"/>
              <w:rPr>
                <w:rFonts w:eastAsia="宋体"/>
                <w:lang w:eastAsia="zh-CN"/>
              </w:rPr>
            </w:pPr>
            <w:r>
              <w:rPr>
                <w:rFonts w:hint="eastAsia" w:eastAsia="宋体"/>
                <w:lang w:eastAsia="zh-CN"/>
              </w:rPr>
              <w:t xml:space="preserve">From Figure 1, it can be observed that </w:t>
            </w:r>
            <w:r>
              <w:rPr>
                <w:rFonts w:eastAsia="宋体"/>
                <w:lang w:eastAsia="zh-CN"/>
              </w:rPr>
              <w:t>to keep</w:t>
            </w:r>
            <w:r>
              <w:rPr>
                <w:rFonts w:hint="eastAsia" w:eastAsia="宋体"/>
                <w:lang w:eastAsia="zh-CN"/>
              </w:rPr>
              <w:t xml:space="preserve"> </w:t>
            </w:r>
            <w:r>
              <w:rPr>
                <w:rFonts w:eastAsia="宋体"/>
                <w:lang w:eastAsia="zh-CN"/>
              </w:rPr>
              <w:t>same CORESET configurations and</w:t>
            </w:r>
            <w:r>
              <w:rPr>
                <w:rFonts w:hint="eastAsia" w:eastAsia="宋体"/>
                <w:lang w:eastAsia="zh-CN"/>
              </w:rPr>
              <w:t xml:space="preserve"> same PDCCH candidates</w:t>
            </w:r>
            <w:r>
              <w:rPr>
                <w:rFonts w:eastAsia="宋体"/>
                <w:lang w:eastAsia="zh-CN"/>
              </w:rPr>
              <w:t xml:space="preserve"> being monitored, compared to 120kHz SCS, the coverage of PDCCH transmission would be impacted due to the reduced transmission duration, and UE is required to estimate much higher frequency range with the SCS of 480kHz. While the maximum number of non-overlapped CCEs would be smaller for 480kHz SCS than 120kHz SCS. The difference would be much larger if 120kHz and 960kHz SCSs are compared. Therefore, enhancements to CORESET configuration, i.e., reducing CORESET RBs and increasing CORESET symbols for a given higher SCS, seem beneficial. </w:t>
            </w:r>
          </w:p>
          <w:p>
            <w:pPr>
              <w:pStyle w:val="30"/>
              <w:widowControl w:val="0"/>
              <w:rPr>
                <w:b/>
              </w:rPr>
            </w:pPr>
            <w:r>
              <w:rPr>
                <w:b/>
              </w:rPr>
              <w:t xml:space="preserve">Proposal 2: CORESET configuration with less RBs and more symbols for 480kHz and 960kHz SCS should be supported. </w:t>
            </w:r>
          </w:p>
          <w:p>
            <w:pPr>
              <w:pStyle w:val="30"/>
              <w:widowControl w:val="0"/>
              <w:rPr>
                <w:b/>
              </w:rPr>
            </w:pPr>
          </w:p>
          <w:p>
            <w:pPr>
              <w:widowControl w:val="0"/>
              <w:jc w:val="both"/>
              <w:rPr>
                <w:b/>
                <w:i/>
                <w:iCs/>
              </w:rPr>
            </w:pPr>
          </w:p>
        </w:tc>
      </w:tr>
    </w:tbl>
    <w:p>
      <w:pPr>
        <w:rPr>
          <w:lang w:eastAsia="zh-CN"/>
        </w:rPr>
      </w:pPr>
    </w:p>
    <w:p>
      <w:pPr>
        <w:rPr>
          <w:lang w:val="en-GB" w:eastAsia="zh-CN"/>
        </w:rPr>
      </w:pPr>
    </w:p>
    <w:p>
      <w:pPr>
        <w:pStyle w:val="3"/>
      </w:pPr>
      <w:r>
        <w:t xml:space="preserve">Topic B: </w:t>
      </w:r>
      <w:r>
        <w:rPr>
          <w:lang w:val="en-US" w:eastAsia="ja-JP"/>
        </w:rPr>
        <w:t>Multiple PDSCH/PUSCH by a single DCI</w:t>
      </w:r>
    </w:p>
    <w:p>
      <w:pPr>
        <w:pStyle w:val="4"/>
        <w:jc w:val="both"/>
        <w:rPr>
          <w:lang w:val="en-GB" w:eastAsia="zh-CN"/>
        </w:rPr>
      </w:pPr>
      <w:r>
        <w:rPr>
          <w:lang w:val="en-GB" w:eastAsia="zh-CN"/>
        </w:rPr>
        <w:t>R1-2109898 (Lenovo, Motorola Mobility)</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bCs/>
                <w:lang w:eastAsia="ja-JP"/>
              </w:rPr>
            </w:pPr>
            <w:r>
              <w:rPr>
                <w:bCs/>
                <w:lang w:eastAsia="ja-JP"/>
              </w:rPr>
              <w:t xml:space="preserve">In our view, if new DCI format can be agreed to be supported for high SCS values such as 480kHz and 960kHz, then PDCCH monitoring can be further reduced by restricting the need for UE to monitor other DCI formats for scheduling DL/UL such as DCI format 0_1 and format 1_1. If such restriction is supported, then the number of blind detections for a UE can be significantly reduced or at least not expected to increase from the current UE capabilities. </w:t>
            </w:r>
          </w:p>
          <w:p>
            <w:pPr>
              <w:widowControl w:val="0"/>
              <w:jc w:val="both"/>
              <w:rPr>
                <w:b/>
                <w:i/>
                <w:iCs/>
              </w:rPr>
            </w:pPr>
            <w:r>
              <w:rPr>
                <w:b/>
                <w:i/>
                <w:iCs/>
                <w:lang w:eastAsia="ja-JP"/>
              </w:rPr>
              <w:t xml:space="preserve">Proposal 4: </w:t>
            </w:r>
            <w:r>
              <w:rPr>
                <w:b/>
                <w:i/>
                <w:iCs/>
              </w:rPr>
              <w:t>For supporting NR between 52.6 GHz and 71 GHz with high subcarrier spacing values including 480kHz and 960kHz, if a new DCI is agreed to schedule multiple PDSCH/PUSCH, then restrictions on monitoring of other DCI formats (such as DCI format 0_1/1_1) should be supported i.e., search space set configuration with restricted combination of DCI formats should be supported to not increase the number of blind decodes</w:t>
            </w:r>
          </w:p>
          <w:p>
            <w:pPr>
              <w:widowControl w:val="0"/>
              <w:jc w:val="both"/>
              <w:rPr>
                <w:b/>
                <w:i/>
                <w:iCs/>
              </w:rPr>
            </w:pPr>
          </w:p>
        </w:tc>
      </w:tr>
    </w:tbl>
    <w:p>
      <w:pPr>
        <w:rPr>
          <w:lang w:eastAsia="zh-CN"/>
        </w:rPr>
      </w:pPr>
    </w:p>
    <w:p>
      <w:pPr>
        <w:pStyle w:val="3"/>
      </w:pPr>
      <w:r>
        <w:t>Topic C: Multi-Beam Aspects</w:t>
      </w:r>
    </w:p>
    <w:p>
      <w:pPr>
        <w:pStyle w:val="4"/>
        <w:jc w:val="both"/>
        <w:rPr>
          <w:bCs/>
          <w:lang w:val="en-GB" w:eastAsia="zh-CN"/>
        </w:rPr>
      </w:pPr>
      <w:r>
        <w:rPr>
          <w:bCs/>
          <w:lang w:val="en-GB" w:eastAsia="zh-CN"/>
        </w:rPr>
        <w:t>R1-2108783 (Futurewei)</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583" w:type="dxa"/>
            <w:vAlign w:val="center"/>
          </w:tcPr>
          <w:p>
            <w:pPr>
              <w:widowControl w:val="0"/>
              <w:rPr>
                <w:bCs/>
              </w:rPr>
            </w:pPr>
            <w:r>
              <w:rPr>
                <w:bCs/>
              </w:rPr>
              <w:t xml:space="preserve">In 60 GHz bands due to higher pathloss corresponding to high frequency it is expected that the transmitters use directional beams. In TS 38.213 Clause 10.1, the </w:t>
            </w:r>
            <w:r>
              <w:rPr>
                <w:bCs/>
                <w:i/>
                <w:iCs/>
              </w:rPr>
              <w:t>ControlResourceSet</w:t>
            </w:r>
            <w:r>
              <w:rPr>
                <w:bCs/>
              </w:rPr>
              <w:t xml:space="preserve"> variables are defined. The antenna port quasi co-location is provided by </w:t>
            </w:r>
            <w:r>
              <w:rPr>
                <w:bCs/>
                <w:i/>
                <w:iCs/>
              </w:rPr>
              <w:t xml:space="preserve">TCI-State </w:t>
            </w:r>
            <w:r>
              <w:rPr>
                <w:bCs/>
              </w:rPr>
              <w:t>indicating the quasi co-location of the DM-RS antenna port for PDCCH reception in the respective CORESET.</w:t>
            </w:r>
            <w:r>
              <w:rPr>
                <w:bCs/>
                <w:i/>
                <w:iCs/>
              </w:rPr>
              <w:t xml:space="preserve"> </w:t>
            </w:r>
            <w:r>
              <w:rPr>
                <w:bCs/>
              </w:rPr>
              <w:t>If the UE is not provided with a configuration of TCI state(s)the UE assumes that the DM-RS antenna port associated with PDCCH receptions is quasi co-located with SS/PBCH the UE identified during the initial access procedure.</w:t>
            </w:r>
          </w:p>
          <w:p>
            <w:pPr>
              <w:widowControl w:val="0"/>
              <w:rPr>
                <w:b/>
              </w:rPr>
            </w:pPr>
            <w:r>
              <w:rPr>
                <w:b/>
              </w:rPr>
              <w:t>Proposal 8: Use the existing mechanism for beam configuration and activation for multi-slot PDCCH monitoring.</w:t>
            </w:r>
          </w:p>
        </w:tc>
      </w:tr>
    </w:tbl>
    <w:p>
      <w:pPr>
        <w:rPr>
          <w:lang w:eastAsia="zh-CN"/>
        </w:rPr>
      </w:pPr>
    </w:p>
    <w:p>
      <w:pPr>
        <w:pStyle w:val="4"/>
        <w:jc w:val="both"/>
        <w:rPr>
          <w:bCs/>
          <w:lang w:val="en-GB" w:eastAsia="zh-CN"/>
        </w:rPr>
      </w:pPr>
      <w:r>
        <w:rPr>
          <w:bCs/>
          <w:lang w:val="en-GB" w:eastAsia="zh-CN"/>
        </w:rPr>
        <w:t>R1-2109209 (CATT)</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pStyle w:val="30"/>
              <w:widowControl w:val="0"/>
              <w:rPr>
                <w:lang w:eastAsia="zh-CN"/>
              </w:rPr>
            </w:pPr>
            <w:r>
              <w:rPr>
                <w:lang w:eastAsia="zh-CN"/>
              </w:rPr>
              <w:t xml:space="preserve">In Rel-16, the DCI format 2_0 is used for </w:t>
            </w:r>
            <w:r>
              <w:rPr>
                <w:rFonts w:hint="eastAsia"/>
                <w:lang w:eastAsia="zh-CN"/>
              </w:rPr>
              <w:t>indicating</w:t>
            </w:r>
            <w:r>
              <w:rPr>
                <w:lang w:eastAsia="zh-CN"/>
              </w:rPr>
              <w:t xml:space="preserve"> the slot format, COT duration, available RB set and search space group switching to a group of UEs. </w:t>
            </w:r>
            <w:r>
              <w:rPr>
                <w:rFonts w:hint="eastAsia"/>
                <w:lang w:eastAsia="zh-CN"/>
              </w:rPr>
              <w:t xml:space="preserve">The UEs within the group should </w:t>
            </w:r>
            <w:r>
              <w:rPr>
                <w:lang w:eastAsia="zh-CN"/>
              </w:rPr>
              <w:t>monitor</w:t>
            </w:r>
            <w:r>
              <w:rPr>
                <w:rFonts w:hint="eastAsia"/>
                <w:lang w:eastAsia="zh-CN"/>
              </w:rPr>
              <w:t xml:space="preserve"> </w:t>
            </w:r>
            <w:r>
              <w:rPr>
                <w:lang w:eastAsia="zh-CN"/>
              </w:rPr>
              <w:t>the Type-3 PDCCH CSS</w:t>
            </w:r>
            <w:r>
              <w:rPr>
                <w:rFonts w:hint="eastAsia"/>
                <w:lang w:eastAsia="zh-CN"/>
              </w:rPr>
              <w:t xml:space="preserve"> </w:t>
            </w:r>
            <w:r>
              <w:rPr>
                <w:lang w:eastAsia="zh-CN"/>
              </w:rPr>
              <w:t xml:space="preserve">on the indicated </w:t>
            </w:r>
            <w:r>
              <w:rPr>
                <w:rFonts w:hint="eastAsia"/>
                <w:lang w:eastAsia="zh-CN"/>
              </w:rPr>
              <w:t>beam direction according to the TCI state of</w:t>
            </w:r>
            <w:r>
              <w:rPr>
                <w:lang w:eastAsia="zh-CN"/>
              </w:rPr>
              <w:t xml:space="preserve"> </w:t>
            </w:r>
            <w:r>
              <w:rPr>
                <w:rFonts w:hint="eastAsia"/>
                <w:lang w:eastAsia="zh-CN"/>
              </w:rPr>
              <w:t>the associated</w:t>
            </w:r>
            <w:r>
              <w:rPr>
                <w:lang w:eastAsia="zh-CN"/>
              </w:rPr>
              <w:t xml:space="preserve"> CORESET</w:t>
            </w:r>
            <w:r>
              <w:rPr>
                <w:rFonts w:hint="eastAsia"/>
                <w:lang w:eastAsia="zh-CN"/>
              </w:rPr>
              <w:t xml:space="preserve">. </w:t>
            </w:r>
            <w:r>
              <w:rPr>
                <w:lang w:eastAsia="zh-CN"/>
              </w:rPr>
              <w:t>There are proposals to enhance</w:t>
            </w:r>
            <w:r>
              <w:rPr>
                <w:rFonts w:hint="eastAsia"/>
                <w:lang w:eastAsia="zh-CN"/>
              </w:rPr>
              <w:t xml:space="preserve"> DCI format 2_0 </w:t>
            </w:r>
            <w:r>
              <w:rPr>
                <w:lang w:eastAsia="zh-CN"/>
              </w:rPr>
              <w:t>to indicate COT duration, available RB set and search space group switching</w:t>
            </w:r>
            <w:r>
              <w:rPr>
                <w:rFonts w:hint="eastAsia"/>
                <w:lang w:eastAsia="zh-CN"/>
              </w:rPr>
              <w:t xml:space="preserve"> in a beam specific manner. In our </w:t>
            </w:r>
            <w:r>
              <w:rPr>
                <w:lang w:eastAsia="zh-CN"/>
              </w:rPr>
              <w:t>opinion</w:t>
            </w:r>
            <w:r>
              <w:rPr>
                <w:rFonts w:hint="eastAsia"/>
                <w:lang w:eastAsia="zh-CN"/>
              </w:rPr>
              <w:t xml:space="preserve">, the beam </w:t>
            </w:r>
            <w:r>
              <w:rPr>
                <w:lang w:eastAsia="zh-CN"/>
              </w:rPr>
              <w:t>management</w:t>
            </w:r>
            <w:r>
              <w:rPr>
                <w:rFonts w:hint="eastAsia"/>
                <w:lang w:eastAsia="zh-CN"/>
              </w:rPr>
              <w:t xml:space="preserve"> related </w:t>
            </w:r>
            <w:r>
              <w:rPr>
                <w:lang w:eastAsia="zh-CN"/>
              </w:rPr>
              <w:t>enhancement</w:t>
            </w:r>
            <w:r>
              <w:rPr>
                <w:rFonts w:hint="eastAsia"/>
                <w:lang w:eastAsia="zh-CN"/>
              </w:rPr>
              <w:t xml:space="preserve"> of DCI format 2_0 can be further studied in the Rel-18 to ensure a unified solution with all other related issues.</w:t>
            </w:r>
          </w:p>
          <w:p>
            <w:pPr>
              <w:pStyle w:val="30"/>
              <w:widowControl w:val="0"/>
              <w:rPr>
                <w:b/>
                <w:i/>
                <w:lang w:eastAsia="zh-CN"/>
              </w:rPr>
            </w:pPr>
            <w:r>
              <w:rPr>
                <w:b/>
                <w:i/>
                <w:lang w:eastAsia="zh-CN"/>
              </w:rPr>
              <w:t xml:space="preserve">Proposal </w:t>
            </w:r>
            <w:r>
              <w:rPr>
                <w:rFonts w:hint="eastAsia"/>
                <w:b/>
                <w:i/>
                <w:lang w:eastAsia="zh-CN"/>
              </w:rPr>
              <w:t>10</w:t>
            </w:r>
            <w:r>
              <w:rPr>
                <w:b/>
                <w:i/>
                <w:lang w:eastAsia="zh-CN"/>
              </w:rPr>
              <w:t>：</w:t>
            </w:r>
            <w:r>
              <w:rPr>
                <w:rFonts w:hint="eastAsia"/>
                <w:b/>
                <w:i/>
                <w:lang w:eastAsia="zh-CN"/>
              </w:rPr>
              <w:t xml:space="preserve">The enhancement of DCI format 2_0 can be </w:t>
            </w:r>
            <w:r>
              <w:rPr>
                <w:b/>
                <w:i/>
                <w:lang w:eastAsia="zh-CN"/>
              </w:rPr>
              <w:t xml:space="preserve">further studied in the Rel-18 to ensure a unified </w:t>
            </w:r>
            <w:r>
              <w:rPr>
                <w:rFonts w:hint="eastAsia"/>
                <w:b/>
                <w:i/>
                <w:lang w:eastAsia="zh-CN"/>
              </w:rPr>
              <w:t>solution</w:t>
            </w:r>
            <w:r>
              <w:rPr>
                <w:b/>
                <w:i/>
                <w:lang w:eastAsia="zh-CN"/>
              </w:rPr>
              <w:t xml:space="preserve"> with </w:t>
            </w:r>
            <w:r>
              <w:rPr>
                <w:rFonts w:hint="eastAsia"/>
                <w:b/>
                <w:i/>
                <w:lang w:eastAsia="zh-CN"/>
              </w:rPr>
              <w:t xml:space="preserve">all </w:t>
            </w:r>
            <w:r>
              <w:rPr>
                <w:b/>
                <w:i/>
                <w:lang w:eastAsia="zh-CN"/>
              </w:rPr>
              <w:t>beam management issues.</w:t>
            </w:r>
          </w:p>
          <w:p>
            <w:pPr>
              <w:widowControl w:val="0"/>
              <w:jc w:val="both"/>
              <w:rPr>
                <w:b/>
                <w:u w:val="single"/>
              </w:rPr>
            </w:pPr>
          </w:p>
        </w:tc>
      </w:tr>
    </w:tbl>
    <w:p>
      <w:pPr>
        <w:rPr>
          <w:lang w:eastAsia="zh-CN"/>
        </w:rPr>
      </w:pPr>
    </w:p>
    <w:p>
      <w:pPr>
        <w:pStyle w:val="4"/>
        <w:jc w:val="both"/>
        <w:rPr>
          <w:lang w:val="en-GB" w:eastAsia="zh-CN"/>
        </w:rPr>
      </w:pPr>
      <w:r>
        <w:rPr>
          <w:lang w:val="en-GB" w:eastAsia="zh-CN"/>
        </w:rPr>
        <w:t>R1-2109443 (Nokia, Nokia Shanghai Bell)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307" w:type="dxa"/>
            <w:vAlign w:val="center"/>
          </w:tcPr>
          <w:p>
            <w:pPr>
              <w:widowControl w:val="0"/>
              <w:autoSpaceDE/>
              <w:autoSpaceDN/>
              <w:adjustRightInd/>
              <w:spacing w:after="0"/>
              <w:rPr>
                <w:rFonts w:eastAsia="Times New Roman"/>
                <w:lang w:eastAsia="en-GB"/>
              </w:rPr>
            </w:pPr>
            <w:r>
              <w:rPr>
                <w:rFonts w:eastAsia="Times New Roman"/>
                <w:lang w:eastAsia="en-GB"/>
              </w:rPr>
              <w:t>One more issue related to DL control seems to be operation of DCI format 2_0 in a beam based system. In Rel. 15, DCI format 2_0 contained only SFI, and from SFI point of view, UL and DL direction is clearly beam agnostic due to strong self-coupling between different panels. On the other hand, in R16 DCI format 2_0 contains also other information, such as COT or SS-group switching trigger, RB-sets. Any of these pieces of information could become beam dependent. However, support for beam-dependent configurations of DCI format 2_0 is not possible in FR2 currently. Although a UE can be indicated a change of active-TCI, DCI format 2_0 PDCCH candidates and, payload location remains the same and thus cannot be beam specific.</w:t>
            </w:r>
          </w:p>
          <w:p>
            <w:pPr>
              <w:widowControl w:val="0"/>
              <w:autoSpaceDE/>
              <w:autoSpaceDN/>
              <w:adjustRightInd/>
              <w:spacing w:after="0"/>
              <w:rPr>
                <w:rFonts w:eastAsia="Times New Roman"/>
                <w:sz w:val="16"/>
                <w:szCs w:val="16"/>
                <w:lang w:eastAsia="en-GB"/>
              </w:rPr>
            </w:pPr>
            <w:r>
              <w:rPr>
                <w:rFonts w:eastAsia="Times New Roman"/>
                <w:lang w:eastAsia="en-GB"/>
              </w:rPr>
              <w:t>   </w:t>
            </w:r>
          </w:p>
          <w:p>
            <w:pPr>
              <w:widowControl w:val="0"/>
              <w:autoSpaceDE/>
              <w:autoSpaceDN/>
              <w:adjustRightInd/>
              <w:spacing w:after="0"/>
              <w:rPr>
                <w:rFonts w:eastAsia="Times New Roman"/>
                <w:lang w:eastAsia="en-GB"/>
              </w:rPr>
            </w:pPr>
            <w:r>
              <w:rPr>
                <w:rFonts w:eastAsia="Times New Roman"/>
                <w:b/>
                <w:bCs/>
                <w:i/>
                <w:iCs/>
                <w:lang w:eastAsia="en-GB"/>
              </w:rPr>
              <w:t>Observation 2:</w:t>
            </w:r>
            <w:r>
              <w:rPr>
                <w:rFonts w:eastAsia="Times New Roman"/>
                <w:lang w:eastAsia="en-GB"/>
              </w:rPr>
              <w:t> </w:t>
            </w:r>
            <w:r>
              <w:rPr>
                <w:rFonts w:eastAsia="Times New Roman"/>
                <w:i/>
                <w:iCs/>
                <w:lang w:eastAsia="en-GB"/>
              </w:rPr>
              <w:t>GC-PDCCH is an essential part of unlicensed band system, and there seems to be a need to support beam-dependent information, particularly if some form of directional LBT is chosen as coexistence mechanism.</w:t>
            </w:r>
          </w:p>
          <w:p>
            <w:pPr>
              <w:widowControl w:val="0"/>
              <w:autoSpaceDE/>
              <w:autoSpaceDN/>
              <w:adjustRightInd/>
              <w:spacing w:after="0"/>
              <w:rPr>
                <w:rFonts w:eastAsia="Times New Roman"/>
                <w:lang w:eastAsia="en-GB"/>
              </w:rPr>
            </w:pPr>
          </w:p>
          <w:p>
            <w:pPr>
              <w:widowControl w:val="0"/>
              <w:autoSpaceDE/>
              <w:autoSpaceDN/>
              <w:adjustRightInd/>
              <w:spacing w:after="0"/>
              <w:rPr>
                <w:rFonts w:eastAsia="Times New Roman"/>
                <w:lang w:eastAsia="en-GB"/>
              </w:rPr>
            </w:pPr>
            <w:r>
              <w:rPr>
                <w:rFonts w:eastAsia="Times New Roman"/>
                <w:lang w:eastAsia="en-GB"/>
              </w:rPr>
              <w:t>In addition, for 480kHz and 960kHz SCS, the beam agnostic SFI becomes lengthy and thus leads to increased configuration overheads. Moreover, for 5ms COT and 960kHz the SFI may become as long as 320 slots that exceeds the legacy format limit of 256 slots, so SFI cannot be made with a single DCI 2_0 message in the beginning of the COT with current FR2 signalling. Hence, support for improved SFI format in DCI 2_0 is desired.</w:t>
            </w:r>
          </w:p>
          <w:p>
            <w:pPr>
              <w:widowControl w:val="0"/>
              <w:autoSpaceDE/>
              <w:autoSpaceDN/>
              <w:adjustRightInd/>
              <w:spacing w:after="0"/>
              <w:rPr>
                <w:rFonts w:eastAsia="Times New Roman"/>
                <w:sz w:val="16"/>
                <w:szCs w:val="16"/>
                <w:lang w:eastAsia="en-GB"/>
              </w:rPr>
            </w:pPr>
          </w:p>
          <w:p>
            <w:pPr>
              <w:widowControl w:val="0"/>
              <w:autoSpaceDE/>
              <w:autoSpaceDN/>
              <w:adjustRightInd/>
              <w:spacing w:after="0"/>
              <w:rPr>
                <w:rFonts w:ascii="Segoe UI" w:hAnsi="Segoe UI" w:eastAsia="Times New Roman" w:cs="Segoe UI"/>
                <w:sz w:val="18"/>
                <w:szCs w:val="18"/>
                <w:lang w:eastAsia="en-GB"/>
              </w:rPr>
            </w:pPr>
            <w:r>
              <w:rPr>
                <w:rFonts w:eastAsia="Times New Roman"/>
                <w:b/>
                <w:bCs/>
                <w:i/>
                <w:iCs/>
                <w:lang w:eastAsia="en-GB"/>
              </w:rPr>
              <w:t>Proposal 8: </w:t>
            </w:r>
            <w:r>
              <w:rPr>
                <w:rFonts w:eastAsia="Times New Roman"/>
                <w:i/>
                <w:iCs/>
                <w:lang w:eastAsia="en-GB"/>
              </w:rPr>
              <w:t>Changes to DCI format 2_0 may be beneficial for at least unlicensed 60GHz NR operation</w:t>
            </w:r>
            <w:r>
              <w:rPr>
                <w:rFonts w:ascii="Calibri" w:hAnsi="Calibri" w:eastAsia="Times New Roman" w:cs="Segoe UI"/>
                <w:i/>
                <w:iCs/>
                <w:lang w:eastAsia="en-GB"/>
              </w:rPr>
              <w:t>.</w:t>
            </w:r>
            <w:r>
              <w:rPr>
                <w:rFonts w:ascii="Calibri" w:hAnsi="Calibri" w:eastAsia="Times New Roman" w:cs="Segoe UI"/>
                <w:lang w:eastAsia="en-GB"/>
              </w:rPr>
              <w:t> </w:t>
            </w:r>
          </w:p>
          <w:p>
            <w:pPr>
              <w:widowControl w:val="0"/>
              <w:autoSpaceDE/>
              <w:autoSpaceDN/>
              <w:adjustRightInd/>
              <w:spacing w:after="0"/>
              <w:rPr>
                <w:rFonts w:ascii="Segoe UI" w:hAnsi="Segoe UI" w:eastAsia="Times New Roman" w:cs="Segoe UI"/>
                <w:sz w:val="18"/>
                <w:szCs w:val="18"/>
                <w:lang w:eastAsia="en-GB"/>
              </w:rPr>
            </w:pPr>
          </w:p>
        </w:tc>
      </w:tr>
    </w:tbl>
    <w:p>
      <w:pPr>
        <w:rPr>
          <w:lang w:eastAsia="zh-CN"/>
        </w:rPr>
      </w:pPr>
    </w:p>
    <w:p>
      <w:pPr>
        <w:pStyle w:val="4"/>
        <w:jc w:val="both"/>
        <w:rPr>
          <w:bCs/>
          <w:lang w:val="en-GB" w:eastAsia="zh-CN"/>
        </w:rPr>
      </w:pPr>
      <w:r>
        <w:rPr>
          <w:bCs/>
          <w:lang w:val="en-GB" w:eastAsia="zh-CN"/>
        </w:rPr>
        <w:t>R1-2109477 (Samsung)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tabs>
                <w:tab w:val="left" w:pos="1300"/>
              </w:tabs>
              <w:jc w:val="both"/>
            </w:pPr>
            <w:r>
              <w:t xml:space="preserve">For 60 GHz unlicensed band, transmissions are expected to be highly directional. To address the channel access efficiency, a transmitter can choose an intended beam direction to perform the channel access procedure, and the sensed result is exclusively applicable to that intended beam direction only. Hence, indicating COT, available RB set, and search space group switching should be associated with the beam direction, wherein such feature was introduced in Rel-16 NR-U by using DCI format 2_0 and in a cell-specific manner. Generalizing the feature to a beam-specific manner is beneficial to address different interference situations along beam directions, and is compatible with the intention to introduce directional LBT. </w:t>
            </w:r>
          </w:p>
          <w:p>
            <w:pPr>
              <w:widowControl w:val="0"/>
              <w:tabs>
                <w:tab w:val="left" w:pos="1300"/>
              </w:tabs>
              <w:jc w:val="both"/>
            </w:pPr>
          </w:p>
          <w:p>
            <w:pPr>
              <w:widowControl w:val="0"/>
              <w:tabs>
                <w:tab w:val="left" w:pos="1300"/>
              </w:tabs>
              <w:jc w:val="both"/>
              <w:rPr>
                <w:b/>
                <w:u w:val="single"/>
              </w:rPr>
            </w:pPr>
            <w:r>
              <w:rPr>
                <w:b/>
                <w:u w:val="single"/>
              </w:rPr>
              <w:t>Proposal 10: Support indicating COT, available RB set, and search space group switching in a beam-specific manner for 60 GHz licensed band.</w:t>
            </w:r>
          </w:p>
          <w:p>
            <w:pPr>
              <w:widowControl w:val="0"/>
              <w:jc w:val="both"/>
              <w:rPr>
                <w:b/>
                <w:u w:val="single"/>
              </w:rPr>
            </w:pPr>
          </w:p>
        </w:tc>
      </w:tr>
    </w:tbl>
    <w:p>
      <w:pPr>
        <w:rPr>
          <w:lang w:eastAsia="zh-CN"/>
        </w:rPr>
      </w:pPr>
    </w:p>
    <w:p>
      <w:pPr>
        <w:pStyle w:val="4"/>
        <w:jc w:val="both"/>
        <w:rPr>
          <w:bCs/>
          <w:lang w:val="en-GB" w:eastAsia="zh-CN"/>
        </w:rPr>
      </w:pPr>
      <w:r>
        <w:rPr>
          <w:bCs/>
          <w:lang w:val="en-GB" w:eastAsia="zh-CN"/>
        </w:rPr>
        <w:t>R1-2109778 (Sony)</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rPr>
                <w:rFonts w:eastAsia="Batang"/>
                <w:lang w:eastAsia="ko-KR"/>
              </w:rPr>
            </w:pPr>
            <w:r>
              <w:rPr>
                <w:rFonts w:eastAsia="Batang"/>
                <w:lang w:eastAsia="ko-KR"/>
              </w:rPr>
              <w:t xml:space="preserve">As haven been mentioned by multiple companies in previous meetings [3]-[7]: In Rel-16 </w:t>
            </w:r>
            <w:r>
              <w:rPr>
                <w:rFonts w:hint="eastAsia" w:eastAsia="Batang"/>
                <w:lang w:eastAsia="ko-KR"/>
              </w:rPr>
              <w:t>NR-</w:t>
            </w:r>
            <w:r>
              <w:rPr>
                <w:rFonts w:eastAsia="Batang"/>
                <w:lang w:eastAsia="ko-KR"/>
              </w:rPr>
              <w:t xml:space="preserve">U, several fields such as CO duration, SS-group switching trigger, RB-sets, etc., were introduced to DCI format 2_0. In the frequency range above 52.6 GHz, that information can be beam-dependent due to the utilization of beamforming. Therefore, there is a need to consider per beam indication of DCI format 2_0. </w:t>
            </w:r>
          </w:p>
          <w:p>
            <w:pPr>
              <w:pStyle w:val="73"/>
              <w:widowControl w:val="0"/>
              <w:spacing w:after="80"/>
              <w:ind w:left="0"/>
              <w:rPr>
                <w:rFonts w:ascii="Times New Roman" w:hAnsi="Times New Roman" w:eastAsia="MS Gothic"/>
                <w:b/>
                <w:bCs/>
                <w:szCs w:val="20"/>
                <w:lang w:eastAsia="ja-JP"/>
              </w:rPr>
            </w:pPr>
            <w:r>
              <w:rPr>
                <w:rFonts w:ascii="Times New Roman" w:hAnsi="Times New Roman" w:eastAsia="MS Gothic"/>
                <w:b/>
                <w:bCs/>
                <w:szCs w:val="20"/>
                <w:u w:val="single"/>
                <w:lang w:eastAsia="ja-JP"/>
              </w:rPr>
              <w:t>Proposal 4:</w:t>
            </w:r>
            <w:r>
              <w:rPr>
                <w:rFonts w:ascii="Times New Roman" w:hAnsi="Times New Roman" w:eastAsia="MS Gothic"/>
                <w:b/>
                <w:bCs/>
                <w:szCs w:val="20"/>
                <w:lang w:eastAsia="ja-JP"/>
              </w:rPr>
              <w:t xml:space="preserve"> Support per beam indication of DCI format 2_0 for above 52 GHz unlicensed operation. </w:t>
            </w:r>
          </w:p>
          <w:p>
            <w:pPr>
              <w:widowControl w:val="0"/>
              <w:spacing w:before="120"/>
              <w:rPr>
                <w:rFonts w:eastAsia="Batang"/>
                <w:b/>
                <w:lang w:eastAsia="ko-KR"/>
              </w:rPr>
            </w:pPr>
          </w:p>
        </w:tc>
      </w:tr>
    </w:tbl>
    <w:p>
      <w:pPr>
        <w:rPr>
          <w:lang w:eastAsia="zh-CN"/>
        </w:rPr>
      </w:pPr>
    </w:p>
    <w:p>
      <w:pPr>
        <w:pStyle w:val="4"/>
        <w:jc w:val="both"/>
        <w:rPr>
          <w:lang w:val="en-GB" w:eastAsia="zh-CN"/>
        </w:rPr>
      </w:pPr>
      <w:r>
        <w:rPr>
          <w:lang w:val="en-GB" w:eastAsia="zh-CN"/>
        </w:rPr>
        <w:t>R1-2109898 (Lenovo, Motorola Mobility)</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pPr>
            <w:r>
              <w:rPr>
                <w:bCs/>
              </w:rPr>
              <w:t xml:space="preserve">Another important aspect for </w:t>
            </w:r>
            <w:r>
              <w:rPr>
                <w:kern w:val="2"/>
                <w:lang w:eastAsia="zh-CN"/>
              </w:rPr>
              <w:t>PDCCH monitoring is related to directional LBT. Directional LBT may cause some issues in comparison with omni-directional LBT. For example, different Tx beams used by gNB may correspond to different COTs, thus different CORESETs which are configured with different Tx beams by higher layer signaling may also correspond to different COTs. From power saving perspective, according to the indicated sensing beam(s) used by the gNB to initiate a COT, a UE can stop monitoring the PDCCH occasions in the CORESET corresponding to a different Tx beam which is not ‘covered’ by the indicated sensing beam(s) until the current COT ends, which can reduce the power consumption cause by blind decoding. After transmitting a PDCCH to a UE within a COT, the gNB will not transmit PDCCH to this UE in the CORESET corresponding to another COT until the current COT ends.</w:t>
            </w:r>
          </w:p>
          <w:p>
            <w:pPr>
              <w:widowControl w:val="0"/>
              <w:spacing w:after="0"/>
              <w:jc w:val="both"/>
              <w:rPr>
                <w:rFonts w:asciiTheme="majorBidi" w:hAnsiTheme="majorBidi" w:cstheme="majorBidi"/>
                <w:b/>
                <w:bCs/>
                <w:i/>
                <w:iCs/>
                <w:lang w:eastAsia="zh-CN"/>
              </w:rPr>
            </w:pPr>
            <w:r>
              <w:rPr>
                <w:rFonts w:asciiTheme="majorBidi" w:hAnsiTheme="majorBidi" w:cstheme="majorBidi"/>
                <w:b/>
                <w:bCs/>
                <w:i/>
                <w:iCs/>
                <w:lang w:eastAsia="zh-CN"/>
              </w:rPr>
              <w:t>Proposal 7: For NR unlicensed bands between 52.6 GHz and 71 GHz with directional LBT based channel access mechanism, within a COT, PDCCH monitoring is not supported in the CORESETs corresponding to other COTs (PDCCH monitoring restricted to monitoring corresponding to only one COT at a time)</w:t>
            </w:r>
          </w:p>
          <w:p>
            <w:pPr>
              <w:widowControl w:val="0"/>
              <w:spacing w:after="0"/>
              <w:jc w:val="both"/>
              <w:rPr>
                <w:rFonts w:asciiTheme="majorBidi" w:hAnsiTheme="majorBidi" w:cstheme="majorBidi"/>
                <w:b/>
                <w:bCs/>
                <w:i/>
                <w:iCs/>
                <w:lang w:eastAsia="zh-CN"/>
              </w:rPr>
            </w:pPr>
          </w:p>
          <w:p>
            <w:pPr>
              <w:widowControl w:val="0"/>
              <w:spacing w:after="0"/>
              <w:jc w:val="both"/>
              <w:rPr>
                <w:rFonts w:asciiTheme="majorBidi" w:hAnsiTheme="majorBidi" w:cstheme="majorBidi"/>
                <w:b/>
                <w:bCs/>
                <w:i/>
                <w:iCs/>
                <w:lang w:eastAsia="zh-CN"/>
              </w:rPr>
            </w:pPr>
          </w:p>
        </w:tc>
      </w:tr>
    </w:tbl>
    <w:p>
      <w:pPr>
        <w:rPr>
          <w:lang w:eastAsia="zh-CN"/>
        </w:rPr>
      </w:pPr>
    </w:p>
    <w:p>
      <w:pPr>
        <w:pStyle w:val="4"/>
        <w:jc w:val="both"/>
        <w:rPr>
          <w:bCs/>
          <w:lang w:val="en-GB" w:eastAsia="zh-CN"/>
        </w:rPr>
      </w:pPr>
      <w:r>
        <w:rPr>
          <w:bCs/>
          <w:lang w:val="en-GB" w:eastAsia="zh-CN"/>
        </w:rPr>
        <w:t>R1-2109962 (LG)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spacing w:before="120" w:line="240" w:lineRule="auto"/>
              <w:ind w:firstLine="220" w:firstLineChars="100"/>
              <w:rPr>
                <w:rFonts w:eastAsia="Batang"/>
                <w:lang w:eastAsia="ko-KR"/>
              </w:rPr>
            </w:pPr>
            <w:r>
              <w:rPr>
                <w:rFonts w:eastAsia="Batang"/>
                <w:lang w:eastAsia="ko-KR"/>
              </w:rPr>
              <w:t xml:space="preserve">In Rel-16 </w:t>
            </w:r>
            <w:r>
              <w:rPr>
                <w:rFonts w:hint="eastAsia" w:eastAsia="Batang"/>
                <w:lang w:eastAsia="ko-KR"/>
              </w:rPr>
              <w:t>NR-</w:t>
            </w:r>
            <w:r>
              <w:rPr>
                <w:rFonts w:eastAsia="Batang"/>
                <w:lang w:eastAsia="ko-KR"/>
              </w:rPr>
              <w:t xml:space="preserve">U, several fields such as RB set indicator, CO duration and SS set group switching trigger were introduced to DCI format 2_0, in addition to SFI. However, for FR2-2 in Rel-17 where the use of directional beams may be essential, it can be worth considering the beam dependent GC-PDCCH configuration. In other words, it may be beneficial to give a spatial relation for a beam to which information of DCI format 2_0 is applied. One simple conceivable method is to define some fields in DCI format 2_0 separately for each beam. For example, RB set indicator and CO duration could be configured separately for each beam, but SFI could be configured as beam agnostic. Alternatively, a new field can be additionally introduced in DCI format 2_0 to indicate the availability of each beam. In this method, UE receiving DCI format 2_0 may determine the channel availability for each beam through a combination of the new field and existing fields (i.e., RB set indicator and CO duration). </w:t>
            </w:r>
          </w:p>
          <w:p>
            <w:pPr>
              <w:widowControl w:val="0"/>
              <w:spacing w:before="120" w:line="240" w:lineRule="auto"/>
              <w:ind w:firstLine="220" w:firstLineChars="100"/>
              <w:rPr>
                <w:rFonts w:eastAsia="Batang"/>
                <w:b/>
                <w:lang w:eastAsia="ko-KR"/>
              </w:rPr>
            </w:pPr>
            <w:r>
              <w:rPr>
                <w:rFonts w:eastAsia="Batang"/>
                <w:b/>
                <w:lang w:eastAsia="ko-KR"/>
              </w:rPr>
              <w:t>Proposal #8: Consider per beam indication of available RB set, CO duration, and/or SS set switching by using DCI format 2_0.</w:t>
            </w:r>
          </w:p>
          <w:p>
            <w:pPr>
              <w:widowControl w:val="0"/>
              <w:spacing w:before="120"/>
              <w:rPr>
                <w:rFonts w:eastAsia="Batang"/>
                <w:b/>
                <w:lang w:eastAsia="ko-KR"/>
              </w:rPr>
            </w:pPr>
          </w:p>
        </w:tc>
      </w:tr>
    </w:tbl>
    <w:p>
      <w:pPr>
        <w:rPr>
          <w:lang w:eastAsia="zh-CN"/>
        </w:rPr>
      </w:pPr>
    </w:p>
    <w:p>
      <w:pPr>
        <w:pStyle w:val="4"/>
        <w:jc w:val="both"/>
        <w:rPr>
          <w:lang w:val="en-GB" w:eastAsia="zh-CN"/>
        </w:rPr>
      </w:pPr>
      <w:r>
        <w:rPr>
          <w:lang w:val="en-GB" w:eastAsia="zh-CN"/>
        </w:rPr>
        <w:t>R1-2110022 (Apple)</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rFonts w:cs="Batang"/>
              </w:rPr>
            </w:pPr>
            <w:r>
              <w:rPr>
                <w:rFonts w:cs="Batang"/>
              </w:rPr>
              <w:t xml:space="preserve">In R16 NR-U, DCI format 2-0 is enhanced to carry channel access related information: RB allocation, COT duration and search space set switching indication. While RB allocation information may not be needed depending on LBT bandwidth discussion, the COT duration and SSSG switching should be supported.  </w:t>
            </w:r>
          </w:p>
          <w:p>
            <w:pPr>
              <w:widowControl w:val="0"/>
              <w:rPr>
                <w:rFonts w:cs="Batang"/>
              </w:rPr>
            </w:pPr>
          </w:p>
          <w:p>
            <w:pPr>
              <w:widowControl w:val="0"/>
              <w:rPr>
                <w:rFonts w:cs="Batang"/>
              </w:rPr>
            </w:pPr>
            <w:r>
              <w:rPr>
                <w:rFonts w:cs="Batang"/>
              </w:rPr>
              <w:t xml:space="preserve">COT duration and SSSG switching information should be sent at the beginning of the COT as shown in Fig.1. However, current design of DCI format 2-0 transmission limit to one beam per slot. Therefore, it takes multiple slots to finish the beam sweeping transmission of DCI format 2-0. For example, with 120KHz SCS and 32 beams, it takes 4ms to finish beam sweeping. Considering maximum COT duration is 5ms defined by EN 302 567, more efficient transmission scheme of DCI format 2-0 is needed.  </w:t>
            </w:r>
          </w:p>
          <w:p>
            <w:pPr>
              <w:widowControl w:val="0"/>
              <w:jc w:val="both"/>
              <w:rPr>
                <w:rFonts w:cs="Batang"/>
              </w:rPr>
            </w:pPr>
          </w:p>
          <w:p>
            <w:pPr>
              <w:widowControl w:val="0"/>
              <w:rPr>
                <w:i/>
                <w:iCs/>
              </w:rPr>
            </w:pPr>
            <w:r>
              <w:rPr>
                <w:rFonts w:cs="Batang"/>
                <w:b/>
                <w:bCs/>
                <w:i/>
                <w:iCs/>
              </w:rPr>
              <w:t>Proposal 15:</w:t>
            </w:r>
            <w:r>
              <w:rPr>
                <w:rFonts w:cs="Batang"/>
                <w:i/>
                <w:iCs/>
              </w:rPr>
              <w:t xml:space="preserve"> Consider enhancement of DCI 2-0 transmission to signal COT duration and SS adaptation at the beginning of the COT</w:t>
            </w:r>
            <w:r>
              <w:rPr>
                <w:i/>
                <w:iCs/>
              </w:rPr>
              <w:t>.</w:t>
            </w:r>
          </w:p>
          <w:p>
            <w:pPr>
              <w:widowControl w:val="0"/>
              <w:rPr>
                <w:i/>
                <w:iCs/>
              </w:rPr>
            </w:pPr>
          </w:p>
        </w:tc>
      </w:tr>
    </w:tbl>
    <w:p>
      <w:pPr>
        <w:rPr>
          <w:lang w:eastAsia="zh-CN"/>
        </w:rPr>
      </w:pPr>
    </w:p>
    <w:p>
      <w:pPr>
        <w:pStyle w:val="3"/>
      </w:pPr>
      <w:r>
        <w:t>Topic D: Multi-Cell Operation, Cross-carrier scheduling</w:t>
      </w:r>
    </w:p>
    <w:p>
      <w:pPr>
        <w:pStyle w:val="4"/>
        <w:jc w:val="both"/>
        <w:rPr>
          <w:lang w:val="en-GB" w:eastAsia="zh-CN"/>
        </w:rPr>
      </w:pPr>
      <w:r>
        <w:rPr>
          <w:lang w:val="en-GB" w:eastAsia="zh-CN"/>
        </w:rPr>
        <w:t>R1-2108935 (ZTE, Sanechips)</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line="260" w:lineRule="auto"/>
              <w:jc w:val="both"/>
              <w:rPr>
                <w:rFonts w:eastAsia="宋体"/>
                <w:lang w:eastAsia="zh-CN"/>
              </w:rPr>
            </w:pPr>
            <w:r>
              <w:rPr>
                <w:rFonts w:hint="eastAsia"/>
                <w:lang w:eastAsia="ko-KR"/>
              </w:rPr>
              <w:t>The cross</w:t>
            </w:r>
            <w:r>
              <w:rPr>
                <w:rFonts w:hint="eastAsia" w:eastAsia="宋体"/>
                <w:lang w:eastAsia="zh-CN"/>
              </w:rPr>
              <w:t>-</w:t>
            </w:r>
            <w:r>
              <w:rPr>
                <w:rFonts w:hint="eastAsia"/>
                <w:lang w:eastAsia="ko-KR"/>
              </w:rPr>
              <w:t>carrier scheduling here mainly refers to</w:t>
            </w:r>
            <w:r>
              <w:rPr>
                <w:rFonts w:hint="eastAsia" w:eastAsia="宋体"/>
                <w:lang w:eastAsia="zh-CN"/>
              </w:rPr>
              <w:t xml:space="preserve"> </w:t>
            </w:r>
            <w:r>
              <w:rPr>
                <w:rFonts w:hint="eastAsia"/>
                <w:lang w:eastAsia="ko-KR"/>
              </w:rPr>
              <w:t>cross</w:t>
            </w:r>
            <w:r>
              <w:rPr>
                <w:rFonts w:hint="eastAsia" w:eastAsia="宋体"/>
                <w:lang w:eastAsia="zh-CN"/>
              </w:rPr>
              <w:t>-</w:t>
            </w:r>
            <w:r>
              <w:rPr>
                <w:rFonts w:hint="eastAsia"/>
                <w:lang w:eastAsia="ko-KR"/>
              </w:rPr>
              <w:t xml:space="preserve">carrier scheduling </w:t>
            </w:r>
            <w:r>
              <w:rPr>
                <w:rFonts w:hint="eastAsia" w:eastAsia="宋体"/>
                <w:lang w:eastAsia="zh-CN"/>
              </w:rPr>
              <w:t>of a cell within 52.6-71GHz band from/to a cell within FR1/FR2. Although a cell within 52.6-71GHz band cross-carrier schedules other cells within FR1/FR2 is less likely, it should not be ruled out unless we find enough proof. Similarly, we do not think that we can rule out the case of a cell with low SCS (e.g. 15kHz) cross-carrier schedules other cells with high SCS (e.g. 480kHz) in this phase before sufficient research. Moreover, in order to further reduce the scheduling complexity, we support the cross-carrier scheduling via adding some restrictions.</w:t>
            </w:r>
          </w:p>
          <w:p>
            <w:pPr>
              <w:widowControl w:val="0"/>
              <w:spacing w:before="120" w:line="240" w:lineRule="auto"/>
              <w:jc w:val="both"/>
              <w:rPr>
                <w:rFonts w:eastAsia="宋体"/>
                <w:b/>
                <w:bCs/>
                <w:lang w:eastAsia="zh-CN"/>
              </w:rPr>
            </w:pPr>
            <w:r>
              <w:rPr>
                <w:rFonts w:hint="eastAsia" w:eastAsia="宋体"/>
                <w:b/>
                <w:bCs/>
                <w:lang w:eastAsia="zh-CN"/>
              </w:rPr>
              <w:t xml:space="preserve">Proposal 5: </w:t>
            </w:r>
            <w:r>
              <w:rPr>
                <w:b/>
                <w:bCs/>
                <w:lang w:val="en-GB"/>
              </w:rPr>
              <w:t>Cross-carrier scheduling of a cell within 52.6-71 GHz</w:t>
            </w:r>
            <w:r>
              <w:rPr>
                <w:rFonts w:hint="eastAsia" w:eastAsia="宋体"/>
                <w:b/>
                <w:bCs/>
                <w:lang w:eastAsia="zh-CN"/>
              </w:rPr>
              <w:t xml:space="preserve"> band</w:t>
            </w:r>
            <w:r>
              <w:rPr>
                <w:b/>
                <w:bCs/>
                <w:lang w:val="en-GB"/>
              </w:rPr>
              <w:t xml:space="preserve"> from/to a cell </w:t>
            </w:r>
            <w:r>
              <w:rPr>
                <w:rFonts w:hint="eastAsia" w:eastAsia="宋体"/>
                <w:b/>
                <w:bCs/>
                <w:lang w:eastAsia="zh-CN"/>
              </w:rPr>
              <w:t>within FR1/FR2</w:t>
            </w:r>
            <w:r>
              <w:rPr>
                <w:b/>
                <w:bCs/>
                <w:lang w:val="en-GB"/>
              </w:rPr>
              <w:t xml:space="preserve"> is supported, at least for |</w:t>
            </w:r>
            <w:r>
              <w:rPr>
                <w:b/>
                <w:bCs/>
                <w:i/>
                <w:lang w:val="en-GB"/>
              </w:rPr>
              <w:t>μ</w:t>
            </w:r>
            <w:r>
              <w:rPr>
                <w:b/>
                <w:bCs/>
                <w:i/>
                <w:vertAlign w:val="subscript"/>
                <w:lang w:val="en-GB"/>
              </w:rPr>
              <w:t>PDCCH</w:t>
            </w:r>
            <w:r>
              <w:rPr>
                <w:b/>
                <w:bCs/>
                <w:lang w:val="en-GB"/>
              </w:rPr>
              <w:t xml:space="preserve"> − </w:t>
            </w:r>
            <w:r>
              <w:rPr>
                <w:b/>
                <w:bCs/>
                <w:i/>
                <w:lang w:val="en-GB"/>
              </w:rPr>
              <w:t>μ</w:t>
            </w:r>
            <w:r>
              <w:rPr>
                <w:b/>
                <w:bCs/>
                <w:i/>
                <w:vertAlign w:val="subscript"/>
                <w:lang w:val="en-GB"/>
              </w:rPr>
              <w:t>PDSCH</w:t>
            </w:r>
            <w:r>
              <w:rPr>
                <w:b/>
                <w:bCs/>
                <w:lang w:val="en-GB"/>
              </w:rPr>
              <w:t xml:space="preserve"> | </w:t>
            </w:r>
            <w:r>
              <w:rPr>
                <w:rFonts w:hint="eastAsia"/>
                <w:b/>
                <w:bCs/>
                <w:lang w:val="en-GB"/>
              </w:rPr>
              <w:t>≤</w:t>
            </w:r>
            <w:r>
              <w:rPr>
                <w:b/>
                <w:bCs/>
                <w:lang w:val="en-GB"/>
              </w:rPr>
              <w:t xml:space="preserve"> k.</w:t>
            </w:r>
          </w:p>
          <w:p>
            <w:pPr>
              <w:widowControl w:val="0"/>
              <w:spacing w:line="260" w:lineRule="auto"/>
              <w:jc w:val="both"/>
              <w:rPr>
                <w:rFonts w:eastAsia="宋体"/>
                <w:lang w:eastAsia="zh-CN"/>
              </w:rPr>
            </w:pPr>
            <w:r>
              <w:rPr>
                <w:rFonts w:hint="eastAsia"/>
                <w:lang w:eastAsia="ko-KR"/>
              </w:rPr>
              <w:t>Another problem</w:t>
            </w:r>
            <w:r>
              <w:rPr>
                <w:rFonts w:hint="eastAsia" w:eastAsia="宋体"/>
                <w:lang w:eastAsia="zh-CN"/>
              </w:rPr>
              <w:t>s</w:t>
            </w:r>
            <w:r>
              <w:rPr>
                <w:rFonts w:hint="eastAsia"/>
                <w:lang w:eastAsia="ko-KR"/>
              </w:rPr>
              <w:t xml:space="preserve"> related to cross</w:t>
            </w:r>
            <w:r>
              <w:rPr>
                <w:rFonts w:hint="eastAsia" w:eastAsia="宋体"/>
                <w:lang w:eastAsia="zh-CN"/>
              </w:rPr>
              <w:t>-</w:t>
            </w:r>
            <w:r>
              <w:rPr>
                <w:rFonts w:hint="eastAsia"/>
                <w:lang w:eastAsia="ko-KR"/>
              </w:rPr>
              <w:t xml:space="preserve">carrier scheduling </w:t>
            </w:r>
            <w:r>
              <w:rPr>
                <w:rFonts w:hint="eastAsia" w:eastAsia="宋体"/>
                <w:lang w:eastAsia="zh-CN"/>
              </w:rPr>
              <w:t>are</w:t>
            </w:r>
            <w:r>
              <w:rPr>
                <w:rFonts w:hint="eastAsia"/>
                <w:lang w:eastAsia="ko-KR"/>
              </w:rPr>
              <w:t xml:space="preserve"> minimum PDSCH scheduling delay and minimum </w:t>
            </w:r>
            <w:r>
              <w:rPr>
                <w:rFonts w:hint="eastAsia" w:eastAsia="宋体"/>
                <w:lang w:eastAsia="zh-CN"/>
              </w:rPr>
              <w:t>A</w:t>
            </w:r>
            <w:r>
              <w:rPr>
                <w:rFonts w:hint="eastAsia"/>
                <w:lang w:eastAsia="ko-KR"/>
              </w:rPr>
              <w:t>-</w:t>
            </w:r>
            <w:r>
              <w:rPr>
                <w:rFonts w:hint="eastAsia" w:eastAsia="宋体"/>
                <w:lang w:eastAsia="zh-CN"/>
              </w:rPr>
              <w:t>CSI-</w:t>
            </w:r>
            <w:r>
              <w:rPr>
                <w:rFonts w:hint="eastAsia"/>
                <w:lang w:eastAsia="ko-KR"/>
              </w:rPr>
              <w:t xml:space="preserve"> RS trigger delay. </w:t>
            </w:r>
            <w:r>
              <w:rPr>
                <w:rFonts w:hint="eastAsia" w:eastAsia="宋体"/>
                <w:lang w:eastAsia="zh-CN"/>
              </w:rPr>
              <w:t>In Rel-15/16 NR</w:t>
            </w:r>
            <w:r>
              <w:rPr>
                <w:rFonts w:hint="eastAsia"/>
                <w:lang w:eastAsia="ko-KR"/>
              </w:rPr>
              <w:t>, cross</w:t>
            </w:r>
            <w:r>
              <w:rPr>
                <w:rFonts w:hint="eastAsia" w:eastAsia="宋体"/>
                <w:lang w:eastAsia="zh-CN"/>
              </w:rPr>
              <w:t>-</w:t>
            </w:r>
            <w:r>
              <w:rPr>
                <w:rFonts w:hint="eastAsia"/>
                <w:lang w:eastAsia="ko-KR"/>
              </w:rPr>
              <w:t xml:space="preserve">carrier scheduling only supports four cases of </w:t>
            </w:r>
            <w:r>
              <w:rPr>
                <w:rFonts w:hint="eastAsia" w:eastAsia="宋体"/>
                <w:lang w:eastAsia="zh-CN"/>
              </w:rPr>
              <w:t xml:space="preserve">PDCCH with </w:t>
            </w:r>
            <w:r>
              <w:rPr>
                <w:rFonts w:hint="eastAsia"/>
                <w:lang w:eastAsia="ko-KR"/>
              </w:rPr>
              <w:t>u = 0, 1, 2 and 3</w:t>
            </w:r>
            <w:r>
              <w:rPr>
                <w:rFonts w:hint="eastAsia" w:eastAsia="宋体"/>
                <w:lang w:eastAsia="zh-CN"/>
              </w:rPr>
              <w:t>, as given in Table 5.5-1 and Table 5.2.1.5.1a in TS 38.214</w:t>
            </w:r>
            <w:r>
              <w:rPr>
                <w:rFonts w:hint="eastAsia"/>
                <w:lang w:eastAsia="ko-KR"/>
              </w:rPr>
              <w:t xml:space="preserve">. The 120kHz </w:t>
            </w:r>
            <w:r>
              <w:rPr>
                <w:rFonts w:hint="eastAsia" w:eastAsia="宋体"/>
                <w:lang w:eastAsia="zh-CN"/>
              </w:rPr>
              <w:t>SCS in</w:t>
            </w:r>
            <w:r>
              <w:rPr>
                <w:rFonts w:hint="eastAsia"/>
                <w:lang w:eastAsia="ko-KR"/>
              </w:rPr>
              <w:t xml:space="preserve"> above 52.6</w:t>
            </w:r>
            <w:r>
              <w:rPr>
                <w:rFonts w:hint="eastAsia" w:eastAsia="宋体"/>
                <w:lang w:eastAsia="zh-CN"/>
              </w:rPr>
              <w:t>GHz band</w:t>
            </w:r>
            <w:r>
              <w:rPr>
                <w:rFonts w:hint="eastAsia"/>
                <w:lang w:eastAsia="ko-KR"/>
              </w:rPr>
              <w:t xml:space="preserve"> can reuse</w:t>
            </w:r>
            <w:r>
              <w:rPr>
                <w:rFonts w:hint="eastAsia" w:eastAsia="宋体"/>
                <w:lang w:eastAsia="zh-CN"/>
              </w:rPr>
              <w:t xml:space="preserve"> the value of</w:t>
            </w:r>
            <w:r>
              <w:rPr>
                <w:rFonts w:hint="eastAsia"/>
                <w:lang w:eastAsia="ko-KR"/>
              </w:rPr>
              <w:t xml:space="preserve"> u = 3</w:t>
            </w:r>
            <w:r>
              <w:rPr>
                <w:rFonts w:hint="eastAsia" w:eastAsia="宋体"/>
                <w:lang w:eastAsia="zh-CN"/>
              </w:rPr>
              <w:t xml:space="preserve">. But the values of </w:t>
            </w:r>
            <w:r>
              <w:rPr>
                <w:i/>
                <w:lang w:val="en-AU"/>
              </w:rPr>
              <w:t>µ</w:t>
            </w:r>
            <w:r>
              <w:rPr>
                <w:i/>
                <w:vertAlign w:val="subscript"/>
                <w:lang w:val="en-AU"/>
              </w:rPr>
              <w:t>PDCCH</w:t>
            </w:r>
            <w:r>
              <w:rPr>
                <w:rFonts w:hint="eastAsia" w:eastAsia="宋体"/>
                <w:i/>
                <w:vertAlign w:val="subscript"/>
                <w:lang w:eastAsia="zh-CN"/>
              </w:rPr>
              <w:t xml:space="preserve"> </w:t>
            </w:r>
            <w:r>
              <w:rPr>
                <w:rFonts w:hint="eastAsia" w:eastAsia="宋体"/>
                <w:lang w:eastAsia="zh-CN"/>
              </w:rPr>
              <w:t xml:space="preserve">with </w:t>
            </w:r>
            <w:r>
              <w:rPr>
                <w:rFonts w:hint="eastAsia"/>
                <w:lang w:eastAsia="ko-KR"/>
              </w:rPr>
              <w:t>480/960</w:t>
            </w:r>
            <w:r>
              <w:rPr>
                <w:rFonts w:hint="eastAsia" w:eastAsia="宋体"/>
                <w:lang w:eastAsia="zh-CN"/>
              </w:rPr>
              <w:t>kHz</w:t>
            </w:r>
            <w:r>
              <w:rPr>
                <w:rFonts w:hint="eastAsia"/>
                <w:lang w:eastAsia="ko-KR"/>
              </w:rPr>
              <w:t xml:space="preserve"> </w:t>
            </w:r>
            <w:r>
              <w:rPr>
                <w:rFonts w:hint="eastAsia" w:eastAsia="宋体"/>
                <w:lang w:eastAsia="zh-CN"/>
              </w:rPr>
              <w:t xml:space="preserve">SCS </w:t>
            </w:r>
            <w:r>
              <w:rPr>
                <w:rFonts w:hint="eastAsia"/>
                <w:lang w:eastAsia="ko-KR"/>
              </w:rPr>
              <w:t>needs to be determined.</w:t>
            </w:r>
            <w:r>
              <w:rPr>
                <w:rFonts w:hint="eastAsia" w:eastAsia="宋体"/>
                <w:lang w:eastAsia="zh-CN"/>
              </w:rPr>
              <w:t xml:space="preserve"> The same values of </w:t>
            </w:r>
            <w:r>
              <w:rPr>
                <w:i/>
                <w:lang w:val="en-AU"/>
              </w:rPr>
              <w:t>µ</w:t>
            </w:r>
            <w:r>
              <w:rPr>
                <w:i/>
                <w:vertAlign w:val="subscript"/>
                <w:lang w:val="en-AU"/>
              </w:rPr>
              <w:t>PDCCH</w:t>
            </w:r>
            <w:r>
              <w:rPr>
                <w:rFonts w:hint="eastAsia" w:eastAsia="宋体"/>
                <w:i/>
                <w:vertAlign w:val="subscript"/>
                <w:lang w:eastAsia="zh-CN"/>
              </w:rPr>
              <w:t xml:space="preserve"> </w:t>
            </w:r>
            <w:r>
              <w:rPr>
                <w:rFonts w:hint="eastAsia" w:eastAsia="宋体"/>
                <w:lang w:eastAsia="zh-CN"/>
              </w:rPr>
              <w:t xml:space="preserve">for </w:t>
            </w:r>
            <w:r>
              <w:rPr>
                <w:rFonts w:hint="eastAsia"/>
                <w:lang w:eastAsia="ko-KR"/>
              </w:rPr>
              <w:t xml:space="preserve">minimum PDSCH scheduling delay and minimum </w:t>
            </w:r>
            <w:r>
              <w:rPr>
                <w:rFonts w:hint="eastAsia" w:eastAsia="宋体"/>
                <w:lang w:eastAsia="zh-CN"/>
              </w:rPr>
              <w:t>A</w:t>
            </w:r>
            <w:r>
              <w:rPr>
                <w:rFonts w:hint="eastAsia"/>
                <w:lang w:eastAsia="ko-KR"/>
              </w:rPr>
              <w:t>-</w:t>
            </w:r>
            <w:r>
              <w:rPr>
                <w:rFonts w:hint="eastAsia" w:eastAsia="宋体"/>
                <w:lang w:eastAsia="zh-CN"/>
              </w:rPr>
              <w:t>CSI-</w:t>
            </w:r>
            <w:r>
              <w:rPr>
                <w:rFonts w:hint="eastAsia"/>
                <w:lang w:eastAsia="ko-KR"/>
              </w:rPr>
              <w:t>RS trigger delay</w:t>
            </w:r>
            <w:r>
              <w:rPr>
                <w:rFonts w:hint="eastAsia" w:eastAsia="宋体"/>
                <w:lang w:eastAsia="zh-CN"/>
              </w:rPr>
              <w:t xml:space="preserve"> can be used for </w:t>
            </w:r>
            <w:r>
              <w:rPr>
                <w:rFonts w:hint="eastAsia"/>
                <w:lang w:eastAsia="ko-KR"/>
              </w:rPr>
              <w:t>480/960</w:t>
            </w:r>
            <w:r>
              <w:rPr>
                <w:rFonts w:hint="eastAsia" w:eastAsia="宋体"/>
                <w:lang w:eastAsia="zh-CN"/>
              </w:rPr>
              <w:t>kHz</w:t>
            </w:r>
            <w:r>
              <w:rPr>
                <w:rFonts w:hint="eastAsia"/>
                <w:lang w:eastAsia="ko-KR"/>
              </w:rPr>
              <w:t xml:space="preserve"> </w:t>
            </w:r>
            <w:r>
              <w:rPr>
                <w:rFonts w:hint="eastAsia" w:eastAsia="宋体"/>
                <w:lang w:eastAsia="zh-CN"/>
              </w:rPr>
              <w:t>SCS.</w:t>
            </w:r>
          </w:p>
          <w:p>
            <w:pPr>
              <w:pStyle w:val="111"/>
              <w:widowControl w:val="0"/>
              <w:rPr>
                <w:color w:val="000000"/>
              </w:rPr>
            </w:pPr>
            <w:r>
              <w:rPr>
                <w:rFonts w:hint="eastAsia"/>
                <w:color w:val="000000"/>
                <w:lang w:val="en-US" w:eastAsia="zh-CN"/>
              </w:rPr>
              <w:t xml:space="preserve">TS 38.214 </w:t>
            </w:r>
            <w:r>
              <w:rPr>
                <w:color w:val="000000"/>
              </w:rPr>
              <w:t xml:space="preserve">Table 5.5-1: </w:t>
            </w:r>
            <w:r>
              <w:rPr>
                <w:i/>
                <w:color w:val="000000"/>
              </w:rPr>
              <w:t>N</w:t>
            </w:r>
            <w:r>
              <w:rPr>
                <w:i/>
                <w:color w:val="000000"/>
                <w:vertAlign w:val="subscript"/>
              </w:rPr>
              <w:t>pdsch</w:t>
            </w:r>
            <w:r>
              <w:rPr>
                <w:color w:val="000000"/>
              </w:rPr>
              <w:t xml:space="preserve"> as a function of the subcarrier spacing of the scheduling PDCCH</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95"/>
              <w:gridCol w:w="21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b/>
                      <w:color w:val="000000"/>
                      <w:lang w:eastAsia="fr-FR"/>
                    </w:rPr>
                  </w:pPr>
                  <w:r>
                    <w:rPr>
                      <w:b/>
                      <w:i/>
                      <w:lang w:val="en-AU"/>
                    </w:rPr>
                    <w:t>µ</w:t>
                  </w:r>
                  <w:r>
                    <w:rPr>
                      <w:b/>
                      <w:i/>
                      <w:vertAlign w:val="subscript"/>
                      <w:lang w:val="en-AU"/>
                    </w:rPr>
                    <w:t>PDCCH</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b/>
                      <w:color w:val="000000"/>
                      <w:lang w:eastAsia="fr-FR"/>
                    </w:rPr>
                  </w:pPr>
                  <w:r>
                    <w:rPr>
                      <w:rFonts w:eastAsia="Batang"/>
                      <w:b/>
                      <w:i/>
                      <w:color w:val="000000"/>
                      <w:lang w:eastAsia="fr-FR"/>
                    </w:rPr>
                    <w:t>N</w:t>
                  </w:r>
                  <w:r>
                    <w:rPr>
                      <w:rFonts w:eastAsia="Batang"/>
                      <w:b/>
                      <w:i/>
                      <w:color w:val="000000"/>
                      <w:vertAlign w:val="subscript"/>
                      <w:lang w:eastAsia="fr-FR"/>
                    </w:rPr>
                    <w:t>pdsch</w:t>
                  </w:r>
                  <w:r>
                    <w:rPr>
                      <w:rFonts w:eastAsia="Batang"/>
                      <w:b/>
                      <w:color w:val="000000"/>
                      <w:lang w:eastAsia="fr-FR"/>
                    </w:rPr>
                    <w:t xml:space="preserve"> [symbols]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0</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1</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2</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3</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14</w:t>
                  </w:r>
                </w:p>
              </w:tc>
            </w:tr>
          </w:tbl>
          <w:p>
            <w:pPr>
              <w:widowControl w:val="0"/>
              <w:rPr>
                <w:rFonts w:hAnsi="宋体" w:eastAsia="宋体" w:cs="宋体" w:asciiTheme="minorHAnsi"/>
                <w:lang w:eastAsia="zh-CN"/>
              </w:rPr>
            </w:pPr>
          </w:p>
          <w:p>
            <w:pPr>
              <w:pStyle w:val="111"/>
              <w:widowControl w:val="0"/>
              <w:rPr>
                <w:color w:val="000000"/>
              </w:rPr>
            </w:pPr>
            <w:r>
              <w:rPr>
                <w:rFonts w:hint="eastAsia"/>
                <w:color w:val="000000"/>
                <w:lang w:val="en-US" w:eastAsia="zh-CN"/>
              </w:rPr>
              <w:t xml:space="preserve">TS 38.214 </w:t>
            </w:r>
            <w:r>
              <w:rPr>
                <w:color w:val="000000"/>
              </w:rPr>
              <w:t xml:space="preserve">Table 5.2.1.5.1a: </w:t>
            </w:r>
            <w:r>
              <w:rPr>
                <w:i/>
                <w:color w:val="000000"/>
              </w:rPr>
              <w:t>N</w:t>
            </w:r>
            <w:r>
              <w:rPr>
                <w:i/>
                <w:color w:val="000000"/>
                <w:vertAlign w:val="subscript"/>
              </w:rPr>
              <w:t>csirs</w:t>
            </w:r>
            <w:r>
              <w:rPr>
                <w:color w:val="000000"/>
              </w:rPr>
              <w:t xml:space="preserve"> as a function of the subcarrier spacing of the triggering PDCCH</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95"/>
              <w:gridCol w:w="21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b/>
                      <w:color w:val="000000"/>
                      <w:lang w:eastAsia="fr-FR"/>
                    </w:rPr>
                  </w:pPr>
                  <w:r>
                    <w:rPr>
                      <w:b/>
                      <w:i/>
                      <w:lang w:val="en-AU"/>
                    </w:rPr>
                    <w:t>µ</w:t>
                  </w:r>
                  <w:r>
                    <w:rPr>
                      <w:b/>
                      <w:i/>
                      <w:vertAlign w:val="subscript"/>
                      <w:lang w:val="en-AU"/>
                    </w:rPr>
                    <w:t>PDCCH</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b/>
                      <w:color w:val="000000"/>
                      <w:lang w:eastAsia="fr-FR"/>
                    </w:rPr>
                  </w:pPr>
                  <w:r>
                    <w:rPr>
                      <w:rFonts w:eastAsia="Batang"/>
                      <w:b/>
                      <w:i/>
                      <w:color w:val="000000"/>
                      <w:lang w:eastAsia="fr-FR"/>
                    </w:rPr>
                    <w:t>N</w:t>
                  </w:r>
                  <w:r>
                    <w:rPr>
                      <w:rFonts w:eastAsia="Batang"/>
                      <w:b/>
                      <w:i/>
                      <w:color w:val="000000"/>
                      <w:vertAlign w:val="subscript"/>
                      <w:lang w:eastAsia="fr-FR"/>
                    </w:rPr>
                    <w:t>csirs</w:t>
                  </w:r>
                  <w:r>
                    <w:rPr>
                      <w:rFonts w:eastAsia="Batang"/>
                      <w:b/>
                      <w:color w:val="000000"/>
                      <w:lang w:eastAsia="fr-FR"/>
                    </w:rPr>
                    <w:t xml:space="preserve"> [symbols]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0</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1</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2</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3</w:t>
                  </w:r>
                </w:p>
              </w:tc>
              <w:tc>
                <w:tcPr>
                  <w:tcW w:w="2195" w:type="dxa"/>
                  <w:tcBorders>
                    <w:top w:val="single" w:color="auto" w:sz="4" w:space="0"/>
                    <w:left w:val="single" w:color="auto" w:sz="4" w:space="0"/>
                    <w:bottom w:val="single" w:color="auto" w:sz="4" w:space="0"/>
                    <w:right w:val="single" w:color="auto" w:sz="4" w:space="0"/>
                  </w:tcBorders>
                </w:tcPr>
                <w:p>
                  <w:pPr>
                    <w:pStyle w:val="105"/>
                    <w:rPr>
                      <w:rFonts w:eastAsia="Batang"/>
                      <w:color w:val="000000"/>
                      <w:lang w:eastAsia="fr-FR"/>
                    </w:rPr>
                  </w:pPr>
                  <w:r>
                    <w:rPr>
                      <w:rFonts w:eastAsia="Batang"/>
                      <w:color w:val="000000"/>
                      <w:lang w:eastAsia="fr-FR"/>
                    </w:rPr>
                    <w:t>[14]</w:t>
                  </w:r>
                </w:p>
              </w:tc>
            </w:tr>
          </w:tbl>
          <w:p>
            <w:pPr>
              <w:widowControl w:val="0"/>
              <w:spacing w:before="200" w:after="200" w:line="260" w:lineRule="auto"/>
              <w:jc w:val="both"/>
              <w:rPr>
                <w:rFonts w:eastAsia="宋体"/>
                <w:b/>
                <w:lang w:eastAsia="zh-CN"/>
              </w:rPr>
            </w:pPr>
            <w:r>
              <w:rPr>
                <w:rFonts w:hint="eastAsia" w:eastAsia="宋体"/>
                <w:b/>
                <w:lang w:eastAsia="zh-CN"/>
              </w:rPr>
              <w:t xml:space="preserve">Proposal 6: The values of </w:t>
            </w:r>
            <w:r>
              <w:rPr>
                <w:b/>
                <w:i/>
                <w:lang w:val="en-AU"/>
              </w:rPr>
              <w:t>µ</w:t>
            </w:r>
            <w:r>
              <w:rPr>
                <w:b/>
                <w:i/>
                <w:vertAlign w:val="subscript"/>
                <w:lang w:val="en-AU"/>
              </w:rPr>
              <w:t>PDCCH</w:t>
            </w:r>
            <w:r>
              <w:rPr>
                <w:rFonts w:hint="eastAsia" w:eastAsia="宋体"/>
                <w:b/>
                <w:i/>
                <w:vertAlign w:val="subscript"/>
                <w:lang w:eastAsia="zh-CN"/>
              </w:rPr>
              <w:t xml:space="preserve"> </w:t>
            </w:r>
            <w:r>
              <w:rPr>
                <w:rFonts w:hint="eastAsia" w:eastAsia="宋体"/>
                <w:b/>
                <w:lang w:eastAsia="zh-CN"/>
              </w:rPr>
              <w:t xml:space="preserve">with </w:t>
            </w:r>
            <w:r>
              <w:rPr>
                <w:rFonts w:hint="eastAsia"/>
                <w:b/>
                <w:lang w:eastAsia="ko-KR"/>
              </w:rPr>
              <w:t>480/960</w:t>
            </w:r>
            <w:r>
              <w:rPr>
                <w:rFonts w:hint="eastAsia" w:eastAsia="宋体"/>
                <w:b/>
                <w:lang w:eastAsia="zh-CN"/>
              </w:rPr>
              <w:t>kHz</w:t>
            </w:r>
            <w:r>
              <w:rPr>
                <w:rFonts w:hint="eastAsia"/>
                <w:b/>
                <w:lang w:eastAsia="ko-KR"/>
              </w:rPr>
              <w:t xml:space="preserve"> </w:t>
            </w:r>
            <w:r>
              <w:rPr>
                <w:rFonts w:hint="eastAsia" w:eastAsia="宋体"/>
                <w:b/>
                <w:lang w:eastAsia="zh-CN"/>
              </w:rPr>
              <w:t xml:space="preserve">SCS for </w:t>
            </w:r>
            <w:r>
              <w:rPr>
                <w:rFonts w:hint="eastAsia"/>
                <w:b/>
                <w:lang w:eastAsia="ko-KR"/>
              </w:rPr>
              <w:t xml:space="preserve">minimum PDSCH scheduling delay and minimum </w:t>
            </w:r>
            <w:r>
              <w:rPr>
                <w:rFonts w:hint="eastAsia" w:eastAsia="宋体"/>
                <w:b/>
                <w:lang w:eastAsia="zh-CN"/>
              </w:rPr>
              <w:t>A</w:t>
            </w:r>
            <w:r>
              <w:rPr>
                <w:rFonts w:hint="eastAsia"/>
                <w:b/>
                <w:lang w:eastAsia="ko-KR"/>
              </w:rPr>
              <w:t>-</w:t>
            </w:r>
            <w:r>
              <w:rPr>
                <w:rFonts w:hint="eastAsia" w:eastAsia="宋体"/>
                <w:b/>
                <w:lang w:eastAsia="zh-CN"/>
              </w:rPr>
              <w:t>CSI-</w:t>
            </w:r>
            <w:r>
              <w:rPr>
                <w:rFonts w:hint="eastAsia"/>
                <w:b/>
                <w:lang w:eastAsia="ko-KR"/>
              </w:rPr>
              <w:t>RS trigger delay</w:t>
            </w:r>
            <w:r>
              <w:rPr>
                <w:rFonts w:hint="eastAsia" w:eastAsia="宋体"/>
                <w:b/>
                <w:lang w:eastAsia="zh-CN"/>
              </w:rPr>
              <w:t xml:space="preserve"> should be determined.</w:t>
            </w:r>
          </w:p>
        </w:tc>
      </w:tr>
    </w:tbl>
    <w:p>
      <w:pPr>
        <w:rPr>
          <w:lang w:eastAsia="zh-CN"/>
        </w:rPr>
      </w:pPr>
    </w:p>
    <w:p>
      <w:pPr>
        <w:pStyle w:val="4"/>
        <w:jc w:val="both"/>
        <w:rPr>
          <w:lang w:val="en-GB" w:eastAsia="zh-CN"/>
        </w:rPr>
      </w:pPr>
      <w:r>
        <w:rPr>
          <w:lang w:val="en-GB" w:eastAsia="zh-CN"/>
        </w:rPr>
        <w:t>R1-2108960 (vivo)</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afterLines="50"/>
              <w:jc w:val="both"/>
              <w:rPr>
                <w:rFonts w:eastAsia="宋体"/>
                <w:szCs w:val="20"/>
                <w:lang w:eastAsia="zh-CN"/>
              </w:rPr>
            </w:pPr>
            <w:r>
              <w:rPr>
                <w:rFonts w:hint="eastAsia" w:eastAsia="宋体"/>
                <w:szCs w:val="20"/>
                <w:lang w:eastAsia="zh-CN"/>
              </w:rPr>
              <w:t>F</w:t>
            </w:r>
            <w:r>
              <w:rPr>
                <w:rFonts w:eastAsia="宋体"/>
                <w:szCs w:val="20"/>
                <w:lang w:eastAsia="zh-CN"/>
              </w:rPr>
              <w:t xml:space="preserve">or NR Rel-16 UEs, there exists two types of PDCCH monitoring capability (i.e. slot-based and span-based) if it reports </w:t>
            </w:r>
            <w:r>
              <w:rPr>
                <w:b/>
                <w:i/>
                <w:sz w:val="18"/>
              </w:rPr>
              <w:t>pdcch-Monitoring-r16</w:t>
            </w:r>
            <w:r>
              <w:rPr>
                <w:sz w:val="18"/>
              </w:rPr>
              <w:t xml:space="preserve">. </w:t>
            </w:r>
            <w:r>
              <w:rPr>
                <w:rFonts w:eastAsia="宋体"/>
                <w:szCs w:val="20"/>
                <w:lang w:eastAsia="zh-CN"/>
              </w:rPr>
              <w:t xml:space="preserve">In this case, </w:t>
            </w:r>
            <w:r>
              <w:rPr>
                <w:rFonts w:hint="eastAsia" w:eastAsia="宋体"/>
                <w:szCs w:val="20"/>
                <w:lang w:eastAsia="zh-CN"/>
              </w:rPr>
              <w:t>gNB</w:t>
            </w:r>
            <w:r>
              <w:rPr>
                <w:rFonts w:eastAsia="宋体"/>
                <w:szCs w:val="20"/>
                <w:lang w:eastAsia="zh-CN"/>
              </w:rPr>
              <w:t xml:space="preserve"> may configure the capability type for a serving cell. If not configured, Rel-15 slot-based capability if the default one to be used. Then the following two types of serving cell may exist for one UE</w:t>
            </w:r>
            <w:r>
              <w:rPr>
                <w:rFonts w:hint="eastAsia" w:eastAsia="宋体"/>
                <w:szCs w:val="20"/>
                <w:lang w:eastAsia="zh-CN"/>
              </w:rPr>
              <w:t>:</w:t>
            </w:r>
          </w:p>
          <w:p>
            <w:pPr>
              <w:pStyle w:val="73"/>
              <w:widowControl w:val="0"/>
              <w:numPr>
                <w:ilvl w:val="0"/>
                <w:numId w:val="74"/>
              </w:numPr>
              <w:snapToGrid/>
              <w:spacing w:line="240" w:lineRule="auto"/>
              <w:jc w:val="both"/>
              <w:rPr>
                <w:rFonts w:ascii="Times New Roman" w:hAnsi="Times New Roman"/>
                <w:sz w:val="20"/>
                <w:szCs w:val="20"/>
              </w:rPr>
            </w:pPr>
            <w:r>
              <w:rPr>
                <w:rFonts w:hint="eastAsia" w:ascii="Times New Roman" w:hAnsi="Times New Roman"/>
                <w:sz w:val="20"/>
                <w:szCs w:val="20"/>
              </w:rPr>
              <w:t>C</w:t>
            </w:r>
            <w:r>
              <w:rPr>
                <w:rFonts w:ascii="Times New Roman" w:hAnsi="Times New Roman"/>
                <w:sz w:val="20"/>
                <w:szCs w:val="20"/>
              </w:rPr>
              <w:t xml:space="preserve">ell Type 1 (FR1/FR2): </w:t>
            </w:r>
            <w:r>
              <w:rPr>
                <w:rFonts w:hint="eastAsia" w:ascii="Times New Roman" w:hAnsi="Times New Roman"/>
                <w:sz w:val="20"/>
                <w:szCs w:val="20"/>
              </w:rPr>
              <w:t>S</w:t>
            </w:r>
            <w:r>
              <w:rPr>
                <w:rFonts w:ascii="Times New Roman" w:hAnsi="Times New Roman"/>
                <w:sz w:val="20"/>
                <w:szCs w:val="20"/>
              </w:rPr>
              <w:t>erving cell with slot-based PDCCH monitoring capability;</w:t>
            </w:r>
          </w:p>
          <w:p>
            <w:pPr>
              <w:pStyle w:val="73"/>
              <w:widowControl w:val="0"/>
              <w:numPr>
                <w:ilvl w:val="0"/>
                <w:numId w:val="74"/>
              </w:numPr>
              <w:snapToGrid/>
              <w:spacing w:after="120" w:afterLines="50" w:line="240" w:lineRule="auto"/>
              <w:jc w:val="both"/>
              <w:rPr>
                <w:rFonts w:ascii="Times New Roman" w:hAnsi="Times New Roman"/>
                <w:sz w:val="20"/>
                <w:szCs w:val="20"/>
              </w:rPr>
            </w:pPr>
            <w:r>
              <w:rPr>
                <w:rFonts w:ascii="Times New Roman" w:hAnsi="Times New Roman"/>
                <w:sz w:val="20"/>
                <w:szCs w:val="20"/>
              </w:rPr>
              <w:t>Cell Type 2 (FR1 only): Serving cell with span-based PDCCH monitoring capability.</w:t>
            </w:r>
          </w:p>
          <w:p>
            <w:pPr>
              <w:widowControl w:val="0"/>
              <w:spacing w:before="120"/>
              <w:jc w:val="both"/>
              <w:rPr>
                <w:lang w:eastAsia="zh-CN"/>
              </w:rPr>
            </w:pPr>
            <w:r>
              <w:rPr>
                <w:rFonts w:hint="eastAsia"/>
                <w:lang w:eastAsia="zh-CN"/>
              </w:rPr>
              <w:t>T</w:t>
            </w:r>
            <w:r>
              <w:rPr>
                <w:lang w:eastAsia="zh-CN"/>
              </w:rPr>
              <w:t>hus, the following cases may occur for one UE:</w:t>
            </w:r>
          </w:p>
          <w:p>
            <w:pPr>
              <w:pStyle w:val="73"/>
              <w:widowControl w:val="0"/>
              <w:numPr>
                <w:ilvl w:val="0"/>
                <w:numId w:val="74"/>
              </w:numPr>
              <w:snapToGrid/>
              <w:spacing w:line="240" w:lineRule="auto"/>
              <w:jc w:val="both"/>
              <w:rPr>
                <w:rFonts w:ascii="Times New Roman" w:hAnsi="Times New Roman"/>
                <w:sz w:val="20"/>
                <w:szCs w:val="20"/>
              </w:rPr>
            </w:pPr>
            <w:r>
              <w:rPr>
                <w:rFonts w:ascii="Times New Roman" w:hAnsi="Times New Roman"/>
                <w:sz w:val="20"/>
                <w:szCs w:val="20"/>
              </w:rPr>
              <w:t>Case 1: All serving cells belongs to cell type 1;</w:t>
            </w:r>
          </w:p>
          <w:p>
            <w:pPr>
              <w:pStyle w:val="73"/>
              <w:widowControl w:val="0"/>
              <w:numPr>
                <w:ilvl w:val="0"/>
                <w:numId w:val="74"/>
              </w:numPr>
              <w:snapToGrid/>
              <w:spacing w:line="240" w:lineRule="auto"/>
              <w:jc w:val="both"/>
              <w:rPr>
                <w:rFonts w:ascii="Times New Roman" w:hAnsi="Times New Roman"/>
                <w:sz w:val="20"/>
                <w:szCs w:val="20"/>
              </w:rPr>
            </w:pPr>
            <w:r>
              <w:rPr>
                <w:rFonts w:ascii="Times New Roman" w:hAnsi="Times New Roman"/>
                <w:sz w:val="20"/>
                <w:szCs w:val="20"/>
              </w:rPr>
              <w:t>Case 2: All serving cells belongs to cell type 2;</w:t>
            </w:r>
          </w:p>
          <w:p>
            <w:pPr>
              <w:pStyle w:val="73"/>
              <w:widowControl w:val="0"/>
              <w:numPr>
                <w:ilvl w:val="0"/>
                <w:numId w:val="74"/>
              </w:numPr>
              <w:snapToGrid/>
              <w:spacing w:after="120" w:afterLines="50" w:line="240" w:lineRule="auto"/>
              <w:jc w:val="both"/>
              <w:rPr>
                <w:rFonts w:ascii="Times New Roman" w:hAnsi="Times New Roman"/>
                <w:sz w:val="20"/>
                <w:szCs w:val="20"/>
              </w:rPr>
            </w:pPr>
            <w:r>
              <w:rPr>
                <w:rFonts w:ascii="Times New Roman" w:hAnsi="Times New Roman"/>
                <w:sz w:val="20"/>
                <w:szCs w:val="20"/>
              </w:rPr>
              <w:t>Case 3: At least one serving cell belongs to cell type 1 and at least one serving cell belongs to cell type 2.</w:t>
            </w:r>
          </w:p>
          <w:p>
            <w:pPr>
              <w:widowControl w:val="0"/>
              <w:spacing w:afterLines="50"/>
              <w:jc w:val="both"/>
              <w:rPr>
                <w:szCs w:val="20"/>
                <w:lang w:eastAsia="zh-CN"/>
              </w:rPr>
            </w:pPr>
            <w:r>
              <w:rPr>
                <w:szCs w:val="20"/>
                <w:lang w:eastAsia="zh-CN"/>
              </w:rPr>
              <w:t>In general, the following table summarizes the relation of UE reporting capability and allowed gNB configuration cases:</w:t>
            </w:r>
          </w:p>
          <w:tbl>
            <w:tblPr>
              <w:tblStyle w:val="52"/>
              <w:tblW w:w="907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8"/>
              <w:gridCol w:w="3118"/>
              <w:gridCol w:w="45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pPr>
                    <w:widowControl w:val="0"/>
                  </w:pPr>
                  <w:r>
                    <w:rPr>
                      <w:rFonts w:hint="eastAsia"/>
                    </w:rPr>
                    <w:t>U</w:t>
                  </w:r>
                  <w:r>
                    <w:t>E type</w:t>
                  </w:r>
                </w:p>
              </w:tc>
              <w:tc>
                <w:tcPr>
                  <w:tcW w:w="3118" w:type="dxa"/>
                  <w:vAlign w:val="center"/>
                </w:tcPr>
                <w:p>
                  <w:pPr>
                    <w:widowControl w:val="0"/>
                  </w:pPr>
                  <w:r>
                    <w:rPr>
                      <w:rFonts w:hint="eastAsia"/>
                    </w:rPr>
                    <w:t>R</w:t>
                  </w:r>
                  <w:r>
                    <w:t>eporting capability</w:t>
                  </w:r>
                </w:p>
              </w:tc>
              <w:tc>
                <w:tcPr>
                  <w:tcW w:w="4536" w:type="dxa"/>
                  <w:vAlign w:val="center"/>
                </w:tcPr>
                <w:p>
                  <w:pPr>
                    <w:widowControl w:val="0"/>
                  </w:pPr>
                  <w:r>
                    <w:rPr>
                      <w:rFonts w:hint="eastAsia"/>
                    </w:rPr>
                    <w:t>A</w:t>
                  </w:r>
                  <w:r>
                    <w:t>llowed Operation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pPr>
                    <w:widowControl w:val="0"/>
                  </w:pPr>
                  <w:r>
                    <w:t>Rel-16 UEs</w:t>
                  </w:r>
                </w:p>
              </w:tc>
              <w:tc>
                <w:tcPr>
                  <w:tcW w:w="3118" w:type="dxa"/>
                  <w:vAlign w:val="center"/>
                </w:tcPr>
                <w:p>
                  <w:pPr>
                    <w:widowControl w:val="0"/>
                    <w:ind w:firstLine="880" w:firstLineChars="400"/>
                  </w:pPr>
                  <w:r>
                    <w:t>-</w:t>
                  </w:r>
                </w:p>
              </w:tc>
              <w:tc>
                <w:tcPr>
                  <w:tcW w:w="4536" w:type="dxa"/>
                  <w:vAlign w:val="center"/>
                </w:tcPr>
                <w:p>
                  <w:pPr>
                    <w:widowControl w:val="0"/>
                  </w:pPr>
                  <w:r>
                    <w:t>Case 1 only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pPr>
                    <w:widowControl w:val="0"/>
                  </w:pPr>
                  <w:r>
                    <w:t>Rel-16 UEs</w:t>
                  </w:r>
                </w:p>
              </w:tc>
              <w:tc>
                <w:tcPr>
                  <w:tcW w:w="3118" w:type="dxa"/>
                  <w:vAlign w:val="center"/>
                </w:tcPr>
                <w:p>
                  <w:pPr>
                    <w:widowControl w:val="0"/>
                    <w:rPr>
                      <w:b/>
                      <w:i/>
                    </w:rPr>
                  </w:pPr>
                  <w:r>
                    <w:rPr>
                      <w:b/>
                      <w:i/>
                    </w:rPr>
                    <w:t>pdcch-Monitoring-r16</w:t>
                  </w:r>
                </w:p>
              </w:tc>
              <w:tc>
                <w:tcPr>
                  <w:tcW w:w="4536" w:type="dxa"/>
                  <w:vAlign w:val="center"/>
                </w:tcPr>
                <w:p>
                  <w:pPr>
                    <w:widowControl w:val="0"/>
                  </w:pPr>
                  <w:r>
                    <w:t>Case 1/Case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pPr>
                    <w:widowControl w:val="0"/>
                  </w:pPr>
                  <w:r>
                    <w:t>Rel-16 UEs</w:t>
                  </w:r>
                </w:p>
              </w:tc>
              <w:tc>
                <w:tcPr>
                  <w:tcW w:w="3118" w:type="dxa"/>
                  <w:vAlign w:val="center"/>
                </w:tcPr>
                <w:p>
                  <w:pPr>
                    <w:widowControl w:val="0"/>
                    <w:rPr>
                      <w:b/>
                      <w:i/>
                    </w:rPr>
                  </w:pPr>
                  <w:r>
                    <w:rPr>
                      <w:b/>
                      <w:i/>
                    </w:rPr>
                    <w:t>pdcch-Monitoring-r16</w:t>
                  </w:r>
                </w:p>
                <w:p>
                  <w:pPr>
                    <w:widowControl w:val="0"/>
                    <w:rPr>
                      <w:b/>
                      <w:i/>
                    </w:rPr>
                  </w:pPr>
                  <w:r>
                    <w:rPr>
                      <w:b/>
                      <w:i/>
                    </w:rPr>
                    <w:t>pdcch-MonitoringMixed-r16</w:t>
                  </w:r>
                </w:p>
              </w:tc>
              <w:tc>
                <w:tcPr>
                  <w:tcW w:w="4536" w:type="dxa"/>
                  <w:vAlign w:val="center"/>
                </w:tcPr>
                <w:p>
                  <w:pPr>
                    <w:widowControl w:val="0"/>
                  </w:pPr>
                  <w:r>
                    <w:t>Case 1/Case 2/Case 3</w:t>
                  </w:r>
                </w:p>
              </w:tc>
            </w:tr>
          </w:tbl>
          <w:p>
            <w:pPr>
              <w:widowControl w:val="0"/>
              <w:spacing w:before="120" w:beforeLines="50" w:afterLines="50"/>
              <w:jc w:val="both"/>
              <w:rPr>
                <w:szCs w:val="20"/>
                <w:lang w:eastAsia="zh-CN"/>
              </w:rPr>
            </w:pPr>
            <w:r>
              <w:rPr>
                <w:rFonts w:hint="eastAsia"/>
                <w:szCs w:val="20"/>
                <w:lang w:eastAsia="zh-CN"/>
              </w:rPr>
              <w:t>B</w:t>
            </w:r>
            <w:r>
              <w:rPr>
                <w:szCs w:val="20"/>
                <w:lang w:eastAsia="zh-CN"/>
              </w:rPr>
              <w:t xml:space="preserve">esides, NR Rel-16 UEs will report capability related parameters (e.g. </w:t>
            </w:r>
            <m:oMath>
              <m:sSubSup>
                <m:sSubSupPr>
                  <m:ctrlPr>
                    <w:rPr>
                      <w:rFonts w:ascii="Cambria Math" w:hAnsi="Cambria Math"/>
                      <w:i/>
                    </w:rPr>
                  </m:ctrlPr>
                </m:sSubSupPr>
                <m:e>
                  <m:r>
                    <w:rPr>
                      <w:rFonts w:ascii="Cambria Math"/>
                      <w:sz w:val="18"/>
                    </w:rPr>
                    <m:t>N</m:t>
                  </m:r>
                  <m:ctrlPr>
                    <w:rPr>
                      <w:rFonts w:ascii="Cambria Math" w:hAnsi="Cambria Math"/>
                      <w:i/>
                    </w:rPr>
                  </m:ctrlPr>
                </m:e>
                <m:sub>
                  <m:r>
                    <m:rPr>
                      <m:nor/>
                      <m:sty m:val="p"/>
                    </m:rPr>
                    <w:rPr>
                      <w:rFonts w:ascii="Cambria Math"/>
                      <w:sz w:val="18"/>
                    </w:rPr>
                    <m:t>cells</m:t>
                  </m:r>
                  <m:ctrlPr>
                    <w:rPr>
                      <w:rFonts w:ascii="Cambria Math" w:hAnsi="Cambria Math"/>
                    </w:rPr>
                  </m:ctrlPr>
                </m:sub>
                <m:sup>
                  <m:r>
                    <m:rPr>
                      <m:nor/>
                      <m:sty m:val="p"/>
                    </m:rPr>
                    <w:rPr>
                      <w:rFonts w:ascii="Cambria Math"/>
                      <w:sz w:val="18"/>
                    </w:rPr>
                    <m:t>cap</m:t>
                  </m:r>
                  <m:ctrlPr>
                    <w:rPr>
                      <w:rFonts w:ascii="Cambria Math" w:hAnsi="Cambria Math"/>
                    </w:rPr>
                  </m:ctrlPr>
                </m:sup>
              </m:sSubSup>
            </m:oMath>
            <w:r>
              <w:rPr>
                <w:rFonts w:hint="eastAsia"/>
                <w:szCs w:val="20"/>
                <w:lang w:eastAsia="zh-CN"/>
              </w:rPr>
              <w:t>)</w:t>
            </w:r>
            <w:r>
              <w:rPr>
                <w:szCs w:val="20"/>
                <w:lang w:eastAsia="zh-CN"/>
              </w:rPr>
              <w:t xml:space="preserve"> for each case respectively. </w:t>
            </w:r>
          </w:p>
          <w:p>
            <w:pPr>
              <w:widowControl w:val="0"/>
              <w:spacing w:before="120" w:beforeLines="50" w:afterLines="50"/>
              <w:jc w:val="both"/>
              <w:rPr>
                <w:szCs w:val="20"/>
                <w:lang w:eastAsia="zh-CN"/>
              </w:rPr>
            </w:pPr>
            <w:r>
              <w:rPr>
                <w:szCs w:val="20"/>
                <w:lang w:eastAsia="zh-CN"/>
              </w:rPr>
              <w:t xml:space="preserve">If multi-slot-based capability is introduced for NR Rel-17 UEs, how to configure or determine the capability type needs to be considered. As long as multi-slot-based capability is the mandatory one for BWP with 480K/960K SCS according to </w:t>
            </w:r>
            <w:r>
              <w:rPr>
                <w:rFonts w:eastAsia="宋体"/>
                <w:b/>
                <w:szCs w:val="20"/>
                <w:lang w:eastAsia="zh-CN"/>
              </w:rPr>
              <w:fldChar w:fldCharType="begin"/>
            </w:r>
            <w:r>
              <w:rPr>
                <w:rFonts w:eastAsia="宋体"/>
                <w:b/>
                <w:szCs w:val="20"/>
                <w:lang w:eastAsia="zh-CN"/>
              </w:rPr>
              <w:instrText xml:space="preserve"> REF _Ref78814205 \h  \* MERGEFORMAT </w:instrText>
            </w:r>
            <w:r>
              <w:rPr>
                <w:rFonts w:eastAsia="宋体"/>
                <w:b/>
                <w:szCs w:val="20"/>
                <w:lang w:eastAsia="zh-CN"/>
              </w:rPr>
              <w:fldChar w:fldCharType="end"/>
            </w:r>
            <w:r>
              <w:rPr>
                <w:szCs w:val="20"/>
                <w:lang w:eastAsia="zh-CN"/>
              </w:rPr>
              <w:t>, configuration of 480K/960K SCS for a BWP implies multi-slot-based capability for that BWP, which means PDCCH monitoring capability should be defined per BWP.</w:t>
            </w:r>
          </w:p>
          <w:p>
            <w:pPr>
              <w:pStyle w:val="27"/>
              <w:widowControl w:val="0"/>
              <w:jc w:val="both"/>
              <w:rPr>
                <w:b w:val="0"/>
              </w:rPr>
            </w:pPr>
            <w:bookmarkStart w:id="141" w:name="_Ref78903389"/>
            <w:r>
              <w:t xml:space="preserve">Proposal </w:t>
            </w:r>
            <w:r>
              <w:rPr>
                <w:b w:val="0"/>
              </w:rPr>
              <w:fldChar w:fldCharType="begin"/>
            </w:r>
            <w:r>
              <w:instrText xml:space="preserve"> SEQ Proposal \* ARABIC </w:instrText>
            </w:r>
            <w:r>
              <w:rPr>
                <w:b w:val="0"/>
              </w:rPr>
              <w:fldChar w:fldCharType="separate"/>
            </w:r>
            <w:r>
              <w:t>3</w:t>
            </w:r>
            <w:r>
              <w:rPr>
                <w:b w:val="0"/>
              </w:rPr>
              <w:fldChar w:fldCharType="end"/>
            </w:r>
            <w:r>
              <w:t>: For NR Rel-17 UEs, PDCCH monitoring capability is defined per BWP and configuration of 480K/960K SCS for a BWP implies multi-slot-based capability for that BWP.</w:t>
            </w:r>
            <w:bookmarkEnd w:id="141"/>
          </w:p>
          <w:p>
            <w:pPr>
              <w:widowControl w:val="0"/>
              <w:jc w:val="both"/>
              <w:rPr>
                <w:rFonts w:eastAsia="宋体"/>
                <w:szCs w:val="20"/>
                <w:lang w:val="en-GB" w:eastAsia="zh-CN"/>
              </w:rPr>
            </w:pPr>
            <w:r>
              <w:rPr>
                <w:rFonts w:hint="eastAsia" w:eastAsia="宋体"/>
                <w:szCs w:val="20"/>
                <w:lang w:val="en-GB" w:eastAsia="zh-CN"/>
              </w:rPr>
              <w:t>A</w:t>
            </w:r>
            <w:r>
              <w:rPr>
                <w:rFonts w:eastAsia="宋体"/>
                <w:szCs w:val="20"/>
                <w:lang w:val="en-GB" w:eastAsia="zh-CN"/>
              </w:rPr>
              <w:t xml:space="preserve">fter defining the PDCCH monitoring capability per BWP, the capability for one serving cell should also be determined for calculation of BD/CCE budget in multiple serving cell case. The straight forward way is to adopt the PDCCH monitoring capability for active BWP or configured first active BWP as the capability of the serving cell. </w:t>
            </w:r>
          </w:p>
          <w:p>
            <w:pPr>
              <w:pStyle w:val="27"/>
              <w:widowControl w:val="0"/>
              <w:jc w:val="both"/>
              <w:rPr>
                <w:b w:val="0"/>
              </w:rPr>
            </w:pPr>
            <w:bookmarkStart w:id="142" w:name="_Ref78903394"/>
            <w:r>
              <w:t xml:space="preserve">Proposal </w:t>
            </w:r>
            <w:r>
              <w:rPr>
                <w:b w:val="0"/>
              </w:rPr>
              <w:fldChar w:fldCharType="begin"/>
            </w:r>
            <w:r>
              <w:instrText xml:space="preserve"> SEQ Proposal \* ARABIC </w:instrText>
            </w:r>
            <w:r>
              <w:rPr>
                <w:b w:val="0"/>
              </w:rPr>
              <w:fldChar w:fldCharType="separate"/>
            </w:r>
            <w:r>
              <w:t>4</w:t>
            </w:r>
            <w:r>
              <w:rPr>
                <w:b w:val="0"/>
              </w:rPr>
              <w:fldChar w:fldCharType="end"/>
            </w:r>
            <w:r>
              <w:t>: PDCCH monitoring capability for a serving cell is the capability for its active BWP or configured first active BWP when it is deactivated.</w:t>
            </w:r>
            <w:bookmarkEnd w:id="142"/>
          </w:p>
          <w:p>
            <w:pPr>
              <w:widowControl w:val="0"/>
              <w:jc w:val="both"/>
              <w:rPr>
                <w:rFonts w:eastAsia="宋体"/>
                <w:szCs w:val="20"/>
                <w:lang w:val="en-GB" w:eastAsia="zh-CN"/>
              </w:rPr>
            </w:pPr>
            <w:r>
              <w:rPr>
                <w:rFonts w:hint="eastAsia" w:eastAsia="宋体"/>
                <w:szCs w:val="20"/>
                <w:lang w:val="en-GB" w:eastAsia="zh-CN"/>
              </w:rPr>
              <w:t>C</w:t>
            </w:r>
            <w:r>
              <w:rPr>
                <w:rFonts w:eastAsia="宋体"/>
                <w:szCs w:val="20"/>
                <w:lang w:val="en-GB" w:eastAsia="zh-CN"/>
              </w:rPr>
              <w:t>ompared to NR Rel-16, one additional cell type occurs:</w:t>
            </w:r>
          </w:p>
          <w:p>
            <w:pPr>
              <w:pStyle w:val="73"/>
              <w:widowControl w:val="0"/>
              <w:numPr>
                <w:ilvl w:val="0"/>
                <w:numId w:val="74"/>
              </w:numPr>
              <w:snapToGrid/>
              <w:spacing w:after="120" w:afterLines="50" w:line="240" w:lineRule="auto"/>
              <w:jc w:val="both"/>
              <w:rPr>
                <w:rFonts w:ascii="Times New Roman" w:hAnsi="Times New Roman"/>
                <w:sz w:val="20"/>
                <w:szCs w:val="20"/>
              </w:rPr>
            </w:pPr>
            <w:r>
              <w:rPr>
                <w:rFonts w:ascii="Times New Roman" w:hAnsi="Times New Roman"/>
                <w:sz w:val="20"/>
                <w:szCs w:val="20"/>
              </w:rPr>
              <w:t>Cell Type 3 (FR2-2 only): Serving cell with multi-slot-based PDCCH monitoring capability.</w:t>
            </w:r>
          </w:p>
          <w:p>
            <w:pPr>
              <w:widowControl w:val="0"/>
              <w:spacing w:afterLines="50"/>
              <w:rPr>
                <w:szCs w:val="20"/>
                <w:lang w:eastAsia="zh-CN"/>
              </w:rPr>
            </w:pPr>
            <w:r>
              <w:rPr>
                <w:rFonts w:hint="eastAsia"/>
                <w:szCs w:val="20"/>
                <w:lang w:eastAsia="zh-CN"/>
              </w:rPr>
              <w:t>I</w:t>
            </w:r>
            <w:r>
              <w:rPr>
                <w:szCs w:val="20"/>
                <w:lang w:eastAsia="zh-CN"/>
              </w:rPr>
              <w:t>n addition to the operation cases in NR Rel-16, there may be more cases as listed below:</w:t>
            </w:r>
          </w:p>
          <w:p>
            <w:pPr>
              <w:pStyle w:val="73"/>
              <w:widowControl w:val="0"/>
              <w:numPr>
                <w:ilvl w:val="0"/>
                <w:numId w:val="74"/>
              </w:numPr>
              <w:snapToGrid/>
              <w:spacing w:line="240" w:lineRule="auto"/>
              <w:jc w:val="both"/>
              <w:rPr>
                <w:rFonts w:ascii="Times New Roman" w:hAnsi="Times New Roman"/>
                <w:sz w:val="20"/>
                <w:szCs w:val="20"/>
              </w:rPr>
            </w:pPr>
            <w:r>
              <w:rPr>
                <w:rFonts w:ascii="Times New Roman" w:hAnsi="Times New Roman"/>
                <w:sz w:val="20"/>
                <w:szCs w:val="20"/>
              </w:rPr>
              <w:t>Case 4: All serving cells belongs to cell type 3;</w:t>
            </w:r>
          </w:p>
          <w:p>
            <w:pPr>
              <w:pStyle w:val="73"/>
              <w:widowControl w:val="0"/>
              <w:numPr>
                <w:ilvl w:val="0"/>
                <w:numId w:val="74"/>
              </w:numPr>
              <w:snapToGrid/>
              <w:spacing w:line="240" w:lineRule="auto"/>
              <w:jc w:val="both"/>
              <w:rPr>
                <w:rFonts w:ascii="Times New Roman" w:hAnsi="Times New Roman"/>
                <w:sz w:val="20"/>
                <w:szCs w:val="20"/>
              </w:rPr>
            </w:pPr>
            <w:r>
              <w:rPr>
                <w:rFonts w:ascii="Times New Roman" w:hAnsi="Times New Roman"/>
                <w:sz w:val="20"/>
                <w:szCs w:val="20"/>
              </w:rPr>
              <w:t>Case 5: At least one serving cell belongs to cell type 1 and at least one serving cell belongs to cell type 3;</w:t>
            </w:r>
          </w:p>
          <w:p>
            <w:pPr>
              <w:pStyle w:val="73"/>
              <w:widowControl w:val="0"/>
              <w:numPr>
                <w:ilvl w:val="0"/>
                <w:numId w:val="74"/>
              </w:numPr>
              <w:snapToGrid/>
              <w:spacing w:after="120" w:afterLines="50" w:line="240" w:lineRule="auto"/>
              <w:jc w:val="both"/>
              <w:rPr>
                <w:rFonts w:ascii="Times New Roman" w:hAnsi="Times New Roman"/>
                <w:sz w:val="20"/>
                <w:szCs w:val="20"/>
              </w:rPr>
            </w:pPr>
            <w:r>
              <w:rPr>
                <w:rFonts w:ascii="Times New Roman" w:hAnsi="Times New Roman"/>
                <w:sz w:val="20"/>
                <w:szCs w:val="20"/>
              </w:rPr>
              <w:t>Case 6: At least one serving cell belongs to cell type 2 and at least one serving cell belongs to cell type 3;</w:t>
            </w:r>
          </w:p>
          <w:p>
            <w:pPr>
              <w:pStyle w:val="73"/>
              <w:widowControl w:val="0"/>
              <w:numPr>
                <w:ilvl w:val="0"/>
                <w:numId w:val="74"/>
              </w:numPr>
              <w:snapToGrid/>
              <w:spacing w:after="120" w:afterLines="50" w:line="240" w:lineRule="auto"/>
              <w:jc w:val="both"/>
              <w:rPr>
                <w:rFonts w:ascii="Times New Roman" w:hAnsi="Times New Roman"/>
                <w:sz w:val="20"/>
                <w:szCs w:val="20"/>
              </w:rPr>
            </w:pPr>
            <w:r>
              <w:rPr>
                <w:rFonts w:ascii="Times New Roman" w:hAnsi="Times New Roman"/>
                <w:sz w:val="20"/>
                <w:szCs w:val="20"/>
              </w:rPr>
              <w:t>Case 7: At least one serving cell belongs to cell type 1, at least one serving cell belongs to cell type 2 and at least one serving cell belongs to cell type 3.</w:t>
            </w:r>
          </w:p>
          <w:p>
            <w:pPr>
              <w:pStyle w:val="27"/>
              <w:widowControl w:val="0"/>
              <w:jc w:val="both"/>
            </w:pPr>
            <w:r>
              <w:t xml:space="preserve">Observation </w:t>
            </w:r>
            <w:r>
              <w:rPr>
                <w:b w:val="0"/>
              </w:rPr>
              <w:fldChar w:fldCharType="begin"/>
            </w:r>
            <w:r>
              <w:instrText xml:space="preserve"> SEQ Observation \* ARABIC </w:instrText>
            </w:r>
            <w:r>
              <w:rPr>
                <w:b w:val="0"/>
              </w:rPr>
              <w:fldChar w:fldCharType="separate"/>
            </w:r>
            <w:r>
              <w:t>1</w:t>
            </w:r>
            <w:r>
              <w:rPr>
                <w:b w:val="0"/>
              </w:rPr>
              <w:fldChar w:fldCharType="end"/>
            </w:r>
            <w:r>
              <w:t>: More additional cases are brought by introduction of multi-slot-based PDCCH monitoring capability.</w:t>
            </w:r>
          </w:p>
          <w:p>
            <w:pPr>
              <w:widowControl w:val="0"/>
              <w:spacing w:before="120"/>
              <w:jc w:val="both"/>
              <w:rPr>
                <w:szCs w:val="20"/>
                <w:lang w:eastAsia="zh-CN"/>
              </w:rPr>
            </w:pPr>
            <w:r>
              <w:rPr>
                <w:szCs w:val="20"/>
                <w:lang w:eastAsia="zh-CN"/>
              </w:rPr>
              <w:t xml:space="preserve">In multi-cell operation scenario, BD/CCE budget calculation becomes more complex by introducing such multi-slot-based BD/CCE budget definition, i.e. more additional cases as described in </w:t>
            </w:r>
            <w:r>
              <w:rPr>
                <w:szCs w:val="20"/>
                <w:lang w:eastAsia="zh-CN"/>
              </w:rPr>
              <w:fldChar w:fldCharType="begin"/>
            </w:r>
            <w:r>
              <w:rPr>
                <w:szCs w:val="20"/>
                <w:lang w:eastAsia="zh-CN"/>
              </w:rPr>
              <w:instrText xml:space="preserve"> REF _Ref78893896 \r \h </w:instrText>
            </w:r>
            <w:r>
              <w:rPr>
                <w:szCs w:val="20"/>
                <w:lang w:eastAsia="zh-CN"/>
              </w:rPr>
              <w:fldChar w:fldCharType="separate"/>
            </w:r>
            <w:r>
              <w:rPr>
                <w:szCs w:val="20"/>
                <w:lang w:eastAsia="zh-CN"/>
              </w:rPr>
              <w:t>2.1.3</w:t>
            </w:r>
            <w:r>
              <w:rPr>
                <w:szCs w:val="20"/>
                <w:lang w:eastAsia="zh-CN"/>
              </w:rPr>
              <w:fldChar w:fldCharType="end"/>
            </w:r>
            <w:r>
              <w:rPr>
                <w:szCs w:val="20"/>
                <w:lang w:eastAsia="zh-CN"/>
              </w:rPr>
              <w:t xml:space="preserve">. </w:t>
            </w:r>
          </w:p>
          <w:p>
            <w:pPr>
              <w:widowControl w:val="0"/>
              <w:spacing w:before="120"/>
              <w:jc w:val="both"/>
              <w:rPr>
                <w:szCs w:val="20"/>
                <w:lang w:eastAsia="zh-CN"/>
              </w:rPr>
            </w:pPr>
            <w:r>
              <w:rPr>
                <w:szCs w:val="20"/>
                <w:lang w:eastAsia="zh-CN"/>
              </w:rPr>
              <w:t>As one straightforward way, the BD/CCE budget calculation adopts the same way for NR Rel-16, i.e. serving cells with the same PDCCH monitoring type are grouped together for further handling.  Particularly, the follows steps apply:</w:t>
            </w:r>
          </w:p>
          <w:p>
            <w:pPr>
              <w:pStyle w:val="73"/>
              <w:widowControl w:val="0"/>
              <w:numPr>
                <w:ilvl w:val="0"/>
                <w:numId w:val="70"/>
              </w:numPr>
              <w:snapToGrid/>
              <w:spacing w:line="240" w:lineRule="auto"/>
              <w:jc w:val="both"/>
              <w:rPr>
                <w:rFonts w:ascii="Times New Roman" w:hAnsi="Times New Roman"/>
                <w:sz w:val="20"/>
                <w:szCs w:val="20"/>
              </w:rPr>
            </w:pPr>
            <w:r>
              <w:rPr>
                <w:rFonts w:hint="eastAsia" w:ascii="Times New Roman" w:hAnsi="Times New Roman"/>
                <w:sz w:val="20"/>
                <w:szCs w:val="20"/>
              </w:rPr>
              <w:t>D</w:t>
            </w:r>
            <w:r>
              <w:rPr>
                <w:rFonts w:ascii="Times New Roman" w:hAnsi="Times New Roman"/>
                <w:sz w:val="20"/>
                <w:szCs w:val="20"/>
              </w:rPr>
              <w:t xml:space="preserve">etermination of </w:t>
            </w:r>
            <m:oMath>
              <m:sSubSup>
                <m:sSubSupPr>
                  <m:ctrlPr>
                    <w:rPr>
                      <w:rFonts w:ascii="Cambria Math" w:hAnsi="Cambria Math"/>
                      <w:sz w:val="20"/>
                      <w:szCs w:val="20"/>
                    </w:rPr>
                  </m:ctrlPr>
                </m:sSubSupPr>
                <m:e>
                  <m:r>
                    <w:rPr>
                      <w:rFonts w:ascii="Cambria Math" w:hAnsi="Cambria Math"/>
                      <w:sz w:val="20"/>
                      <w:szCs w:val="20"/>
                    </w:rPr>
                    <m:t>N</m:t>
                  </m:r>
                  <m:ctrlPr>
                    <w:rPr>
                      <w:rFonts w:ascii="Cambria Math" w:hAnsi="Cambria Math"/>
                      <w:sz w:val="20"/>
                      <w:szCs w:val="20"/>
                    </w:rPr>
                  </m:ctrlPr>
                </m:e>
                <m:sub>
                  <m:r>
                    <w:rPr>
                      <w:rFonts w:ascii="Cambria Math" w:hAnsi="Cambria Math"/>
                      <w:sz w:val="20"/>
                      <w:szCs w:val="20"/>
                    </w:rPr>
                    <m:t>c</m:t>
                  </m:r>
                  <m:r>
                    <m:rPr>
                      <m:sty m:val="p"/>
                    </m:rPr>
                    <w:rPr>
                      <w:rFonts w:ascii="Cambria Math" w:hAnsi="Cambria Math"/>
                      <w:sz w:val="20"/>
                      <w:szCs w:val="20"/>
                    </w:rPr>
                    <m:t>ells</m:t>
                  </m:r>
                  <m:ctrlPr>
                    <w:rPr>
                      <w:rFonts w:ascii="Cambria Math" w:hAnsi="Cambria Math"/>
                      <w:sz w:val="20"/>
                      <w:szCs w:val="20"/>
                    </w:rPr>
                  </m:ctrlPr>
                </m:sub>
                <m:sup>
                  <m:r>
                    <m:rPr>
                      <m:sty m:val="p"/>
                    </m:rPr>
                    <w:rPr>
                      <w:rFonts w:ascii="Cambria Math" w:hAnsi="Cambria Math"/>
                      <w:sz w:val="20"/>
                      <w:szCs w:val="20"/>
                    </w:rPr>
                    <m:t>Cap</m:t>
                  </m:r>
                  <m:ctrlPr>
                    <w:rPr>
                      <w:rFonts w:ascii="Cambria Math" w:hAnsi="Cambria Math"/>
                      <w:sz w:val="20"/>
                      <w:szCs w:val="20"/>
                    </w:rPr>
                  </m:ctrlPr>
                </m:sup>
              </m:sSubSup>
            </m:oMath>
            <w:r>
              <w:rPr>
                <w:rFonts w:hint="eastAsia" w:ascii="Times New Roman" w:hAnsi="Times New Roman"/>
                <w:sz w:val="20"/>
                <w:szCs w:val="20"/>
              </w:rPr>
              <w:t>:</w:t>
            </w:r>
            <w:r>
              <w:rPr>
                <w:rFonts w:ascii="Times New Roman" w:hAnsi="Times New Roman"/>
                <w:sz w:val="20"/>
                <w:szCs w:val="20"/>
              </w:rPr>
              <w:t xml:space="preserve"> UE needs to report respective </w:t>
            </w:r>
            <m:oMath>
              <m:sSubSup>
                <m:sSubSupPr>
                  <m:ctrlPr>
                    <w:rPr>
                      <w:rFonts w:ascii="Cambria Math" w:hAnsi="Cambria Math"/>
                      <w:sz w:val="20"/>
                      <w:szCs w:val="20"/>
                    </w:rPr>
                  </m:ctrlPr>
                </m:sSubSupPr>
                <m:e>
                  <m:r>
                    <w:rPr>
                      <w:rFonts w:ascii="Cambria Math" w:hAnsi="Cambria Math"/>
                      <w:sz w:val="20"/>
                      <w:szCs w:val="20"/>
                    </w:rPr>
                    <m:t>N</m:t>
                  </m:r>
                  <m:ctrlPr>
                    <w:rPr>
                      <w:rFonts w:ascii="Cambria Math" w:hAnsi="Cambria Math"/>
                      <w:sz w:val="20"/>
                      <w:szCs w:val="20"/>
                    </w:rPr>
                  </m:ctrlPr>
                </m:e>
                <m:sub>
                  <m:r>
                    <w:rPr>
                      <w:rFonts w:ascii="Cambria Math" w:hAnsi="Cambria Math"/>
                      <w:sz w:val="20"/>
                      <w:szCs w:val="20"/>
                    </w:rPr>
                    <m:t>c</m:t>
                  </m:r>
                  <m:r>
                    <m:rPr>
                      <m:sty m:val="p"/>
                    </m:rPr>
                    <w:rPr>
                      <w:rFonts w:ascii="Cambria Math" w:hAnsi="Cambria Math"/>
                      <w:sz w:val="20"/>
                      <w:szCs w:val="20"/>
                    </w:rPr>
                    <m:t>ells</m:t>
                  </m:r>
                  <m:ctrlPr>
                    <w:rPr>
                      <w:rFonts w:ascii="Cambria Math" w:hAnsi="Cambria Math"/>
                      <w:sz w:val="20"/>
                      <w:szCs w:val="20"/>
                    </w:rPr>
                  </m:ctrlPr>
                </m:sub>
                <m:sup>
                  <m:r>
                    <m:rPr>
                      <m:sty m:val="p"/>
                    </m:rPr>
                    <w:rPr>
                      <w:rFonts w:ascii="Cambria Math" w:hAnsi="Cambria Math"/>
                      <w:sz w:val="20"/>
                      <w:szCs w:val="20"/>
                    </w:rPr>
                    <m:t>Cap</m:t>
                  </m:r>
                  <m:ctrlPr>
                    <w:rPr>
                      <w:rFonts w:ascii="Cambria Math" w:hAnsi="Cambria Math"/>
                      <w:sz w:val="20"/>
                      <w:szCs w:val="20"/>
                    </w:rPr>
                  </m:ctrlPr>
                </m:sup>
              </m:sSubSup>
            </m:oMath>
            <w:r>
              <w:rPr>
                <w:rFonts w:hint="eastAsia" w:ascii="Times New Roman" w:hAnsi="Times New Roman"/>
                <w:sz w:val="20"/>
                <w:szCs w:val="20"/>
              </w:rPr>
              <w:t xml:space="preserve"> </w:t>
            </w:r>
            <w:r>
              <w:rPr>
                <w:rFonts w:ascii="Times New Roman" w:hAnsi="Times New Roman"/>
                <w:sz w:val="20"/>
                <w:szCs w:val="20"/>
              </w:rPr>
              <w:t xml:space="preserve">for different cases, i.e. Case 1-7 as described in </w:t>
            </w:r>
            <w:r>
              <w:rPr>
                <w:rFonts w:ascii="Times New Roman" w:hAnsi="Times New Roman"/>
                <w:sz w:val="20"/>
                <w:szCs w:val="20"/>
              </w:rPr>
              <w:fldChar w:fldCharType="begin"/>
            </w:r>
            <w:r>
              <w:rPr>
                <w:rFonts w:ascii="Times New Roman" w:hAnsi="Times New Roman"/>
                <w:sz w:val="20"/>
                <w:szCs w:val="20"/>
              </w:rPr>
              <w:instrText xml:space="preserve"> REF _Ref78893896 \r \h  \* MERGEFORMAT </w:instrText>
            </w:r>
            <w:r>
              <w:rPr>
                <w:rFonts w:ascii="Times New Roman" w:hAnsi="Times New Roman"/>
                <w:sz w:val="20"/>
                <w:szCs w:val="20"/>
              </w:rPr>
              <w:fldChar w:fldCharType="separate"/>
            </w:r>
            <w:r>
              <w:rPr>
                <w:rFonts w:ascii="Times New Roman" w:hAnsi="Times New Roman"/>
                <w:sz w:val="20"/>
                <w:szCs w:val="20"/>
              </w:rPr>
              <w:t>2.1.3</w:t>
            </w:r>
            <w:r>
              <w:rPr>
                <w:rFonts w:ascii="Times New Roman" w:hAnsi="Times New Roman"/>
                <w:sz w:val="20"/>
                <w:szCs w:val="20"/>
              </w:rPr>
              <w:fldChar w:fldCharType="end"/>
            </w:r>
            <w:r>
              <w:rPr>
                <w:rFonts w:ascii="Times New Roman" w:hAnsi="Times New Roman"/>
                <w:sz w:val="20"/>
                <w:szCs w:val="20"/>
              </w:rPr>
              <w:t xml:space="preserve">. For the case with mixed capability, </w:t>
            </w:r>
            <w:r>
              <w:rPr>
                <w:rFonts w:ascii="Times New Roman" w:hAnsi="Times New Roman"/>
                <w:i/>
                <w:sz w:val="20"/>
                <w:szCs w:val="20"/>
              </w:rPr>
              <w:t xml:space="preserve">L </w:t>
            </w:r>
            <m:oMath>
              <m:sSubSup>
                <m:sSubSupPr>
                  <m:ctrlPr>
                    <w:rPr>
                      <w:rFonts w:ascii="Cambria Math" w:hAnsi="Cambria Math"/>
                      <w:sz w:val="20"/>
                      <w:szCs w:val="20"/>
                    </w:rPr>
                  </m:ctrlPr>
                </m:sSubSupPr>
                <m:e>
                  <m:r>
                    <w:rPr>
                      <w:rFonts w:ascii="Cambria Math" w:hAnsi="Cambria Math"/>
                      <w:sz w:val="20"/>
                      <w:szCs w:val="20"/>
                    </w:rPr>
                    <m:t>N</m:t>
                  </m:r>
                  <m:ctrlPr>
                    <w:rPr>
                      <w:rFonts w:ascii="Cambria Math" w:hAnsi="Cambria Math"/>
                      <w:sz w:val="20"/>
                      <w:szCs w:val="20"/>
                    </w:rPr>
                  </m:ctrlPr>
                </m:e>
                <m:sub>
                  <m:r>
                    <w:rPr>
                      <w:rFonts w:ascii="Cambria Math" w:hAnsi="Cambria Math"/>
                      <w:sz w:val="20"/>
                      <w:szCs w:val="20"/>
                    </w:rPr>
                    <m:t>c</m:t>
                  </m:r>
                  <m:r>
                    <m:rPr>
                      <m:sty m:val="p"/>
                    </m:rPr>
                    <w:rPr>
                      <w:rFonts w:ascii="Cambria Math" w:hAnsi="Cambria Math"/>
                      <w:sz w:val="20"/>
                      <w:szCs w:val="20"/>
                    </w:rPr>
                    <m:t>ells</m:t>
                  </m:r>
                  <m:ctrlPr>
                    <w:rPr>
                      <w:rFonts w:ascii="Cambria Math" w:hAnsi="Cambria Math"/>
                      <w:sz w:val="20"/>
                      <w:szCs w:val="20"/>
                    </w:rPr>
                  </m:ctrlPr>
                </m:sub>
                <m:sup>
                  <m:r>
                    <m:rPr>
                      <m:sty m:val="p"/>
                    </m:rPr>
                    <w:rPr>
                      <w:rFonts w:ascii="Cambria Math" w:hAnsi="Cambria Math"/>
                      <w:sz w:val="20"/>
                      <w:szCs w:val="20"/>
                    </w:rPr>
                    <m:t>Cap</m:t>
                  </m:r>
                  <m:ctrlPr>
                    <w:rPr>
                      <w:rFonts w:ascii="Cambria Math" w:hAnsi="Cambria Math"/>
                      <w:sz w:val="20"/>
                      <w:szCs w:val="20"/>
                    </w:rPr>
                  </m:ctrlPr>
                </m:sup>
              </m:sSubSup>
            </m:oMath>
            <w:r>
              <w:rPr>
                <w:rFonts w:hint="eastAsia" w:ascii="Times New Roman" w:hAnsi="Times New Roman"/>
                <w:i/>
                <w:sz w:val="20"/>
                <w:szCs w:val="20"/>
              </w:rPr>
              <w:t xml:space="preserve"> </w:t>
            </w:r>
            <w:r>
              <w:rPr>
                <w:rFonts w:ascii="Times New Roman" w:hAnsi="Times New Roman"/>
                <w:sz w:val="20"/>
                <w:szCs w:val="20"/>
              </w:rPr>
              <w:t xml:space="preserve">values need to be reported where </w:t>
            </w:r>
            <w:r>
              <w:rPr>
                <w:rFonts w:ascii="Times New Roman" w:hAnsi="Times New Roman"/>
                <w:i/>
                <w:sz w:val="20"/>
                <w:szCs w:val="20"/>
              </w:rPr>
              <w:t xml:space="preserve">L </w:t>
            </w:r>
            <w:r>
              <w:rPr>
                <w:rFonts w:ascii="Times New Roman" w:hAnsi="Times New Roman"/>
                <w:sz w:val="20"/>
                <w:szCs w:val="20"/>
              </w:rPr>
              <w:t>is the number of capability types in that case (e.g. 3 in case 7);</w:t>
            </w:r>
          </w:p>
          <w:p>
            <w:pPr>
              <w:pStyle w:val="73"/>
              <w:widowControl w:val="0"/>
              <w:numPr>
                <w:ilvl w:val="0"/>
                <w:numId w:val="70"/>
              </w:numPr>
              <w:snapToGrid/>
              <w:spacing w:line="240" w:lineRule="auto"/>
              <w:jc w:val="both"/>
              <w:rPr>
                <w:rFonts w:ascii="Times New Roman" w:hAnsi="Times New Roman"/>
                <w:sz w:val="20"/>
                <w:szCs w:val="20"/>
              </w:rPr>
            </w:pPr>
            <w:r>
              <w:rPr>
                <w:rFonts w:ascii="Times New Roman" w:hAnsi="Times New Roman"/>
                <w:sz w:val="20"/>
                <w:szCs w:val="20"/>
              </w:rPr>
              <w:t>Determination of total limit for each group of serving cells:</w:t>
            </w:r>
          </w:p>
          <w:p>
            <w:pPr>
              <w:pStyle w:val="73"/>
              <w:widowControl w:val="0"/>
              <w:numPr>
                <w:ilvl w:val="1"/>
                <w:numId w:val="70"/>
              </w:numPr>
              <w:snapToGrid/>
              <w:spacing w:line="240" w:lineRule="auto"/>
              <w:jc w:val="both"/>
              <w:rPr>
                <w:rFonts w:ascii="Times New Roman" w:hAnsi="Times New Roman"/>
                <w:sz w:val="20"/>
                <w:szCs w:val="20"/>
              </w:rPr>
            </w:pPr>
            <w:r>
              <w:rPr>
                <w:rFonts w:ascii="Times New Roman" w:hAnsi="Times New Roman"/>
                <w:sz w:val="20"/>
                <w:szCs w:val="20"/>
              </w:rPr>
              <w:t>If the group adopts slot-based or span-based capability, legacy way is used;</w:t>
            </w:r>
          </w:p>
          <w:p>
            <w:pPr>
              <w:pStyle w:val="73"/>
              <w:widowControl w:val="0"/>
              <w:numPr>
                <w:ilvl w:val="1"/>
                <w:numId w:val="70"/>
              </w:numPr>
              <w:snapToGrid/>
              <w:spacing w:after="120" w:afterLines="50" w:line="240" w:lineRule="auto"/>
              <w:jc w:val="both"/>
              <w:rPr>
                <w:rFonts w:ascii="Times New Roman" w:hAnsi="Times New Roman"/>
                <w:sz w:val="20"/>
                <w:szCs w:val="20"/>
              </w:rPr>
            </w:pPr>
            <w:r>
              <w:rPr>
                <w:rFonts w:ascii="Times New Roman" w:hAnsi="Times New Roman"/>
                <w:sz w:val="20"/>
                <w:szCs w:val="20"/>
              </w:rPr>
              <w:t>If the group adopts multi-slot-based capability, further divide the cell group into different parts depending on SCS and/or value of X/Y. Then BD/CCE budget for the serving cells will follow one total limit. Note that there may have certain limits in the group or part of serving cells.</w:t>
            </w:r>
          </w:p>
          <w:p>
            <w:pPr>
              <w:widowControl w:val="0"/>
              <w:jc w:val="both"/>
              <w:rPr>
                <w:rFonts w:eastAsia="宋体"/>
                <w:lang w:eastAsia="zh-CN"/>
              </w:rPr>
            </w:pPr>
            <w:r>
              <w:rPr>
                <w:rFonts w:hint="eastAsia" w:eastAsia="宋体"/>
                <w:lang w:eastAsia="zh-CN"/>
              </w:rPr>
              <w:t>A</w:t>
            </w:r>
            <w:r>
              <w:rPr>
                <w:rFonts w:eastAsia="宋体"/>
                <w:lang w:eastAsia="zh-CN"/>
              </w:rPr>
              <w:t xml:space="preserve">s another alternative, the serving cell with SCS </w:t>
            </w:r>
            <w:r>
              <w:rPr>
                <w:rFonts w:hint="eastAsia" w:eastAsia="宋体"/>
                <w:lang w:eastAsia="zh-CN"/>
              </w:rPr>
              <w:t>µ</w:t>
            </w:r>
            <w:r>
              <w:rPr>
                <w:rFonts w:eastAsia="宋体"/>
                <w:lang w:eastAsia="zh-CN"/>
              </w:rPr>
              <w:t xml:space="preserve"> and multi-slot-based capability can be transformed to an equivalent virtual serving cell with SCS </w:t>
            </w:r>
            <w:r>
              <w:rPr>
                <w:rFonts w:hint="eastAsia" w:eastAsia="宋体"/>
                <w:lang w:eastAsia="zh-CN"/>
              </w:rPr>
              <w:t>µ</w:t>
            </w:r>
            <w:r>
              <w:rPr>
                <w:rFonts w:eastAsia="宋体"/>
                <w:lang w:eastAsia="zh-CN"/>
              </w:rPr>
              <w:t xml:space="preserve">’ and slot-based capability, e.g. </w:t>
            </w:r>
            <w:r>
              <w:rPr>
                <w:szCs w:val="20"/>
                <w:lang w:eastAsia="zh-CN"/>
              </w:rPr>
              <w:t>e.g. cell A with 480KHz SCS and BD/CCE budget per 4 slots is equivalent to a virtual cell A’ with 120KHz and BD/CCE budget per slot.</w:t>
            </w:r>
          </w:p>
          <w:p>
            <w:pPr>
              <w:widowControl w:val="0"/>
              <w:spacing w:before="120"/>
              <w:jc w:val="both"/>
              <w:rPr>
                <w:b/>
              </w:rPr>
            </w:pPr>
            <w:bookmarkStart w:id="143" w:name="_Ref61441327"/>
            <w:bookmarkStart w:id="144" w:name="_Ref78903422"/>
            <w:r>
              <w:rPr>
                <w:b/>
              </w:rPr>
              <w:t xml:space="preserve">Proposal </w:t>
            </w:r>
            <w:r>
              <w:rPr>
                <w:b/>
              </w:rPr>
              <w:fldChar w:fldCharType="begin"/>
            </w:r>
            <w:r>
              <w:rPr>
                <w:b/>
              </w:rPr>
              <w:instrText xml:space="preserve"> SEQ Proposal \* ARABIC </w:instrText>
            </w:r>
            <w:r>
              <w:rPr>
                <w:b/>
              </w:rPr>
              <w:fldChar w:fldCharType="separate"/>
            </w:r>
            <w:r>
              <w:rPr>
                <w:b/>
              </w:rPr>
              <w:t>6</w:t>
            </w:r>
            <w:r>
              <w:rPr>
                <w:b/>
              </w:rPr>
              <w:fldChar w:fldCharType="end"/>
            </w:r>
            <w:r>
              <w:rPr>
                <w:b/>
              </w:rPr>
              <w:t xml:space="preserve">: For multi-cell operation, the </w:t>
            </w:r>
            <w:bookmarkEnd w:id="143"/>
            <w:r>
              <w:rPr>
                <w:b/>
              </w:rPr>
              <w:t>following alternatives could be considered:</w:t>
            </w:r>
            <w:bookmarkEnd w:id="144"/>
          </w:p>
          <w:p>
            <w:pPr>
              <w:widowControl w:val="0"/>
              <w:spacing w:before="120"/>
              <w:jc w:val="both"/>
              <w:rPr>
                <w:b/>
                <w:lang w:eastAsia="zh-CN"/>
              </w:rPr>
            </w:pPr>
            <w:r>
              <w:rPr>
                <w:rFonts w:hint="eastAsia"/>
                <w:b/>
                <w:lang w:eastAsia="zh-CN"/>
              </w:rPr>
              <w:t>A</w:t>
            </w:r>
            <w:r>
              <w:rPr>
                <w:b/>
                <w:lang w:eastAsia="zh-CN"/>
              </w:rPr>
              <w:t xml:space="preserve">lt. 1: </w:t>
            </w:r>
            <w:r>
              <w:rPr>
                <w:rFonts w:hint="eastAsia"/>
                <w:b/>
                <w:lang w:eastAsia="zh-CN"/>
              </w:rPr>
              <w:t>S</w:t>
            </w:r>
            <w:r>
              <w:rPr>
                <w:b/>
                <w:lang w:eastAsia="zh-CN"/>
              </w:rPr>
              <w:t>erving cells with the same PDCCH monitoring type including multi-slot-based capability are grouped together for further BD/CCE budget calculation;</w:t>
            </w:r>
          </w:p>
          <w:p>
            <w:pPr>
              <w:widowControl w:val="0"/>
              <w:spacing w:before="120"/>
              <w:jc w:val="both"/>
              <w:rPr>
                <w:b/>
                <w:lang w:eastAsia="zh-CN"/>
              </w:rPr>
            </w:pPr>
            <w:r>
              <w:rPr>
                <w:rFonts w:hint="eastAsia"/>
                <w:b/>
                <w:lang w:eastAsia="zh-CN"/>
              </w:rPr>
              <w:t>A</w:t>
            </w:r>
            <w:r>
              <w:rPr>
                <w:b/>
                <w:lang w:eastAsia="zh-CN"/>
              </w:rPr>
              <w:t>lt. 2: Transform the serving cell with multi-slot-based capability to equivalent serving cell with slot-based capability for further BD/CCE budget calculation.</w:t>
            </w:r>
          </w:p>
          <w:p>
            <w:pPr>
              <w:widowControl w:val="0"/>
            </w:pPr>
          </w:p>
        </w:tc>
      </w:tr>
    </w:tbl>
    <w:p>
      <w:pPr>
        <w:rPr>
          <w:lang w:eastAsia="zh-CN"/>
        </w:rPr>
      </w:pPr>
    </w:p>
    <w:p>
      <w:pPr>
        <w:pStyle w:val="4"/>
        <w:jc w:val="both"/>
        <w:rPr>
          <w:lang w:val="en-GB" w:eastAsia="zh-CN"/>
        </w:rPr>
      </w:pPr>
      <w:r>
        <w:rPr>
          <w:lang w:val="en-GB" w:eastAsia="zh-CN"/>
        </w:rPr>
        <w:t>R1-2109209 (CATT)</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pStyle w:val="30"/>
              <w:widowControl w:val="0"/>
              <w:spacing w:after="10"/>
              <w:rPr>
                <w:lang w:eastAsia="zh-CN"/>
              </w:rPr>
            </w:pPr>
            <w:r>
              <w:rPr>
                <w:rFonts w:hint="eastAsia"/>
                <w:lang w:eastAsia="zh-CN"/>
              </w:rPr>
              <w:t xml:space="preserve">In the RAN1#106-e, the </w:t>
            </w:r>
            <w:r>
              <w:rPr>
                <w:lang w:eastAsia="zh-CN"/>
              </w:rPr>
              <w:t>maximum</w:t>
            </w:r>
            <w:r>
              <w:rPr>
                <w:rFonts w:hint="eastAsia"/>
                <w:lang w:eastAsia="zh-CN"/>
              </w:rPr>
              <w:t xml:space="preserve"> difference of SCS of cross-carrier scheduling, i.e, </w:t>
            </w:r>
            <m:oMath>
              <m:d>
                <m:dPr>
                  <m:begChr m:val="|"/>
                  <m:endChr m:val="|"/>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u</m:t>
                      </m:r>
                      <m:ctrlPr>
                        <w:rPr>
                          <w:rFonts w:ascii="Cambria Math" w:hAnsi="Cambria Math"/>
                          <w:i/>
                          <w:lang w:eastAsia="zh-CN"/>
                        </w:rPr>
                      </m:ctrlPr>
                    </m:e>
                    <m:sub>
                      <m:r>
                        <w:rPr>
                          <w:rFonts w:ascii="Cambria Math" w:hAnsi="Cambria Math"/>
                          <w:lang w:eastAsia="zh-CN"/>
                        </w:rPr>
                        <m:t>PDCCH</m:t>
                      </m:r>
                      <m:ctrlPr>
                        <w:rPr>
                          <w:rFonts w:ascii="Cambria Math" w:hAnsi="Cambria Math"/>
                          <w:i/>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u</m:t>
                      </m:r>
                      <m:ctrlPr>
                        <w:rPr>
                          <w:rFonts w:ascii="Cambria Math" w:hAnsi="Cambria Math"/>
                          <w:i/>
                          <w:lang w:eastAsia="zh-CN"/>
                        </w:rPr>
                      </m:ctrlPr>
                    </m:e>
                    <m:sub>
                      <m:r>
                        <w:rPr>
                          <w:rFonts w:ascii="Cambria Math" w:hAnsi="Cambria Math"/>
                          <w:lang w:eastAsia="zh-CN"/>
                        </w:rPr>
                        <m:t>PDSCH</m:t>
                      </m:r>
                      <m:ctrlPr>
                        <w:rPr>
                          <w:rFonts w:ascii="Cambria Math" w:hAnsi="Cambria Math"/>
                          <w:i/>
                          <w:lang w:eastAsia="zh-CN"/>
                        </w:rPr>
                      </m:ctrlPr>
                    </m:sub>
                  </m:sSub>
                  <m:ctrlPr>
                    <w:rPr>
                      <w:rFonts w:ascii="Cambria Math" w:hAnsi="Cambria Math"/>
                      <w:lang w:eastAsia="zh-CN"/>
                    </w:rPr>
                  </m:ctrlPr>
                </m:e>
              </m:d>
            </m:oMath>
            <w:r>
              <w:rPr>
                <w:rFonts w:hint="eastAsia"/>
                <w:lang w:eastAsia="zh-CN"/>
              </w:rPr>
              <w:t xml:space="preserve">, has been discussed. In the Rel-16, the maximum difference of SCS is equal to 3. However, 480 kHz SCS and 960 kHz SCS have been supported for 52.6-71GHz. We believe the </w:t>
            </w:r>
            <w:r>
              <w:rPr>
                <w:lang w:eastAsia="zh-CN"/>
              </w:rPr>
              <w:t>maximum</w:t>
            </w:r>
            <w:r>
              <w:rPr>
                <w:rFonts w:hint="eastAsia"/>
                <w:lang w:eastAsia="zh-CN"/>
              </w:rPr>
              <w:t xml:space="preserve"> difference of SCS of cross-carrier scheduling should be expanded to support of new SCS, and there is no motivation to limit the difference of SCS of cross-carrier scheduling.</w:t>
            </w:r>
          </w:p>
          <w:p>
            <w:pPr>
              <w:pStyle w:val="30"/>
              <w:widowControl w:val="0"/>
              <w:rPr>
                <w:i/>
                <w:lang w:eastAsia="zh-CN"/>
              </w:rPr>
            </w:pPr>
            <w:r>
              <w:rPr>
                <w:b/>
                <w:i/>
                <w:lang w:eastAsia="zh-CN"/>
              </w:rPr>
              <w:t xml:space="preserve">Proposal </w:t>
            </w:r>
            <w:r>
              <w:rPr>
                <w:rFonts w:hint="eastAsia"/>
                <w:b/>
                <w:i/>
                <w:lang w:eastAsia="zh-CN"/>
              </w:rPr>
              <w:t>11</w:t>
            </w:r>
            <w:r>
              <w:rPr>
                <w:b/>
                <w:i/>
                <w:lang w:eastAsia="zh-CN"/>
              </w:rPr>
              <w:t>：</w:t>
            </w:r>
            <w:r>
              <w:rPr>
                <w:rFonts w:hint="eastAsia"/>
                <w:b/>
                <w:i/>
                <w:lang w:eastAsia="zh-CN"/>
              </w:rPr>
              <w:t xml:space="preserve">In order to better support cross-carrier </w:t>
            </w:r>
            <w:r>
              <w:rPr>
                <w:b/>
                <w:i/>
                <w:lang w:eastAsia="zh-CN"/>
              </w:rPr>
              <w:t>scheduling</w:t>
            </w:r>
            <w:r>
              <w:rPr>
                <w:rFonts w:hint="eastAsia"/>
                <w:b/>
                <w:i/>
                <w:lang w:eastAsia="zh-CN"/>
              </w:rPr>
              <w:t xml:space="preserve"> of the new SCS, i.e. 480 kHz and 960 kHz, the difference of SCS of cross-carrier scheduling should not be limited.</w:t>
            </w:r>
          </w:p>
          <w:p>
            <w:pPr>
              <w:widowControl w:val="0"/>
              <w:spacing w:before="120"/>
              <w:rPr>
                <w:rFonts w:eastAsia="Batang"/>
                <w:b/>
                <w:lang w:eastAsia="ko-KR"/>
              </w:rPr>
            </w:pPr>
          </w:p>
        </w:tc>
      </w:tr>
    </w:tbl>
    <w:p>
      <w:pPr>
        <w:rPr>
          <w:lang w:eastAsia="zh-CN"/>
        </w:rPr>
      </w:pPr>
    </w:p>
    <w:p>
      <w:pPr>
        <w:pStyle w:val="4"/>
        <w:jc w:val="both"/>
        <w:rPr>
          <w:lang w:val="en-GB" w:eastAsia="zh-CN"/>
        </w:rPr>
      </w:pPr>
      <w:r>
        <w:rPr>
          <w:lang w:val="en-GB" w:eastAsia="zh-CN"/>
        </w:rPr>
        <w:t>R1-2109402 (Xiaomi)</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jc w:val="both"/>
              <w:rPr>
                <w:color w:val="000000"/>
              </w:rPr>
            </w:pPr>
            <w:r>
              <w:rPr>
                <w:rFonts w:cs="Calibri"/>
                <w:iCs/>
                <w:lang w:eastAsia="zh-CN"/>
              </w:rPr>
              <w:t>I</w:t>
            </w:r>
            <w:r>
              <w:rPr>
                <w:rFonts w:hint="eastAsia" w:cs="Calibri"/>
                <w:iCs/>
                <w:lang w:eastAsia="zh-CN"/>
              </w:rPr>
              <w:t>n</w:t>
            </w:r>
            <w:r>
              <w:rPr>
                <w:rFonts w:cs="Calibri"/>
                <w:iCs/>
                <w:lang w:eastAsia="zh-CN"/>
              </w:rPr>
              <w:t xml:space="preserve"> </w:t>
            </w:r>
            <w:r>
              <w:rPr>
                <w:rFonts w:hint="eastAsia" w:cs="Calibri"/>
                <w:iCs/>
                <w:lang w:eastAsia="zh-CN"/>
              </w:rPr>
              <w:t>current</w:t>
            </w:r>
            <w:r>
              <w:rPr>
                <w:rFonts w:cs="Calibri"/>
                <w:iCs/>
                <w:lang w:eastAsia="zh-CN"/>
              </w:rPr>
              <w:t xml:space="preserve"> </w:t>
            </w:r>
            <w:r>
              <w:rPr>
                <w:rFonts w:hint="eastAsia" w:cs="Calibri"/>
                <w:iCs/>
                <w:lang w:eastAsia="zh-CN"/>
              </w:rPr>
              <w:t>spec,</w:t>
            </w:r>
            <w:r>
              <w:rPr>
                <w:rFonts w:cs="Calibri"/>
                <w:iCs/>
                <w:lang w:eastAsia="zh-CN"/>
              </w:rPr>
              <w:t xml:space="preserve"> UE can report its cross carrier scheduling capability for DL/UL separately by one of </w:t>
            </w:r>
            <w:r>
              <w:t>{</w:t>
            </w:r>
            <w:r>
              <w:rPr>
                <w:rFonts w:hint="eastAsia"/>
              </w:rPr>
              <w:t xml:space="preserve"> </w:t>
            </w:r>
            <w:r>
              <w:t>low-to-high, high-to-low, both}, which has no restriction on the SCS difference of the carrier pair(the scheduling</w:t>
            </w:r>
            <w:r>
              <w:rPr>
                <w:rFonts w:hint="eastAsia"/>
                <w:lang w:eastAsia="zh-CN"/>
              </w:rPr>
              <w:t>/</w:t>
            </w:r>
            <w:r>
              <w:rPr>
                <w:lang w:eastAsia="zh-CN"/>
              </w:rPr>
              <w:t>sc</w:t>
            </w:r>
            <w:r>
              <w:t>heduled carriers). but with the introduction of SCS 480/960KHz in NR 52.6-71GHz, the SCS difference of the carrier pair would be too large for UE to handle, for example, with carrier pair=15/480KHz, a slot in PDCCH channel would cover 32 slots in PDSCH channel. suppose the PDCCH channel is 3 symbol length, and UE need 2 symbol</w:t>
            </w:r>
            <w:r>
              <w:rPr>
                <w:lang w:eastAsia="zh-CN"/>
              </w:rPr>
              <w:t>(in PDCCH channel)</w:t>
            </w:r>
            <w:r>
              <w:t xml:space="preserve"> to decode the PDCCH, </w:t>
            </w:r>
            <w:r>
              <w:rPr>
                <w:rFonts w:hint="eastAsia"/>
                <w:lang w:eastAsia="zh-CN"/>
              </w:rPr>
              <w:t>th</w:t>
            </w:r>
            <w:r>
              <w:rPr>
                <w:lang w:eastAsia="zh-CN"/>
              </w:rPr>
              <w:t>e</w:t>
            </w:r>
            <w:r>
              <w:rPr>
                <w:rFonts w:hint="eastAsia"/>
                <w:lang w:eastAsia="zh-CN"/>
              </w:rPr>
              <w:t>n</w:t>
            </w:r>
            <w:r>
              <w:t xml:space="preserve"> and UE has to buffer all the PDSCH information with length of 5*32=160 symbol in PDSCH channel. this would be challenging for UE implementation. So some restriction </w:t>
            </w:r>
            <w:r>
              <w:rPr>
                <w:lang w:eastAsia="zh-CN"/>
              </w:rPr>
              <w:t>on cross carrier scheduling</w:t>
            </w:r>
            <w:r>
              <w:t xml:space="preserve"> would be desirable, for example, UE can report its capability for supported carrier pair like </w:t>
            </w:r>
            <w:r>
              <w:rPr>
                <w:position w:val="-14"/>
              </w:rPr>
              <w:object>
                <v:shape id="_x0000_i1043" o:spt="75" type="#_x0000_t75" style="height:14.35pt;width:76.45pt;" o:ole="t" filled="f" o:preferrelative="t" stroked="f" coordsize="21600,21600">
                  <v:path/>
                  <v:fill on="f" focussize="0,0"/>
                  <v:stroke on="f" joinstyle="miter"/>
                  <v:imagedata r:id="rId58" o:title=""/>
                  <o:lock v:ext="edit" aspectratio="t"/>
                  <w10:wrap type="none"/>
                  <w10:anchorlock/>
                </v:shape>
                <o:OLEObject Type="Embed" ProgID="Equation.DSMT4" ShapeID="_x0000_i1043" DrawAspect="Content" ObjectID="_1468075743" r:id="rId57">
                  <o:LockedField>false</o:LockedField>
                </o:OLEObject>
              </w:object>
            </w:r>
            <w:r>
              <w:t>.</w:t>
            </w:r>
          </w:p>
          <w:p>
            <w:pPr>
              <w:pStyle w:val="30"/>
              <w:widowControl w:val="0"/>
              <w:spacing w:before="120" w:beforeLines="50"/>
              <w:rPr>
                <w:lang w:eastAsia="zh-CN"/>
              </w:rPr>
            </w:pPr>
            <w:r>
              <w:rPr>
                <w:b/>
                <w:i/>
                <w:lang w:eastAsia="zh-CN"/>
              </w:rPr>
              <w:t xml:space="preserve">Proposal 9: Some restriction on cross carrier scheduling would be desirable, for example, UE can report its capability for supported carrier pair </w:t>
            </w:r>
            <w:r>
              <w:rPr>
                <w:b/>
                <w:i/>
              </w:rPr>
              <w:t xml:space="preserve">like </w:t>
            </w:r>
            <w:r>
              <w:rPr>
                <w:position w:val="-14"/>
              </w:rPr>
              <w:object>
                <v:shape id="_x0000_i1044" o:spt="75" type="#_x0000_t75" style="height:14.35pt;width:76.45pt;" o:ole="t" filled="f" o:preferrelative="t" stroked="f" coordsize="21600,21600">
                  <v:path/>
                  <v:fill on="f" focussize="0,0"/>
                  <v:stroke on="f" joinstyle="miter"/>
                  <v:imagedata r:id="rId58" o:title=""/>
                  <o:lock v:ext="edit" aspectratio="t"/>
                  <w10:wrap type="none"/>
                  <w10:anchorlock/>
                </v:shape>
                <o:OLEObject Type="Embed" ProgID="Equation.DSMT4" ShapeID="_x0000_i1044" DrawAspect="Content" ObjectID="_1468075744" r:id="rId59">
                  <o:LockedField>false</o:LockedField>
                </o:OLEObject>
              </w:object>
            </w:r>
          </w:p>
        </w:tc>
      </w:tr>
    </w:tbl>
    <w:p>
      <w:pPr>
        <w:rPr>
          <w:lang w:eastAsia="zh-CN"/>
        </w:rPr>
      </w:pPr>
    </w:p>
    <w:p>
      <w:pPr>
        <w:pStyle w:val="4"/>
        <w:jc w:val="both"/>
        <w:rPr>
          <w:lang w:val="en-GB" w:eastAsia="zh-CN"/>
        </w:rPr>
      </w:pPr>
      <w:r>
        <w:rPr>
          <w:lang w:val="en-GB" w:eastAsia="zh-CN"/>
        </w:rPr>
        <w:t>R1-2109599 (Intel)</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83" w:type="dxa"/>
            <w:vAlign w:val="center"/>
          </w:tcPr>
          <w:p>
            <w:pPr>
              <w:widowControl w:val="0"/>
              <w:jc w:val="both"/>
            </w:pPr>
            <w:r>
              <w:t xml:space="preserve">Cross-carrier scheduling is a quite useful feature for NR. Therefore, it is expected that cross-carrier scheduling between serving cells using SCS 120/480/960kHz can be supported. On the other hand, one more discussion point is the carrier aggregation (CA) between a cell in FR2-2 and a cell in FR2-1 or even FR1. From specification completeness point of view, such CA scenario could be supported, especially considering a PCell in lower frequency than 52.6-71GHz is more appropriate for coverage/robustness. As discussed in MR-DC in Rel-16, the minimum PDSCH scheduling delay and minimum A-CSI RS triggering offset applicable to SCS 480kHz and 960kHz should be discussed. On the other hand, if such kind of CA is supported and cross-carrier scheduling is considered, an extreme case could be that a slot with SCS 15kHz is used to schedule up to 64 slots with SCS 960kHz. Without a clear motivation, we prefer to avoid unnecessary optimization. </w:t>
            </w:r>
          </w:p>
          <w:p>
            <w:pPr>
              <w:widowControl w:val="0"/>
              <w:jc w:val="both"/>
              <w:rPr>
                <w:b/>
                <w:bCs/>
              </w:rPr>
            </w:pPr>
            <w:r>
              <w:rPr>
                <w:b/>
                <w:bCs/>
              </w:rPr>
              <w:t xml:space="preserve">Proposal 9: </w:t>
            </w:r>
          </w:p>
          <w:p>
            <w:pPr>
              <w:pStyle w:val="94"/>
              <w:widowControl w:val="0"/>
              <w:numPr>
                <w:ilvl w:val="0"/>
                <w:numId w:val="22"/>
              </w:numPr>
              <w:spacing w:before="60" w:after="0" w:line="240" w:lineRule="auto"/>
              <w:jc w:val="both"/>
            </w:pPr>
            <w:r>
              <w:t>Cross-carrier scheduling of cell in FR2-2 from/to a cell of FR1 and FR2-1 is allowed by specification</w:t>
            </w:r>
          </w:p>
          <w:p>
            <w:pPr>
              <w:pStyle w:val="94"/>
              <w:widowControl w:val="0"/>
              <w:numPr>
                <w:ilvl w:val="1"/>
                <w:numId w:val="22"/>
              </w:numPr>
              <w:spacing w:before="60" w:after="0" w:line="240" w:lineRule="auto"/>
              <w:rPr>
                <w:lang w:eastAsia="zh-CN"/>
              </w:rPr>
            </w:pPr>
            <w:r>
              <w:rPr>
                <w:lang w:eastAsia="zh-CN"/>
              </w:rPr>
              <w:t>The minimum PDSCH scheduling delay and the minimum A-CSI RS triggering offset applicable to SCS 480kHz and 960kHz needs to be discussed.</w:t>
            </w:r>
          </w:p>
          <w:p>
            <w:pPr>
              <w:pStyle w:val="94"/>
              <w:widowControl w:val="0"/>
              <w:numPr>
                <w:ilvl w:val="1"/>
                <w:numId w:val="22"/>
              </w:numPr>
              <w:spacing w:before="60" w:after="0" w:line="240" w:lineRule="auto"/>
              <w:rPr>
                <w:lang w:eastAsia="zh-CN"/>
              </w:rPr>
            </w:pPr>
            <w:r>
              <w:rPr>
                <w:lang w:eastAsia="zh-CN"/>
              </w:rPr>
              <w:t>Additional enhancements are deprioritized unless a clear motivation is identified.</w:t>
            </w:r>
          </w:p>
          <w:p>
            <w:pPr>
              <w:widowControl w:val="0"/>
              <w:snapToGrid/>
              <w:spacing w:line="240" w:lineRule="auto"/>
              <w:jc w:val="both"/>
              <w:rPr>
                <w:b/>
                <w:bCs/>
                <w:sz w:val="20"/>
                <w:szCs w:val="20"/>
                <w:lang w:val="en-GB"/>
              </w:rPr>
            </w:pPr>
          </w:p>
        </w:tc>
      </w:tr>
    </w:tbl>
    <w:p>
      <w:pPr>
        <w:rPr>
          <w:lang w:eastAsia="zh-CN"/>
        </w:rPr>
      </w:pPr>
    </w:p>
    <w:p>
      <w:pPr>
        <w:pStyle w:val="4"/>
        <w:jc w:val="both"/>
        <w:rPr>
          <w:lang w:val="en-GB" w:eastAsia="zh-CN"/>
        </w:rPr>
      </w:pPr>
      <w:r>
        <w:rPr>
          <w:lang w:val="en-GB" w:eastAsia="zh-CN"/>
        </w:rPr>
        <w:t>R1-2109962 (LG)</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spacing w:before="120" w:line="240" w:lineRule="auto"/>
              <w:ind w:firstLine="220" w:firstLineChars="100"/>
              <w:rPr>
                <w:rFonts w:eastAsia="Batang"/>
                <w:lang w:eastAsia="ko-KR"/>
              </w:rPr>
            </w:pPr>
            <w:r>
              <w:rPr>
                <w:rFonts w:eastAsia="Batang"/>
                <w:lang w:eastAsia="ko-KR"/>
              </w:rPr>
              <w:t xml:space="preserve">For carrier aggregation in rel-15/16, if a UE is configured with DL cells greater than the number of BD capable cells (reported by </w:t>
            </w:r>
            <w:r>
              <w:rPr>
                <w:i/>
              </w:rPr>
              <w:t>pdcch-BlindDetectionCA</w:t>
            </w:r>
            <w:r>
              <w:rPr>
                <w:rFonts w:eastAsia="Batang"/>
                <w:lang w:eastAsia="ko-KR"/>
              </w:rPr>
              <w:t>), the total number of PDCCH candidates or non-overlapped CCEs per slot or per span should be recalculated according to the following specifications in 38.213 clause 10.1.</w:t>
            </w:r>
          </w:p>
          <w:tbl>
            <w:tblPr>
              <w:tblStyle w:val="5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28" w:type="dxa"/>
                  <w:vAlign w:val="center"/>
                </w:tcPr>
                <w:p>
                  <w:pPr>
                    <w:widowControl w:val="0"/>
                    <w:spacing w:line="240" w:lineRule="atLeast"/>
                    <w:rPr>
                      <w:lang w:eastAsia="ko-KR"/>
                    </w:rPr>
                  </w:pPr>
                  <w:r>
                    <w:rPr>
                      <w:lang w:eastAsia="ko-KR"/>
                    </w:rPr>
                    <w:t xml:space="preserve">If a UE </w:t>
                  </w:r>
                </w:p>
                <w:p>
                  <w:pPr>
                    <w:pStyle w:val="94"/>
                    <w:widowControl w:val="0"/>
                    <w:spacing w:line="240" w:lineRule="atLeast"/>
                    <w:rPr>
                      <w:lang w:val="en-US"/>
                    </w:rPr>
                  </w:pPr>
                  <w:r>
                    <w:rPr>
                      <w:lang w:eastAsia="ko-KR"/>
                    </w:rPr>
                    <w:t>-</w:t>
                  </w:r>
                  <w:r>
                    <w:rPr>
                      <w:lang w:eastAsia="ko-KR"/>
                    </w:rPr>
                    <w:tab/>
                  </w:r>
                  <w:r>
                    <w:t xml:space="preserve">is configured with </w:t>
                  </w:r>
                  <m:oMath>
                    <m:sSubSup>
                      <m:sSubSupPr>
                        <m:ctrlPr>
                          <w:rPr>
                            <w:rFonts w:ascii="Cambria Math" w:hAnsi="Cambria Math"/>
                            <w:i/>
                          </w:rPr>
                        </m:ctrlPr>
                      </m:sSubSupPr>
                      <m:e>
                        <m:r>
                          <w:rPr>
                            <w:rFonts w:ascii="Cambria Math"/>
                          </w:rPr>
                          <m:t>N</m:t>
                        </m:r>
                        <m:ctrlPr>
                          <w:rPr>
                            <w:rFonts w:ascii="Cambria Math" w:hAnsi="Cambria Math"/>
                            <w:i/>
                          </w:rPr>
                        </m:ctrlPr>
                      </m:e>
                      <m:sub>
                        <m:r>
                          <m:rPr>
                            <m:nor/>
                            <m:sty m:val="p"/>
                          </m:rPr>
                          <w:rPr>
                            <w:rFonts w:ascii="Cambria Math"/>
                          </w:rPr>
                          <m:t>cells,0</m:t>
                        </m:r>
                        <m:ctrlPr>
                          <w:rPr>
                            <w:rFonts w:ascii="Cambria Math" w:hAnsi="Cambria Math"/>
                          </w:rPr>
                        </m:ctrlPr>
                      </m:sub>
                      <m:sup>
                        <m:r>
                          <m:rPr>
                            <m:nor/>
                            <m:sty m:val="p"/>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ctrlPr>
                          <w:rPr>
                            <w:rFonts w:ascii="Cambria Math" w:hAnsi="Cambria Math"/>
                            <w:i/>
                          </w:rPr>
                        </m:ctrlPr>
                      </m:e>
                      <m:sub>
                        <m:r>
                          <m:rPr>
                            <m:nor/>
                            <m:sty m:val="p"/>
                          </m:rPr>
                          <w:rPr>
                            <w:rFonts w:ascii="Cambria Math"/>
                          </w:rPr>
                          <m:t>cells,1</m:t>
                        </m:r>
                        <m:ctrlPr>
                          <w:rPr>
                            <w:rFonts w:ascii="Cambria Math" w:hAnsi="Cambria Math"/>
                          </w:rPr>
                        </m:ctrlPr>
                      </m:sub>
                      <m:sup>
                        <m:r>
                          <m:rPr>
                            <m:nor/>
                            <m:sty m:val="p"/>
                          </m:rPr>
                          <w:rPr>
                            <w:rFonts w:ascii="Cambria Math"/>
                          </w:rPr>
                          <m:t>DL,</m:t>
                        </m:r>
                        <m:r>
                          <w:rPr>
                            <w:rFonts w:ascii="Cambria Math"/>
                          </w:rPr>
                          <m:t>μ</m:t>
                        </m:r>
                        <m:ctrlPr>
                          <w:rPr>
                            <w:rFonts w:ascii="Cambria Math" w:hAnsi="Cambria Math"/>
                          </w:rPr>
                        </m:ctrlPr>
                      </m:sup>
                    </m:sSubSup>
                  </m:oMath>
                  <w:r>
                    <w:t xml:space="preserve"> downlink cells </w:t>
                  </w:r>
                  <w:r>
                    <w:rPr>
                      <w:lang w:val="en-US"/>
                    </w:rPr>
                    <w:t xml:space="preserve">for which the UE </w:t>
                  </w:r>
                  <w:r>
                    <w:t xml:space="preserve">is not provided </w:t>
                  </w:r>
                  <w:r>
                    <w:rPr>
                      <w:i/>
                    </w:rPr>
                    <w:t>monitoringCapabilityConfig</w:t>
                  </w:r>
                  <w:r>
                    <w:rPr>
                      <w:i/>
                      <w:lang w:val="en-US"/>
                    </w:rPr>
                    <w:t>,</w:t>
                  </w:r>
                  <w:r>
                    <w:t xml:space="preserve"> or is provided </w:t>
                  </w:r>
                  <w:r>
                    <w:rPr>
                      <w:i/>
                    </w:rPr>
                    <w:t>monitoringCapabilityConfig-r16</w:t>
                  </w:r>
                  <w:r>
                    <w:t xml:space="preserve"> = </w:t>
                  </w:r>
                  <w:r>
                    <w:rPr>
                      <w:i/>
                    </w:rPr>
                    <w:t>r15monitoringcapability</w:t>
                  </w:r>
                  <w:r>
                    <w:rPr>
                      <w:i/>
                      <w:lang w:val="en-US"/>
                    </w:rPr>
                    <w:t xml:space="preserve"> </w:t>
                  </w:r>
                  <w:r>
                    <w:t xml:space="preserve">but not </w:t>
                  </w:r>
                  <w:r>
                    <w:rPr>
                      <w:iCs/>
                    </w:rPr>
                    <w:t xml:space="preserve">provided </w:t>
                  </w:r>
                  <w:r>
                    <w:rPr>
                      <w:i/>
                      <w:iCs/>
                      <w:lang w:val="en-US"/>
                    </w:rPr>
                    <w:t>coreset</w:t>
                  </w:r>
                  <w:r>
                    <w:rPr>
                      <w:i/>
                      <w:iCs/>
                    </w:rPr>
                    <w:t>PoolIndex</w:t>
                  </w:r>
                  <w:r>
                    <w:rPr>
                      <w:lang w:val="en-US"/>
                    </w:rPr>
                    <w:t xml:space="preserve">, </w:t>
                  </w:r>
                </w:p>
                <w:p>
                  <w:pPr>
                    <w:pStyle w:val="94"/>
                    <w:widowControl w:val="0"/>
                    <w:spacing w:line="240" w:lineRule="atLeast"/>
                    <w:rPr>
                      <w:lang w:val="en-US"/>
                    </w:rPr>
                  </w:pPr>
                  <w:r>
                    <w:rPr>
                      <w:lang w:val="en-US" w:eastAsia="ko-KR"/>
                    </w:rPr>
                    <w:t>-</w:t>
                  </w:r>
                  <w:r>
                    <w:rPr>
                      <w:lang w:val="en-US" w:eastAsia="ko-KR"/>
                    </w:rPr>
                    <w:tab/>
                  </w:r>
                  <w:r>
                    <w:rPr>
                      <w:lang w:val="en-US"/>
                    </w:rPr>
                    <w:t xml:space="preserve">with </w:t>
                  </w:r>
                  <w:r>
                    <w:rPr>
                      <w:lang w:eastAsia="ko-KR"/>
                    </w:rPr>
                    <w:t xml:space="preserve">associated PDCCH candidates monitored in the </w:t>
                  </w:r>
                  <w:r>
                    <w:rPr>
                      <w:lang w:val="en-US"/>
                    </w:rPr>
                    <w:t xml:space="preserve">active </w:t>
                  </w:r>
                  <w:r>
                    <w:t xml:space="preserve">DL BWPs of the scheduling cell(s) using SCS configuration </w:t>
                  </w:r>
                  <m:oMath>
                    <m:r>
                      <w:rPr>
                        <w:rFonts w:ascii="Cambria Math" w:hAnsi="Cambria Math"/>
                        <w:lang w:eastAsia="zh-CN"/>
                      </w:rPr>
                      <m:t>μ</m:t>
                    </m:r>
                  </m:oMath>
                  <w:r>
                    <w:rPr>
                      <w:lang w:val="en-US"/>
                    </w:rPr>
                    <w:t>,</w:t>
                  </w:r>
                  <w:r>
                    <w:t xml:space="preserve"> where </w:t>
                  </w:r>
                  <m:oMath>
                    <m:nary>
                      <m:naryPr>
                        <m:chr m:val="∑"/>
                        <m:ctrlPr>
                          <w:rPr>
                            <w:rFonts w:ascii="Cambria Math" w:hAnsi="Cambria Math"/>
                            <w:i/>
                          </w:rPr>
                        </m:ctrlPr>
                      </m:naryPr>
                      <m:sub>
                        <m:r>
                          <w:rPr>
                            <w:rFonts w:ascii="Cambria Math"/>
                          </w:rPr>
                          <m:t>μ=0</m:t>
                        </m:r>
                        <m:ctrlPr>
                          <w:rPr>
                            <w:rFonts w:ascii="Cambria Math" w:hAnsi="Cambria Math"/>
                            <w:i/>
                          </w:rPr>
                        </m:ctrlPr>
                      </m:sub>
                      <m:sup>
                        <m:r>
                          <w:rPr>
                            <w:rFonts w:ascii="Cambria Math"/>
                          </w:rPr>
                          <m:t>3</m:t>
                        </m:r>
                        <m:ctrlPr>
                          <w:rPr>
                            <w:rFonts w:ascii="Cambria Math" w:hAnsi="Cambria Math"/>
                            <w:i/>
                          </w:rPr>
                        </m:ctrlPr>
                      </m:sup>
                      <m:e>
                        <m:d>
                          <m:dPr>
                            <m:ctrlPr>
                              <w:rPr>
                                <w:rFonts w:ascii="Cambria Math" w:hAnsi="Cambria Math"/>
                                <w:i/>
                              </w:rPr>
                            </m:ctrlPr>
                          </m:dPr>
                          <m:e>
                            <m:sSubSup>
                              <m:sSubSupPr>
                                <m:ctrlPr>
                                  <w:rPr>
                                    <w:rFonts w:ascii="Cambria Math" w:hAnsi="Cambria Math"/>
                                    <w:i/>
                                  </w:rPr>
                                </m:ctrlPr>
                              </m:sSubSupPr>
                              <m:e>
                                <m:r>
                                  <w:rPr>
                                    <w:rFonts w:ascii="Cambria Math"/>
                                  </w:rPr>
                                  <m:t>N</m:t>
                                </m:r>
                                <m:ctrlPr>
                                  <w:rPr>
                                    <w:rFonts w:ascii="Cambria Math" w:hAnsi="Cambria Math"/>
                                    <w:i/>
                                  </w:rPr>
                                </m:ctrlPr>
                              </m:e>
                              <m:sub>
                                <m:r>
                                  <m:rPr>
                                    <m:nor/>
                                    <m:sty m:val="p"/>
                                  </m:rPr>
                                  <w:rPr>
                                    <w:rFonts w:ascii="Cambria Math"/>
                                  </w:rPr>
                                  <m:t>cells,0</m:t>
                                </m:r>
                                <m:ctrlPr>
                                  <w:rPr>
                                    <w:rFonts w:ascii="Cambria Math" w:hAnsi="Cambria Math"/>
                                  </w:rPr>
                                </m:ctrlPr>
                              </m:sub>
                              <m:sup>
                                <m:r>
                                  <m:rPr>
                                    <m:nor/>
                                    <m:sty m:val="p"/>
                                  </m:rPr>
                                  <w:rPr>
                                    <w:rFonts w:ascii="Cambria Math"/>
                                  </w:rPr>
                                  <m:t>DL,</m:t>
                                </m:r>
                                <m:r>
                                  <w:rPr>
                                    <w:rFonts w:asci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N</m:t>
                                </m:r>
                                <m:ctrlPr>
                                  <w:rPr>
                                    <w:rFonts w:ascii="Cambria Math" w:hAnsi="Cambria Math"/>
                                    <w:i/>
                                  </w:rPr>
                                </m:ctrlPr>
                              </m:e>
                              <m:sub>
                                <m:r>
                                  <m:rPr>
                                    <m:nor/>
                                    <m:sty m:val="p"/>
                                  </m:rPr>
                                  <w:rPr>
                                    <w:rFonts w:ascii="Cambria Math"/>
                                  </w:rPr>
                                  <m:t>cells,1</m:t>
                                </m:r>
                                <m:ctrlPr>
                                  <w:rPr>
                                    <w:rFonts w:ascii="Cambria Math" w:hAnsi="Cambria Math"/>
                                  </w:rPr>
                                </m:ctrlPr>
                              </m:sub>
                              <m:sup>
                                <m:r>
                                  <m:rPr>
                                    <m:nor/>
                                    <m:sty m:val="p"/>
                                  </m:rPr>
                                  <w:rPr>
                                    <w:rFonts w:ascii="Cambria Math"/>
                                  </w:rPr>
                                  <m:t>DL,</m:t>
                                </m:r>
                                <m:r>
                                  <w:rPr>
                                    <w:rFonts w:ascii="Cambria Math"/>
                                  </w:rPr>
                                  <m:t>μ</m:t>
                                </m:r>
                                <m:ctrlPr>
                                  <w:rPr>
                                    <w:rFonts w:ascii="Cambria Math" w:hAnsi="Cambria Math"/>
                                  </w:rPr>
                                </m:ctrlPr>
                              </m:sup>
                            </m:sSubSup>
                            <m:ctrlPr>
                              <w:rPr>
                                <w:rFonts w:ascii="Cambria Math" w:hAnsi="Cambria Math"/>
                                <w:i/>
                              </w:rPr>
                            </m:ctrlPr>
                          </m:e>
                        </m:d>
                        <m:ctrlPr>
                          <w:rPr>
                            <w:rFonts w:ascii="Cambria Math" w:hAnsi="Cambria Math"/>
                            <w:i/>
                          </w:rPr>
                        </m:ctrlPr>
                      </m:e>
                    </m:nary>
                    <m:r>
                      <w:rPr>
                        <w:rFonts w:ascii="Cambria Math"/>
                      </w:rPr>
                      <m:t>&gt;</m:t>
                    </m:r>
                    <m:sSubSup>
                      <m:sSubSupPr>
                        <m:ctrlPr>
                          <w:rPr>
                            <w:rFonts w:ascii="Cambria Math" w:hAnsi="Cambria Math"/>
                            <w:i/>
                          </w:rPr>
                        </m:ctrlPr>
                      </m:sSubSupPr>
                      <m:e>
                        <m:r>
                          <w:rPr>
                            <w:rFonts w:ascii="Cambria Math"/>
                          </w:rPr>
                          <m:t>N</m:t>
                        </m:r>
                        <m:ctrlPr>
                          <w:rPr>
                            <w:rFonts w:ascii="Cambria Math" w:hAnsi="Cambria Math"/>
                            <w:i/>
                          </w:rPr>
                        </m:ctrlPr>
                      </m:e>
                      <m:sub>
                        <m:r>
                          <m:rPr>
                            <m:nor/>
                            <m:sty m:val="p"/>
                          </m:rPr>
                          <w:rPr>
                            <w:rFonts w:ascii="Cambria Math"/>
                          </w:rPr>
                          <m:t>cells</m:t>
                        </m:r>
                        <m:ctrlPr>
                          <w:rPr>
                            <w:rFonts w:ascii="Cambria Math" w:hAnsi="Cambria Math"/>
                          </w:rPr>
                        </m:ctrlPr>
                      </m:sub>
                      <m:sup>
                        <m:r>
                          <m:rPr>
                            <m:nor/>
                            <m:sty m:val="p"/>
                          </m:rPr>
                          <w:rPr>
                            <w:rFonts w:ascii="Cambria Math"/>
                          </w:rPr>
                          <m:t>cap</m:t>
                        </m:r>
                        <m:ctrlPr>
                          <w:rPr>
                            <w:rFonts w:ascii="Cambria Math" w:hAnsi="Cambria Math"/>
                          </w:rPr>
                        </m:ctrlPr>
                      </m:sup>
                    </m:sSubSup>
                  </m:oMath>
                  <w:r>
                    <w:rPr>
                      <w:lang w:val="en-US"/>
                    </w:rPr>
                    <w:t>, and</w:t>
                  </w:r>
                </w:p>
                <w:p>
                  <w:pPr>
                    <w:pStyle w:val="94"/>
                    <w:widowControl w:val="0"/>
                    <w:spacing w:line="240" w:lineRule="atLeast"/>
                    <w:rPr>
                      <w:lang w:val="en-US"/>
                    </w:rPr>
                  </w:pPr>
                  <w:r>
                    <w:rPr>
                      <w:lang w:eastAsia="ko-KR"/>
                    </w:rPr>
                    <w:t>-</w:t>
                  </w:r>
                  <w:r>
                    <w:rPr>
                      <w:lang w:eastAsia="ko-KR"/>
                    </w:rPr>
                    <w:tab/>
                  </w:r>
                  <w:r>
                    <w:rPr>
                      <w:lang w:val="en-US"/>
                    </w:rPr>
                    <w:t xml:space="preserve">a DL BWP of an activated cell is the active DL BWP of the activated cell, and a DL BWP of a deactivated cell is the </w:t>
                  </w:r>
                  <w:r>
                    <w:t xml:space="preserve">DL BWP with </w:t>
                  </w:r>
                  <w:r>
                    <w:rPr>
                      <w:lang w:val="en-US"/>
                    </w:rPr>
                    <w:t>index provided by</w:t>
                  </w:r>
                  <w:r>
                    <w:t xml:space="preserve"> </w:t>
                  </w:r>
                  <w:r>
                    <w:rPr>
                      <w:i/>
                    </w:rPr>
                    <w:t>firstActiveDownlinkBWP-Id</w:t>
                  </w:r>
                  <w:r>
                    <w:rPr>
                      <w:lang w:val="en-US"/>
                    </w:rPr>
                    <w:t xml:space="preserve"> for the deactivated cell, </w:t>
                  </w:r>
                </w:p>
                <w:p>
                  <w:pPr>
                    <w:pStyle w:val="94"/>
                    <w:widowControl w:val="0"/>
                    <w:spacing w:line="240" w:lineRule="atLeast"/>
                    <w:ind w:left="0" w:firstLine="0"/>
                    <w:jc w:val="both"/>
                    <w:rPr>
                      <w:lang w:val="en-US"/>
                    </w:rPr>
                  </w:pPr>
                  <w:r>
                    <w:rPr>
                      <w:lang w:eastAsia="ko-KR"/>
                    </w:rPr>
                    <w:t xml:space="preserve">the UE is </w:t>
                  </w:r>
                  <w:r>
                    <w:rPr>
                      <w:lang w:val="en-US" w:eastAsia="ko-KR"/>
                    </w:rPr>
                    <w:t>not required</w:t>
                  </w:r>
                  <w:r>
                    <w:rPr>
                      <w:lang w:eastAsia="ko-KR"/>
                    </w:rPr>
                    <w:t xml:space="preserve"> to monitor </w:t>
                  </w:r>
                  <w:r>
                    <w:rPr>
                      <w:lang w:val="en-US" w:eastAsia="ko-KR"/>
                    </w:rPr>
                    <w:t xml:space="preserve">more than </w:t>
                  </w:r>
                  <m:oMath>
                    <m:sSubSup>
                      <m:sSubSupPr>
                        <m:ctrlPr>
                          <w:rPr>
                            <w:rFonts w:ascii="Cambria Math" w:hAnsi="Cambria Math" w:cs="Calibri"/>
                            <w:i/>
                            <w:sz w:val="22"/>
                            <w:szCs w:val="22"/>
                            <w:highlight w:val="yellow"/>
                          </w:rPr>
                        </m:ctrlPr>
                      </m:sSubSupPr>
                      <m:e>
                        <m:r>
                          <w:rPr>
                            <w:rFonts w:ascii="Cambria Math" w:hAnsi="Cambria Math" w:cs="Calibri"/>
                            <w:sz w:val="22"/>
                            <w:szCs w:val="22"/>
                            <w:highlight w:val="yellow"/>
                          </w:rPr>
                          <m:t>M</m:t>
                        </m:r>
                        <m:ctrlPr>
                          <w:rPr>
                            <w:rFonts w:ascii="Cambria Math" w:hAnsi="Cambria Math" w:cs="Calibri"/>
                            <w:i/>
                            <w:sz w:val="22"/>
                            <w:szCs w:val="22"/>
                            <w:highlight w:val="yellow"/>
                          </w:rPr>
                        </m:ctrlPr>
                      </m:e>
                      <m:sub>
                        <m:r>
                          <m:rPr>
                            <m:nor/>
                            <m:sty m:val="p"/>
                          </m:rPr>
                          <w:rPr>
                            <w:rFonts w:hAnsi="Calibri" w:cs="Calibri"/>
                            <w:sz w:val="22"/>
                            <w:szCs w:val="22"/>
                            <w:highlight w:val="yellow"/>
                          </w:rPr>
                          <m:t>PDCCH</m:t>
                        </m:r>
                        <m:ctrlPr>
                          <w:rPr>
                            <w:rFonts w:ascii="Cambria Math" w:hAnsi="Cambria Math" w:cs="Calibri"/>
                            <w:sz w:val="22"/>
                            <w:szCs w:val="22"/>
                            <w:highlight w:val="yellow"/>
                          </w:rPr>
                        </m:ctrlPr>
                      </m:sub>
                      <m:sup>
                        <m:r>
                          <m:rPr>
                            <m:nor/>
                            <m:sty m:val="p"/>
                          </m:rPr>
                          <w:rPr>
                            <w:rFonts w:hAnsi="Calibri" w:cs="Calibri"/>
                            <w:sz w:val="22"/>
                            <w:szCs w:val="22"/>
                            <w:highlight w:val="yellow"/>
                          </w:rPr>
                          <m:t>total,slot,</m:t>
                        </m:r>
                        <m:r>
                          <w:rPr>
                            <w:rFonts w:ascii="Cambria Math" w:hAnsi="Cambria Math" w:cs="Calibri"/>
                            <w:sz w:val="22"/>
                            <w:szCs w:val="22"/>
                            <w:highlight w:val="yellow"/>
                          </w:rPr>
                          <m:t>μ</m:t>
                        </m:r>
                        <m:ctrlPr>
                          <w:rPr>
                            <w:rFonts w:ascii="Cambria Math" w:hAnsi="Cambria Math" w:cs="Calibri"/>
                            <w:sz w:val="22"/>
                            <w:szCs w:val="22"/>
                            <w:highlight w:val="yellow"/>
                          </w:rPr>
                        </m:ctrlPr>
                      </m:sup>
                    </m:sSubSup>
                    <m:r>
                      <w:rPr>
                        <w:rFonts w:ascii="Cambria Math" w:hAnsi="Cambria Math" w:cs="Calibri"/>
                        <w:sz w:val="22"/>
                        <w:szCs w:val="22"/>
                        <w:highlight w:val="yellow"/>
                      </w:rPr>
                      <m:t>=</m:t>
                    </m:r>
                    <m:d>
                      <m:dPr>
                        <m:begChr m:val="⌊"/>
                        <m:endChr m:val="⌋"/>
                        <m:ctrlPr>
                          <w:rPr>
                            <w:rFonts w:ascii="Cambria Math" w:hAnsi="Cambria Math" w:cs="Calibri"/>
                            <w:i/>
                            <w:sz w:val="22"/>
                            <w:szCs w:val="22"/>
                            <w:highlight w:val="yellow"/>
                          </w:rPr>
                        </m:ctrlPr>
                      </m:dPr>
                      <m:e>
                        <m:sSubSup>
                          <m:sSubSupPr>
                            <m:ctrlPr>
                              <w:rPr>
                                <w:rFonts w:ascii="Cambria Math" w:hAnsi="Cambria Math" w:cs="Calibri"/>
                                <w:i/>
                                <w:sz w:val="22"/>
                                <w:szCs w:val="22"/>
                                <w:highlight w:val="yellow"/>
                              </w:rPr>
                            </m:ctrlPr>
                          </m:sSubSupPr>
                          <m:e>
                            <m:r>
                              <w:rPr>
                                <w:rFonts w:ascii="Cambria Math" w:hAnsi="Cambria Math" w:cs="Calibri"/>
                                <w:sz w:val="22"/>
                                <w:szCs w:val="22"/>
                                <w:highlight w:val="yellow"/>
                              </w:rPr>
                              <m:t>N</m:t>
                            </m:r>
                            <m:ctrlPr>
                              <w:rPr>
                                <w:rFonts w:ascii="Cambria Math" w:hAnsi="Cambria Math" w:cs="Calibri"/>
                                <w:i/>
                                <w:sz w:val="22"/>
                                <w:szCs w:val="22"/>
                                <w:highlight w:val="yellow"/>
                              </w:rPr>
                            </m:ctrlPr>
                          </m:e>
                          <m:sub>
                            <m:r>
                              <m:rPr>
                                <m:nor/>
                                <m:sty m:val="p"/>
                              </m:rPr>
                              <w:rPr>
                                <w:rFonts w:hAnsi="Calibri" w:cs="Calibri"/>
                                <w:sz w:val="22"/>
                                <w:szCs w:val="22"/>
                                <w:highlight w:val="yellow"/>
                              </w:rPr>
                              <m:t>cells</m:t>
                            </m:r>
                            <m:ctrlPr>
                              <w:rPr>
                                <w:rFonts w:ascii="Cambria Math" w:hAnsi="Cambria Math" w:cs="Calibri"/>
                                <w:sz w:val="22"/>
                                <w:szCs w:val="22"/>
                                <w:highlight w:val="yellow"/>
                              </w:rPr>
                            </m:ctrlPr>
                          </m:sub>
                          <m:sup>
                            <m:r>
                              <m:rPr>
                                <m:nor/>
                                <m:sty m:val="p"/>
                              </m:rPr>
                              <w:rPr>
                                <w:rFonts w:hAnsi="Calibri" w:cs="Calibri"/>
                                <w:sz w:val="22"/>
                                <w:szCs w:val="22"/>
                                <w:highlight w:val="yellow"/>
                              </w:rPr>
                              <m:t>cap</m:t>
                            </m:r>
                            <m:ctrlPr>
                              <w:rPr>
                                <w:rFonts w:ascii="Cambria Math" w:hAnsi="Cambria Math" w:cs="Calibri"/>
                                <w:sz w:val="22"/>
                                <w:szCs w:val="22"/>
                                <w:highlight w:val="yellow"/>
                              </w:rPr>
                            </m:ctrlPr>
                          </m:sup>
                        </m:sSubSup>
                        <m:r>
                          <w:rPr>
                            <w:rFonts w:ascii="Cambria Math" w:hAnsi="Cambria Math" w:cs="Cambria Math"/>
                            <w:sz w:val="22"/>
                            <w:szCs w:val="22"/>
                            <w:highlight w:val="yellow"/>
                          </w:rPr>
                          <m:t>⋅</m:t>
                        </m:r>
                        <m:sSubSup>
                          <m:sSubSupPr>
                            <m:ctrlPr>
                              <w:rPr>
                                <w:rFonts w:ascii="Cambria Math" w:hAnsi="Cambria Math" w:cs="Calibri"/>
                                <w:i/>
                                <w:sz w:val="22"/>
                                <w:szCs w:val="22"/>
                                <w:highlight w:val="yellow"/>
                              </w:rPr>
                            </m:ctrlPr>
                          </m:sSubSupPr>
                          <m:e>
                            <m:r>
                              <w:rPr>
                                <w:rFonts w:ascii="Cambria Math" w:hAnsi="Cambria Math" w:cs="Calibri"/>
                                <w:sz w:val="22"/>
                                <w:szCs w:val="22"/>
                                <w:highlight w:val="yellow"/>
                              </w:rPr>
                              <m:t>M</m:t>
                            </m:r>
                            <m:ctrlPr>
                              <w:rPr>
                                <w:rFonts w:ascii="Cambria Math" w:hAnsi="Cambria Math" w:cs="Calibri"/>
                                <w:i/>
                                <w:sz w:val="22"/>
                                <w:szCs w:val="22"/>
                                <w:highlight w:val="yellow"/>
                              </w:rPr>
                            </m:ctrlPr>
                          </m:e>
                          <m:sub>
                            <m:r>
                              <m:rPr>
                                <m:nor/>
                                <m:sty m:val="p"/>
                              </m:rPr>
                              <w:rPr>
                                <w:rFonts w:hAnsi="Calibri" w:cs="Calibri"/>
                                <w:sz w:val="22"/>
                                <w:szCs w:val="22"/>
                                <w:highlight w:val="yellow"/>
                              </w:rPr>
                              <m:t>PDCCH</m:t>
                            </m:r>
                            <m:ctrlPr>
                              <w:rPr>
                                <w:rFonts w:ascii="Cambria Math" w:hAnsi="Cambria Math" w:cs="Calibri"/>
                                <w:sz w:val="22"/>
                                <w:szCs w:val="22"/>
                                <w:highlight w:val="yellow"/>
                              </w:rPr>
                            </m:ctrlPr>
                          </m:sub>
                          <m:sup>
                            <m:r>
                              <m:rPr>
                                <m:nor/>
                                <m:sty m:val="p"/>
                              </m:rPr>
                              <w:rPr>
                                <w:rFonts w:hAnsi="Calibri" w:cs="Calibri"/>
                                <w:sz w:val="22"/>
                                <w:szCs w:val="22"/>
                                <w:highlight w:val="yellow"/>
                              </w:rPr>
                              <m:t>max,slot,</m:t>
                            </m:r>
                            <m:r>
                              <w:rPr>
                                <w:rFonts w:ascii="Cambria Math" w:hAnsi="Cambria Math" w:cs="Calibri"/>
                                <w:sz w:val="22"/>
                                <w:szCs w:val="22"/>
                                <w:highlight w:val="yellow"/>
                              </w:rPr>
                              <m:t>μ</m:t>
                            </m:r>
                            <m:ctrlPr>
                              <w:rPr>
                                <w:rFonts w:ascii="Cambria Math" w:hAnsi="Cambria Math" w:cs="Calibri"/>
                                <w:sz w:val="22"/>
                                <w:szCs w:val="22"/>
                                <w:highlight w:val="yellow"/>
                              </w:rPr>
                            </m:ctrlPr>
                          </m:sup>
                        </m:sSubSup>
                        <m:r>
                          <w:rPr>
                            <w:rFonts w:ascii="Cambria Math" w:hAnsi="Cambria Math" w:cs="Cambria Math"/>
                            <w:sz w:val="22"/>
                            <w:szCs w:val="22"/>
                            <w:highlight w:val="yellow"/>
                          </w:rPr>
                          <m:t>⋅</m:t>
                        </m:r>
                        <m:f>
                          <m:fPr>
                            <m:type m:val="lin"/>
                            <m:ctrlPr>
                              <w:rPr>
                                <w:rFonts w:ascii="Cambria Math" w:hAnsi="Cambria Math" w:cs="Calibri"/>
                                <w:i/>
                                <w:sz w:val="22"/>
                                <w:szCs w:val="22"/>
                                <w:highlight w:val="yellow"/>
                              </w:rPr>
                            </m:ctrlPr>
                          </m:fPr>
                          <m:num>
                            <m:d>
                              <m:dPr>
                                <m:ctrlPr>
                                  <w:rPr>
                                    <w:rFonts w:ascii="Cambria Math" w:hAnsi="Cambria Math"/>
                                    <w:i/>
                                    <w:highlight w:val="yellow"/>
                                  </w:rPr>
                                </m:ctrlPr>
                              </m:dPr>
                              <m:e>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cells,0</m:t>
                                    </m:r>
                                    <m:ctrlPr>
                                      <w:rPr>
                                        <w:rFonts w:ascii="Cambria Math" w:hAnsi="Cambria Math"/>
                                        <w:highlight w:val="yellow"/>
                                      </w:rPr>
                                    </m:ctrlPr>
                                  </m:sub>
                                  <m:sup>
                                    <m:r>
                                      <m:rPr>
                                        <m:nor/>
                                        <m:sty m:val="p"/>
                                      </m:rPr>
                                      <w:rPr>
                                        <w:highlight w:val="yellow"/>
                                      </w:rPr>
                                      <m:t>DL,</m:t>
                                    </m:r>
                                    <m:r>
                                      <w:rPr>
                                        <w:rFonts w:ascii="Cambria Math" w:hAnsi="Cambria Math"/>
                                        <w:highlight w:val="yellow"/>
                                      </w:rPr>
                                      <m:t>μ</m:t>
                                    </m:r>
                                    <m:ctrlPr>
                                      <w:rPr>
                                        <w:rFonts w:ascii="Cambria Math" w:hAnsi="Cambria Math"/>
                                        <w:highlight w:val="yellow"/>
                                      </w:rPr>
                                    </m:ctrlPr>
                                  </m:sup>
                                </m:sSubSup>
                                <m:r>
                                  <w:rPr>
                                    <w:rFonts w:ascii="Cambria Math" w:hAnsi="Cambria Math"/>
                                    <w:highlight w:val="yellow"/>
                                  </w:rPr>
                                  <m:t>+</m:t>
                                </m:r>
                                <m:r>
                                  <w:rPr>
                                    <w:rFonts w:ascii="Cambria Math" w:hAnsi="Cambria Math" w:cstheme="minorHAnsi"/>
                                    <w:highlight w:val="yellow"/>
                                  </w:rPr>
                                  <m:t>γ</m:t>
                                </m:r>
                                <m:r>
                                  <w:rPr>
                                    <w:rFonts w:ascii="Cambria Math" w:hAnsi="Cambria Math"/>
                                    <w:highlight w:val="yellow"/>
                                  </w:rPr>
                                  <m:t>∙</m:t>
                                </m:r>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cells,1</m:t>
                                    </m:r>
                                    <m:ctrlPr>
                                      <w:rPr>
                                        <w:rFonts w:ascii="Cambria Math" w:hAnsi="Cambria Math"/>
                                        <w:highlight w:val="yellow"/>
                                      </w:rPr>
                                    </m:ctrlPr>
                                  </m:sub>
                                  <m:sup>
                                    <m:r>
                                      <m:rPr>
                                        <m:nor/>
                                        <m:sty m:val="p"/>
                                      </m:rPr>
                                      <w:rPr>
                                        <w:highlight w:val="yellow"/>
                                      </w:rPr>
                                      <m:t>DL,</m:t>
                                    </m:r>
                                    <m:r>
                                      <w:rPr>
                                        <w:rFonts w:ascii="Cambria Math" w:hAnsi="Cambria Math"/>
                                        <w:highlight w:val="yellow"/>
                                      </w:rPr>
                                      <m:t>μ</m:t>
                                    </m:r>
                                    <m:ctrlPr>
                                      <w:rPr>
                                        <w:rFonts w:ascii="Cambria Math" w:hAnsi="Cambria Math"/>
                                        <w:highlight w:val="yellow"/>
                                      </w:rPr>
                                    </m:ctrlPr>
                                  </m:sup>
                                </m:sSubSup>
                                <m:ctrlPr>
                                  <w:rPr>
                                    <w:rFonts w:ascii="Cambria Math" w:hAnsi="Cambria Math"/>
                                    <w:i/>
                                    <w:highlight w:val="yellow"/>
                                  </w:rPr>
                                </m:ctrlPr>
                              </m:e>
                            </m:d>
                            <m:ctrlPr>
                              <w:rPr>
                                <w:rFonts w:ascii="Cambria Math" w:hAnsi="Cambria Math" w:cs="Calibri"/>
                                <w:i/>
                                <w:sz w:val="22"/>
                                <w:szCs w:val="22"/>
                                <w:highlight w:val="yellow"/>
                              </w:rPr>
                            </m:ctrlPr>
                          </m:num>
                          <m:den>
                            <m:nary>
                              <m:naryPr>
                                <m:chr m:val="∑"/>
                                <m:ctrlPr>
                                  <w:rPr>
                                    <w:rFonts w:ascii="Cambria Math" w:hAnsi="Cambria Math" w:cs="Calibri"/>
                                    <w:i/>
                                    <w:sz w:val="22"/>
                                    <w:szCs w:val="22"/>
                                    <w:highlight w:val="yellow"/>
                                  </w:rPr>
                                </m:ctrlPr>
                              </m:naryPr>
                              <m:sub>
                                <m:r>
                                  <w:rPr>
                                    <w:rFonts w:ascii="Cambria Math" w:hAnsi="Cambria Math" w:cs="Calibri"/>
                                    <w:sz w:val="22"/>
                                    <w:szCs w:val="22"/>
                                    <w:highlight w:val="yellow"/>
                                  </w:rPr>
                                  <m:t>j=0</m:t>
                                </m:r>
                                <m:ctrlPr>
                                  <w:rPr>
                                    <w:rFonts w:ascii="Cambria Math" w:hAnsi="Cambria Math" w:cs="Calibri"/>
                                    <w:i/>
                                    <w:sz w:val="22"/>
                                    <w:szCs w:val="22"/>
                                    <w:highlight w:val="yellow"/>
                                  </w:rPr>
                                </m:ctrlPr>
                              </m:sub>
                              <m:sup>
                                <m:r>
                                  <w:rPr>
                                    <w:rFonts w:ascii="Cambria Math" w:hAnsi="Cambria Math" w:cs="Calibri"/>
                                    <w:sz w:val="22"/>
                                    <w:szCs w:val="22"/>
                                    <w:highlight w:val="yellow"/>
                                  </w:rPr>
                                  <m:t>3</m:t>
                                </m:r>
                                <m:ctrlPr>
                                  <w:rPr>
                                    <w:rFonts w:ascii="Cambria Math" w:hAnsi="Cambria Math" w:cs="Calibri"/>
                                    <w:i/>
                                    <w:sz w:val="22"/>
                                    <w:szCs w:val="22"/>
                                    <w:highlight w:val="yellow"/>
                                  </w:rPr>
                                </m:ctrlPr>
                              </m:sup>
                              <m:e>
                                <m:d>
                                  <m:dPr>
                                    <m:ctrlPr>
                                      <w:rPr>
                                        <w:rFonts w:ascii="Cambria Math" w:hAnsi="Cambria Math"/>
                                        <w:i/>
                                        <w:highlight w:val="yellow"/>
                                      </w:rPr>
                                    </m:ctrlPr>
                                  </m:dPr>
                                  <m:e>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cells,0</m:t>
                                        </m:r>
                                        <m:ctrlPr>
                                          <w:rPr>
                                            <w:rFonts w:ascii="Cambria Math" w:hAnsi="Cambria Math"/>
                                            <w:highlight w:val="yellow"/>
                                          </w:rPr>
                                        </m:ctrlPr>
                                      </m:sub>
                                      <m:sup>
                                        <m:r>
                                          <m:rPr>
                                            <m:nor/>
                                            <m:sty m:val="p"/>
                                          </m:rPr>
                                          <w:rPr>
                                            <w:highlight w:val="yellow"/>
                                          </w:rPr>
                                          <m:t>DL,</m:t>
                                        </m:r>
                                        <m:r>
                                          <w:rPr>
                                            <w:rFonts w:ascii="Cambria Math" w:hAnsi="Cambria Math"/>
                                            <w:highlight w:val="yellow"/>
                                          </w:rPr>
                                          <m:t>j</m:t>
                                        </m:r>
                                        <m:ctrlPr>
                                          <w:rPr>
                                            <w:rFonts w:ascii="Cambria Math" w:hAnsi="Cambria Math"/>
                                            <w:highlight w:val="yellow"/>
                                          </w:rPr>
                                        </m:ctrlPr>
                                      </m:sup>
                                    </m:sSubSup>
                                    <m:r>
                                      <w:rPr>
                                        <w:rFonts w:ascii="Cambria Math" w:hAnsi="Cambria Math"/>
                                        <w:highlight w:val="yellow"/>
                                      </w:rPr>
                                      <m:t>+</m:t>
                                    </m:r>
                                    <m:r>
                                      <w:rPr>
                                        <w:rFonts w:ascii="Cambria Math" w:hAnsi="Cambria Math" w:cstheme="minorHAnsi"/>
                                        <w:highlight w:val="yellow"/>
                                      </w:rPr>
                                      <m:t>γ</m:t>
                                    </m:r>
                                    <m:r>
                                      <w:rPr>
                                        <w:rFonts w:ascii="Cambria Math" w:hAnsi="Cambria Math"/>
                                        <w:highlight w:val="yellow"/>
                                      </w:rPr>
                                      <m:t>∙</m:t>
                                    </m:r>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cells,1</m:t>
                                        </m:r>
                                        <m:ctrlPr>
                                          <w:rPr>
                                            <w:rFonts w:ascii="Cambria Math" w:hAnsi="Cambria Math"/>
                                            <w:highlight w:val="yellow"/>
                                          </w:rPr>
                                        </m:ctrlPr>
                                      </m:sub>
                                      <m:sup>
                                        <m:r>
                                          <m:rPr>
                                            <m:nor/>
                                            <m:sty m:val="p"/>
                                          </m:rPr>
                                          <w:rPr>
                                            <w:highlight w:val="yellow"/>
                                          </w:rPr>
                                          <m:t>DL,</m:t>
                                        </m:r>
                                        <m:r>
                                          <w:rPr>
                                            <w:rFonts w:ascii="Cambria Math" w:hAnsi="Cambria Math"/>
                                            <w:highlight w:val="yellow"/>
                                          </w:rPr>
                                          <m:t>j</m:t>
                                        </m:r>
                                        <m:ctrlPr>
                                          <w:rPr>
                                            <w:rFonts w:ascii="Cambria Math" w:hAnsi="Cambria Math"/>
                                            <w:highlight w:val="yellow"/>
                                          </w:rPr>
                                        </m:ctrlPr>
                                      </m:sup>
                                    </m:sSubSup>
                                    <m:ctrlPr>
                                      <w:rPr>
                                        <w:rFonts w:ascii="Cambria Math" w:hAnsi="Cambria Math"/>
                                        <w:i/>
                                        <w:highlight w:val="yellow"/>
                                      </w:rPr>
                                    </m:ctrlPr>
                                  </m:e>
                                </m:d>
                                <m:ctrlPr>
                                  <w:rPr>
                                    <w:rFonts w:ascii="Cambria Math" w:hAnsi="Cambria Math" w:cs="Calibri"/>
                                    <w:i/>
                                    <w:sz w:val="22"/>
                                    <w:szCs w:val="22"/>
                                    <w:highlight w:val="yellow"/>
                                  </w:rPr>
                                </m:ctrlPr>
                              </m:e>
                            </m:nary>
                            <m:ctrlPr>
                              <w:rPr>
                                <w:rFonts w:ascii="Cambria Math" w:hAnsi="Cambria Math" w:cs="Calibri"/>
                                <w:i/>
                                <w:sz w:val="22"/>
                                <w:szCs w:val="22"/>
                                <w:highlight w:val="yellow"/>
                              </w:rPr>
                            </m:ctrlPr>
                          </m:den>
                        </m:f>
                        <m:ctrlPr>
                          <w:rPr>
                            <w:rFonts w:ascii="Cambria Math" w:hAnsi="Cambria Math" w:cs="Calibri"/>
                            <w:i/>
                            <w:sz w:val="22"/>
                            <w:szCs w:val="22"/>
                            <w:highlight w:val="yellow"/>
                          </w:rPr>
                        </m:ctrlPr>
                      </m:e>
                    </m:d>
                  </m:oMath>
                  <w:r>
                    <w:rPr>
                      <w:lang w:val="en-US" w:eastAsia="ko-KR"/>
                    </w:rPr>
                    <w:t xml:space="preserve"> </w:t>
                  </w:r>
                  <w:r>
                    <w:t xml:space="preserve"> PDCCH candidates </w:t>
                  </w:r>
                  <w:r>
                    <w:rPr>
                      <w:lang w:val="en-US"/>
                    </w:rPr>
                    <w:t xml:space="preserve">or more than </w:t>
                  </w:r>
                  <m:oMath>
                    <m:sSubSup>
                      <m:sSubSupPr>
                        <m:ctrlPr>
                          <w:rPr>
                            <w:rFonts w:ascii="Cambria Math" w:hAnsi="Cambria Math" w:cs="Calibri"/>
                            <w:i/>
                            <w:sz w:val="22"/>
                            <w:szCs w:val="22"/>
                            <w:highlight w:val="yellow"/>
                          </w:rPr>
                        </m:ctrlPr>
                      </m:sSubSupPr>
                      <m:e>
                        <m:r>
                          <w:rPr>
                            <w:rFonts w:ascii="Cambria Math" w:hAnsi="Cambria Math" w:cs="Calibri"/>
                            <w:sz w:val="22"/>
                            <w:szCs w:val="22"/>
                            <w:highlight w:val="yellow"/>
                          </w:rPr>
                          <m:t>C</m:t>
                        </m:r>
                        <m:ctrlPr>
                          <w:rPr>
                            <w:rFonts w:ascii="Cambria Math" w:hAnsi="Cambria Math" w:cs="Calibri"/>
                            <w:i/>
                            <w:sz w:val="22"/>
                            <w:szCs w:val="22"/>
                            <w:highlight w:val="yellow"/>
                          </w:rPr>
                        </m:ctrlPr>
                      </m:e>
                      <m:sub>
                        <m:r>
                          <m:rPr>
                            <m:nor/>
                            <m:sty m:val="p"/>
                          </m:rPr>
                          <w:rPr>
                            <w:rFonts w:hAnsi="Calibri" w:cs="Calibri"/>
                            <w:sz w:val="22"/>
                            <w:szCs w:val="22"/>
                            <w:highlight w:val="yellow"/>
                          </w:rPr>
                          <m:t>PDCCH</m:t>
                        </m:r>
                        <m:ctrlPr>
                          <w:rPr>
                            <w:rFonts w:ascii="Cambria Math" w:hAnsi="Cambria Math" w:cs="Calibri"/>
                            <w:sz w:val="22"/>
                            <w:szCs w:val="22"/>
                            <w:highlight w:val="yellow"/>
                          </w:rPr>
                        </m:ctrlPr>
                      </m:sub>
                      <m:sup>
                        <m:r>
                          <m:rPr>
                            <m:nor/>
                            <m:sty m:val="p"/>
                          </m:rPr>
                          <w:rPr>
                            <w:rFonts w:hAnsi="Calibri" w:cs="Calibri"/>
                            <w:sz w:val="22"/>
                            <w:szCs w:val="22"/>
                            <w:highlight w:val="yellow"/>
                          </w:rPr>
                          <m:t>total,slot,</m:t>
                        </m:r>
                        <m:r>
                          <w:rPr>
                            <w:rFonts w:ascii="Cambria Math" w:hAnsi="Cambria Math" w:cs="Calibri"/>
                            <w:sz w:val="22"/>
                            <w:szCs w:val="22"/>
                            <w:highlight w:val="yellow"/>
                          </w:rPr>
                          <m:t>μ</m:t>
                        </m:r>
                        <m:ctrlPr>
                          <w:rPr>
                            <w:rFonts w:ascii="Cambria Math" w:hAnsi="Cambria Math" w:cs="Calibri"/>
                            <w:sz w:val="22"/>
                            <w:szCs w:val="22"/>
                            <w:highlight w:val="yellow"/>
                          </w:rPr>
                        </m:ctrlPr>
                      </m:sup>
                    </m:sSubSup>
                    <m:r>
                      <w:rPr>
                        <w:rFonts w:ascii="Cambria Math" w:hAnsi="Cambria Math" w:cs="Calibri"/>
                        <w:sz w:val="22"/>
                        <w:szCs w:val="22"/>
                        <w:highlight w:val="yellow"/>
                      </w:rPr>
                      <m:t>=</m:t>
                    </m:r>
                    <m:d>
                      <m:dPr>
                        <m:begChr m:val="⌊"/>
                        <m:endChr m:val="⌋"/>
                        <m:ctrlPr>
                          <w:rPr>
                            <w:rFonts w:ascii="Cambria Math" w:hAnsi="Cambria Math" w:cs="Calibri"/>
                            <w:i/>
                            <w:sz w:val="22"/>
                            <w:szCs w:val="22"/>
                            <w:highlight w:val="yellow"/>
                          </w:rPr>
                        </m:ctrlPr>
                      </m:dPr>
                      <m:e>
                        <m:sSubSup>
                          <m:sSubSupPr>
                            <m:ctrlPr>
                              <w:rPr>
                                <w:rFonts w:ascii="Cambria Math" w:hAnsi="Cambria Math" w:cs="Calibri"/>
                                <w:i/>
                                <w:sz w:val="22"/>
                                <w:szCs w:val="22"/>
                                <w:highlight w:val="yellow"/>
                              </w:rPr>
                            </m:ctrlPr>
                          </m:sSubSupPr>
                          <m:e>
                            <m:r>
                              <w:rPr>
                                <w:rFonts w:ascii="Cambria Math" w:hAnsi="Cambria Math" w:cs="Calibri"/>
                                <w:sz w:val="22"/>
                                <w:szCs w:val="22"/>
                                <w:highlight w:val="yellow"/>
                              </w:rPr>
                              <m:t>N</m:t>
                            </m:r>
                            <m:ctrlPr>
                              <w:rPr>
                                <w:rFonts w:ascii="Cambria Math" w:hAnsi="Cambria Math" w:cs="Calibri"/>
                                <w:i/>
                                <w:sz w:val="22"/>
                                <w:szCs w:val="22"/>
                                <w:highlight w:val="yellow"/>
                              </w:rPr>
                            </m:ctrlPr>
                          </m:e>
                          <m:sub>
                            <m:r>
                              <m:rPr>
                                <m:nor/>
                                <m:sty m:val="p"/>
                              </m:rPr>
                              <w:rPr>
                                <w:rFonts w:hAnsi="Calibri" w:cs="Calibri"/>
                                <w:sz w:val="22"/>
                                <w:szCs w:val="22"/>
                                <w:highlight w:val="yellow"/>
                              </w:rPr>
                              <m:t>cells</m:t>
                            </m:r>
                            <m:ctrlPr>
                              <w:rPr>
                                <w:rFonts w:ascii="Cambria Math" w:hAnsi="Cambria Math" w:cs="Calibri"/>
                                <w:sz w:val="22"/>
                                <w:szCs w:val="22"/>
                                <w:highlight w:val="yellow"/>
                              </w:rPr>
                            </m:ctrlPr>
                          </m:sub>
                          <m:sup>
                            <m:r>
                              <m:rPr>
                                <m:nor/>
                                <m:sty m:val="p"/>
                              </m:rPr>
                              <w:rPr>
                                <w:rFonts w:hAnsi="Calibri" w:cs="Calibri"/>
                                <w:sz w:val="22"/>
                                <w:szCs w:val="22"/>
                                <w:highlight w:val="yellow"/>
                              </w:rPr>
                              <m:t>cap</m:t>
                            </m:r>
                            <m:ctrlPr>
                              <w:rPr>
                                <w:rFonts w:ascii="Cambria Math" w:hAnsi="Cambria Math" w:cs="Calibri"/>
                                <w:sz w:val="22"/>
                                <w:szCs w:val="22"/>
                                <w:highlight w:val="yellow"/>
                              </w:rPr>
                            </m:ctrlPr>
                          </m:sup>
                        </m:sSubSup>
                        <m:r>
                          <w:rPr>
                            <w:rFonts w:ascii="Cambria Math" w:hAnsi="Cambria Math" w:cs="Cambria Math"/>
                            <w:sz w:val="22"/>
                            <w:szCs w:val="22"/>
                            <w:highlight w:val="yellow"/>
                          </w:rPr>
                          <m:t>⋅</m:t>
                        </m:r>
                        <m:sSubSup>
                          <m:sSubSupPr>
                            <m:ctrlPr>
                              <w:rPr>
                                <w:rFonts w:ascii="Cambria Math" w:hAnsi="Cambria Math" w:cs="Calibri"/>
                                <w:i/>
                                <w:sz w:val="22"/>
                                <w:szCs w:val="22"/>
                                <w:highlight w:val="yellow"/>
                              </w:rPr>
                            </m:ctrlPr>
                          </m:sSubSupPr>
                          <m:e>
                            <m:r>
                              <w:rPr>
                                <w:rFonts w:ascii="Cambria Math" w:hAnsi="Cambria Math" w:cs="Calibri"/>
                                <w:sz w:val="22"/>
                                <w:szCs w:val="22"/>
                                <w:highlight w:val="yellow"/>
                              </w:rPr>
                              <m:t>C</m:t>
                            </m:r>
                            <m:ctrlPr>
                              <w:rPr>
                                <w:rFonts w:ascii="Cambria Math" w:hAnsi="Cambria Math" w:cs="Calibri"/>
                                <w:i/>
                                <w:sz w:val="22"/>
                                <w:szCs w:val="22"/>
                                <w:highlight w:val="yellow"/>
                              </w:rPr>
                            </m:ctrlPr>
                          </m:e>
                          <m:sub>
                            <m:r>
                              <m:rPr>
                                <m:nor/>
                                <m:sty m:val="p"/>
                              </m:rPr>
                              <w:rPr>
                                <w:rFonts w:hAnsi="Calibri" w:cs="Calibri"/>
                                <w:sz w:val="22"/>
                                <w:szCs w:val="22"/>
                                <w:highlight w:val="yellow"/>
                              </w:rPr>
                              <m:t>PDCCH</m:t>
                            </m:r>
                            <m:ctrlPr>
                              <w:rPr>
                                <w:rFonts w:ascii="Cambria Math" w:hAnsi="Cambria Math" w:cs="Calibri"/>
                                <w:sz w:val="22"/>
                                <w:szCs w:val="22"/>
                                <w:highlight w:val="yellow"/>
                              </w:rPr>
                            </m:ctrlPr>
                          </m:sub>
                          <m:sup>
                            <m:r>
                              <m:rPr>
                                <m:nor/>
                                <m:sty m:val="p"/>
                              </m:rPr>
                              <w:rPr>
                                <w:rFonts w:hAnsi="Calibri" w:cs="Calibri"/>
                                <w:sz w:val="22"/>
                                <w:szCs w:val="22"/>
                                <w:highlight w:val="yellow"/>
                              </w:rPr>
                              <m:t>max,slot,</m:t>
                            </m:r>
                            <m:r>
                              <w:rPr>
                                <w:rFonts w:ascii="Cambria Math" w:hAnsi="Cambria Math" w:cs="Calibri"/>
                                <w:sz w:val="22"/>
                                <w:szCs w:val="22"/>
                                <w:highlight w:val="yellow"/>
                              </w:rPr>
                              <m:t>μ</m:t>
                            </m:r>
                            <m:ctrlPr>
                              <w:rPr>
                                <w:rFonts w:ascii="Cambria Math" w:hAnsi="Cambria Math" w:cs="Calibri"/>
                                <w:sz w:val="22"/>
                                <w:szCs w:val="22"/>
                                <w:highlight w:val="yellow"/>
                              </w:rPr>
                            </m:ctrlPr>
                          </m:sup>
                        </m:sSubSup>
                        <m:r>
                          <w:rPr>
                            <w:rFonts w:ascii="Cambria Math" w:hAnsi="Cambria Math" w:cs="Cambria Math"/>
                            <w:sz w:val="22"/>
                            <w:szCs w:val="22"/>
                            <w:highlight w:val="yellow"/>
                          </w:rPr>
                          <m:t>⋅</m:t>
                        </m:r>
                        <m:f>
                          <m:fPr>
                            <m:type m:val="lin"/>
                            <m:ctrlPr>
                              <w:rPr>
                                <w:rFonts w:ascii="Cambria Math" w:hAnsi="Cambria Math" w:cs="Calibri"/>
                                <w:i/>
                                <w:sz w:val="22"/>
                                <w:szCs w:val="22"/>
                                <w:highlight w:val="yellow"/>
                              </w:rPr>
                            </m:ctrlPr>
                          </m:fPr>
                          <m:num>
                            <m:d>
                              <m:dPr>
                                <m:ctrlPr>
                                  <w:rPr>
                                    <w:rFonts w:ascii="Cambria Math" w:hAnsi="Cambria Math"/>
                                    <w:i/>
                                    <w:highlight w:val="yellow"/>
                                  </w:rPr>
                                </m:ctrlPr>
                              </m:dPr>
                              <m:e>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cells,0</m:t>
                                    </m:r>
                                    <m:ctrlPr>
                                      <w:rPr>
                                        <w:rFonts w:ascii="Cambria Math" w:hAnsi="Cambria Math"/>
                                        <w:highlight w:val="yellow"/>
                                      </w:rPr>
                                    </m:ctrlPr>
                                  </m:sub>
                                  <m:sup>
                                    <m:r>
                                      <m:rPr>
                                        <m:nor/>
                                        <m:sty m:val="p"/>
                                      </m:rPr>
                                      <w:rPr>
                                        <w:highlight w:val="yellow"/>
                                      </w:rPr>
                                      <m:t>DL,</m:t>
                                    </m:r>
                                    <m:r>
                                      <w:rPr>
                                        <w:rFonts w:ascii="Cambria Math" w:hAnsi="Cambria Math"/>
                                        <w:highlight w:val="yellow"/>
                                      </w:rPr>
                                      <m:t>μ</m:t>
                                    </m:r>
                                    <m:ctrlPr>
                                      <w:rPr>
                                        <w:rFonts w:ascii="Cambria Math" w:hAnsi="Cambria Math"/>
                                        <w:highlight w:val="yellow"/>
                                      </w:rPr>
                                    </m:ctrlPr>
                                  </m:sup>
                                </m:sSubSup>
                                <m:r>
                                  <w:rPr>
                                    <w:rFonts w:ascii="Cambria Math" w:hAnsi="Cambria Math"/>
                                    <w:highlight w:val="yellow"/>
                                  </w:rPr>
                                  <m:t>+</m:t>
                                </m:r>
                                <m:r>
                                  <w:rPr>
                                    <w:rFonts w:ascii="Cambria Math" w:hAnsi="Cambria Math" w:cstheme="minorHAnsi"/>
                                    <w:highlight w:val="yellow"/>
                                  </w:rPr>
                                  <m:t>γ</m:t>
                                </m:r>
                                <m:r>
                                  <w:rPr>
                                    <w:rFonts w:ascii="Cambria Math" w:hAnsi="Cambria Math"/>
                                    <w:highlight w:val="yellow"/>
                                  </w:rPr>
                                  <m:t>∙</m:t>
                                </m:r>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cells,1</m:t>
                                    </m:r>
                                    <m:ctrlPr>
                                      <w:rPr>
                                        <w:rFonts w:ascii="Cambria Math" w:hAnsi="Cambria Math"/>
                                        <w:highlight w:val="yellow"/>
                                      </w:rPr>
                                    </m:ctrlPr>
                                  </m:sub>
                                  <m:sup>
                                    <m:r>
                                      <m:rPr>
                                        <m:nor/>
                                        <m:sty m:val="p"/>
                                      </m:rPr>
                                      <w:rPr>
                                        <w:highlight w:val="yellow"/>
                                      </w:rPr>
                                      <m:t>DL,</m:t>
                                    </m:r>
                                    <m:r>
                                      <w:rPr>
                                        <w:rFonts w:ascii="Cambria Math" w:hAnsi="Cambria Math"/>
                                        <w:highlight w:val="yellow"/>
                                      </w:rPr>
                                      <m:t>μ</m:t>
                                    </m:r>
                                    <m:ctrlPr>
                                      <w:rPr>
                                        <w:rFonts w:ascii="Cambria Math" w:hAnsi="Cambria Math"/>
                                        <w:highlight w:val="yellow"/>
                                      </w:rPr>
                                    </m:ctrlPr>
                                  </m:sup>
                                </m:sSubSup>
                                <m:ctrlPr>
                                  <w:rPr>
                                    <w:rFonts w:ascii="Cambria Math" w:hAnsi="Cambria Math"/>
                                    <w:i/>
                                    <w:highlight w:val="yellow"/>
                                  </w:rPr>
                                </m:ctrlPr>
                              </m:e>
                            </m:d>
                            <m:ctrlPr>
                              <w:rPr>
                                <w:rFonts w:ascii="Cambria Math" w:hAnsi="Cambria Math" w:cs="Calibri"/>
                                <w:i/>
                                <w:sz w:val="22"/>
                                <w:szCs w:val="22"/>
                                <w:highlight w:val="yellow"/>
                              </w:rPr>
                            </m:ctrlPr>
                          </m:num>
                          <m:den>
                            <m:nary>
                              <m:naryPr>
                                <m:chr m:val="∑"/>
                                <m:ctrlPr>
                                  <w:rPr>
                                    <w:rFonts w:ascii="Cambria Math" w:hAnsi="Cambria Math" w:cs="Calibri"/>
                                    <w:i/>
                                    <w:sz w:val="22"/>
                                    <w:szCs w:val="22"/>
                                    <w:highlight w:val="yellow"/>
                                  </w:rPr>
                                </m:ctrlPr>
                              </m:naryPr>
                              <m:sub>
                                <m:r>
                                  <w:rPr>
                                    <w:rFonts w:ascii="Cambria Math" w:hAnsi="Cambria Math" w:cs="Calibri"/>
                                    <w:sz w:val="22"/>
                                    <w:szCs w:val="22"/>
                                    <w:highlight w:val="yellow"/>
                                  </w:rPr>
                                  <m:t>j=0</m:t>
                                </m:r>
                                <m:ctrlPr>
                                  <w:rPr>
                                    <w:rFonts w:ascii="Cambria Math" w:hAnsi="Cambria Math" w:cs="Calibri"/>
                                    <w:i/>
                                    <w:sz w:val="22"/>
                                    <w:szCs w:val="22"/>
                                    <w:highlight w:val="yellow"/>
                                  </w:rPr>
                                </m:ctrlPr>
                              </m:sub>
                              <m:sup>
                                <m:r>
                                  <w:rPr>
                                    <w:rFonts w:ascii="Cambria Math" w:hAnsi="Cambria Math" w:cs="Calibri"/>
                                    <w:sz w:val="22"/>
                                    <w:szCs w:val="22"/>
                                    <w:highlight w:val="yellow"/>
                                  </w:rPr>
                                  <m:t>3</m:t>
                                </m:r>
                                <m:ctrlPr>
                                  <w:rPr>
                                    <w:rFonts w:ascii="Cambria Math" w:hAnsi="Cambria Math" w:cs="Calibri"/>
                                    <w:i/>
                                    <w:sz w:val="22"/>
                                    <w:szCs w:val="22"/>
                                    <w:highlight w:val="yellow"/>
                                  </w:rPr>
                                </m:ctrlPr>
                              </m:sup>
                              <m:e>
                                <m:d>
                                  <m:dPr>
                                    <m:ctrlPr>
                                      <w:rPr>
                                        <w:rFonts w:ascii="Cambria Math" w:hAnsi="Cambria Math"/>
                                        <w:i/>
                                        <w:highlight w:val="yellow"/>
                                      </w:rPr>
                                    </m:ctrlPr>
                                  </m:dPr>
                                  <m:e>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cells,0</m:t>
                                        </m:r>
                                        <m:ctrlPr>
                                          <w:rPr>
                                            <w:rFonts w:ascii="Cambria Math" w:hAnsi="Cambria Math"/>
                                            <w:highlight w:val="yellow"/>
                                          </w:rPr>
                                        </m:ctrlPr>
                                      </m:sub>
                                      <m:sup>
                                        <m:r>
                                          <m:rPr>
                                            <m:nor/>
                                            <m:sty m:val="p"/>
                                          </m:rPr>
                                          <w:rPr>
                                            <w:highlight w:val="yellow"/>
                                          </w:rPr>
                                          <m:t>DL,</m:t>
                                        </m:r>
                                        <m:r>
                                          <w:rPr>
                                            <w:rFonts w:ascii="Cambria Math" w:hAnsi="Cambria Math"/>
                                            <w:highlight w:val="yellow"/>
                                          </w:rPr>
                                          <m:t>j</m:t>
                                        </m:r>
                                        <m:ctrlPr>
                                          <w:rPr>
                                            <w:rFonts w:ascii="Cambria Math" w:hAnsi="Cambria Math"/>
                                            <w:highlight w:val="yellow"/>
                                          </w:rPr>
                                        </m:ctrlPr>
                                      </m:sup>
                                    </m:sSubSup>
                                    <m:r>
                                      <w:rPr>
                                        <w:rFonts w:ascii="Cambria Math" w:hAnsi="Cambria Math"/>
                                        <w:highlight w:val="yellow"/>
                                      </w:rPr>
                                      <m:t>+</m:t>
                                    </m:r>
                                    <m:r>
                                      <w:rPr>
                                        <w:rFonts w:ascii="Cambria Math" w:hAnsi="Cambria Math" w:cstheme="minorHAnsi"/>
                                        <w:highlight w:val="yellow"/>
                                      </w:rPr>
                                      <m:t>γ</m:t>
                                    </m:r>
                                    <m:r>
                                      <w:rPr>
                                        <w:rFonts w:ascii="Cambria Math" w:hAnsi="Cambria Math"/>
                                        <w:highlight w:val="yellow"/>
                                      </w:rPr>
                                      <m:t>∙</m:t>
                                    </m:r>
                                    <m:sSubSup>
                                      <m:sSubSupPr>
                                        <m:ctrlPr>
                                          <w:rPr>
                                            <w:rFonts w:ascii="Cambria Math" w:hAnsi="Cambria Math"/>
                                            <w:i/>
                                            <w:highlight w:val="yellow"/>
                                          </w:rPr>
                                        </m:ctrlPr>
                                      </m:sSubSupPr>
                                      <m:e>
                                        <m:r>
                                          <w:rPr>
                                            <w:rFonts w:ascii="Cambria Math" w:hAnsi="Cambria Math"/>
                                            <w:highlight w:val="yellow"/>
                                          </w:rPr>
                                          <m:t>N</m:t>
                                        </m:r>
                                        <m:ctrlPr>
                                          <w:rPr>
                                            <w:rFonts w:ascii="Cambria Math" w:hAnsi="Cambria Math"/>
                                            <w:i/>
                                            <w:highlight w:val="yellow"/>
                                          </w:rPr>
                                        </m:ctrlPr>
                                      </m:e>
                                      <m:sub>
                                        <m:r>
                                          <m:rPr>
                                            <m:nor/>
                                            <m:sty m:val="p"/>
                                          </m:rPr>
                                          <w:rPr>
                                            <w:highlight w:val="yellow"/>
                                          </w:rPr>
                                          <m:t>cells,1</m:t>
                                        </m:r>
                                        <m:ctrlPr>
                                          <w:rPr>
                                            <w:rFonts w:ascii="Cambria Math" w:hAnsi="Cambria Math"/>
                                            <w:highlight w:val="yellow"/>
                                          </w:rPr>
                                        </m:ctrlPr>
                                      </m:sub>
                                      <m:sup>
                                        <m:r>
                                          <m:rPr>
                                            <m:nor/>
                                            <m:sty m:val="p"/>
                                          </m:rPr>
                                          <w:rPr>
                                            <w:highlight w:val="yellow"/>
                                          </w:rPr>
                                          <m:t>DL,</m:t>
                                        </m:r>
                                        <m:r>
                                          <w:rPr>
                                            <w:rFonts w:ascii="Cambria Math" w:hAnsi="Cambria Math"/>
                                            <w:highlight w:val="yellow"/>
                                          </w:rPr>
                                          <m:t>j</m:t>
                                        </m:r>
                                        <m:ctrlPr>
                                          <w:rPr>
                                            <w:rFonts w:ascii="Cambria Math" w:hAnsi="Cambria Math"/>
                                            <w:highlight w:val="yellow"/>
                                          </w:rPr>
                                        </m:ctrlPr>
                                      </m:sup>
                                    </m:sSubSup>
                                    <m:ctrlPr>
                                      <w:rPr>
                                        <w:rFonts w:ascii="Cambria Math" w:hAnsi="Cambria Math"/>
                                        <w:i/>
                                        <w:highlight w:val="yellow"/>
                                      </w:rPr>
                                    </m:ctrlPr>
                                  </m:e>
                                </m:d>
                                <m:ctrlPr>
                                  <w:rPr>
                                    <w:rFonts w:ascii="Cambria Math" w:hAnsi="Cambria Math" w:cs="Calibri"/>
                                    <w:i/>
                                    <w:sz w:val="22"/>
                                    <w:szCs w:val="22"/>
                                    <w:highlight w:val="yellow"/>
                                  </w:rPr>
                                </m:ctrlPr>
                              </m:e>
                            </m:nary>
                            <m:ctrlPr>
                              <w:rPr>
                                <w:rFonts w:ascii="Cambria Math" w:hAnsi="Cambria Math" w:cs="Calibri"/>
                                <w:i/>
                                <w:sz w:val="22"/>
                                <w:szCs w:val="22"/>
                                <w:highlight w:val="yellow"/>
                              </w:rPr>
                            </m:ctrlPr>
                          </m:den>
                        </m:f>
                        <m:ctrlPr>
                          <w:rPr>
                            <w:rFonts w:ascii="Cambria Math" w:hAnsi="Cambria Math" w:cs="Calibri"/>
                            <w:i/>
                            <w:sz w:val="22"/>
                            <w:szCs w:val="22"/>
                            <w:highlight w:val="yellow"/>
                          </w:rPr>
                        </m:ctrlPr>
                      </m:e>
                    </m:d>
                  </m:oMath>
                  <w:r>
                    <w:t xml:space="preserve"> non-overlapped CCEs per slot </w:t>
                  </w:r>
                  <w:r>
                    <w:rPr>
                      <w:lang w:val="en-US"/>
                    </w:rPr>
                    <w:t>on the active DL BWP(s) of</w:t>
                  </w:r>
                  <w:r>
                    <w:t xml:space="preserve"> scheduling cell</w:t>
                  </w:r>
                  <w:r>
                    <w:rPr>
                      <w:lang w:val="en-US"/>
                    </w:rPr>
                    <w:t xml:space="preserve">(s) from the </w:t>
                  </w:r>
                  <m:oMath>
                    <m:sSubSup>
                      <m:sSubSupPr>
                        <m:ctrlPr>
                          <w:rPr>
                            <w:rFonts w:ascii="Cambria Math" w:hAnsi="Cambria Math"/>
                            <w:i/>
                          </w:rPr>
                        </m:ctrlPr>
                      </m:sSubSupPr>
                      <m:e>
                        <m:r>
                          <w:rPr>
                            <w:rFonts w:ascii="Cambria Math"/>
                          </w:rPr>
                          <m:t>N</m:t>
                        </m:r>
                        <m:ctrlPr>
                          <w:rPr>
                            <w:rFonts w:ascii="Cambria Math" w:hAnsi="Cambria Math"/>
                            <w:i/>
                          </w:rPr>
                        </m:ctrlPr>
                      </m:e>
                      <m:sub>
                        <m:r>
                          <m:rPr>
                            <m:nor/>
                            <m:sty m:val="p"/>
                          </m:rPr>
                          <w:rPr>
                            <w:rFonts w:ascii="Cambria Math"/>
                          </w:rPr>
                          <m:t>cells,0</m:t>
                        </m:r>
                        <m:ctrlPr>
                          <w:rPr>
                            <w:rFonts w:ascii="Cambria Math" w:hAnsi="Cambria Math"/>
                          </w:rPr>
                        </m:ctrlPr>
                      </m:sub>
                      <m:sup>
                        <m:r>
                          <m:rPr>
                            <m:nor/>
                            <m:sty m:val="p"/>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ctrlPr>
                          <w:rPr>
                            <w:rFonts w:ascii="Cambria Math" w:hAnsi="Cambria Math"/>
                            <w:i/>
                          </w:rPr>
                        </m:ctrlPr>
                      </m:e>
                      <m:sub>
                        <m:r>
                          <m:rPr>
                            <m:nor/>
                            <m:sty m:val="p"/>
                          </m:rPr>
                          <w:rPr>
                            <w:rFonts w:ascii="Cambria Math"/>
                          </w:rPr>
                          <m:t>cells,1</m:t>
                        </m:r>
                        <m:ctrlPr>
                          <w:rPr>
                            <w:rFonts w:ascii="Cambria Math" w:hAnsi="Cambria Math"/>
                          </w:rPr>
                        </m:ctrlPr>
                      </m:sub>
                      <m:sup>
                        <m:r>
                          <m:rPr>
                            <m:nor/>
                            <m:sty m:val="p"/>
                          </m:rPr>
                          <w:rPr>
                            <w:rFonts w:ascii="Cambria Math"/>
                          </w:rPr>
                          <m:t>DL,</m:t>
                        </m:r>
                        <m:r>
                          <w:rPr>
                            <w:rFonts w:ascii="Cambria Math"/>
                          </w:rPr>
                          <m:t>μ</m:t>
                        </m:r>
                        <m:ctrlPr>
                          <w:rPr>
                            <w:rFonts w:ascii="Cambria Math" w:hAnsi="Cambria Math"/>
                          </w:rPr>
                        </m:ctrlPr>
                      </m:sup>
                    </m:sSubSup>
                  </m:oMath>
                  <w:r>
                    <w:t xml:space="preserve"> downlink cells</w:t>
                  </w:r>
                  <w:r>
                    <w:rPr>
                      <w:lang w:val="en-US"/>
                    </w:rPr>
                    <w:t xml:space="preserve">. </w:t>
                  </w:r>
                  <m:oMath>
                    <m:sSubSup>
                      <m:sSubSupPr>
                        <m:ctrlPr>
                          <w:rPr>
                            <w:rFonts w:ascii="Cambria Math" w:hAnsi="Cambria Math"/>
                            <w:i/>
                          </w:rPr>
                        </m:ctrlPr>
                      </m:sSubSupPr>
                      <m:e>
                        <m:r>
                          <w:rPr>
                            <w:rFonts w:ascii="Cambria Math" w:hAnsi="Cambria Math"/>
                          </w:rPr>
                          <m:t>N</m:t>
                        </m:r>
                        <m:ctrlPr>
                          <w:rPr>
                            <w:rFonts w:ascii="Cambria Math" w:hAnsi="Cambria Math"/>
                            <w:i/>
                          </w:rPr>
                        </m:ctrlPr>
                      </m:e>
                      <m:sub>
                        <m:r>
                          <m:rPr>
                            <m:nor/>
                            <m:sty m:val="p"/>
                          </m:rPr>
                          <m:t>cells</m:t>
                        </m:r>
                        <m:ctrlPr>
                          <w:rPr>
                            <w:rFonts w:ascii="Cambria Math" w:hAnsi="Cambria Math"/>
                          </w:rPr>
                        </m:ctrlPr>
                      </m:sub>
                      <m:sup>
                        <m:r>
                          <m:rPr>
                            <m:nor/>
                            <m:sty m:val="p"/>
                          </m:rPr>
                          <m:t>cap</m:t>
                        </m:r>
                        <m:ctrlPr>
                          <w:rPr>
                            <w:rFonts w:ascii="Cambria Math" w:hAnsi="Cambria Math"/>
                          </w:rPr>
                        </m:ctrlPr>
                      </m:sup>
                    </m:sSubSup>
                  </m:oMath>
                  <w:r>
                    <w:t xml:space="preserve"> is replaced by </w:t>
                  </w:r>
                  <m:oMath>
                    <m:sSubSup>
                      <m:sSubSupPr>
                        <m:ctrlPr>
                          <w:rPr>
                            <w:rFonts w:ascii="Cambria Math" w:hAnsi="Cambria Math"/>
                            <w:i/>
                          </w:rPr>
                        </m:ctrlPr>
                      </m:sSubSupPr>
                      <m:e>
                        <m:r>
                          <w:rPr>
                            <w:rFonts w:ascii="Cambria Math" w:hAnsi="Cambria Math"/>
                          </w:rPr>
                          <m:t>N</m:t>
                        </m:r>
                        <m:ctrlPr>
                          <w:rPr>
                            <w:rFonts w:ascii="Cambria Math" w:hAnsi="Cambria Math"/>
                            <w:i/>
                          </w:rPr>
                        </m:ctrlPr>
                      </m:e>
                      <m:sub>
                        <m:r>
                          <m:rPr>
                            <m:nor/>
                            <m:sty m:val="p"/>
                          </m:rPr>
                          <m:t>cells,r15</m:t>
                        </m:r>
                        <m:ctrlPr>
                          <w:rPr>
                            <w:rFonts w:ascii="Cambria Math" w:hAnsi="Cambria Math"/>
                          </w:rPr>
                        </m:ctrlPr>
                      </m:sub>
                      <m:sup>
                        <m:r>
                          <m:rPr>
                            <m:nor/>
                            <m:sty m:val="p"/>
                          </m:rPr>
                          <m:t>cap-r16</m:t>
                        </m:r>
                        <m:ctrlPr>
                          <w:rPr>
                            <w:rFonts w:ascii="Cambria Math" w:hAnsi="Cambria Math"/>
                          </w:rPr>
                        </m:ctrlPr>
                      </m:sup>
                    </m:sSubSup>
                    <m:r>
                      <w:rPr>
                        <w:rFonts w:ascii="Cambria Math" w:hAnsi="Cambria Math"/>
                      </w:rPr>
                      <m:t xml:space="preserve"> </m:t>
                    </m:r>
                  </m:oMath>
                  <w:r>
                    <w:rPr>
                      <w:iCs/>
                    </w:rPr>
                    <w:t xml:space="preserve">if a UE is configured with downlink cells for which the UE is provided both </w:t>
                  </w:r>
                  <w:r>
                    <w:rPr>
                      <w:i/>
                    </w:rPr>
                    <w:t>monitoringCapabilityConfig-r16</w:t>
                  </w:r>
                  <w:r>
                    <w:t xml:space="preserve"> = </w:t>
                  </w:r>
                  <w:r>
                    <w:rPr>
                      <w:i/>
                    </w:rPr>
                    <w:t>r15monitoringcapability</w:t>
                  </w:r>
                  <w:r>
                    <w:rPr>
                      <w:iCs/>
                    </w:rPr>
                    <w:t xml:space="preserve"> and </w:t>
                  </w:r>
                  <w:r>
                    <w:rPr>
                      <w:i/>
                    </w:rPr>
                    <w:t>monitoringCapabilityConfig-r16</w:t>
                  </w:r>
                  <w:r>
                    <w:t xml:space="preserve"> = </w:t>
                  </w:r>
                  <w:r>
                    <w:rPr>
                      <w:i/>
                    </w:rPr>
                    <w:t>r16monitoringcapability</w:t>
                  </w:r>
                  <w:r>
                    <w:t>.</w:t>
                  </w:r>
                </w:p>
                <w:p>
                  <w:pPr>
                    <w:widowControl w:val="0"/>
                    <w:spacing w:line="240" w:lineRule="atLeast"/>
                    <w:jc w:val="center"/>
                  </w:pPr>
                  <w:r>
                    <w:t>&lt;&lt; omitted &gt;&gt;</w:t>
                  </w:r>
                </w:p>
                <w:p>
                  <w:pPr>
                    <w:widowControl w:val="0"/>
                    <w:spacing w:line="240" w:lineRule="atLeast"/>
                  </w:pPr>
                  <w:r>
                    <w:rPr>
                      <w:iCs/>
                    </w:rPr>
                    <w:t xml:space="preserve">If a UE is configured only with </w:t>
                  </w:r>
                  <m:oMath>
                    <m:sSubSup>
                      <m:sSubSupPr>
                        <m:ctrlPr>
                          <w:rPr>
                            <w:rFonts w:ascii="Cambria Math" w:hAnsi="Cambria Math" w:eastAsiaTheme="minorHAnsi"/>
                            <w:iCs/>
                          </w:rPr>
                        </m:ctrlPr>
                      </m:sSubSupPr>
                      <m:e>
                        <m:r>
                          <w:rPr>
                            <w:rFonts w:ascii="Cambria Math" w:hAnsi="Cambria Math"/>
                          </w:rPr>
                          <m:t>N</m:t>
                        </m:r>
                        <m:ctrlPr>
                          <w:rPr>
                            <w:rFonts w:ascii="Cambria Math" w:hAnsi="Cambria Math" w:eastAsiaTheme="minorHAnsi"/>
                            <w:iCs/>
                          </w:rPr>
                        </m:ctrlPr>
                      </m:e>
                      <m:sub>
                        <m:r>
                          <m:rPr>
                            <m:sty m:val="p"/>
                          </m:rPr>
                          <w:rPr>
                            <w:rFonts w:ascii="Cambria Math" w:hAnsi="Cambria Math"/>
                          </w:rPr>
                          <m:t>cells,r16</m:t>
                        </m:r>
                        <m:ctrlPr>
                          <w:rPr>
                            <w:rFonts w:ascii="Cambria Math" w:hAnsi="Cambria Math" w:eastAsiaTheme="minorHAnsi"/>
                            <w:iCs/>
                          </w:rPr>
                        </m:ctrlPr>
                      </m:sub>
                      <m:sup>
                        <m:r>
                          <m:rPr>
                            <m:sty m:val="p"/>
                          </m:rPr>
                          <w:rPr>
                            <w:rFonts w:ascii="Cambria Math" w:hAnsi="Cambria Math"/>
                            <w:color w:val="000000"/>
                          </w:rPr>
                          <m:t>DL,</m:t>
                        </m:r>
                        <m:r>
                          <m:rPr>
                            <m:sty m:val="p"/>
                          </m:rPr>
                          <w:rPr>
                            <w:rFonts w:ascii="Cambria Math" w:hAnsi="Cambria Math"/>
                            <w:color w:val="000000"/>
                            <w:sz w:val="21"/>
                            <w:szCs w:val="21"/>
                          </w:rPr>
                          <m:t>μ</m:t>
                        </m:r>
                        <m:ctrlPr>
                          <w:rPr>
                            <w:rFonts w:ascii="Cambria Math" w:hAnsi="Cambria Math" w:eastAsiaTheme="minorHAnsi"/>
                            <w:iCs/>
                          </w:rPr>
                        </m:ctrlPr>
                      </m:sup>
                    </m:sSubSup>
                  </m:oMath>
                  <w:r>
                    <w:rPr>
                      <w:iCs/>
                    </w:rPr>
                    <w:t xml:space="preserve"> downlink cells for which the UE is provided </w:t>
                  </w:r>
                  <w:r>
                    <w:rPr>
                      <w:i/>
                    </w:rPr>
                    <w:t>monitoringCapabilityConfig</w:t>
                  </w:r>
                  <w:r>
                    <w:t xml:space="preserve"> = </w:t>
                  </w:r>
                  <w:r>
                    <w:rPr>
                      <w:i/>
                    </w:rPr>
                    <w:t>r16monitoringcapability</w:t>
                  </w:r>
                  <w:r>
                    <w:rPr>
                      <w:iCs/>
                    </w:rPr>
                    <w:t xml:space="preserve"> and </w:t>
                  </w:r>
                  <w:r>
                    <w:t xml:space="preserve">with </w:t>
                  </w:r>
                  <w:r>
                    <w:rPr>
                      <w:lang w:eastAsia="ko-KR"/>
                    </w:rPr>
                    <w:t xml:space="preserve">associated PDCCH candidates monitored in the </w:t>
                  </w:r>
                  <w:r>
                    <w:t xml:space="preserve">active DL BWPs of the scheduling cells using SCS configuration </w:t>
                  </w:r>
                  <m:oMath>
                    <m:r>
                      <w:rPr>
                        <w:rFonts w:ascii="Cambria Math" w:hAnsi="Cambria Math" w:eastAsiaTheme="minorHAnsi"/>
                      </w:rPr>
                      <m:t>μ</m:t>
                    </m:r>
                  </m:oMath>
                  <w:r>
                    <w:rPr>
                      <w:iCs/>
                    </w:rPr>
                    <w:t xml:space="preserve">, and with </w:t>
                  </w:r>
                  <m:oMath>
                    <m:sSubSup>
                      <m:sSubSupPr>
                        <m:ctrlPr>
                          <w:rPr>
                            <w:rFonts w:ascii="Cambria Math" w:hAnsi="Cambria Math" w:eastAsiaTheme="minorHAnsi"/>
                            <w:iCs/>
                            <w:color w:val="000000"/>
                            <w:sz w:val="21"/>
                            <w:szCs w:val="21"/>
                          </w:rPr>
                        </m:ctrlPr>
                      </m:sSubSupPr>
                      <m:e>
                        <m:r>
                          <w:rPr>
                            <w:rFonts w:ascii="Cambria Math" w:hAnsi="Cambria Math"/>
                            <w:color w:val="000000"/>
                            <w:sz w:val="21"/>
                            <w:szCs w:val="21"/>
                          </w:rPr>
                          <m:t>N</m:t>
                        </m:r>
                        <m:ctrlPr>
                          <w:rPr>
                            <w:rFonts w:ascii="Cambria Math" w:hAnsi="Cambria Math" w:eastAsiaTheme="minorHAnsi"/>
                            <w:iCs/>
                            <w:color w:val="000000"/>
                            <w:sz w:val="21"/>
                            <w:szCs w:val="21"/>
                          </w:rPr>
                        </m:ctrlPr>
                      </m:e>
                      <m:sub>
                        <m:r>
                          <m:rPr>
                            <m:sty m:val="p"/>
                          </m:rPr>
                          <w:rPr>
                            <w:rFonts w:ascii="Cambria Math" w:hAnsi="Cambria Math"/>
                            <w:color w:val="000000"/>
                            <w:sz w:val="21"/>
                            <w:szCs w:val="21"/>
                          </w:rPr>
                          <m:t>cells,r16</m:t>
                        </m:r>
                        <m:ctrlPr>
                          <w:rPr>
                            <w:rFonts w:ascii="Cambria Math" w:hAnsi="Cambria Math" w:eastAsiaTheme="minorHAnsi"/>
                            <w:color w:val="000000"/>
                            <w:sz w:val="21"/>
                            <w:szCs w:val="21"/>
                          </w:rPr>
                        </m:ctrlPr>
                      </m:sub>
                      <m:sup>
                        <m:r>
                          <m:rPr>
                            <m:sty m:val="p"/>
                          </m:rPr>
                          <w:rPr>
                            <w:rFonts w:ascii="Cambria Math" w:hAnsi="Cambria Math"/>
                            <w:color w:val="000000"/>
                            <w:sz w:val="21"/>
                            <w:szCs w:val="21"/>
                          </w:rPr>
                          <m:t>DL,(X,Y),μ</m:t>
                        </m:r>
                        <m:ctrlPr>
                          <w:rPr>
                            <w:rFonts w:ascii="Cambria Math" w:hAnsi="Cambria Math" w:eastAsiaTheme="minorHAnsi"/>
                            <w:color w:val="000000"/>
                            <w:sz w:val="21"/>
                            <w:szCs w:val="21"/>
                          </w:rPr>
                        </m:ctrlPr>
                      </m:sup>
                    </m:sSubSup>
                  </m:oMath>
                  <w:r>
                    <w:rPr>
                      <w:iCs/>
                    </w:rPr>
                    <w:t xml:space="preserve"> of the </w:t>
                  </w:r>
                  <m:oMath>
                    <m:sSubSup>
                      <m:sSubSupPr>
                        <m:ctrlPr>
                          <w:rPr>
                            <w:rFonts w:ascii="Cambria Math" w:hAnsi="Cambria Math" w:eastAsiaTheme="minorHAnsi"/>
                            <w:iCs/>
                          </w:rPr>
                        </m:ctrlPr>
                      </m:sSubSupPr>
                      <m:e>
                        <m:r>
                          <w:rPr>
                            <w:rFonts w:ascii="Cambria Math" w:hAnsi="Cambria Math"/>
                          </w:rPr>
                          <m:t>N</m:t>
                        </m:r>
                        <m:ctrlPr>
                          <w:rPr>
                            <w:rFonts w:ascii="Cambria Math" w:hAnsi="Cambria Math" w:eastAsiaTheme="minorHAnsi"/>
                            <w:iCs/>
                          </w:rPr>
                        </m:ctrlPr>
                      </m:e>
                      <m:sub>
                        <m:r>
                          <m:rPr>
                            <m:sty m:val="p"/>
                          </m:rPr>
                          <w:rPr>
                            <w:rFonts w:ascii="Cambria Math" w:hAnsi="Cambria Math"/>
                          </w:rPr>
                          <m:t>cells,r16</m:t>
                        </m:r>
                        <m:ctrlPr>
                          <w:rPr>
                            <w:rFonts w:ascii="Cambria Math" w:hAnsi="Cambria Math" w:eastAsiaTheme="minorHAnsi"/>
                            <w:iCs/>
                          </w:rPr>
                        </m:ctrlPr>
                      </m:sub>
                      <m:sup>
                        <m:r>
                          <m:rPr>
                            <m:sty m:val="p"/>
                          </m:rPr>
                          <w:rPr>
                            <w:rFonts w:ascii="Cambria Math" w:hAnsi="Cambria Math"/>
                            <w:color w:val="000000"/>
                          </w:rPr>
                          <m:t>DL,</m:t>
                        </m:r>
                        <m:r>
                          <m:rPr>
                            <m:sty m:val="p"/>
                          </m:rPr>
                          <w:rPr>
                            <w:rFonts w:ascii="Cambria Math" w:hAnsi="Cambria Math"/>
                            <w:color w:val="000000"/>
                            <w:sz w:val="21"/>
                            <w:szCs w:val="21"/>
                          </w:rPr>
                          <m:t>μ</m:t>
                        </m:r>
                        <m:ctrlPr>
                          <w:rPr>
                            <w:rFonts w:ascii="Cambria Math" w:hAnsi="Cambria Math" w:eastAsiaTheme="minorHAnsi"/>
                            <w:iCs/>
                          </w:rPr>
                        </m:ctrlPr>
                      </m:sup>
                    </m:sSubSup>
                  </m:oMath>
                  <w:r>
                    <w:rPr>
                      <w:iCs/>
                    </w:rPr>
                    <w:t xml:space="preserve"> downlink cells using combination </w:t>
                  </w:r>
                  <m:oMath>
                    <m:d>
                      <m:dPr>
                        <m:ctrlPr>
                          <w:rPr>
                            <w:rFonts w:ascii="Cambria Math" w:hAnsi="Cambria Math"/>
                            <w:lang w:eastAsia="zh-CN"/>
                          </w:rPr>
                        </m:ctrlPr>
                      </m:dPr>
                      <m:e>
                        <m:r>
                          <m:rPr>
                            <m:sty m:val="p"/>
                          </m:rPr>
                          <w:rPr>
                            <w:rFonts w:ascii="Cambria Math" w:hAnsi="Cambria Math"/>
                            <w:lang w:eastAsia="zh-CN"/>
                          </w:rPr>
                          <m:t>X,Y</m:t>
                        </m:r>
                        <m:ctrlPr>
                          <w:rPr>
                            <w:rFonts w:ascii="Cambria Math" w:hAnsi="Cambria Math"/>
                            <w:lang w:eastAsia="zh-CN"/>
                          </w:rPr>
                        </m:ctrlPr>
                      </m:e>
                    </m:d>
                  </m:oMath>
                  <w:r>
                    <w:rPr>
                      <w:iCs/>
                    </w:rPr>
                    <w:t xml:space="preserve"> for PDCCH monitoring, where </w:t>
                  </w:r>
                  <m:oMath>
                    <m:nary>
                      <m:naryPr>
                        <m:chr m:val="∑"/>
                        <m:ctrlPr>
                          <w:rPr>
                            <w:rFonts w:ascii="Cambria Math" w:hAnsi="Cambria Math" w:eastAsiaTheme="minorHAnsi"/>
                            <w:iCs/>
                          </w:rPr>
                        </m:ctrlPr>
                      </m:naryPr>
                      <m:sub>
                        <m:r>
                          <m:rPr>
                            <m:sty m:val="p"/>
                          </m:rPr>
                          <w:rPr>
                            <w:rFonts w:ascii="Cambria Math" w:hAnsi="Cambria Math"/>
                          </w:rPr>
                          <m:t>μ=0</m:t>
                        </m:r>
                        <m:ctrlPr>
                          <w:rPr>
                            <w:rFonts w:ascii="Cambria Math" w:hAnsi="Cambria Math" w:eastAsiaTheme="minorHAnsi"/>
                            <w:iCs/>
                          </w:rPr>
                        </m:ctrlPr>
                      </m:sub>
                      <m:sup>
                        <m:r>
                          <m:rPr>
                            <m:sty m:val="p"/>
                          </m:rPr>
                          <w:rPr>
                            <w:rFonts w:ascii="Cambria Math" w:hAnsi="Cambria Math"/>
                          </w:rPr>
                          <m:t>1</m:t>
                        </m:r>
                        <m:ctrlPr>
                          <w:rPr>
                            <w:rFonts w:ascii="Cambria Math" w:hAnsi="Cambria Math" w:eastAsiaTheme="minorHAnsi"/>
                            <w:iCs/>
                          </w:rPr>
                        </m:ctrlPr>
                      </m:sup>
                      <m:e>
                        <m:sSubSup>
                          <m:sSubSupPr>
                            <m:ctrlPr>
                              <w:rPr>
                                <w:rFonts w:ascii="Cambria Math" w:hAnsi="Cambria Math" w:eastAsiaTheme="minorHAnsi"/>
                                <w:iCs/>
                              </w:rPr>
                            </m:ctrlPr>
                          </m:sSubSupPr>
                          <m:e>
                            <m:r>
                              <w:rPr>
                                <w:rFonts w:ascii="Cambria Math" w:hAnsi="Cambria Math"/>
                              </w:rPr>
                              <m:t>N</m:t>
                            </m:r>
                            <m:ctrlPr>
                              <w:rPr>
                                <w:rFonts w:ascii="Cambria Math" w:hAnsi="Cambria Math" w:eastAsiaTheme="minorHAnsi"/>
                                <w:iCs/>
                              </w:rPr>
                            </m:ctrlPr>
                          </m:e>
                          <m:sub>
                            <m:r>
                              <m:rPr>
                                <m:sty m:val="p"/>
                              </m:rPr>
                              <w:rPr>
                                <w:rFonts w:ascii="Cambria Math" w:hAnsi="Cambria Math"/>
                              </w:rPr>
                              <m:t>cells,r16</m:t>
                            </m:r>
                            <m:ctrlPr>
                              <w:rPr>
                                <w:rFonts w:ascii="Cambria Math" w:hAnsi="Cambria Math" w:eastAsiaTheme="minorHAnsi"/>
                                <w:iCs/>
                              </w:rPr>
                            </m:ctrlPr>
                          </m:sub>
                          <m:sup>
                            <m:r>
                              <m:rPr>
                                <m:sty m:val="p"/>
                              </m:rPr>
                              <w:rPr>
                                <w:rFonts w:ascii="Cambria Math" w:hAnsi="Cambria Math"/>
                                <w:color w:val="000000"/>
                              </w:rPr>
                              <m:t>DL,μ</m:t>
                            </m:r>
                            <m:ctrlPr>
                              <w:rPr>
                                <w:rFonts w:ascii="Cambria Math" w:hAnsi="Cambria Math" w:eastAsiaTheme="minorHAnsi"/>
                                <w:iCs/>
                              </w:rPr>
                            </m:ctrlPr>
                          </m:sup>
                        </m:sSubSup>
                        <m:ctrlPr>
                          <w:rPr>
                            <w:rFonts w:ascii="Cambria Math" w:hAnsi="Cambria Math" w:eastAsiaTheme="minorHAnsi"/>
                            <w:iCs/>
                          </w:rPr>
                        </m:ctrlPr>
                      </m:e>
                    </m:nary>
                    <m:r>
                      <m:rPr>
                        <m:sty m:val="p"/>
                      </m:rPr>
                      <w:rPr>
                        <w:rFonts w:ascii="Cambria Math" w:hAnsi="Cambria Math"/>
                      </w:rPr>
                      <m:t>&gt;</m:t>
                    </m:r>
                    <m:sSubSup>
                      <m:sSubSupPr>
                        <m:ctrlPr>
                          <w:rPr>
                            <w:rFonts w:ascii="Cambria Math" w:hAnsi="Calibri" w:cs="Calibri"/>
                            <w:i/>
                          </w:rPr>
                        </m:ctrlPr>
                      </m:sSubSupPr>
                      <m:e>
                        <m:r>
                          <w:rPr>
                            <w:rFonts w:ascii="Cambria Math" w:hAnsi="Calibri" w:cs="Calibri"/>
                          </w:rPr>
                          <m:t>N</m:t>
                        </m:r>
                        <m:ctrlPr>
                          <w:rPr>
                            <w:rFonts w:ascii="Cambria Math" w:hAnsi="Calibri" w:cs="Calibri"/>
                            <w:i/>
                          </w:rPr>
                        </m:ctrlPr>
                      </m:e>
                      <m:sub>
                        <m:r>
                          <m:rPr>
                            <m:nor/>
                            <m:sty m:val="p"/>
                          </m:rPr>
                          <w:rPr>
                            <w:rFonts w:ascii="Cambria Math" w:hAnsi="Calibri" w:cs="Calibri"/>
                          </w:rPr>
                          <m:t>cells</m:t>
                        </m:r>
                        <m:ctrlPr>
                          <w:rPr>
                            <w:rFonts w:ascii="Cambria Math" w:hAnsi="Calibri" w:cs="Calibri"/>
                          </w:rPr>
                        </m:ctrlPr>
                      </m:sub>
                      <m:sup>
                        <m:r>
                          <m:rPr>
                            <m:nor/>
                            <m:sty m:val="p"/>
                          </m:rPr>
                          <w:rPr>
                            <w:rFonts w:ascii="Cambria Math" w:hAnsi="Calibri" w:cs="Calibri"/>
                          </w:rPr>
                          <m:t>cap-r16</m:t>
                        </m:r>
                        <m:ctrlPr>
                          <w:rPr>
                            <w:rFonts w:ascii="Cambria Math" w:hAnsi="Calibri" w:cs="Calibri"/>
                          </w:rPr>
                        </m:ctrlPr>
                      </m:sup>
                    </m:sSubSup>
                  </m:oMath>
                  <w:r>
                    <w:rPr>
                      <w:lang w:val="zh-CN"/>
                    </w:rPr>
                    <w:t xml:space="preserve">, </w:t>
                  </w:r>
                  <w:r>
                    <w:t xml:space="preserve">a DL BWP of an activated cell is the active DL BWP of the activated cell, and a DL BWP of a deactivated cell is the DL BWP with index provided by </w:t>
                  </w:r>
                  <w:r>
                    <w:rPr>
                      <w:i/>
                    </w:rPr>
                    <w:t>firstActiveDownlinkBWP-Id</w:t>
                  </w:r>
                  <w:r>
                    <w:t xml:space="preserve"> for the deactivated cell, </w:t>
                  </w:r>
                  <w:r>
                    <w:rPr>
                      <w:iCs/>
                    </w:rPr>
                    <w:t xml:space="preserve">the UE is not required to monitor more than </w:t>
                  </w:r>
                  <m:oMath>
                    <m:sSubSup>
                      <m:sSubSupPr>
                        <m:ctrlPr>
                          <w:rPr>
                            <w:rFonts w:ascii="Cambria Math" w:hAnsi="Calibri" w:cs="Calibri"/>
                            <w:i/>
                            <w:highlight w:val="yellow"/>
                          </w:rPr>
                        </m:ctrlPr>
                      </m:sSubSupPr>
                      <m:e>
                        <m:r>
                          <w:rPr>
                            <w:rFonts w:ascii="Cambria Math" w:hAnsi="Calibri" w:cs="Calibri"/>
                            <w:highlight w:val="yellow"/>
                          </w:rPr>
                          <m:t>M</m:t>
                        </m:r>
                        <m:ctrlPr>
                          <w:rPr>
                            <w:rFonts w:ascii="Cambria Math" w:hAnsi="Calibri" w:cs="Calibri"/>
                            <w:i/>
                            <w:highlight w:val="yellow"/>
                          </w:rPr>
                        </m:ctrlPr>
                      </m:e>
                      <m:sub>
                        <m:r>
                          <m:rPr>
                            <m:nor/>
                            <m:sty m:val="p"/>
                          </m:rPr>
                          <w:rPr>
                            <w:rFonts w:ascii="Cambria Math" w:hAnsi="Calibri" w:cs="Calibri"/>
                            <w:highlight w:val="yellow"/>
                          </w:rPr>
                          <m:t>PDCCH</m:t>
                        </m:r>
                        <m:ctrlPr>
                          <w:rPr>
                            <w:rFonts w:ascii="Cambria Math" w:hAnsi="Calibri" w:cs="Calibri"/>
                            <w:highlight w:val="yellow"/>
                          </w:rPr>
                        </m:ctrlPr>
                      </m:sub>
                      <m:sup>
                        <m:r>
                          <m:rPr>
                            <m:nor/>
                            <m:sty m:val="p"/>
                          </m:rPr>
                          <w:rPr>
                            <w:rFonts w:ascii="Cambria Math" w:hAnsi="Calibri" w:cs="Calibri"/>
                            <w:highlight w:val="yellow"/>
                          </w:rPr>
                          <m:t>total,(X,Y),</m:t>
                        </m:r>
                        <m:r>
                          <w:rPr>
                            <w:rFonts w:ascii="Cambria Math" w:hAnsi="Calibri" w:cs="Calibri"/>
                            <w:highlight w:val="yellow"/>
                          </w:rPr>
                          <m:t>μ</m:t>
                        </m:r>
                        <m:ctrlPr>
                          <w:rPr>
                            <w:rFonts w:ascii="Cambria Math" w:hAnsi="Calibri" w:cs="Calibri"/>
                            <w:highlight w:val="yellow"/>
                          </w:rPr>
                        </m:ctrlPr>
                      </m:sup>
                    </m:sSubSup>
                    <m:r>
                      <w:rPr>
                        <w:rFonts w:ascii="Cambria Math" w:hAnsi="Calibri" w:cs="Calibri"/>
                        <w:highlight w:val="yellow"/>
                      </w:rPr>
                      <m:t>=</m:t>
                    </m:r>
                    <m:d>
                      <m:dPr>
                        <m:begChr m:val="⌊"/>
                        <m:endChr m:val="⌋"/>
                        <m:ctrlPr>
                          <w:rPr>
                            <w:rFonts w:ascii="Cambria Math" w:hAnsi="Calibri" w:cs="Calibri"/>
                            <w:i/>
                            <w:highlight w:val="yellow"/>
                          </w:rPr>
                        </m:ctrlPr>
                      </m:dPr>
                      <m:e>
                        <m:sSubSup>
                          <m:sSubSupPr>
                            <m:ctrlPr>
                              <w:rPr>
                                <w:rFonts w:ascii="Cambria Math" w:hAnsi="Calibri" w:cs="Calibri"/>
                                <w:i/>
                                <w:highlight w:val="yellow"/>
                              </w:rPr>
                            </m:ctrlPr>
                          </m:sSubSupPr>
                          <m:e>
                            <m:r>
                              <w:rPr>
                                <w:rFonts w:ascii="Cambria Math" w:hAnsi="Calibri" w:cs="Calibri"/>
                                <w:highlight w:val="yellow"/>
                              </w:rPr>
                              <m:t>N</m:t>
                            </m:r>
                            <m:ctrlPr>
                              <w:rPr>
                                <w:rFonts w:ascii="Cambria Math" w:hAnsi="Calibri" w:cs="Calibri"/>
                                <w:i/>
                                <w:highlight w:val="yellow"/>
                              </w:rPr>
                            </m:ctrlPr>
                          </m:e>
                          <m:sub>
                            <m:r>
                              <m:rPr>
                                <m:nor/>
                                <m:sty m:val="p"/>
                              </m:rPr>
                              <w:rPr>
                                <w:rFonts w:ascii="Cambria Math" w:hAnsi="Calibri" w:cs="Calibri"/>
                                <w:highlight w:val="yellow"/>
                              </w:rPr>
                              <m:t>cells</m:t>
                            </m:r>
                            <m:ctrlPr>
                              <w:rPr>
                                <w:rFonts w:ascii="Cambria Math" w:hAnsi="Calibri" w:cs="Calibri"/>
                                <w:highlight w:val="yellow"/>
                              </w:rPr>
                            </m:ctrlPr>
                          </m:sub>
                          <m:sup>
                            <m:r>
                              <m:rPr>
                                <m:nor/>
                                <m:sty m:val="p"/>
                              </m:rPr>
                              <w:rPr>
                                <w:rFonts w:ascii="Cambria Math" w:hAnsi="Calibri" w:cs="Calibri"/>
                                <w:highlight w:val="yellow"/>
                              </w:rPr>
                              <m:t>cap-r16</m:t>
                            </m:r>
                            <m:ctrlPr>
                              <w:rPr>
                                <w:rFonts w:ascii="Cambria Math" w:hAnsi="Calibri" w:cs="Calibri"/>
                                <w:highlight w:val="yellow"/>
                              </w:rPr>
                            </m:ctrlPr>
                          </m:sup>
                        </m:sSubSup>
                        <m:r>
                          <w:rPr>
                            <w:rFonts w:ascii="Cambria Math" w:hAnsi="Cambria Math" w:cs="Cambria Math"/>
                            <w:highlight w:val="yellow"/>
                          </w:rPr>
                          <m:t>⋅</m:t>
                        </m:r>
                        <m:sSubSup>
                          <m:sSubSupPr>
                            <m:ctrlPr>
                              <w:rPr>
                                <w:rFonts w:ascii="Cambria Math" w:hAnsi="Calibri" w:cs="Calibri"/>
                                <w:i/>
                                <w:highlight w:val="yellow"/>
                              </w:rPr>
                            </m:ctrlPr>
                          </m:sSubSupPr>
                          <m:e>
                            <m:r>
                              <w:rPr>
                                <w:rFonts w:ascii="Cambria Math" w:hAnsi="Calibri" w:cs="Calibri"/>
                                <w:highlight w:val="yellow"/>
                              </w:rPr>
                              <m:t>M</m:t>
                            </m:r>
                            <m:ctrlPr>
                              <w:rPr>
                                <w:rFonts w:ascii="Cambria Math" w:hAnsi="Calibri" w:cs="Calibri"/>
                                <w:i/>
                                <w:highlight w:val="yellow"/>
                              </w:rPr>
                            </m:ctrlPr>
                          </m:e>
                          <m:sub>
                            <m:r>
                              <m:rPr>
                                <m:nor/>
                                <m:sty m:val="p"/>
                              </m:rPr>
                              <w:rPr>
                                <w:rFonts w:ascii="Cambria Math" w:hAnsi="Calibri" w:cs="Calibri"/>
                                <w:highlight w:val="yellow"/>
                              </w:rPr>
                              <m:t>PDCCH</m:t>
                            </m:r>
                            <m:ctrlPr>
                              <w:rPr>
                                <w:rFonts w:ascii="Cambria Math" w:hAnsi="Calibri" w:cs="Calibri"/>
                                <w:highlight w:val="yellow"/>
                              </w:rPr>
                            </m:ctrlPr>
                          </m:sub>
                          <m:sup>
                            <m:r>
                              <m:rPr>
                                <m:nor/>
                                <m:sty m:val="p"/>
                              </m:rPr>
                              <w:rPr>
                                <w:rFonts w:ascii="Cambria Math" w:hAnsi="Calibri" w:cs="Calibri"/>
                                <w:highlight w:val="yellow"/>
                              </w:rPr>
                              <m:t>max,(X,Y),</m:t>
                            </m:r>
                            <m:r>
                              <w:rPr>
                                <w:rFonts w:ascii="Cambria Math" w:hAnsi="Calibri" w:cs="Calibri"/>
                                <w:highlight w:val="yellow"/>
                              </w:rPr>
                              <m:t>μ</m:t>
                            </m:r>
                            <m:ctrlPr>
                              <w:rPr>
                                <w:rFonts w:ascii="Cambria Math" w:hAnsi="Calibri" w:cs="Calibri"/>
                                <w:highlight w:val="yellow"/>
                              </w:rPr>
                            </m:ctrlPr>
                          </m:sup>
                        </m:sSubSup>
                        <m:r>
                          <w:rPr>
                            <w:rFonts w:ascii="Cambria Math" w:hAnsi="Cambria Math" w:cs="Cambria Math"/>
                            <w:highlight w:val="yellow"/>
                          </w:rPr>
                          <m:t>⋅</m:t>
                        </m:r>
                        <m:f>
                          <m:fPr>
                            <m:type m:val="lin"/>
                            <m:ctrlPr>
                              <w:rPr>
                                <w:rFonts w:ascii="Cambria Math" w:hAnsi="Calibri" w:cs="Calibri"/>
                                <w:i/>
                                <w:highlight w:val="yellow"/>
                              </w:rPr>
                            </m:ctrlPr>
                          </m:fPr>
                          <m:num>
                            <m:sSubSup>
                              <m:sSubSupPr>
                                <m:ctrlPr>
                                  <w:rPr>
                                    <w:rFonts w:ascii="Cambria Math" w:hAnsi="Cambria Math" w:eastAsiaTheme="minorHAnsi"/>
                                    <w:iCs/>
                                    <w:highlight w:val="yellow"/>
                                  </w:rPr>
                                </m:ctrlPr>
                              </m:sSubSupPr>
                              <m:e>
                                <m:r>
                                  <w:rPr>
                                    <w:rFonts w:ascii="Cambria Math" w:hAnsi="Cambria Math"/>
                                    <w:highlight w:val="yellow"/>
                                  </w:rPr>
                                  <m:t>N</m:t>
                                </m:r>
                                <m:ctrlPr>
                                  <w:rPr>
                                    <w:rFonts w:ascii="Cambria Math" w:hAnsi="Cambria Math" w:eastAsiaTheme="minorHAnsi"/>
                                    <w:iCs/>
                                    <w:highlight w:val="yellow"/>
                                  </w:rPr>
                                </m:ctrlPr>
                              </m:e>
                              <m:sub>
                                <m:r>
                                  <m:rPr>
                                    <m:sty m:val="p"/>
                                  </m:rPr>
                                  <w:rPr>
                                    <w:rFonts w:ascii="Cambria Math" w:hAnsi="Cambria Math"/>
                                    <w:highlight w:val="yellow"/>
                                  </w:rPr>
                                  <m:t>cells,r16</m:t>
                                </m:r>
                                <m:ctrlPr>
                                  <w:rPr>
                                    <w:rFonts w:ascii="Cambria Math" w:hAnsi="Cambria Math" w:eastAsiaTheme="minorHAnsi"/>
                                    <w:iCs/>
                                    <w:highlight w:val="yellow"/>
                                  </w:rPr>
                                </m:ctrlPr>
                              </m:sub>
                              <m:sup>
                                <m:r>
                                  <m:rPr>
                                    <m:sty m:val="p"/>
                                  </m:rPr>
                                  <w:rPr>
                                    <w:rFonts w:ascii="Cambria Math" w:hAnsi="Cambria Math"/>
                                    <w:color w:val="000000"/>
                                    <w:highlight w:val="yellow"/>
                                  </w:rPr>
                                  <m:t>DL,(X,Y),μ</m:t>
                                </m:r>
                                <m:ctrlPr>
                                  <w:rPr>
                                    <w:rFonts w:ascii="Cambria Math" w:hAnsi="Cambria Math" w:eastAsiaTheme="minorHAnsi"/>
                                    <w:iCs/>
                                    <w:highlight w:val="yellow"/>
                                  </w:rPr>
                                </m:ctrlPr>
                              </m:sup>
                            </m:sSubSup>
                            <m:ctrlPr>
                              <w:rPr>
                                <w:rFonts w:ascii="Cambria Math" w:hAnsi="Calibri" w:cs="Calibri"/>
                                <w:i/>
                                <w:highlight w:val="yellow"/>
                              </w:rPr>
                            </m:ctrlPr>
                          </m:num>
                          <m:den>
                            <m:nary>
                              <m:naryPr>
                                <m:chr m:val="∑"/>
                                <m:ctrlPr>
                                  <w:rPr>
                                    <w:rFonts w:ascii="Cambria Math" w:hAnsi="Calibri" w:cs="Calibri"/>
                                    <w:i/>
                                    <w:highlight w:val="yellow"/>
                                  </w:rPr>
                                </m:ctrlPr>
                              </m:naryPr>
                              <m:sub>
                                <m:r>
                                  <w:rPr>
                                    <w:rFonts w:ascii="Cambria Math" w:hAnsi="Calibri" w:cs="Calibri"/>
                                    <w:highlight w:val="yellow"/>
                                  </w:rPr>
                                  <m:t>j=0</m:t>
                                </m:r>
                                <m:ctrlPr>
                                  <w:rPr>
                                    <w:rFonts w:ascii="Cambria Math" w:hAnsi="Calibri" w:cs="Calibri"/>
                                    <w:i/>
                                    <w:highlight w:val="yellow"/>
                                  </w:rPr>
                                </m:ctrlPr>
                              </m:sub>
                              <m:sup>
                                <m:r>
                                  <w:rPr>
                                    <w:rFonts w:ascii="Cambria Math" w:hAnsi="Calibri" w:cs="Calibri"/>
                                    <w:highlight w:val="yellow"/>
                                  </w:rPr>
                                  <m:t>1</m:t>
                                </m:r>
                                <m:ctrlPr>
                                  <w:rPr>
                                    <w:rFonts w:ascii="Cambria Math" w:hAnsi="Calibri" w:cs="Calibri"/>
                                    <w:i/>
                                    <w:highlight w:val="yellow"/>
                                  </w:rPr>
                                </m:ctrlPr>
                              </m:sup>
                              <m:e>
                                <m:sSubSup>
                                  <m:sSubSupPr>
                                    <m:ctrlPr>
                                      <w:rPr>
                                        <w:rFonts w:ascii="Cambria Math" w:hAnsi="Cambria Math" w:eastAsiaTheme="minorHAnsi"/>
                                        <w:iCs/>
                                        <w:highlight w:val="yellow"/>
                                      </w:rPr>
                                    </m:ctrlPr>
                                  </m:sSubSupPr>
                                  <m:e>
                                    <m:r>
                                      <w:rPr>
                                        <w:rFonts w:ascii="Cambria Math" w:hAnsi="Cambria Math"/>
                                        <w:highlight w:val="yellow"/>
                                      </w:rPr>
                                      <m:t>N</m:t>
                                    </m:r>
                                    <m:ctrlPr>
                                      <w:rPr>
                                        <w:rFonts w:ascii="Cambria Math" w:hAnsi="Cambria Math" w:eastAsiaTheme="minorHAnsi"/>
                                        <w:iCs/>
                                        <w:highlight w:val="yellow"/>
                                      </w:rPr>
                                    </m:ctrlPr>
                                  </m:e>
                                  <m:sub>
                                    <m:r>
                                      <m:rPr>
                                        <m:sty m:val="p"/>
                                      </m:rPr>
                                      <w:rPr>
                                        <w:rFonts w:ascii="Cambria Math" w:hAnsi="Cambria Math"/>
                                        <w:highlight w:val="yellow"/>
                                      </w:rPr>
                                      <m:t>cells,r16</m:t>
                                    </m:r>
                                    <m:ctrlPr>
                                      <w:rPr>
                                        <w:rFonts w:ascii="Cambria Math" w:hAnsi="Cambria Math" w:eastAsiaTheme="minorHAnsi"/>
                                        <w:iCs/>
                                        <w:highlight w:val="yellow"/>
                                      </w:rPr>
                                    </m:ctrlPr>
                                  </m:sub>
                                  <m:sup>
                                    <m:r>
                                      <m:rPr>
                                        <m:sty m:val="p"/>
                                      </m:rPr>
                                      <w:rPr>
                                        <w:rFonts w:ascii="Cambria Math" w:hAnsi="Cambria Math"/>
                                        <w:color w:val="000000"/>
                                        <w:highlight w:val="yellow"/>
                                      </w:rPr>
                                      <m:t>DL,j</m:t>
                                    </m:r>
                                    <m:ctrlPr>
                                      <w:rPr>
                                        <w:rFonts w:ascii="Cambria Math" w:hAnsi="Cambria Math" w:eastAsiaTheme="minorHAnsi"/>
                                        <w:iCs/>
                                        <w:highlight w:val="yellow"/>
                                      </w:rPr>
                                    </m:ctrlPr>
                                  </m:sup>
                                </m:sSubSup>
                                <m:ctrlPr>
                                  <w:rPr>
                                    <w:rFonts w:ascii="Cambria Math" w:hAnsi="Cambria Math" w:cs="Calibri"/>
                                    <w:i/>
                                    <w:highlight w:val="yellow"/>
                                  </w:rPr>
                                </m:ctrlPr>
                              </m:e>
                            </m:nary>
                            <m:ctrlPr>
                              <w:rPr>
                                <w:rFonts w:ascii="Cambria Math" w:hAnsi="Cambria Math" w:cs="Calibri"/>
                                <w:i/>
                                <w:highlight w:val="yellow"/>
                              </w:rPr>
                            </m:ctrlPr>
                          </m:den>
                        </m:f>
                        <m:ctrlPr>
                          <w:rPr>
                            <w:rFonts w:ascii="Cambria Math" w:hAnsi="Cambria Math" w:cs="Calibri"/>
                            <w:i/>
                            <w:highlight w:val="yellow"/>
                          </w:rPr>
                        </m:ctrlPr>
                      </m:e>
                    </m:d>
                  </m:oMath>
                  <w:r>
                    <w:rPr>
                      <w:lang w:eastAsia="ko-KR"/>
                    </w:rPr>
                    <w:t xml:space="preserve"> </w:t>
                  </w:r>
                  <w:r>
                    <w:t xml:space="preserve">PDCCH candidates or more than </w:t>
                  </w:r>
                  <m:oMath>
                    <m:sSubSup>
                      <m:sSubSupPr>
                        <m:ctrlPr>
                          <w:rPr>
                            <w:rFonts w:ascii="Cambria Math" w:hAnsi="Calibri" w:cs="Calibri"/>
                            <w:i/>
                            <w:highlight w:val="yellow"/>
                          </w:rPr>
                        </m:ctrlPr>
                      </m:sSubSupPr>
                      <m:e>
                        <m:r>
                          <w:rPr>
                            <w:rFonts w:ascii="Cambria Math" w:hAnsi="Calibri" w:cs="Calibri"/>
                            <w:highlight w:val="yellow"/>
                          </w:rPr>
                          <m:t>C</m:t>
                        </m:r>
                        <m:ctrlPr>
                          <w:rPr>
                            <w:rFonts w:ascii="Cambria Math" w:hAnsi="Calibri" w:cs="Calibri"/>
                            <w:i/>
                            <w:highlight w:val="yellow"/>
                          </w:rPr>
                        </m:ctrlPr>
                      </m:e>
                      <m:sub>
                        <m:r>
                          <m:rPr>
                            <m:nor/>
                            <m:sty m:val="p"/>
                          </m:rPr>
                          <w:rPr>
                            <w:rFonts w:ascii="Cambria Math" w:hAnsi="Calibri" w:cs="Calibri"/>
                            <w:highlight w:val="yellow"/>
                          </w:rPr>
                          <m:t>PDCCH</m:t>
                        </m:r>
                        <m:ctrlPr>
                          <w:rPr>
                            <w:rFonts w:ascii="Cambria Math" w:hAnsi="Calibri" w:cs="Calibri"/>
                            <w:highlight w:val="yellow"/>
                          </w:rPr>
                        </m:ctrlPr>
                      </m:sub>
                      <m:sup>
                        <m:r>
                          <m:rPr>
                            <m:nor/>
                            <m:sty m:val="p"/>
                          </m:rPr>
                          <w:rPr>
                            <w:rFonts w:ascii="Cambria Math" w:hAnsi="Calibri" w:cs="Calibri"/>
                            <w:highlight w:val="yellow"/>
                          </w:rPr>
                          <m:t>total,(X,Y),</m:t>
                        </m:r>
                        <m:r>
                          <w:rPr>
                            <w:rFonts w:ascii="Cambria Math" w:hAnsi="Calibri" w:cs="Calibri"/>
                            <w:highlight w:val="yellow"/>
                          </w:rPr>
                          <m:t>μ</m:t>
                        </m:r>
                        <m:ctrlPr>
                          <w:rPr>
                            <w:rFonts w:ascii="Cambria Math" w:hAnsi="Calibri" w:cs="Calibri"/>
                            <w:highlight w:val="yellow"/>
                          </w:rPr>
                        </m:ctrlPr>
                      </m:sup>
                    </m:sSubSup>
                    <m:r>
                      <w:rPr>
                        <w:rFonts w:ascii="Cambria Math" w:hAnsi="Calibri" w:cs="Calibri"/>
                        <w:highlight w:val="yellow"/>
                      </w:rPr>
                      <m:t>=</m:t>
                    </m:r>
                    <m:d>
                      <m:dPr>
                        <m:begChr m:val="⌊"/>
                        <m:endChr m:val="⌋"/>
                        <m:ctrlPr>
                          <w:rPr>
                            <w:rFonts w:ascii="Cambria Math" w:hAnsi="Calibri" w:cs="Calibri"/>
                            <w:i/>
                            <w:highlight w:val="yellow"/>
                          </w:rPr>
                        </m:ctrlPr>
                      </m:dPr>
                      <m:e>
                        <m:sSubSup>
                          <m:sSubSupPr>
                            <m:ctrlPr>
                              <w:rPr>
                                <w:rFonts w:ascii="Cambria Math" w:hAnsi="Calibri" w:cs="Calibri"/>
                                <w:i/>
                                <w:highlight w:val="yellow"/>
                              </w:rPr>
                            </m:ctrlPr>
                          </m:sSubSupPr>
                          <m:e>
                            <m:r>
                              <w:rPr>
                                <w:rFonts w:ascii="Cambria Math" w:hAnsi="Calibri" w:cs="Calibri"/>
                                <w:highlight w:val="yellow"/>
                              </w:rPr>
                              <m:t>N</m:t>
                            </m:r>
                            <m:ctrlPr>
                              <w:rPr>
                                <w:rFonts w:ascii="Cambria Math" w:hAnsi="Calibri" w:cs="Calibri"/>
                                <w:i/>
                                <w:highlight w:val="yellow"/>
                              </w:rPr>
                            </m:ctrlPr>
                          </m:e>
                          <m:sub>
                            <m:r>
                              <m:rPr>
                                <m:nor/>
                                <m:sty m:val="p"/>
                              </m:rPr>
                              <w:rPr>
                                <w:rFonts w:ascii="Cambria Math" w:hAnsi="Calibri" w:cs="Calibri"/>
                                <w:highlight w:val="yellow"/>
                              </w:rPr>
                              <m:t>cells</m:t>
                            </m:r>
                            <m:ctrlPr>
                              <w:rPr>
                                <w:rFonts w:ascii="Cambria Math" w:hAnsi="Calibri" w:cs="Calibri"/>
                                <w:highlight w:val="yellow"/>
                              </w:rPr>
                            </m:ctrlPr>
                          </m:sub>
                          <m:sup>
                            <m:r>
                              <m:rPr>
                                <m:nor/>
                                <m:sty m:val="p"/>
                              </m:rPr>
                              <w:rPr>
                                <w:rFonts w:ascii="Cambria Math" w:hAnsi="Calibri" w:cs="Calibri"/>
                                <w:highlight w:val="yellow"/>
                              </w:rPr>
                              <m:t>cap-r16</m:t>
                            </m:r>
                            <m:ctrlPr>
                              <w:rPr>
                                <w:rFonts w:ascii="Cambria Math" w:hAnsi="Calibri" w:cs="Calibri"/>
                                <w:highlight w:val="yellow"/>
                              </w:rPr>
                            </m:ctrlPr>
                          </m:sup>
                        </m:sSubSup>
                        <m:r>
                          <w:rPr>
                            <w:rFonts w:ascii="Cambria Math" w:hAnsi="Cambria Math" w:cs="Cambria Math"/>
                            <w:highlight w:val="yellow"/>
                          </w:rPr>
                          <m:t>⋅</m:t>
                        </m:r>
                        <m:sSubSup>
                          <m:sSubSupPr>
                            <m:ctrlPr>
                              <w:rPr>
                                <w:rFonts w:ascii="Cambria Math" w:hAnsi="Calibri" w:cs="Calibri"/>
                                <w:i/>
                                <w:highlight w:val="yellow"/>
                              </w:rPr>
                            </m:ctrlPr>
                          </m:sSubSupPr>
                          <m:e>
                            <m:r>
                              <w:rPr>
                                <w:rFonts w:ascii="Cambria Math" w:hAnsi="Calibri" w:cs="Calibri"/>
                                <w:highlight w:val="yellow"/>
                              </w:rPr>
                              <m:t>C</m:t>
                            </m:r>
                            <m:ctrlPr>
                              <w:rPr>
                                <w:rFonts w:ascii="Cambria Math" w:hAnsi="Calibri" w:cs="Calibri"/>
                                <w:i/>
                                <w:highlight w:val="yellow"/>
                              </w:rPr>
                            </m:ctrlPr>
                          </m:e>
                          <m:sub>
                            <m:r>
                              <m:rPr>
                                <m:nor/>
                                <m:sty m:val="p"/>
                              </m:rPr>
                              <w:rPr>
                                <w:rFonts w:ascii="Cambria Math" w:hAnsi="Calibri" w:cs="Calibri"/>
                                <w:highlight w:val="yellow"/>
                              </w:rPr>
                              <m:t>PDCCH</m:t>
                            </m:r>
                            <m:ctrlPr>
                              <w:rPr>
                                <w:rFonts w:ascii="Cambria Math" w:hAnsi="Calibri" w:cs="Calibri"/>
                                <w:highlight w:val="yellow"/>
                              </w:rPr>
                            </m:ctrlPr>
                          </m:sub>
                          <m:sup>
                            <m:r>
                              <m:rPr>
                                <m:nor/>
                                <m:sty m:val="p"/>
                              </m:rPr>
                              <w:rPr>
                                <w:rFonts w:ascii="Cambria Math" w:hAnsi="Calibri" w:cs="Calibri"/>
                                <w:highlight w:val="yellow"/>
                              </w:rPr>
                              <m:t>max,(X,Y),</m:t>
                            </m:r>
                            <m:r>
                              <w:rPr>
                                <w:rFonts w:ascii="Cambria Math" w:hAnsi="Calibri" w:cs="Calibri"/>
                                <w:highlight w:val="yellow"/>
                              </w:rPr>
                              <m:t>μ</m:t>
                            </m:r>
                            <m:ctrlPr>
                              <w:rPr>
                                <w:rFonts w:ascii="Cambria Math" w:hAnsi="Calibri" w:cs="Calibri"/>
                                <w:highlight w:val="yellow"/>
                              </w:rPr>
                            </m:ctrlPr>
                          </m:sup>
                        </m:sSubSup>
                        <m:r>
                          <w:rPr>
                            <w:rFonts w:ascii="Cambria Math" w:hAnsi="Cambria Math" w:cs="Cambria Math"/>
                            <w:highlight w:val="yellow"/>
                          </w:rPr>
                          <m:t>⋅</m:t>
                        </m:r>
                        <m:f>
                          <m:fPr>
                            <m:type m:val="lin"/>
                            <m:ctrlPr>
                              <w:rPr>
                                <w:rFonts w:ascii="Cambria Math" w:hAnsi="Calibri" w:cs="Calibri"/>
                                <w:i/>
                                <w:highlight w:val="yellow"/>
                              </w:rPr>
                            </m:ctrlPr>
                          </m:fPr>
                          <m:num>
                            <m:sSubSup>
                              <m:sSubSupPr>
                                <m:ctrlPr>
                                  <w:rPr>
                                    <w:rFonts w:ascii="Cambria Math" w:hAnsi="Cambria Math" w:eastAsiaTheme="minorHAnsi"/>
                                    <w:iCs/>
                                    <w:highlight w:val="yellow"/>
                                  </w:rPr>
                                </m:ctrlPr>
                              </m:sSubSupPr>
                              <m:e>
                                <m:r>
                                  <w:rPr>
                                    <w:rFonts w:ascii="Cambria Math" w:hAnsi="Cambria Math"/>
                                    <w:highlight w:val="yellow"/>
                                  </w:rPr>
                                  <m:t>N</m:t>
                                </m:r>
                                <m:ctrlPr>
                                  <w:rPr>
                                    <w:rFonts w:ascii="Cambria Math" w:hAnsi="Cambria Math" w:eastAsiaTheme="minorHAnsi"/>
                                    <w:iCs/>
                                    <w:highlight w:val="yellow"/>
                                  </w:rPr>
                                </m:ctrlPr>
                              </m:e>
                              <m:sub>
                                <m:r>
                                  <m:rPr>
                                    <m:sty m:val="p"/>
                                  </m:rPr>
                                  <w:rPr>
                                    <w:rFonts w:ascii="Cambria Math" w:hAnsi="Cambria Math"/>
                                    <w:highlight w:val="yellow"/>
                                  </w:rPr>
                                  <m:t>cells,r16</m:t>
                                </m:r>
                                <m:ctrlPr>
                                  <w:rPr>
                                    <w:rFonts w:ascii="Cambria Math" w:hAnsi="Cambria Math" w:eastAsiaTheme="minorHAnsi"/>
                                    <w:iCs/>
                                    <w:highlight w:val="yellow"/>
                                  </w:rPr>
                                </m:ctrlPr>
                              </m:sub>
                              <m:sup>
                                <m:r>
                                  <m:rPr>
                                    <m:sty m:val="p"/>
                                  </m:rPr>
                                  <w:rPr>
                                    <w:rFonts w:ascii="Cambria Math" w:hAnsi="Cambria Math"/>
                                    <w:color w:val="000000"/>
                                    <w:highlight w:val="yellow"/>
                                  </w:rPr>
                                  <m:t>DL,(X,Y),μ</m:t>
                                </m:r>
                                <m:ctrlPr>
                                  <w:rPr>
                                    <w:rFonts w:ascii="Cambria Math" w:hAnsi="Cambria Math" w:eastAsiaTheme="minorHAnsi"/>
                                    <w:iCs/>
                                    <w:highlight w:val="yellow"/>
                                  </w:rPr>
                                </m:ctrlPr>
                              </m:sup>
                            </m:sSubSup>
                            <m:ctrlPr>
                              <w:rPr>
                                <w:rFonts w:ascii="Cambria Math" w:hAnsi="Calibri" w:cs="Calibri"/>
                                <w:i/>
                                <w:highlight w:val="yellow"/>
                              </w:rPr>
                            </m:ctrlPr>
                          </m:num>
                          <m:den>
                            <m:nary>
                              <m:naryPr>
                                <m:chr m:val="∑"/>
                                <m:ctrlPr>
                                  <w:rPr>
                                    <w:rFonts w:ascii="Cambria Math" w:hAnsi="Calibri" w:cs="Calibri"/>
                                    <w:i/>
                                    <w:highlight w:val="yellow"/>
                                  </w:rPr>
                                </m:ctrlPr>
                              </m:naryPr>
                              <m:sub>
                                <m:r>
                                  <w:rPr>
                                    <w:rFonts w:ascii="Cambria Math" w:hAnsi="Calibri" w:cs="Calibri"/>
                                    <w:highlight w:val="yellow"/>
                                  </w:rPr>
                                  <m:t>j=0</m:t>
                                </m:r>
                                <m:ctrlPr>
                                  <w:rPr>
                                    <w:rFonts w:ascii="Cambria Math" w:hAnsi="Calibri" w:cs="Calibri"/>
                                    <w:i/>
                                    <w:highlight w:val="yellow"/>
                                  </w:rPr>
                                </m:ctrlPr>
                              </m:sub>
                              <m:sup>
                                <m:r>
                                  <w:rPr>
                                    <w:rFonts w:ascii="Cambria Math" w:hAnsi="Calibri" w:cs="Calibri"/>
                                    <w:highlight w:val="yellow"/>
                                  </w:rPr>
                                  <m:t>1</m:t>
                                </m:r>
                                <m:ctrlPr>
                                  <w:rPr>
                                    <w:rFonts w:ascii="Cambria Math" w:hAnsi="Calibri" w:cs="Calibri"/>
                                    <w:i/>
                                    <w:highlight w:val="yellow"/>
                                  </w:rPr>
                                </m:ctrlPr>
                              </m:sup>
                              <m:e>
                                <m:sSubSup>
                                  <m:sSubSupPr>
                                    <m:ctrlPr>
                                      <w:rPr>
                                        <w:rFonts w:ascii="Cambria Math" w:hAnsi="Cambria Math" w:eastAsiaTheme="minorHAnsi"/>
                                        <w:iCs/>
                                        <w:highlight w:val="yellow"/>
                                      </w:rPr>
                                    </m:ctrlPr>
                                  </m:sSubSupPr>
                                  <m:e>
                                    <m:r>
                                      <w:rPr>
                                        <w:rFonts w:ascii="Cambria Math" w:hAnsi="Cambria Math"/>
                                        <w:highlight w:val="yellow"/>
                                      </w:rPr>
                                      <m:t>N</m:t>
                                    </m:r>
                                    <m:ctrlPr>
                                      <w:rPr>
                                        <w:rFonts w:ascii="Cambria Math" w:hAnsi="Cambria Math" w:eastAsiaTheme="minorHAnsi"/>
                                        <w:iCs/>
                                        <w:highlight w:val="yellow"/>
                                      </w:rPr>
                                    </m:ctrlPr>
                                  </m:e>
                                  <m:sub>
                                    <m:r>
                                      <m:rPr>
                                        <m:sty m:val="p"/>
                                      </m:rPr>
                                      <w:rPr>
                                        <w:rFonts w:ascii="Cambria Math" w:hAnsi="Cambria Math"/>
                                        <w:highlight w:val="yellow"/>
                                      </w:rPr>
                                      <m:t>cells,r16</m:t>
                                    </m:r>
                                    <m:ctrlPr>
                                      <w:rPr>
                                        <w:rFonts w:ascii="Cambria Math" w:hAnsi="Cambria Math" w:eastAsiaTheme="minorHAnsi"/>
                                        <w:iCs/>
                                        <w:highlight w:val="yellow"/>
                                      </w:rPr>
                                    </m:ctrlPr>
                                  </m:sub>
                                  <m:sup>
                                    <m:r>
                                      <m:rPr>
                                        <m:sty m:val="p"/>
                                      </m:rPr>
                                      <w:rPr>
                                        <w:rFonts w:ascii="Cambria Math" w:hAnsi="Cambria Math"/>
                                        <w:color w:val="000000"/>
                                        <w:highlight w:val="yellow"/>
                                      </w:rPr>
                                      <m:t>DL,j</m:t>
                                    </m:r>
                                    <m:ctrlPr>
                                      <w:rPr>
                                        <w:rFonts w:ascii="Cambria Math" w:hAnsi="Cambria Math" w:eastAsiaTheme="minorHAnsi"/>
                                        <w:iCs/>
                                        <w:highlight w:val="yellow"/>
                                      </w:rPr>
                                    </m:ctrlPr>
                                  </m:sup>
                                </m:sSubSup>
                                <m:ctrlPr>
                                  <w:rPr>
                                    <w:rFonts w:ascii="Cambria Math" w:hAnsi="Cambria Math" w:cs="Calibri"/>
                                    <w:i/>
                                    <w:highlight w:val="yellow"/>
                                  </w:rPr>
                                </m:ctrlPr>
                              </m:e>
                            </m:nary>
                            <m:ctrlPr>
                              <w:rPr>
                                <w:rFonts w:ascii="Cambria Math" w:hAnsi="Cambria Math" w:cs="Calibri"/>
                                <w:i/>
                                <w:highlight w:val="yellow"/>
                              </w:rPr>
                            </m:ctrlPr>
                          </m:den>
                        </m:f>
                        <m:ctrlPr>
                          <w:rPr>
                            <w:rFonts w:ascii="Cambria Math" w:hAnsi="Cambria Math" w:cs="Calibri"/>
                            <w:i/>
                            <w:highlight w:val="yellow"/>
                          </w:rPr>
                        </m:ctrlPr>
                      </m:e>
                    </m:d>
                  </m:oMath>
                  <w:r>
                    <w:t xml:space="preserve"> non-overlapped CCEs</w:t>
                  </w:r>
                </w:p>
                <w:p>
                  <w:pPr>
                    <w:pStyle w:val="94"/>
                    <w:widowControl w:val="0"/>
                    <w:spacing w:line="240" w:lineRule="atLeast"/>
                    <w:rPr>
                      <w:lang w:val="en-US"/>
                    </w:rPr>
                  </w:pPr>
                  <w:r>
                    <w:rPr>
                      <w:lang w:val="en-US"/>
                    </w:rPr>
                    <w:t>-</w:t>
                  </w:r>
                  <w:r>
                    <w:rPr>
                      <w:lang w:val="en-US"/>
                    </w:rPr>
                    <w:tab/>
                  </w:r>
                  <w:r>
                    <w:t xml:space="preserve">per </w:t>
                  </w:r>
                  <w:r>
                    <w:rPr>
                      <w:lang w:val="en-US"/>
                    </w:rPr>
                    <w:t xml:space="preserve">set of </w:t>
                  </w:r>
                  <w:r>
                    <w:t>span</w:t>
                  </w:r>
                  <w:r>
                    <w:rPr>
                      <w:lang w:val="en-US"/>
                    </w:rPr>
                    <w:t xml:space="preserve">s on the active DL BWP(s) of all </w:t>
                  </w:r>
                  <w:r>
                    <w:t>scheduling cell</w:t>
                  </w:r>
                  <w:r>
                    <w:rPr>
                      <w:lang w:val="en-US"/>
                    </w:rPr>
                    <w:t xml:space="preserve">(s) from the </w:t>
                  </w:r>
                  <m:oMath>
                    <m:sSubSup>
                      <m:sSubSupPr>
                        <m:ctrlPr>
                          <w:rPr>
                            <w:rFonts w:ascii="Cambria Math" w:hAnsi="Cambria Math" w:eastAsiaTheme="minorHAnsi"/>
                            <w:iCs/>
                          </w:rPr>
                        </m:ctrlPr>
                      </m:sSubSupPr>
                      <m:e>
                        <m:r>
                          <w:rPr>
                            <w:rFonts w:ascii="Cambria Math" w:hAnsi="Cambria Math"/>
                          </w:rPr>
                          <m:t>N</m:t>
                        </m:r>
                        <m:ctrlPr>
                          <w:rPr>
                            <w:rFonts w:ascii="Cambria Math" w:hAnsi="Cambria Math" w:eastAsiaTheme="minorHAnsi"/>
                            <w:iCs/>
                          </w:rPr>
                        </m:ctrlPr>
                      </m:e>
                      <m:sub>
                        <m:r>
                          <m:rPr>
                            <m:sty m:val="p"/>
                          </m:rPr>
                          <w:rPr>
                            <w:rFonts w:ascii="Cambria Math" w:hAnsi="Cambria Math"/>
                          </w:rPr>
                          <m:t>cells,r16</m:t>
                        </m:r>
                        <m:ctrlPr>
                          <w:rPr>
                            <w:rFonts w:ascii="Cambria Math" w:hAnsi="Cambria Math" w:eastAsiaTheme="minorHAnsi"/>
                            <w:iCs/>
                          </w:rPr>
                        </m:ctrlPr>
                      </m:sub>
                      <m:sup>
                        <m:r>
                          <m:rPr>
                            <m:sty m:val="p"/>
                          </m:rPr>
                          <w:rPr>
                            <w:rFonts w:ascii="Cambria Math" w:hAnsi="Cambria Math"/>
                            <w:color w:val="000000"/>
                          </w:rPr>
                          <m:t>DL,(X,Y),μ</m:t>
                        </m:r>
                        <m:ctrlPr>
                          <w:rPr>
                            <w:rFonts w:ascii="Cambria Math" w:hAnsi="Cambria Math" w:eastAsiaTheme="minorHAnsi"/>
                            <w:iCs/>
                          </w:rPr>
                        </m:ctrlPr>
                      </m:sup>
                    </m:sSubSup>
                  </m:oMath>
                  <w:r>
                    <w:t xml:space="preserve"> downlink cells</w:t>
                  </w:r>
                  <w:r>
                    <w:rPr>
                      <w:lang w:val="en-US"/>
                    </w:rPr>
                    <w:t xml:space="preserve"> within every </w:t>
                  </w:r>
                  <m:oMath>
                    <m:r>
                      <m:rPr>
                        <m:sty m:val="p"/>
                      </m:rPr>
                      <w:rPr>
                        <w:rFonts w:ascii="Cambria Math" w:hAnsi="Cambria Math"/>
                        <w:lang w:eastAsia="zh-CN"/>
                      </w:rPr>
                      <m:t>X</m:t>
                    </m:r>
                  </m:oMath>
                  <w:r>
                    <w:rPr>
                      <w:lang w:val="en-US"/>
                    </w:rPr>
                    <w:t xml:space="preserve"> symbols,</w:t>
                  </w:r>
                  <w:r>
                    <w:t xml:space="preserve"> if the </w:t>
                  </w:r>
                  <w:r>
                    <w:rPr>
                      <w:lang w:val="en-US"/>
                    </w:rPr>
                    <w:t>union of PDCCH monitoring occasions</w:t>
                  </w:r>
                  <w:r>
                    <w:t xml:space="preserve"> on all scheduling cells </w:t>
                  </w:r>
                  <w:r>
                    <w:rPr>
                      <w:lang w:val="en-US"/>
                    </w:rPr>
                    <w:t xml:space="preserve">from the </w:t>
                  </w:r>
                  <m:oMath>
                    <m:sSubSup>
                      <m:sSubSupPr>
                        <m:ctrlPr>
                          <w:rPr>
                            <w:rFonts w:ascii="Cambria Math" w:hAnsi="Cambria Math" w:eastAsiaTheme="minorHAnsi"/>
                            <w:iCs/>
                          </w:rPr>
                        </m:ctrlPr>
                      </m:sSubSupPr>
                      <m:e>
                        <m:r>
                          <w:rPr>
                            <w:rFonts w:ascii="Cambria Math" w:hAnsi="Cambria Math"/>
                          </w:rPr>
                          <m:t>N</m:t>
                        </m:r>
                        <m:ctrlPr>
                          <w:rPr>
                            <w:rFonts w:ascii="Cambria Math" w:hAnsi="Cambria Math" w:eastAsiaTheme="minorHAnsi"/>
                            <w:iCs/>
                          </w:rPr>
                        </m:ctrlPr>
                      </m:e>
                      <m:sub>
                        <m:r>
                          <m:rPr>
                            <m:sty m:val="p"/>
                          </m:rPr>
                          <w:rPr>
                            <w:rFonts w:ascii="Cambria Math" w:hAnsi="Cambria Math"/>
                          </w:rPr>
                          <m:t>cells,r16</m:t>
                        </m:r>
                        <m:ctrlPr>
                          <w:rPr>
                            <w:rFonts w:ascii="Cambria Math" w:hAnsi="Cambria Math" w:eastAsiaTheme="minorHAnsi"/>
                            <w:iCs/>
                          </w:rPr>
                        </m:ctrlPr>
                      </m:sub>
                      <m:sup>
                        <m:r>
                          <m:rPr>
                            <m:sty m:val="p"/>
                          </m:rPr>
                          <w:rPr>
                            <w:rFonts w:ascii="Cambria Math" w:hAnsi="Cambria Math"/>
                            <w:color w:val="000000"/>
                          </w:rPr>
                          <m:t>DL,(X,Y),μ</m:t>
                        </m:r>
                        <m:ctrlPr>
                          <w:rPr>
                            <w:rFonts w:ascii="Cambria Math" w:hAnsi="Cambria Math" w:eastAsiaTheme="minorHAnsi"/>
                            <w:iCs/>
                          </w:rPr>
                        </m:ctrlPr>
                      </m:sup>
                    </m:sSubSup>
                  </m:oMath>
                  <w:r>
                    <w:t xml:space="preserve"> downlink cells </w:t>
                  </w:r>
                  <w:r>
                    <w:rPr>
                      <w:lang w:val="en-US"/>
                    </w:rPr>
                    <w:t xml:space="preserve">results to PDCCH monitoring according to the combination </w:t>
                  </w:r>
                  <m:oMath>
                    <m:d>
                      <m:dPr>
                        <m:ctrlPr>
                          <w:rPr>
                            <w:rFonts w:ascii="Cambria Math" w:hAnsi="Cambria Math"/>
                            <w:lang w:eastAsia="zh-CN"/>
                          </w:rPr>
                        </m:ctrlPr>
                      </m:dPr>
                      <m:e>
                        <m:r>
                          <m:rPr>
                            <m:sty m:val="p"/>
                          </m:rPr>
                          <w:rPr>
                            <w:rFonts w:ascii="Cambria Math" w:hAnsi="Cambria Math"/>
                            <w:lang w:eastAsia="zh-CN"/>
                          </w:rPr>
                          <m:t>X,Y</m:t>
                        </m:r>
                        <m:ctrlPr>
                          <w:rPr>
                            <w:rFonts w:ascii="Cambria Math" w:hAnsi="Cambria Math"/>
                            <w:lang w:eastAsia="zh-CN"/>
                          </w:rPr>
                        </m:ctrlPr>
                      </m:e>
                    </m:d>
                  </m:oMath>
                  <w:r>
                    <w:rPr>
                      <w:lang w:val="en-US"/>
                    </w:rPr>
                    <w:t xml:space="preserve"> </w:t>
                  </w:r>
                  <w:r>
                    <w:rPr>
                      <w:rFonts w:eastAsiaTheme="minorEastAsia"/>
                      <w:lang w:eastAsia="zh-CN"/>
                    </w:rPr>
                    <w:t xml:space="preserve">and any pair of spans </w:t>
                  </w:r>
                  <w:r>
                    <w:rPr>
                      <w:rFonts w:eastAsiaTheme="minorEastAsia"/>
                      <w:lang w:val="en-US" w:eastAsia="zh-CN"/>
                    </w:rPr>
                    <w:t xml:space="preserve">in the set is </w:t>
                  </w:r>
                  <w:r>
                    <w:rPr>
                      <w:rFonts w:eastAsiaTheme="minorEastAsia"/>
                      <w:lang w:eastAsia="zh-CN"/>
                    </w:rPr>
                    <w:t xml:space="preserve">within </w:t>
                  </w:r>
                  <m:oMath>
                    <m:r>
                      <w:rPr>
                        <w:rFonts w:ascii="Cambria Math" w:hAnsi="Cambria Math" w:eastAsiaTheme="minorEastAsia"/>
                        <w:lang w:eastAsia="zh-CN"/>
                      </w:rPr>
                      <m:t>Y</m:t>
                    </m:r>
                  </m:oMath>
                  <w:r>
                    <w:rPr>
                      <w:rFonts w:eastAsiaTheme="minorEastAsia"/>
                      <w:lang w:eastAsia="zh-CN"/>
                    </w:rPr>
                    <w:t xml:space="preserve"> symbols</w:t>
                  </w:r>
                  <w:r>
                    <w:t>, where</w:t>
                  </w:r>
                  <w:r>
                    <w:rPr>
                      <w:lang w:val="en-US"/>
                    </w:rPr>
                    <w:t xml:space="preserve"> first </w:t>
                  </w:r>
                  <m:oMath>
                    <m:r>
                      <m:rPr>
                        <m:sty m:val="p"/>
                      </m:rPr>
                      <w:rPr>
                        <w:rFonts w:ascii="Cambria Math" w:hAnsi="Cambria Math"/>
                        <w:lang w:eastAsia="zh-CN"/>
                      </w:rPr>
                      <m:t>X</m:t>
                    </m:r>
                  </m:oMath>
                  <w:r>
                    <w:t xml:space="preserve"> symbols </w:t>
                  </w:r>
                  <w:r>
                    <w:rPr>
                      <w:lang w:val="en-US"/>
                    </w:rPr>
                    <w:t>start</w:t>
                  </w:r>
                  <w:r>
                    <w:t xml:space="preserve"> at </w:t>
                  </w:r>
                  <w:r>
                    <w:rPr>
                      <w:lang w:val="en-US"/>
                    </w:rPr>
                    <w:t>a</w:t>
                  </w:r>
                  <w:r>
                    <w:t xml:space="preserve"> first symbol with </w:t>
                  </w:r>
                  <w:r>
                    <w:rPr>
                      <w:lang w:val="en-US"/>
                    </w:rPr>
                    <w:t xml:space="preserve">a </w:t>
                  </w:r>
                  <w:r>
                    <w:t xml:space="preserve">PDCCH monitoring occasion and </w:t>
                  </w:r>
                  <w:r>
                    <w:rPr>
                      <w:lang w:val="en-US"/>
                    </w:rPr>
                    <w:t xml:space="preserve">next </w:t>
                  </w:r>
                  <m:oMath>
                    <m:r>
                      <m:rPr>
                        <m:sty m:val="p"/>
                      </m:rPr>
                      <w:rPr>
                        <w:rFonts w:ascii="Cambria Math" w:hAnsi="Cambria Math"/>
                        <w:lang w:eastAsia="zh-CN"/>
                      </w:rPr>
                      <m:t>X</m:t>
                    </m:r>
                  </m:oMath>
                  <w:r>
                    <w:t xml:space="preserve"> symbols </w:t>
                  </w:r>
                  <w:r>
                    <w:rPr>
                      <w:lang w:val="en-US"/>
                    </w:rPr>
                    <w:t xml:space="preserve">start at a first symbol with a </w:t>
                  </w:r>
                  <w:r>
                    <w:t>PDCCH monitoring occasion</w:t>
                  </w:r>
                  <w:r>
                    <w:rPr>
                      <w:lang w:val="en-US"/>
                    </w:rPr>
                    <w:t xml:space="preserve"> that is not included in the first </w:t>
                  </w:r>
                  <m:oMath>
                    <m:r>
                      <m:rPr>
                        <m:sty m:val="p"/>
                      </m:rPr>
                      <w:rPr>
                        <w:rFonts w:ascii="Cambria Math" w:hAnsi="Cambria Math"/>
                        <w:lang w:eastAsia="zh-CN"/>
                      </w:rPr>
                      <m:t>X</m:t>
                    </m:r>
                  </m:oMath>
                  <w:r>
                    <w:t xml:space="preserve"> symbols</w:t>
                  </w:r>
                  <w:r>
                    <w:rPr>
                      <w:lang w:val="en-US"/>
                    </w:rPr>
                    <w:t xml:space="preserve"> </w:t>
                  </w:r>
                </w:p>
                <w:p>
                  <w:pPr>
                    <w:pStyle w:val="94"/>
                    <w:widowControl w:val="0"/>
                    <w:spacing w:line="240" w:lineRule="atLeast"/>
                    <w:rPr>
                      <w:lang w:val="en-US"/>
                    </w:rPr>
                  </w:pPr>
                  <w:r>
                    <w:rPr>
                      <w:lang w:val="en-US"/>
                    </w:rPr>
                    <w:t>-</w:t>
                  </w:r>
                  <w:r>
                    <w:rPr>
                      <w:lang w:val="en-US"/>
                    </w:rPr>
                    <w:tab/>
                  </w:r>
                  <w:r>
                    <w:rPr>
                      <w:lang w:val="en-US"/>
                    </w:rPr>
                    <w:t xml:space="preserve">per set of spans across the active DL BWP(s) of all scheduling cells from the </w:t>
                  </w:r>
                  <m:oMath>
                    <m:sSubSup>
                      <m:sSubSupPr>
                        <m:ctrlPr>
                          <w:rPr>
                            <w:rFonts w:ascii="Cambria Math" w:hAnsi="Cambria Math" w:eastAsiaTheme="minorHAnsi"/>
                            <w:iCs/>
                          </w:rPr>
                        </m:ctrlPr>
                      </m:sSubSupPr>
                      <m:e>
                        <m:r>
                          <w:rPr>
                            <w:rFonts w:ascii="Cambria Math" w:hAnsi="Cambria Math"/>
                          </w:rPr>
                          <m:t>N</m:t>
                        </m:r>
                        <m:ctrlPr>
                          <w:rPr>
                            <w:rFonts w:ascii="Cambria Math" w:hAnsi="Cambria Math" w:eastAsiaTheme="minorHAnsi"/>
                            <w:iCs/>
                          </w:rPr>
                        </m:ctrlPr>
                      </m:e>
                      <m:sub>
                        <m:r>
                          <m:rPr>
                            <m:sty m:val="p"/>
                          </m:rPr>
                          <w:rPr>
                            <w:rFonts w:ascii="Cambria Math" w:hAnsi="Cambria Math"/>
                          </w:rPr>
                          <m:t>cells,r16</m:t>
                        </m:r>
                        <m:ctrlPr>
                          <w:rPr>
                            <w:rFonts w:ascii="Cambria Math" w:hAnsi="Cambria Math" w:eastAsiaTheme="minorHAnsi"/>
                            <w:iCs/>
                          </w:rPr>
                        </m:ctrlPr>
                      </m:sub>
                      <m:sup>
                        <m:r>
                          <m:rPr>
                            <m:sty m:val="p"/>
                          </m:rPr>
                          <w:rPr>
                            <w:rFonts w:ascii="Cambria Math" w:hAnsi="Cambria Math"/>
                            <w:color w:val="000000"/>
                          </w:rPr>
                          <m:t>DL,(X,Y),μ</m:t>
                        </m:r>
                        <m:ctrlPr>
                          <w:rPr>
                            <w:rFonts w:ascii="Cambria Math" w:hAnsi="Cambria Math" w:eastAsiaTheme="minorHAnsi"/>
                            <w:iCs/>
                          </w:rPr>
                        </m:ctrlPr>
                      </m:sup>
                    </m:sSubSup>
                  </m:oMath>
                  <w:r>
                    <w:t xml:space="preserve"> downlink cells</w:t>
                  </w:r>
                  <w:r>
                    <w:rPr>
                      <w:lang w:val="en-US"/>
                    </w:rPr>
                    <w:t xml:space="preserve">, with at most one span per scheduling cell for each set of spans, otherwise </w:t>
                  </w:r>
                </w:p>
                <w:p>
                  <w:pPr>
                    <w:pStyle w:val="94"/>
                    <w:widowControl w:val="0"/>
                    <w:spacing w:line="240" w:lineRule="atLeast"/>
                    <w:ind w:left="0" w:firstLine="0"/>
                    <w:rPr>
                      <w:lang w:val="en-US"/>
                    </w:rPr>
                  </w:pPr>
                  <w:r>
                    <w:rPr>
                      <w:lang w:val="en-US"/>
                    </w:rPr>
                    <w:t xml:space="preserve">where </w:t>
                  </w:r>
                  <m:oMath>
                    <m:sSubSup>
                      <m:sSubSupPr>
                        <m:ctrlPr>
                          <w:rPr>
                            <w:rFonts w:ascii="Cambria Math" w:hAnsi="Cambria Math" w:eastAsiaTheme="minorHAnsi"/>
                            <w:iCs/>
                          </w:rPr>
                        </m:ctrlPr>
                      </m:sSubSupPr>
                      <m:e>
                        <m:r>
                          <w:rPr>
                            <w:rFonts w:ascii="Cambria Math" w:hAnsi="Cambria Math"/>
                          </w:rPr>
                          <m:t>N</m:t>
                        </m:r>
                        <m:ctrlPr>
                          <w:rPr>
                            <w:rFonts w:ascii="Cambria Math" w:hAnsi="Cambria Math" w:eastAsiaTheme="minorHAnsi"/>
                            <w:iCs/>
                          </w:rPr>
                        </m:ctrlPr>
                      </m:e>
                      <m:sub>
                        <m:r>
                          <m:rPr>
                            <m:sty m:val="p"/>
                          </m:rPr>
                          <w:rPr>
                            <w:rFonts w:ascii="Cambria Math" w:hAnsi="Cambria Math"/>
                          </w:rPr>
                          <m:t>cells,r16</m:t>
                        </m:r>
                        <m:ctrlPr>
                          <w:rPr>
                            <w:rFonts w:ascii="Cambria Math" w:hAnsi="Cambria Math" w:eastAsiaTheme="minorHAnsi"/>
                            <w:iCs/>
                          </w:rPr>
                        </m:ctrlPr>
                      </m:sub>
                      <m:sup>
                        <m:r>
                          <m:rPr>
                            <m:sty m:val="p"/>
                          </m:rPr>
                          <w:rPr>
                            <w:rFonts w:ascii="Cambria Math" w:hAnsi="Cambria Math"/>
                            <w:color w:val="000000"/>
                          </w:rPr>
                          <m:t>DL,j</m:t>
                        </m:r>
                        <m:ctrlPr>
                          <w:rPr>
                            <w:rFonts w:ascii="Cambria Math" w:hAnsi="Cambria Math" w:eastAsiaTheme="minorHAnsi"/>
                            <w:iCs/>
                          </w:rPr>
                        </m:ctrlPr>
                      </m:sup>
                    </m:sSubSup>
                  </m:oMath>
                  <w:r>
                    <w:rPr>
                      <w:iCs/>
                    </w:rPr>
                    <w:t xml:space="preserve"> is a number of configured cells with</w:t>
                  </w:r>
                  <w:r>
                    <w:t xml:space="preserve"> </w:t>
                  </w:r>
                  <w:r>
                    <w:rPr>
                      <w:lang w:eastAsia="ko-KR"/>
                    </w:rPr>
                    <w:t xml:space="preserve">associated PDCCH candidates monitored in the </w:t>
                  </w:r>
                  <w:r>
                    <w:t xml:space="preserve">active DL BWPs of the scheduling cells </w:t>
                  </w:r>
                  <w:r>
                    <w:rPr>
                      <w:lang w:val="en-US"/>
                    </w:rPr>
                    <w:t>using</w:t>
                  </w:r>
                  <w:r>
                    <w:rPr>
                      <w:iCs/>
                    </w:rPr>
                    <w:t xml:space="preserve"> SCS configuration </w:t>
                  </w:r>
                  <m:oMath>
                    <m:r>
                      <w:rPr>
                        <w:rFonts w:ascii="Cambria Math" w:hAnsi="Cambria Math"/>
                      </w:rPr>
                      <m:t>j</m:t>
                    </m:r>
                  </m:oMath>
                  <w:r>
                    <w:t xml:space="preserve">. </w:t>
                  </w:r>
                  <w:r>
                    <w:rPr>
                      <w:iCs/>
                    </w:rPr>
                    <w:t xml:space="preserve">If a UE is configured with downlink cells </w:t>
                  </w:r>
                  <w:r>
                    <w:rPr>
                      <w:iCs/>
                      <w:lang w:val="en-US"/>
                    </w:rPr>
                    <w:t xml:space="preserve">for which the UE is provided both </w:t>
                  </w:r>
                  <w:r>
                    <w:rPr>
                      <w:i/>
                    </w:rPr>
                    <w:t>monitoringCapabilityConfig</w:t>
                  </w:r>
                  <w:r>
                    <w:t xml:space="preserve"> = </w:t>
                  </w:r>
                  <w:r>
                    <w:rPr>
                      <w:i/>
                    </w:rPr>
                    <w:t>r15monitoringcapability</w:t>
                  </w:r>
                  <w:r>
                    <w:rPr>
                      <w:iCs/>
                    </w:rPr>
                    <w:t xml:space="preserve"> </w:t>
                  </w:r>
                  <w:r>
                    <w:rPr>
                      <w:iCs/>
                      <w:lang w:val="en-US"/>
                    </w:rPr>
                    <w:t xml:space="preserve">and </w:t>
                  </w:r>
                  <w:r>
                    <w:rPr>
                      <w:i/>
                    </w:rPr>
                    <w:t>monitoringCapabilityConfig</w:t>
                  </w:r>
                  <w:r>
                    <w:t xml:space="preserve"> = </w:t>
                  </w:r>
                  <w:r>
                    <w:rPr>
                      <w:i/>
                    </w:rPr>
                    <w:t>r1</w:t>
                  </w:r>
                  <w:r>
                    <w:rPr>
                      <w:i/>
                      <w:lang w:val="en-US"/>
                    </w:rPr>
                    <w:t>6</w:t>
                  </w:r>
                  <w:r>
                    <w:rPr>
                      <w:i/>
                    </w:rPr>
                    <w:t>monitoringcapability</w:t>
                  </w:r>
                  <w:r>
                    <w:rPr>
                      <w:iCs/>
                    </w:rPr>
                    <w:t xml:space="preserve">, </w:t>
                  </w:r>
                  <m:oMath>
                    <m:sSubSup>
                      <m:sSubSupPr>
                        <m:ctrlPr>
                          <w:rPr>
                            <w:rFonts w:ascii="Cambria Math" w:hAnsi="Calibri" w:cs="Calibri"/>
                            <w:i/>
                          </w:rPr>
                        </m:ctrlPr>
                      </m:sSubSupPr>
                      <m:e>
                        <m:r>
                          <w:rPr>
                            <w:rFonts w:ascii="Cambria Math" w:hAnsi="Calibri" w:cs="Calibri"/>
                          </w:rPr>
                          <m:t>N</m:t>
                        </m:r>
                        <m:ctrlPr>
                          <w:rPr>
                            <w:rFonts w:ascii="Cambria Math" w:hAnsi="Calibri" w:cs="Calibri"/>
                            <w:i/>
                          </w:rPr>
                        </m:ctrlPr>
                      </m:e>
                      <m:sub>
                        <m:r>
                          <m:rPr>
                            <m:nor/>
                            <m:sty m:val="p"/>
                          </m:rPr>
                          <w:rPr>
                            <w:rFonts w:ascii="Cambria Math" w:hAnsi="Calibri" w:cs="Calibri"/>
                          </w:rPr>
                          <m:t>cells</m:t>
                        </m:r>
                        <m:ctrlPr>
                          <w:rPr>
                            <w:rFonts w:ascii="Cambria Math" w:hAnsi="Calibri" w:cs="Calibri"/>
                          </w:rPr>
                        </m:ctrlPr>
                      </m:sub>
                      <m:sup>
                        <m:r>
                          <m:rPr>
                            <m:nor/>
                            <m:sty m:val="p"/>
                          </m:rPr>
                          <w:rPr>
                            <w:rFonts w:ascii="Cambria Math" w:hAnsi="Calibri" w:cs="Calibri"/>
                          </w:rPr>
                          <m:t>cap-r16</m:t>
                        </m:r>
                        <m:ctrlPr>
                          <w:rPr>
                            <w:rFonts w:ascii="Cambria Math" w:hAnsi="Calibri" w:cs="Calibri"/>
                          </w:rPr>
                        </m:ctrlPr>
                      </m:sup>
                    </m:sSubSup>
                  </m:oMath>
                  <w:r>
                    <w:t xml:space="preserve"> is replaced by </w:t>
                  </w:r>
                  <m:oMath>
                    <m:sSubSup>
                      <m:sSubSupPr>
                        <m:ctrlPr>
                          <w:rPr>
                            <w:rFonts w:ascii="Cambria Math" w:hAnsi="Calibri" w:cs="Calibri"/>
                            <w:i/>
                          </w:rPr>
                        </m:ctrlPr>
                      </m:sSubSupPr>
                      <m:e>
                        <m:r>
                          <w:rPr>
                            <w:rFonts w:ascii="Cambria Math" w:hAnsi="Calibri" w:cs="Calibri"/>
                          </w:rPr>
                          <m:t>N</m:t>
                        </m:r>
                        <m:ctrlPr>
                          <w:rPr>
                            <w:rFonts w:ascii="Cambria Math" w:hAnsi="Calibri" w:cs="Calibri"/>
                            <w:i/>
                          </w:rPr>
                        </m:ctrlPr>
                      </m:e>
                      <m:sub>
                        <m:r>
                          <m:rPr>
                            <m:nor/>
                            <m:sty m:val="p"/>
                          </m:rPr>
                          <w:rPr>
                            <w:rFonts w:ascii="Cambria Math" w:hAnsi="Calibri" w:cs="Calibri"/>
                          </w:rPr>
                          <m:t>cells,r16</m:t>
                        </m:r>
                        <m:ctrlPr>
                          <w:rPr>
                            <w:rFonts w:ascii="Cambria Math" w:hAnsi="Calibri" w:cs="Calibri"/>
                          </w:rPr>
                        </m:ctrlPr>
                      </m:sub>
                      <m:sup>
                        <m:r>
                          <m:rPr>
                            <m:nor/>
                            <m:sty m:val="p"/>
                          </m:rPr>
                          <w:rPr>
                            <w:rFonts w:ascii="Cambria Math" w:hAnsi="Calibri" w:cs="Calibri"/>
                          </w:rPr>
                          <m:t>cap-r16</m:t>
                        </m:r>
                        <m:ctrlPr>
                          <w:rPr>
                            <w:rFonts w:ascii="Cambria Math" w:hAnsi="Calibri" w:cs="Calibri"/>
                          </w:rPr>
                        </m:ctrlPr>
                      </m:sup>
                    </m:sSubSup>
                  </m:oMath>
                  <w:r>
                    <w:t>.</w:t>
                  </w:r>
                </w:p>
              </w:tc>
            </w:tr>
          </w:tbl>
          <w:p>
            <w:pPr>
              <w:widowControl w:val="0"/>
              <w:spacing w:before="120" w:line="240" w:lineRule="auto"/>
              <w:ind w:firstLine="220" w:firstLineChars="100"/>
              <w:rPr>
                <w:rFonts w:eastAsia="Batang"/>
                <w:lang w:eastAsia="ko-KR"/>
              </w:rPr>
            </w:pPr>
            <w:r>
              <w:rPr>
                <w:rFonts w:eastAsia="Batang"/>
                <w:lang w:eastAsia="ko-KR"/>
              </w:rPr>
              <w:t>These operation can be reused (or with simple modification) for 480 kHz and 960 kHz when multi-slot PDCCH monitoring is applied and X (or Y) for each cell or each SCS are (timely) aligned. However, if X(or Y) value is the same but its location is not aligned for each numerology or for each cell (or if X,Y values are different across serving cells), it may be uncertain whether above operation could be reused as it is. To figure out the uncertainty, it should be investigated how to handle BD/CCE capabilities of multi-slot monitoring for carrier aggregation.</w:t>
            </w:r>
          </w:p>
          <w:p>
            <w:pPr>
              <w:widowControl w:val="0"/>
              <w:spacing w:before="120" w:line="240" w:lineRule="auto"/>
              <w:ind w:firstLine="220" w:firstLineChars="100"/>
              <w:rPr>
                <w:rFonts w:eastAsia="Batang"/>
                <w:b/>
                <w:lang w:eastAsia="ko-KR"/>
              </w:rPr>
            </w:pPr>
            <w:r>
              <w:rPr>
                <w:rFonts w:eastAsia="Batang"/>
                <w:b/>
                <w:lang w:eastAsia="ko-KR"/>
              </w:rPr>
              <w:t xml:space="preserve">Proposal #9: It is necessary to study how to handle BD/CCE capability when the number of configured DL cells is greater than </w:t>
            </w:r>
            <m:oMath>
              <m:sSubSup>
                <m:sSubSupPr>
                  <m:ctrlPr>
                    <w:rPr>
                      <w:rFonts w:ascii="Cambria Math" w:hAnsi="Cambria Math" w:eastAsia="Batang"/>
                      <w:b/>
                      <w:i/>
                      <w:lang w:eastAsia="ko-KR"/>
                    </w:rPr>
                  </m:ctrlPr>
                </m:sSubSupPr>
                <m:e>
                  <m:r>
                    <m:rPr>
                      <m:sty m:val="bi"/>
                    </m:rPr>
                    <w:rPr>
                      <w:rFonts w:ascii="Cambria Math" w:hAnsi="Cambria Math" w:eastAsia="Batang"/>
                      <w:lang w:eastAsia="ko-KR"/>
                    </w:rPr>
                    <m:t>N</m:t>
                  </m:r>
                  <m:ctrlPr>
                    <w:rPr>
                      <w:rFonts w:ascii="Cambria Math" w:hAnsi="Cambria Math" w:eastAsia="Batang"/>
                      <w:b/>
                      <w:i/>
                      <w:lang w:eastAsia="ko-KR"/>
                    </w:rPr>
                  </m:ctrlPr>
                </m:e>
                <m:sub>
                  <m:r>
                    <m:rPr>
                      <m:nor/>
                      <m:sty m:val="b"/>
                    </m:rPr>
                    <w:rPr>
                      <w:rFonts w:eastAsia="Batang"/>
                      <w:b/>
                      <w:lang w:eastAsia="ko-KR"/>
                    </w:rPr>
                    <m:t>cells</m:t>
                  </m:r>
                  <m:ctrlPr>
                    <w:rPr>
                      <w:rFonts w:ascii="Cambria Math" w:hAnsi="Cambria Math" w:eastAsia="Batang"/>
                      <w:b/>
                      <w:lang w:eastAsia="ko-KR"/>
                    </w:rPr>
                  </m:ctrlPr>
                </m:sub>
                <m:sup>
                  <m:r>
                    <m:rPr>
                      <m:nor/>
                      <m:sty m:val="b"/>
                    </m:rPr>
                    <w:rPr>
                      <w:rFonts w:eastAsia="Batang"/>
                      <w:b/>
                      <w:lang w:eastAsia="ko-KR"/>
                    </w:rPr>
                    <m:t>cap</m:t>
                  </m:r>
                  <m:ctrlPr>
                    <w:rPr>
                      <w:rFonts w:ascii="Cambria Math" w:hAnsi="Cambria Math" w:eastAsia="Batang"/>
                      <w:b/>
                      <w:lang w:eastAsia="ko-KR"/>
                    </w:rPr>
                  </m:ctrlPr>
                </m:sup>
              </m:sSubSup>
            </m:oMath>
            <w:r>
              <w:rPr>
                <w:rFonts w:eastAsia="Batang"/>
                <w:b/>
                <w:lang w:eastAsia="ko-KR"/>
              </w:rPr>
              <w:t>.</w:t>
            </w:r>
          </w:p>
          <w:p>
            <w:pPr>
              <w:widowControl w:val="0"/>
              <w:spacing w:before="120"/>
              <w:rPr>
                <w:rFonts w:eastAsia="Batang"/>
                <w:b/>
                <w:lang w:eastAsia="ko-KR"/>
              </w:rPr>
            </w:pPr>
          </w:p>
        </w:tc>
      </w:tr>
    </w:tbl>
    <w:p>
      <w:pPr>
        <w:rPr>
          <w:lang w:eastAsia="zh-CN"/>
        </w:rPr>
      </w:pPr>
    </w:p>
    <w:p>
      <w:pPr>
        <w:pStyle w:val="4"/>
        <w:jc w:val="both"/>
        <w:rPr>
          <w:lang w:val="en-GB" w:eastAsia="zh-CN"/>
        </w:rPr>
      </w:pPr>
      <w:r>
        <w:rPr>
          <w:lang w:val="en-GB" w:eastAsia="zh-CN"/>
        </w:rPr>
        <w:t>R1-2110022 (Apple)</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tabs>
                <w:tab w:val="left" w:pos="360"/>
              </w:tabs>
              <w:jc w:val="both"/>
              <w:rPr>
                <w:rFonts w:eastAsia="Batang"/>
              </w:rPr>
            </w:pPr>
            <w:r>
              <w:rPr>
                <w:rFonts w:eastAsia="Batang"/>
              </w:rPr>
              <w:t xml:space="preserve">For cross carrier scheduling the following issues should be studied: </w:t>
            </w:r>
          </w:p>
          <w:p>
            <w:pPr>
              <w:widowControl w:val="0"/>
              <w:tabs>
                <w:tab w:val="left" w:pos="360"/>
              </w:tabs>
              <w:jc w:val="both"/>
              <w:rPr>
                <w:rFonts w:eastAsia="Batang"/>
              </w:rPr>
            </w:pPr>
          </w:p>
          <w:p>
            <w:pPr>
              <w:pStyle w:val="73"/>
              <w:widowControl w:val="0"/>
              <w:numPr>
                <w:ilvl w:val="0"/>
                <w:numId w:val="75"/>
              </w:numPr>
              <w:tabs>
                <w:tab w:val="left" w:pos="360"/>
              </w:tabs>
              <w:snapToGrid/>
              <w:spacing w:line="240" w:lineRule="auto"/>
              <w:jc w:val="both"/>
            </w:pPr>
            <w:r>
              <w:rPr>
                <w:i/>
                <w:iCs/>
              </w:rPr>
              <w:t xml:space="preserve">RAN1 should modify the parameter </w:t>
            </w:r>
            <w:r>
              <w:rPr>
                <w:i/>
                <w:iCs/>
                <w:lang w:val="en-AU"/>
              </w:rPr>
              <w:t>N</w:t>
            </w:r>
            <w:r>
              <w:rPr>
                <w:i/>
                <w:iCs/>
                <w:vertAlign w:val="subscript"/>
                <w:lang w:val="en-AU"/>
              </w:rPr>
              <w:t>pdsch</w:t>
            </w:r>
            <w:r>
              <w:rPr>
                <w:i/>
                <w:iCs/>
              </w:rPr>
              <w:t xml:space="preserve">  to account for the new SCSs:</w:t>
            </w:r>
            <w:r>
              <w:t xml:space="preserve"> The parameter </w:t>
            </w:r>
            <w:r>
              <w:rPr>
                <w:i/>
                <w:lang w:val="en-AU"/>
              </w:rPr>
              <w:t>N</w:t>
            </w:r>
            <w:r>
              <w:rPr>
                <w:i/>
                <w:vertAlign w:val="subscript"/>
                <w:lang w:val="en-AU"/>
              </w:rPr>
              <w:t>pdsch,</w:t>
            </w:r>
            <w:r>
              <w:rPr>
                <w:lang w:val="en-AU"/>
              </w:rPr>
              <w:t xml:space="preserve"> i.e., the # of PDCCH symbols after the end of the PDCCH scheduling the PDSCH</w:t>
            </w:r>
            <w:r>
              <w:t xml:space="preserve"> needs to be modified for the new SCSs.</w:t>
            </w:r>
          </w:p>
          <w:p>
            <w:pPr>
              <w:pStyle w:val="73"/>
              <w:widowControl w:val="0"/>
              <w:numPr>
                <w:ilvl w:val="0"/>
                <w:numId w:val="75"/>
              </w:numPr>
              <w:tabs>
                <w:tab w:val="left" w:pos="360"/>
              </w:tabs>
              <w:snapToGrid/>
              <w:spacing w:line="240" w:lineRule="auto"/>
              <w:jc w:val="both"/>
            </w:pPr>
            <w:r>
              <w:rPr>
                <w:i/>
                <w:iCs/>
              </w:rPr>
              <w:t xml:space="preserve">RAN1 should study the effect of a large differential between the SCSs of the carriers involved in the cross carrier scheduling procedure. </w:t>
            </w:r>
            <w:r>
              <w:t xml:space="preserve">In a scenario with different numerologies between PDSCH and PUCCH, a large differential between the SCSs may result in a large gap between a transmitted PDSCH(s) and its corresponding PUCCH. In one simple example, assume that the transmission occurs such that the HARQ is on FR1 with the SCS set to 15 kHz which is equivalent to 32 480 kHz slots. A frame structure of DDDSU would require an aggregation of up to 96 slots. The maximum differential changes from 8 (120 kHz to 15 kHz) to 64 (960 kHz to 15 kHz). </w:t>
            </w:r>
          </w:p>
          <w:p>
            <w:pPr>
              <w:pStyle w:val="73"/>
              <w:widowControl w:val="0"/>
              <w:numPr>
                <w:ilvl w:val="0"/>
                <w:numId w:val="75"/>
              </w:numPr>
              <w:tabs>
                <w:tab w:val="left" w:pos="360"/>
              </w:tabs>
              <w:snapToGrid/>
              <w:spacing w:line="240" w:lineRule="auto"/>
              <w:jc w:val="both"/>
            </w:pPr>
            <w:r>
              <w:rPr>
                <w:i/>
                <w:iCs/>
              </w:rPr>
              <w:t>The maximum number of carriers that can be simultaneously scheduled from a single carrier should be defined as a UE capability.</w:t>
            </w:r>
            <w:r>
              <w:t xml:space="preserve"> This may be necessary given the possible increase in the bandwidth of the different transmissions, and the increase in data rate for the new SCSs.</w:t>
            </w:r>
          </w:p>
          <w:p>
            <w:pPr>
              <w:widowControl w:val="0"/>
              <w:tabs>
                <w:tab w:val="left" w:pos="360"/>
              </w:tabs>
              <w:jc w:val="both"/>
              <w:rPr>
                <w:rFonts w:eastAsia="Batang"/>
              </w:rPr>
            </w:pPr>
          </w:p>
          <w:p>
            <w:pPr>
              <w:widowControl w:val="0"/>
              <w:jc w:val="both"/>
              <w:rPr>
                <w:i/>
                <w:iCs/>
              </w:rPr>
            </w:pPr>
            <w:r>
              <w:rPr>
                <w:b/>
                <w:bCs/>
                <w:i/>
                <w:iCs/>
              </w:rPr>
              <w:t>Proposal 11</w:t>
            </w:r>
            <w:r>
              <w:rPr>
                <w:i/>
                <w:iCs/>
              </w:rPr>
              <w:t xml:space="preserve">: RAN1 should modify the parameter </w:t>
            </w:r>
            <w:r>
              <w:rPr>
                <w:i/>
                <w:iCs/>
                <w:lang w:val="en-AU"/>
              </w:rPr>
              <w:t>N</w:t>
            </w:r>
            <w:r>
              <w:rPr>
                <w:i/>
                <w:iCs/>
                <w:vertAlign w:val="subscript"/>
                <w:lang w:val="en-AU"/>
              </w:rPr>
              <w:t>pdsch,</w:t>
            </w:r>
            <w:r>
              <w:rPr>
                <w:i/>
                <w:iCs/>
              </w:rPr>
              <w:t xml:space="preserve"> </w:t>
            </w:r>
            <w:r>
              <w:rPr>
                <w:i/>
                <w:iCs/>
                <w:lang w:val="en-AU"/>
              </w:rPr>
              <w:t>i.e. the # of PDCCH symbols after the end of the PDCCH scheduling the PDSCH,</w:t>
            </w:r>
            <w:r>
              <w:rPr>
                <w:i/>
                <w:iCs/>
              </w:rPr>
              <w:t xml:space="preserve"> to account for the new SCSs.</w:t>
            </w:r>
          </w:p>
          <w:p>
            <w:pPr>
              <w:widowControl w:val="0"/>
              <w:jc w:val="both"/>
              <w:rPr>
                <w:i/>
                <w:iCs/>
              </w:rPr>
            </w:pPr>
          </w:p>
          <w:p>
            <w:pPr>
              <w:widowControl w:val="0"/>
              <w:jc w:val="both"/>
              <w:rPr>
                <w:i/>
                <w:iCs/>
              </w:rPr>
            </w:pPr>
            <w:r>
              <w:rPr>
                <w:b/>
                <w:bCs/>
                <w:i/>
                <w:iCs/>
              </w:rPr>
              <w:t>Proposal 12:</w:t>
            </w:r>
            <w:r>
              <w:rPr>
                <w:i/>
                <w:iCs/>
              </w:rPr>
              <w:t xml:space="preserve"> RAN1 should study the effect of a large differential between the SCSs of the carriers involved in the cross-carrier scheduling procedure.</w:t>
            </w:r>
          </w:p>
          <w:p>
            <w:pPr>
              <w:widowControl w:val="0"/>
              <w:jc w:val="both"/>
              <w:rPr>
                <w:i/>
                <w:iCs/>
              </w:rPr>
            </w:pPr>
          </w:p>
          <w:p>
            <w:pPr>
              <w:widowControl w:val="0"/>
              <w:jc w:val="both"/>
              <w:rPr>
                <w:i/>
                <w:iCs/>
              </w:rPr>
            </w:pPr>
            <w:r>
              <w:rPr>
                <w:b/>
                <w:bCs/>
                <w:i/>
                <w:iCs/>
              </w:rPr>
              <w:t>Proposal 13:</w:t>
            </w:r>
            <w:r>
              <w:rPr>
                <w:i/>
                <w:iCs/>
              </w:rPr>
              <w:t xml:space="preserve"> for cross-carrier scheduling, the max number of CCs that can be scheduled from a single CC is reported as UE capability.</w:t>
            </w:r>
          </w:p>
          <w:p>
            <w:pPr>
              <w:widowControl w:val="0"/>
              <w:jc w:val="both"/>
              <w:rPr>
                <w:i/>
                <w:iCs/>
              </w:rPr>
            </w:pPr>
          </w:p>
        </w:tc>
      </w:tr>
    </w:tbl>
    <w:p>
      <w:pPr>
        <w:rPr>
          <w:lang w:eastAsia="zh-CN"/>
        </w:rPr>
      </w:pPr>
    </w:p>
    <w:p>
      <w:pPr>
        <w:pStyle w:val="4"/>
        <w:jc w:val="both"/>
        <w:rPr>
          <w:lang w:val="en-GB" w:eastAsia="zh-CN"/>
        </w:rPr>
      </w:pPr>
      <w:r>
        <w:rPr>
          <w:lang w:val="en-GB" w:eastAsia="zh-CN"/>
        </w:rPr>
        <w:t>R1-2110173 (Qualcomm)</w:t>
      </w:r>
    </w:p>
    <w:tbl>
      <w:tblPr>
        <w:tblStyle w:val="52"/>
        <w:tblW w:w="145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7" w:type="dxa"/>
            <w:vAlign w:val="center"/>
          </w:tcPr>
          <w:p>
            <w:pPr>
              <w:widowControl w:val="0"/>
              <w:rPr>
                <w:b/>
                <w:bCs/>
                <w:u w:val="single"/>
              </w:rPr>
            </w:pPr>
            <w:r>
              <w:rPr>
                <w:b/>
                <w:bCs/>
                <w:u w:val="single"/>
              </w:rPr>
              <w:t>Issue 1: Complexity of multi-carrier PDCCH BD/CCE calculation and overbooking</w:t>
            </w:r>
          </w:p>
          <w:p>
            <w:pPr>
              <w:widowControl w:val="0"/>
              <w:ind w:left="288"/>
              <w:rPr>
                <w:lang w:val="en-GB"/>
              </w:rPr>
            </w:pPr>
            <w:r>
              <w:rPr>
                <w:lang w:val="en-GB"/>
              </w:rPr>
              <w:t>If a UE is configured with multiple downlink cells of 480 kHz or 960 kHz SCSs, and each of the multiple cells is configured with multi-slot PDCCH monitoring, the distribution of the budget of monitored PDCCH candidates and non-overlapped CCEs across the carriers should be considered. A potential benefit of adopting the Alt 2 definition of the multi-slot PDCCH monitoring is that the existing rules associated with Rel-16 per-span PDCCH monitoring capability (</w:t>
            </w:r>
            <w:r>
              <w:rPr>
                <w:i/>
                <w:iCs/>
                <w:lang w:eastAsia="zh-CN"/>
              </w:rPr>
              <w:t>pdcch-MonitoringCA-r16</w:t>
            </w:r>
            <w:r>
              <w:rPr>
                <w:lang w:eastAsia="zh-CN"/>
              </w:rPr>
              <w:t xml:space="preserve">) may </w:t>
            </w:r>
            <w:r>
              <w:rPr>
                <w:lang w:val="en-GB"/>
              </w:rPr>
              <w:t>directly be applied (Section 10.1 in TS 38.213). That is, the distribution rules depend on the SCSs of active BWPs of the active cells, and on whether the spans of Y symbols/slots are aligned or not aligned across cells.</w:t>
            </w:r>
          </w:p>
          <w:p>
            <w:pPr>
              <w:widowControl w:val="0"/>
              <w:ind w:left="288"/>
              <w:rPr>
                <w:lang w:val="en-GB"/>
              </w:rPr>
            </w:pPr>
            <w:r>
              <w:rPr>
                <w:lang w:val="en-GB"/>
              </w:rPr>
              <w:t xml:space="preserve">However, a concern raised in RAN1 #106-e was whether the same rule in Rel-16 is really applicable to Alt 2 </w:t>
            </w:r>
            <w:r>
              <w:rPr>
                <w:lang w:val="en-GB"/>
              </w:rPr>
              <w:fldChar w:fldCharType="begin"/>
            </w:r>
            <w:r>
              <w:rPr>
                <w:lang w:val="en-GB"/>
              </w:rPr>
              <w:instrText xml:space="preserve"> REF _Ref83583214 \r \h  \* MERGEFORMAT </w:instrText>
            </w:r>
            <w:r>
              <w:rPr>
                <w:lang w:val="en-GB"/>
              </w:rPr>
              <w:fldChar w:fldCharType="separate"/>
            </w:r>
            <w:r>
              <w:rPr>
                <w:lang w:val="en-GB"/>
              </w:rPr>
              <w:t>[4]</w:t>
            </w:r>
            <w:r>
              <w:rPr>
                <w:lang w:val="en-GB"/>
              </w:rPr>
              <w:fldChar w:fldCharType="end"/>
            </w:r>
            <w:r>
              <w:rPr>
                <w:lang w:val="en-GB"/>
              </w:rPr>
              <w:t xml:space="preserve">. The problematic case is when the span, i.e., Y, is larger than one slot. However, as we proposed in </w:t>
            </w:r>
            <w:r>
              <w:rPr>
                <w:lang w:val="en-GB"/>
              </w:rPr>
              <w:fldChar w:fldCharType="begin"/>
            </w:r>
            <w:r>
              <w:rPr>
                <w:lang w:val="en-GB"/>
              </w:rPr>
              <w:instrText xml:space="preserve"> REF _Ref83573348 \h  \* MERGEFORMAT </w:instrText>
            </w:r>
            <w:r>
              <w:rPr>
                <w:lang w:val="en-GB"/>
              </w:rPr>
              <w:fldChar w:fldCharType="separate"/>
            </w:r>
            <w:r>
              <w:t>Proposal 5</w:t>
            </w:r>
            <w:r>
              <w:rPr>
                <w:lang w:val="en-GB"/>
              </w:rPr>
              <w:fldChar w:fldCharType="end"/>
            </w:r>
            <w:r>
              <w:rPr>
                <w:lang w:val="en-GB"/>
              </w:rPr>
              <w:t>, if the value of Y is no larger than one slot, the existing Rel-16 rule can be directly used.</w:t>
            </w:r>
          </w:p>
          <w:p>
            <w:pPr>
              <w:pStyle w:val="27"/>
              <w:widowControl w:val="0"/>
              <w:jc w:val="left"/>
              <w:rPr>
                <w:lang w:val="en-GB"/>
              </w:rPr>
            </w:pPr>
            <w:bookmarkStart w:id="145" w:name="_Toc83587366"/>
            <w:bookmarkStart w:id="146" w:name="_Toc79147724"/>
            <w:bookmarkStart w:id="147" w:name="_Toc83573336"/>
            <w:bookmarkStart w:id="148" w:name="_Toc78736007"/>
            <w:bookmarkStart w:id="149" w:name="_Toc79099663"/>
            <w:bookmarkStart w:id="150" w:name="_Toc83632392"/>
            <w:bookmarkStart w:id="151" w:name="O_3"/>
            <w:r>
              <w:t xml:space="preserve">Observation </w:t>
            </w:r>
            <w:r>
              <w:fldChar w:fldCharType="begin"/>
            </w:r>
            <w:r>
              <w:instrText xml:space="preserve"> SEQ Observation \* ARABIC </w:instrText>
            </w:r>
            <w:r>
              <w:fldChar w:fldCharType="separate"/>
            </w:r>
            <w:r>
              <w:t>3</w:t>
            </w:r>
            <w:r>
              <w:fldChar w:fldCharType="end"/>
            </w:r>
            <w:r>
              <w:t xml:space="preserve">: For multi-slot PDCCH monitoring capability Alt 2, at least when Y </w:t>
            </w:r>
            <w:r>
              <w:rPr>
                <w:rFonts w:hint="eastAsia"/>
              </w:rPr>
              <w:t>≤</w:t>
            </w:r>
            <w:r>
              <w:t xml:space="preserve"> 1 slot, the existing rules for Rel-16 per-span PDCCH monitoring can directly be applied to determine multi-carrier PDCCH monitoring capability.</w:t>
            </w:r>
            <w:bookmarkEnd w:id="145"/>
            <w:bookmarkEnd w:id="146"/>
            <w:bookmarkEnd w:id="147"/>
            <w:bookmarkEnd w:id="148"/>
            <w:bookmarkEnd w:id="149"/>
            <w:bookmarkEnd w:id="150"/>
          </w:p>
          <w:bookmarkEnd w:id="151"/>
          <w:p>
            <w:pPr>
              <w:widowControl w:val="0"/>
              <w:ind w:left="288"/>
              <w:rPr>
                <w:lang w:val="en-GB"/>
              </w:rPr>
            </w:pPr>
            <w:r>
              <w:rPr>
                <w:lang w:val="en-GB"/>
              </w:rPr>
              <w:t>Similarly, for PDCCH overbooking, the existing rules associated with Rel-16 per-span PDCCH monitoring capability can directly be applied. That is, overbooking is allowed only on a primary cell, and dropping of PDCCH candidates and non-overlapped CCEs is performed on a span-basis.</w:t>
            </w:r>
          </w:p>
          <w:p>
            <w:pPr>
              <w:pStyle w:val="27"/>
              <w:widowControl w:val="0"/>
              <w:jc w:val="left"/>
            </w:pPr>
            <w:bookmarkStart w:id="152" w:name="_Toc78736008"/>
            <w:bookmarkStart w:id="153" w:name="_Toc79099664"/>
            <w:bookmarkStart w:id="154" w:name="_Toc79147725"/>
            <w:bookmarkStart w:id="155" w:name="_Toc83573337"/>
            <w:bookmarkStart w:id="156" w:name="_Toc83587367"/>
            <w:bookmarkStart w:id="157" w:name="_Toc83632393"/>
            <w:bookmarkStart w:id="158" w:name="O_4"/>
            <w:r>
              <w:t xml:space="preserve">Observation </w:t>
            </w:r>
            <w:r>
              <w:fldChar w:fldCharType="begin"/>
            </w:r>
            <w:r>
              <w:instrText xml:space="preserve"> SEQ Observation \* ARABIC </w:instrText>
            </w:r>
            <w:r>
              <w:fldChar w:fldCharType="separate"/>
            </w:r>
            <w:r>
              <w:t>4</w:t>
            </w:r>
            <w:r>
              <w:fldChar w:fldCharType="end"/>
            </w:r>
            <w:r>
              <w:t>: For multi-slot PDCCH monitoring capability Alt 2, the existing rules for Rel-16 per-span PDCCH monitoring can directly be applied for PDCCH overbooking and dropping.</w:t>
            </w:r>
            <w:bookmarkEnd w:id="152"/>
            <w:bookmarkEnd w:id="153"/>
            <w:bookmarkEnd w:id="154"/>
            <w:bookmarkEnd w:id="155"/>
            <w:bookmarkEnd w:id="156"/>
            <w:bookmarkEnd w:id="157"/>
          </w:p>
          <w:bookmarkEnd w:id="158"/>
          <w:p>
            <w:pPr>
              <w:widowControl w:val="0"/>
              <w:spacing w:before="120"/>
              <w:rPr>
                <w:lang w:val="en-GB"/>
              </w:rPr>
            </w:pPr>
            <w:r>
              <w:rPr>
                <w:lang w:val="en-GB"/>
              </w:rPr>
              <w:t>To support both SA and NSA operations efficiently for cells in 52.6-71 GHz, extending the use of cross-carrier scheduling seems necessary. However, when the SCS difference between the scheduling and scheduled cells are very large (e.g., scheduling from 15 kHz SCS to 960 kHz SCS, and vice versa), the gain of cross-carrier scheduling may be harmed, while the design (e.g., timeline design) would be complicated. Therefore, it would be fair to put some restriction on the selection of SCSs. Since Rel-15 already supports cross-carrier scheduling between 15 kHz and 120 kHz SCSs as the extreme case, the same ratio of SCSs may be assumed for 51.6-71 GHz.</w:t>
            </w:r>
          </w:p>
          <w:p>
            <w:pPr>
              <w:pStyle w:val="27"/>
              <w:widowControl w:val="0"/>
              <w:spacing w:after="0"/>
              <w:jc w:val="left"/>
              <w:rPr>
                <w:lang w:val="en-GB"/>
              </w:rPr>
            </w:pPr>
            <w:bookmarkStart w:id="159" w:name="_Toc68261801"/>
            <w:bookmarkStart w:id="160" w:name="_Toc68262098"/>
            <w:bookmarkStart w:id="161" w:name="_Toc68262118"/>
            <w:bookmarkStart w:id="162" w:name="_Toc68262158"/>
            <w:bookmarkStart w:id="163" w:name="_Toc68262204"/>
            <w:bookmarkStart w:id="164" w:name="_Toc68262217"/>
            <w:bookmarkStart w:id="165" w:name="_Toc68262238"/>
            <w:bookmarkStart w:id="166" w:name="_Toc68262271"/>
            <w:bookmarkStart w:id="167" w:name="_Toc68528599"/>
            <w:bookmarkStart w:id="168" w:name="_Toc79147721"/>
            <w:bookmarkStart w:id="169" w:name="_Toc83573333"/>
            <w:bookmarkStart w:id="170" w:name="_Toc68530839"/>
            <w:bookmarkStart w:id="171" w:name="_Toc83587363"/>
            <w:bookmarkStart w:id="172" w:name="_Toc68608270"/>
            <w:bookmarkStart w:id="173" w:name="_Toc68530790"/>
            <w:bookmarkStart w:id="174" w:name="_Toc83632389"/>
            <w:bookmarkStart w:id="175" w:name="_Toc68608208"/>
            <w:bookmarkStart w:id="176" w:name="_Toc68552636"/>
            <w:bookmarkStart w:id="177" w:name="_Toc68262409"/>
            <w:bookmarkStart w:id="178" w:name="_Toc78736004"/>
            <w:bookmarkStart w:id="179" w:name="_Toc79099660"/>
            <w:bookmarkStart w:id="180" w:name="_Toc68608258"/>
            <w:bookmarkStart w:id="181" w:name="P_9"/>
            <w:r>
              <w:t xml:space="preserve">Proposal </w:t>
            </w:r>
            <w:r>
              <w:fldChar w:fldCharType="begin"/>
            </w:r>
            <w:r>
              <w:instrText xml:space="preserve"> SEQ Proposal \* ARABIC </w:instrText>
            </w:r>
            <w:r>
              <w:fldChar w:fldCharType="separate"/>
            </w:r>
            <w:r>
              <w:t>9</w:t>
            </w:r>
            <w:r>
              <w:fldChar w:fldCharType="end"/>
            </w:r>
            <w:r>
              <w:t xml:space="preserve">: </w:t>
            </w:r>
            <w:r>
              <w:rPr>
                <w:lang w:val="en-GB"/>
              </w:rPr>
              <w:t xml:space="preserve">Cross-carrier scheduling of a cell within 52.6-71 GHz from/to a cell outside 52.6-71 GHz is supported, at least for </w:t>
            </w:r>
            <w:r>
              <w:rPr>
                <w:rFonts w:ascii="Cambria Math" w:hAnsi="Cambria Math"/>
                <w:lang w:val="en-GB"/>
              </w:rPr>
              <w:t>|</w:t>
            </w:r>
            <w:r>
              <w:rPr>
                <w:rFonts w:ascii="Cambria Math" w:hAnsi="Cambria Math" w:cs="Calibri"/>
                <w:i/>
                <w:lang w:val="en-GB"/>
              </w:rPr>
              <w:t>μ</w:t>
            </w:r>
            <w:r>
              <w:rPr>
                <w:rFonts w:ascii="Cambria Math" w:hAnsi="Cambria Math"/>
                <w:i/>
                <w:vertAlign w:val="subscript"/>
                <w:lang w:val="en-GB"/>
              </w:rPr>
              <w:t>PDCCH</w:t>
            </w:r>
            <w:r>
              <w:rPr>
                <w:rFonts w:ascii="Cambria Math" w:hAnsi="Cambria Math" w:cs="Calibri"/>
                <w:lang w:val="en-GB"/>
              </w:rPr>
              <w:t xml:space="preserve"> − </w:t>
            </w:r>
            <w:r>
              <w:rPr>
                <w:rFonts w:ascii="Cambria Math" w:hAnsi="Cambria Math" w:cs="Calibri"/>
                <w:i/>
                <w:lang w:val="en-GB"/>
              </w:rPr>
              <w:t>μ</w:t>
            </w:r>
            <w:r>
              <w:rPr>
                <w:rFonts w:ascii="Cambria Math" w:hAnsi="Cambria Math" w:cs="Calibri"/>
                <w:i/>
                <w:vertAlign w:val="subscript"/>
                <w:lang w:val="en-GB"/>
              </w:rPr>
              <w:t>PDSCH</w:t>
            </w:r>
            <w:r>
              <w:rPr>
                <w:rFonts w:ascii="Cambria Math" w:hAnsi="Cambria Math"/>
                <w:lang w:val="en-GB"/>
              </w:rPr>
              <w:t xml:space="preserve"> | </w:t>
            </w:r>
            <w:r>
              <w:rPr>
                <w:rFonts w:hint="eastAsia" w:ascii="Cambria Math" w:hAnsi="Cambria Math" w:cs="Calibri"/>
                <w:lang w:val="en-GB"/>
              </w:rPr>
              <w:t>≤</w:t>
            </w:r>
            <w:r>
              <w:rPr>
                <w:rFonts w:ascii="Cambria Math" w:hAnsi="Cambria Math"/>
                <w:lang w:val="en-GB"/>
              </w:rPr>
              <w:t xml:space="preserve"> </w:t>
            </w:r>
            <w:r>
              <w:rPr>
                <w:rFonts w:ascii="Cambria Math" w:hAnsi="Cambria Math"/>
                <w:i/>
                <w:iCs/>
                <w:lang w:val="en-GB"/>
              </w:rPr>
              <w:t>k</w:t>
            </w:r>
            <w:bookmarkEnd w:id="159"/>
            <w:bookmarkEnd w:id="160"/>
            <w:bookmarkEnd w:id="161"/>
            <w:bookmarkEnd w:id="162"/>
            <w:bookmarkEnd w:id="163"/>
            <w:bookmarkEnd w:id="164"/>
            <w:bookmarkEnd w:id="165"/>
            <w:bookmarkEnd w:id="166"/>
            <w:r>
              <w:rPr>
                <w:lang w:val="en-GB"/>
              </w:rPr>
              <w:t>.</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p>
          <w:p>
            <w:pPr>
              <w:pStyle w:val="73"/>
              <w:widowControl w:val="0"/>
              <w:numPr>
                <w:ilvl w:val="0"/>
                <w:numId w:val="76"/>
              </w:numPr>
              <w:snapToGrid/>
              <w:spacing w:line="240" w:lineRule="auto"/>
              <w:rPr>
                <w:lang w:val="en-GB"/>
              </w:rPr>
            </w:pPr>
            <w:r>
              <w:rPr>
                <w:b/>
                <w:bCs/>
                <w:lang w:val="en-GB"/>
              </w:rPr>
              <w:t xml:space="preserve">FFS: value of </w:t>
            </w:r>
            <w:r>
              <w:rPr>
                <w:b/>
                <w:bCs/>
                <w:i/>
                <w:iCs/>
                <w:lang w:val="en-GB"/>
              </w:rPr>
              <w:t xml:space="preserve">k </w:t>
            </w:r>
            <w:r>
              <w:rPr>
                <w:b/>
                <w:bCs/>
                <w:lang w:val="en-GB"/>
              </w:rPr>
              <w:t xml:space="preserve">(e.g., </w:t>
            </w:r>
            <w:r>
              <w:rPr>
                <w:b/>
                <w:bCs/>
                <w:i/>
                <w:iCs/>
                <w:lang w:val="en-GB"/>
              </w:rPr>
              <w:t>k</w:t>
            </w:r>
            <w:r>
              <w:rPr>
                <w:b/>
                <w:bCs/>
                <w:lang w:val="en-GB"/>
              </w:rPr>
              <w:t xml:space="preserve"> = 3)</w:t>
            </w:r>
          </w:p>
          <w:bookmarkEnd w:id="181"/>
          <w:p>
            <w:pPr>
              <w:pStyle w:val="27"/>
              <w:widowControl w:val="0"/>
              <w:jc w:val="left"/>
              <w:rPr>
                <w:lang w:val="en-GB"/>
              </w:rPr>
            </w:pPr>
          </w:p>
        </w:tc>
      </w:tr>
    </w:tbl>
    <w:p>
      <w:pPr>
        <w:rPr>
          <w:lang w:eastAsia="zh-CN"/>
        </w:rPr>
      </w:pPr>
    </w:p>
    <w:p>
      <w:pPr>
        <w:pStyle w:val="3"/>
      </w:pPr>
      <w:r>
        <w:t>Topic E: Other</w:t>
      </w:r>
    </w:p>
    <w:p>
      <w:pPr>
        <w:rPr>
          <w:lang w:eastAsia="zh-CN"/>
        </w:rPr>
      </w:pPr>
    </w:p>
    <w:p>
      <w:pPr>
        <w:rPr>
          <w:lang w:eastAsia="zh-CN"/>
        </w:rPr>
      </w:pPr>
    </w:p>
    <w:p>
      <w:pPr>
        <w:rPr>
          <w:lang w:val="en-GB" w:eastAsia="zh-CN"/>
        </w:rPr>
      </w:pPr>
    </w:p>
    <w:p>
      <w:pPr>
        <w:pStyle w:val="2"/>
      </w:pPr>
      <w:r>
        <w:t>List of submitted TDocs</w:t>
      </w:r>
    </w:p>
    <w:p>
      <w:pPr>
        <w:rPr>
          <w:lang w:val="en-GB" w:eastAsia="zh-CN"/>
        </w:rPr>
      </w:pPr>
      <w:r>
        <w:rPr>
          <w:lang w:val="en-GB" w:eastAsia="zh-CN"/>
        </w:rPr>
        <w:t>The following TDocs have been used to compile above summary:</w:t>
      </w:r>
    </w:p>
    <w:p>
      <w:pPr>
        <w:rPr>
          <w:b/>
          <w:bCs/>
          <w:lang w:val="en-GB"/>
        </w:rPr>
      </w:pPr>
      <w:r>
        <w:rPr>
          <w:b/>
          <w:bCs/>
          <w:lang w:val="en-GB"/>
        </w:rPr>
        <w:t>R1-2108768</w:t>
      </w:r>
      <w:r>
        <w:rPr>
          <w:b/>
          <w:bCs/>
          <w:lang w:val="en-GB"/>
        </w:rPr>
        <w:tab/>
      </w:r>
      <w:r>
        <w:rPr>
          <w:b/>
          <w:bCs/>
          <w:lang w:val="en-GB"/>
        </w:rPr>
        <w:t>Enhancement on PDCCH monitoring</w:t>
      </w:r>
      <w:r>
        <w:rPr>
          <w:b/>
          <w:bCs/>
          <w:lang w:val="en-GB"/>
        </w:rPr>
        <w:tab/>
      </w:r>
      <w:r>
        <w:rPr>
          <w:b/>
          <w:bCs/>
          <w:lang w:val="en-GB"/>
        </w:rPr>
        <w:t>Huawei, HiSilicon</w:t>
      </w:r>
    </w:p>
    <w:p>
      <w:pPr>
        <w:rPr>
          <w:b/>
          <w:bCs/>
          <w:lang w:val="en-GB"/>
        </w:rPr>
      </w:pPr>
      <w:r>
        <w:rPr>
          <w:b/>
          <w:bCs/>
          <w:lang w:val="en-GB"/>
        </w:rPr>
        <w:t>R1-2108783</w:t>
      </w:r>
      <w:r>
        <w:rPr>
          <w:b/>
          <w:bCs/>
          <w:lang w:val="en-GB"/>
        </w:rPr>
        <w:tab/>
      </w:r>
      <w:r>
        <w:rPr>
          <w:b/>
          <w:bCs/>
          <w:lang w:val="en-GB"/>
        </w:rPr>
        <w:t>PDCCH monitoring enhancements</w:t>
      </w:r>
      <w:r>
        <w:rPr>
          <w:b/>
          <w:bCs/>
          <w:lang w:val="en-GB"/>
        </w:rPr>
        <w:tab/>
      </w:r>
      <w:r>
        <w:rPr>
          <w:b/>
          <w:bCs/>
          <w:lang w:val="en-GB"/>
        </w:rPr>
        <w:t>FUTUREWEI</w:t>
      </w:r>
    </w:p>
    <w:p>
      <w:pPr>
        <w:rPr>
          <w:b/>
          <w:bCs/>
          <w:lang w:val="en-GB"/>
        </w:rPr>
      </w:pPr>
      <w:r>
        <w:rPr>
          <w:b/>
          <w:bCs/>
          <w:lang w:val="en-GB"/>
        </w:rPr>
        <w:t>R1-2108887</w:t>
      </w:r>
      <w:r>
        <w:rPr>
          <w:b/>
          <w:bCs/>
          <w:lang w:val="en-GB"/>
        </w:rPr>
        <w:tab/>
      </w:r>
      <w:r>
        <w:rPr>
          <w:b/>
          <w:bCs/>
          <w:lang w:val="en-GB"/>
        </w:rPr>
        <w:t>Discussion on PDCCH monitoring enhancements for above 52.6GHz</w:t>
      </w:r>
      <w:r>
        <w:rPr>
          <w:b/>
          <w:bCs/>
          <w:lang w:val="en-GB"/>
        </w:rPr>
        <w:tab/>
      </w:r>
      <w:r>
        <w:rPr>
          <w:b/>
          <w:bCs/>
          <w:lang w:val="en-GB"/>
        </w:rPr>
        <w:t>Transsion Holdings</w:t>
      </w:r>
    </w:p>
    <w:p>
      <w:pPr>
        <w:rPr>
          <w:b/>
          <w:bCs/>
          <w:lang w:val="en-GB"/>
        </w:rPr>
      </w:pPr>
      <w:r>
        <w:rPr>
          <w:b/>
          <w:bCs/>
          <w:lang w:val="en-GB"/>
        </w:rPr>
        <w:t>R1-2108935</w:t>
      </w:r>
      <w:r>
        <w:rPr>
          <w:b/>
          <w:bCs/>
          <w:lang w:val="en-GB"/>
        </w:rPr>
        <w:tab/>
      </w:r>
      <w:r>
        <w:rPr>
          <w:b/>
          <w:bCs/>
          <w:lang w:val="en-GB"/>
        </w:rPr>
        <w:t>Discussion on the PDCCH monitoring enhancements for 52.6 to 71GHz</w:t>
      </w:r>
      <w:r>
        <w:rPr>
          <w:b/>
          <w:bCs/>
          <w:lang w:val="en-GB"/>
        </w:rPr>
        <w:tab/>
      </w:r>
      <w:r>
        <w:rPr>
          <w:b/>
          <w:bCs/>
          <w:lang w:val="en-GB"/>
        </w:rPr>
        <w:t>ZTE, Sanechips</w:t>
      </w:r>
    </w:p>
    <w:p>
      <w:pPr>
        <w:rPr>
          <w:b/>
          <w:bCs/>
          <w:lang w:val="en-GB"/>
        </w:rPr>
      </w:pPr>
      <w:r>
        <w:rPr>
          <w:b/>
          <w:bCs/>
          <w:lang w:val="en-GB"/>
        </w:rPr>
        <w:t>R1-2108960</w:t>
      </w:r>
      <w:r>
        <w:rPr>
          <w:b/>
          <w:bCs/>
          <w:lang w:val="en-GB"/>
        </w:rPr>
        <w:tab/>
      </w:r>
      <w:r>
        <w:rPr>
          <w:b/>
          <w:bCs/>
          <w:lang w:val="en-GB"/>
        </w:rPr>
        <w:t>Discussions on PDCCH monitoring enhancements for NR operation from 52.6GHz to 71GHz</w:t>
      </w:r>
      <w:r>
        <w:rPr>
          <w:b/>
          <w:bCs/>
          <w:lang w:val="en-GB"/>
        </w:rPr>
        <w:tab/>
      </w:r>
      <w:r>
        <w:rPr>
          <w:b/>
          <w:bCs/>
          <w:lang w:val="en-GB"/>
        </w:rPr>
        <w:t>vivo</w:t>
      </w:r>
    </w:p>
    <w:p>
      <w:pPr>
        <w:rPr>
          <w:b/>
          <w:bCs/>
          <w:lang w:val="en-GB"/>
        </w:rPr>
      </w:pPr>
      <w:r>
        <w:rPr>
          <w:b/>
          <w:bCs/>
          <w:lang w:val="en-GB"/>
        </w:rPr>
        <w:t>R1-2109071</w:t>
      </w:r>
      <w:r>
        <w:rPr>
          <w:b/>
          <w:bCs/>
          <w:lang w:val="en-GB"/>
        </w:rPr>
        <w:tab/>
      </w:r>
      <w:r>
        <w:rPr>
          <w:b/>
          <w:bCs/>
          <w:lang w:val="en-GB"/>
        </w:rPr>
        <w:t>Discussion on PDCCH monitoring enhancement</w:t>
      </w:r>
      <w:r>
        <w:rPr>
          <w:b/>
          <w:bCs/>
          <w:lang w:val="en-GB"/>
        </w:rPr>
        <w:tab/>
      </w:r>
      <w:r>
        <w:rPr>
          <w:b/>
          <w:bCs/>
          <w:lang w:val="en-GB"/>
        </w:rPr>
        <w:t>OPPO</w:t>
      </w:r>
    </w:p>
    <w:p>
      <w:pPr>
        <w:rPr>
          <w:b/>
          <w:bCs/>
          <w:lang w:val="en-GB"/>
        </w:rPr>
      </w:pPr>
      <w:r>
        <w:rPr>
          <w:b/>
          <w:bCs/>
          <w:lang w:val="en-GB"/>
        </w:rPr>
        <w:t>R1-2109117</w:t>
      </w:r>
      <w:r>
        <w:rPr>
          <w:b/>
          <w:bCs/>
          <w:lang w:val="en-GB"/>
        </w:rPr>
        <w:tab/>
      </w:r>
      <w:r>
        <w:rPr>
          <w:b/>
          <w:bCs/>
          <w:lang w:val="en-GB"/>
        </w:rPr>
        <w:t>Discussion on PDCCH monitoring enhancements supporting NR from 52.6GHz to 71 GHz</w:t>
      </w:r>
      <w:r>
        <w:rPr>
          <w:b/>
          <w:bCs/>
          <w:lang w:val="en-GB"/>
        </w:rPr>
        <w:tab/>
      </w:r>
      <w:r>
        <w:rPr>
          <w:b/>
          <w:bCs/>
          <w:lang w:val="en-GB"/>
        </w:rPr>
        <w:t>NEC</w:t>
      </w:r>
    </w:p>
    <w:p>
      <w:pPr>
        <w:rPr>
          <w:b/>
          <w:bCs/>
          <w:lang w:val="en-GB"/>
        </w:rPr>
      </w:pPr>
      <w:r>
        <w:rPr>
          <w:b/>
          <w:bCs/>
          <w:lang w:val="en-GB"/>
        </w:rPr>
        <w:t>R1-2109209</w:t>
      </w:r>
      <w:r>
        <w:rPr>
          <w:b/>
          <w:bCs/>
          <w:lang w:val="en-GB"/>
        </w:rPr>
        <w:tab/>
      </w:r>
      <w:r>
        <w:rPr>
          <w:b/>
          <w:bCs/>
          <w:lang w:val="en-GB"/>
        </w:rPr>
        <w:t>PDCCH monitoring enhancements for up to 71GHz operation</w:t>
      </w:r>
      <w:r>
        <w:rPr>
          <w:b/>
          <w:bCs/>
          <w:lang w:val="en-GB"/>
        </w:rPr>
        <w:tab/>
      </w:r>
      <w:r>
        <w:rPr>
          <w:b/>
          <w:bCs/>
          <w:lang w:val="en-GB"/>
        </w:rPr>
        <w:t>CATT</w:t>
      </w:r>
    </w:p>
    <w:p>
      <w:pPr>
        <w:rPr>
          <w:b/>
          <w:bCs/>
          <w:lang w:val="en-GB"/>
        </w:rPr>
      </w:pPr>
      <w:r>
        <w:rPr>
          <w:b/>
          <w:bCs/>
          <w:lang w:val="en-GB"/>
        </w:rPr>
        <w:t>R1-2109402</w:t>
      </w:r>
      <w:r>
        <w:rPr>
          <w:b/>
          <w:bCs/>
          <w:lang w:val="en-GB"/>
        </w:rPr>
        <w:tab/>
      </w:r>
      <w:r>
        <w:rPr>
          <w:b/>
          <w:bCs/>
          <w:lang w:val="en-GB"/>
        </w:rPr>
        <w:t>PDCCH monitoring enhancement for NR 52.6-71GHz</w:t>
      </w:r>
      <w:r>
        <w:rPr>
          <w:b/>
          <w:bCs/>
          <w:lang w:val="en-GB"/>
        </w:rPr>
        <w:tab/>
      </w:r>
      <w:r>
        <w:rPr>
          <w:b/>
          <w:bCs/>
          <w:lang w:val="en-GB"/>
        </w:rPr>
        <w:t>Xiaomi</w:t>
      </w:r>
    </w:p>
    <w:p>
      <w:pPr>
        <w:rPr>
          <w:b/>
          <w:bCs/>
          <w:lang w:val="en-GB"/>
        </w:rPr>
      </w:pPr>
      <w:r>
        <w:rPr>
          <w:b/>
          <w:bCs/>
          <w:lang w:val="en-GB"/>
        </w:rPr>
        <w:t>R1-2109434</w:t>
      </w:r>
      <w:r>
        <w:rPr>
          <w:b/>
          <w:bCs/>
          <w:lang w:val="en-GB"/>
        </w:rPr>
        <w:tab/>
      </w:r>
      <w:r>
        <w:rPr>
          <w:b/>
          <w:bCs/>
          <w:lang w:val="en-GB"/>
        </w:rPr>
        <w:t>PDCCH Monitoring Enhancements</w:t>
      </w:r>
      <w:r>
        <w:rPr>
          <w:b/>
          <w:bCs/>
          <w:lang w:val="en-GB"/>
        </w:rPr>
        <w:tab/>
      </w:r>
      <w:r>
        <w:rPr>
          <w:b/>
          <w:bCs/>
          <w:lang w:val="en-GB"/>
        </w:rPr>
        <w:t>Ericsson</w:t>
      </w:r>
    </w:p>
    <w:p>
      <w:pPr>
        <w:rPr>
          <w:b/>
          <w:bCs/>
          <w:lang w:val="en-GB"/>
        </w:rPr>
      </w:pPr>
      <w:r>
        <w:rPr>
          <w:b/>
          <w:bCs/>
          <w:lang w:val="en-GB"/>
        </w:rPr>
        <w:t>R1-2109443</w:t>
      </w:r>
      <w:r>
        <w:rPr>
          <w:b/>
          <w:bCs/>
          <w:lang w:val="en-GB"/>
        </w:rPr>
        <w:tab/>
      </w:r>
      <w:r>
        <w:rPr>
          <w:b/>
          <w:bCs/>
          <w:lang w:val="en-GB"/>
        </w:rPr>
        <w:t>PDCCH monitoring enhancements</w:t>
      </w:r>
      <w:r>
        <w:rPr>
          <w:b/>
          <w:bCs/>
          <w:lang w:val="en-GB"/>
        </w:rPr>
        <w:tab/>
      </w:r>
      <w:r>
        <w:rPr>
          <w:b/>
          <w:bCs/>
          <w:lang w:val="en-GB"/>
        </w:rPr>
        <w:t>Nokia, Nokia Shanghai Bell</w:t>
      </w:r>
    </w:p>
    <w:p>
      <w:pPr>
        <w:rPr>
          <w:b/>
          <w:bCs/>
          <w:lang w:val="en-GB"/>
        </w:rPr>
      </w:pPr>
      <w:r>
        <w:rPr>
          <w:b/>
          <w:bCs/>
          <w:lang w:val="en-GB"/>
        </w:rPr>
        <w:t>R1-2109477</w:t>
      </w:r>
      <w:r>
        <w:rPr>
          <w:b/>
          <w:bCs/>
          <w:lang w:val="en-GB"/>
        </w:rPr>
        <w:tab/>
      </w:r>
      <w:r>
        <w:rPr>
          <w:b/>
          <w:bCs/>
          <w:lang w:val="en-GB"/>
        </w:rPr>
        <w:t>PDCCH monitoring enhancements for NR from 52.6 GHz to 71 GHz</w:t>
      </w:r>
      <w:r>
        <w:rPr>
          <w:b/>
          <w:bCs/>
          <w:lang w:val="en-GB"/>
        </w:rPr>
        <w:tab/>
      </w:r>
      <w:r>
        <w:rPr>
          <w:b/>
          <w:bCs/>
          <w:lang w:val="en-GB"/>
        </w:rPr>
        <w:t>Samsung</w:t>
      </w:r>
    </w:p>
    <w:p>
      <w:pPr>
        <w:rPr>
          <w:b/>
          <w:bCs/>
          <w:lang w:val="en-GB"/>
        </w:rPr>
      </w:pPr>
      <w:r>
        <w:rPr>
          <w:b/>
          <w:bCs/>
          <w:lang w:val="en-GB"/>
        </w:rPr>
        <w:t>R1-2109560</w:t>
      </w:r>
      <w:r>
        <w:rPr>
          <w:b/>
          <w:bCs/>
          <w:lang w:val="en-GB"/>
        </w:rPr>
        <w:tab/>
      </w:r>
      <w:r>
        <w:rPr>
          <w:b/>
          <w:bCs/>
          <w:lang w:val="en-GB"/>
        </w:rPr>
        <w:t>PDCCH monitoring enhancement for 52.6-71 GHz NR operation</w:t>
      </w:r>
      <w:r>
        <w:rPr>
          <w:b/>
          <w:bCs/>
          <w:lang w:val="en-GB"/>
        </w:rPr>
        <w:tab/>
      </w:r>
      <w:r>
        <w:rPr>
          <w:b/>
          <w:bCs/>
          <w:lang w:val="en-GB"/>
        </w:rPr>
        <w:t>MediaTek Inc.</w:t>
      </w:r>
    </w:p>
    <w:p>
      <w:pPr>
        <w:rPr>
          <w:b/>
          <w:bCs/>
          <w:lang w:val="en-GB"/>
        </w:rPr>
      </w:pPr>
      <w:r>
        <w:rPr>
          <w:b/>
          <w:bCs/>
          <w:lang w:val="en-GB"/>
        </w:rPr>
        <w:t>R1-2109599</w:t>
      </w:r>
      <w:r>
        <w:rPr>
          <w:b/>
          <w:bCs/>
          <w:lang w:val="en-GB"/>
        </w:rPr>
        <w:tab/>
      </w:r>
      <w:r>
        <w:rPr>
          <w:b/>
          <w:bCs/>
          <w:lang w:val="en-GB"/>
        </w:rPr>
        <w:t>Discussion on PDCCH monitoring enhancements for extending NR up to 71 GHz</w:t>
      </w:r>
      <w:r>
        <w:rPr>
          <w:b/>
          <w:bCs/>
          <w:lang w:val="en-GB"/>
        </w:rPr>
        <w:tab/>
      </w:r>
      <w:r>
        <w:rPr>
          <w:b/>
          <w:bCs/>
          <w:lang w:val="en-GB"/>
        </w:rPr>
        <w:t>Intel Corporation</w:t>
      </w:r>
    </w:p>
    <w:p>
      <w:pPr>
        <w:rPr>
          <w:b/>
          <w:bCs/>
          <w:lang w:val="en-GB"/>
        </w:rPr>
      </w:pPr>
      <w:r>
        <w:rPr>
          <w:b/>
          <w:bCs/>
          <w:lang w:val="en-GB"/>
        </w:rPr>
        <w:t>R1-2109666</w:t>
      </w:r>
      <w:r>
        <w:rPr>
          <w:b/>
          <w:bCs/>
          <w:lang w:val="en-GB"/>
        </w:rPr>
        <w:tab/>
      </w:r>
      <w:r>
        <w:rPr>
          <w:b/>
          <w:bCs/>
          <w:lang w:val="en-GB"/>
        </w:rPr>
        <w:t>PDCCH monitoring enhancements for NR from 52.6 to 71 GHz</w:t>
      </w:r>
      <w:r>
        <w:rPr>
          <w:b/>
          <w:bCs/>
          <w:lang w:val="en-GB"/>
        </w:rPr>
        <w:tab/>
      </w:r>
      <w:r>
        <w:rPr>
          <w:b/>
          <w:bCs/>
          <w:lang w:val="en-GB"/>
        </w:rPr>
        <w:t>NTT DOCOMO, INC.</w:t>
      </w:r>
    </w:p>
    <w:p>
      <w:pPr>
        <w:rPr>
          <w:b/>
          <w:bCs/>
          <w:lang w:val="en-GB"/>
        </w:rPr>
      </w:pPr>
      <w:r>
        <w:rPr>
          <w:b/>
          <w:bCs/>
          <w:lang w:val="en-GB"/>
        </w:rPr>
        <w:t>R1-2109778</w:t>
      </w:r>
      <w:r>
        <w:rPr>
          <w:b/>
          <w:bCs/>
          <w:lang w:val="en-GB"/>
        </w:rPr>
        <w:tab/>
      </w:r>
      <w:r>
        <w:rPr>
          <w:b/>
          <w:bCs/>
          <w:lang w:val="en-GB"/>
        </w:rPr>
        <w:t>PDCCH enhancement for NR from 52.6GHz to 71GHz</w:t>
      </w:r>
      <w:r>
        <w:rPr>
          <w:b/>
          <w:bCs/>
          <w:lang w:val="en-GB"/>
        </w:rPr>
        <w:tab/>
      </w:r>
      <w:r>
        <w:rPr>
          <w:b/>
          <w:bCs/>
          <w:lang w:val="en-GB"/>
        </w:rPr>
        <w:t>Sony</w:t>
      </w:r>
    </w:p>
    <w:p>
      <w:pPr>
        <w:rPr>
          <w:b/>
          <w:bCs/>
          <w:lang w:val="en-GB"/>
        </w:rPr>
      </w:pPr>
      <w:r>
        <w:rPr>
          <w:b/>
          <w:bCs/>
          <w:lang w:val="en-GB"/>
        </w:rPr>
        <w:t>R1-2109898</w:t>
      </w:r>
      <w:r>
        <w:rPr>
          <w:b/>
          <w:bCs/>
          <w:lang w:val="en-GB"/>
        </w:rPr>
        <w:tab/>
      </w:r>
      <w:r>
        <w:rPr>
          <w:b/>
          <w:bCs/>
          <w:lang w:val="en-GB"/>
        </w:rPr>
        <w:t>PDCCH monitoring enhancements for NR from 52.6 GHz to 71GHz</w:t>
      </w:r>
      <w:r>
        <w:rPr>
          <w:b/>
          <w:bCs/>
          <w:lang w:val="en-GB"/>
        </w:rPr>
        <w:tab/>
      </w:r>
      <w:r>
        <w:rPr>
          <w:b/>
          <w:bCs/>
          <w:lang w:val="en-GB"/>
        </w:rPr>
        <w:t>Lenovo, Motorola Mobility</w:t>
      </w:r>
    </w:p>
    <w:p>
      <w:pPr>
        <w:rPr>
          <w:b/>
          <w:bCs/>
          <w:lang w:val="en-GB"/>
        </w:rPr>
      </w:pPr>
      <w:r>
        <w:rPr>
          <w:b/>
          <w:bCs/>
          <w:lang w:val="en-GB"/>
        </w:rPr>
        <w:t>R1-2109904</w:t>
      </w:r>
      <w:r>
        <w:rPr>
          <w:b/>
          <w:bCs/>
          <w:lang w:val="en-GB"/>
        </w:rPr>
        <w:tab/>
      </w:r>
      <w:r>
        <w:rPr>
          <w:b/>
          <w:bCs/>
          <w:lang w:val="en-GB"/>
        </w:rPr>
        <w:t>Discussions on PDCCH monitoring enhancements</w:t>
      </w:r>
      <w:r>
        <w:rPr>
          <w:b/>
          <w:bCs/>
          <w:lang w:val="en-GB"/>
        </w:rPr>
        <w:tab/>
      </w:r>
      <w:r>
        <w:rPr>
          <w:b/>
          <w:bCs/>
          <w:lang w:val="en-GB"/>
        </w:rPr>
        <w:t>InterDigital, Inc.</w:t>
      </w:r>
    </w:p>
    <w:p>
      <w:pPr>
        <w:rPr>
          <w:b/>
          <w:bCs/>
          <w:lang w:val="en-GB"/>
        </w:rPr>
      </w:pPr>
      <w:r>
        <w:rPr>
          <w:b/>
          <w:bCs/>
          <w:lang w:val="en-GB"/>
        </w:rPr>
        <w:t>R1-2109962</w:t>
      </w:r>
      <w:r>
        <w:rPr>
          <w:b/>
          <w:bCs/>
          <w:lang w:val="en-GB"/>
        </w:rPr>
        <w:tab/>
      </w:r>
      <w:r>
        <w:rPr>
          <w:b/>
          <w:bCs/>
          <w:lang w:val="en-GB"/>
        </w:rPr>
        <w:t>PDCCH monitoring enhancements to support NR above 52.6 GHz</w:t>
      </w:r>
      <w:r>
        <w:rPr>
          <w:b/>
          <w:bCs/>
          <w:lang w:val="en-GB"/>
        </w:rPr>
        <w:tab/>
      </w:r>
      <w:r>
        <w:rPr>
          <w:b/>
          <w:bCs/>
          <w:lang w:val="en-GB"/>
        </w:rPr>
        <w:t>LG Electronics</w:t>
      </w:r>
    </w:p>
    <w:p>
      <w:pPr>
        <w:rPr>
          <w:b/>
          <w:bCs/>
          <w:lang w:val="en-GB"/>
        </w:rPr>
      </w:pPr>
      <w:r>
        <w:rPr>
          <w:b/>
          <w:bCs/>
          <w:lang w:val="en-GB"/>
        </w:rPr>
        <w:t>R1-2109993</w:t>
      </w:r>
      <w:r>
        <w:rPr>
          <w:b/>
          <w:bCs/>
          <w:lang w:val="en-GB"/>
        </w:rPr>
        <w:tab/>
      </w:r>
      <w:r>
        <w:rPr>
          <w:b/>
          <w:bCs/>
          <w:lang w:val="en-GB"/>
        </w:rPr>
        <w:t>PDCCH monitoring enhancements</w:t>
      </w:r>
      <w:r>
        <w:rPr>
          <w:b/>
          <w:bCs/>
          <w:lang w:val="en-GB"/>
        </w:rPr>
        <w:tab/>
      </w:r>
      <w:r>
        <w:rPr>
          <w:b/>
          <w:bCs/>
          <w:lang w:val="en-GB"/>
        </w:rPr>
        <w:t>Sharp</w:t>
      </w:r>
    </w:p>
    <w:p>
      <w:pPr>
        <w:rPr>
          <w:b/>
          <w:bCs/>
          <w:lang w:val="en-GB"/>
        </w:rPr>
      </w:pPr>
      <w:r>
        <w:rPr>
          <w:b/>
          <w:bCs/>
          <w:lang w:val="en-GB"/>
        </w:rPr>
        <w:t>R1-2110022</w:t>
      </w:r>
      <w:r>
        <w:rPr>
          <w:b/>
          <w:bCs/>
          <w:lang w:val="en-GB"/>
        </w:rPr>
        <w:tab/>
      </w:r>
      <w:r>
        <w:rPr>
          <w:b/>
          <w:bCs/>
          <w:lang w:val="en-GB"/>
        </w:rPr>
        <w:t>PDCCH Enhancements for above 52.6 GHz</w:t>
      </w:r>
      <w:r>
        <w:rPr>
          <w:b/>
          <w:bCs/>
          <w:lang w:val="en-GB"/>
        </w:rPr>
        <w:tab/>
      </w:r>
      <w:r>
        <w:rPr>
          <w:b/>
          <w:bCs/>
          <w:lang w:val="en-GB"/>
        </w:rPr>
        <w:t>Apple</w:t>
      </w:r>
    </w:p>
    <w:p>
      <w:pPr>
        <w:rPr>
          <w:b/>
          <w:bCs/>
          <w:lang w:val="en-GB"/>
        </w:rPr>
      </w:pPr>
      <w:r>
        <w:rPr>
          <w:b/>
          <w:bCs/>
          <w:lang w:val="en-GB"/>
        </w:rPr>
        <w:t>R1-2110110</w:t>
      </w:r>
      <w:r>
        <w:rPr>
          <w:b/>
          <w:bCs/>
          <w:lang w:val="en-GB"/>
        </w:rPr>
        <w:tab/>
      </w:r>
      <w:r>
        <w:rPr>
          <w:b/>
          <w:bCs/>
          <w:lang w:val="en-GB"/>
        </w:rPr>
        <w:t>PDCCH Monitoring for NR from 52.6 GHz to 71 GHz</w:t>
      </w:r>
      <w:r>
        <w:rPr>
          <w:b/>
          <w:bCs/>
          <w:lang w:val="en-GB"/>
        </w:rPr>
        <w:tab/>
      </w:r>
      <w:r>
        <w:rPr>
          <w:b/>
          <w:bCs/>
          <w:lang w:val="en-GB"/>
        </w:rPr>
        <w:t>Convida Wireless</w:t>
      </w:r>
    </w:p>
    <w:p>
      <w:pPr>
        <w:rPr>
          <w:b/>
          <w:bCs/>
          <w:lang w:val="en-GB"/>
        </w:rPr>
      </w:pPr>
      <w:r>
        <w:rPr>
          <w:b/>
          <w:bCs/>
          <w:lang w:val="en-GB"/>
        </w:rPr>
        <w:t>R1-2110173</w:t>
      </w:r>
      <w:r>
        <w:rPr>
          <w:b/>
          <w:bCs/>
          <w:lang w:val="en-GB"/>
        </w:rPr>
        <w:tab/>
      </w:r>
      <w:r>
        <w:rPr>
          <w:b/>
          <w:bCs/>
          <w:lang w:val="en-GB"/>
        </w:rPr>
        <w:t>PDCCH monitoring enhancements for NR in 52.6 to 71GHz band</w:t>
      </w:r>
      <w:r>
        <w:rPr>
          <w:b/>
          <w:bCs/>
          <w:lang w:val="en-GB"/>
        </w:rPr>
        <w:tab/>
      </w:r>
      <w:r>
        <w:rPr>
          <w:b/>
          <w:bCs/>
          <w:lang w:val="en-GB"/>
        </w:rPr>
        <w:t>Qualcomm Incorporated</w:t>
      </w:r>
    </w:p>
    <w:p>
      <w:pPr>
        <w:rPr>
          <w:b/>
          <w:bCs/>
          <w:lang w:val="en-GB"/>
        </w:rPr>
      </w:pPr>
      <w:r>
        <w:rPr>
          <w:b/>
          <w:bCs/>
          <w:lang w:val="en-GB"/>
        </w:rPr>
        <w:t>R1-2110248</w:t>
      </w:r>
      <w:r>
        <w:rPr>
          <w:b/>
          <w:bCs/>
          <w:lang w:val="en-GB"/>
        </w:rPr>
        <w:tab/>
      </w:r>
      <w:r>
        <w:rPr>
          <w:b/>
          <w:bCs/>
          <w:lang w:val="en-GB"/>
        </w:rPr>
        <w:t>PDCCH monitoring enhancements</w:t>
      </w:r>
      <w:r>
        <w:rPr>
          <w:b/>
          <w:bCs/>
          <w:lang w:val="en-GB"/>
        </w:rPr>
        <w:tab/>
      </w:r>
      <w:r>
        <w:rPr>
          <w:b/>
          <w:bCs/>
          <w:lang w:val="en-GB"/>
        </w:rPr>
        <w:t>Charter Communications</w:t>
      </w:r>
    </w:p>
    <w:p>
      <w:pPr>
        <w:rPr>
          <w:b/>
          <w:bCs/>
          <w:lang w:val="en-GB"/>
        </w:rPr>
      </w:pPr>
      <w:r>
        <w:rPr>
          <w:b/>
          <w:bCs/>
          <w:lang w:val="en-GB"/>
        </w:rPr>
        <w:t>R1-2110252</w:t>
      </w:r>
      <w:r>
        <w:rPr>
          <w:b/>
          <w:bCs/>
          <w:lang w:val="en-GB"/>
        </w:rPr>
        <w:tab/>
      </w:r>
      <w:r>
        <w:rPr>
          <w:b/>
          <w:bCs/>
          <w:lang w:val="en-GB"/>
        </w:rPr>
        <w:t xml:space="preserve">PDCCH monitoring for NR operation from 52.6 to 71 GHz </w:t>
      </w:r>
      <w:r>
        <w:rPr>
          <w:b/>
          <w:bCs/>
          <w:lang w:val="en-GB"/>
        </w:rPr>
        <w:tab/>
      </w:r>
      <w:r>
        <w:rPr>
          <w:b/>
          <w:bCs/>
          <w:lang w:val="en-GB"/>
        </w:rPr>
        <w:t>Panasonic</w:t>
      </w:r>
    </w:p>
    <w:sectPr>
      <w:pgSz w:w="16834" w:h="11909" w:orient="landscape"/>
      <w:pgMar w:top="1440" w:right="1440" w:bottom="1152" w:left="1440" w:header="720" w:footer="720" w:gutter="0"/>
      <w:cols w:space="720" w:num="1"/>
      <w:docGrid w:linePitch="29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华文仿宋">
    <w:altName w:val="仿宋"/>
    <w:panose1 w:val="02010600040101010101"/>
    <w:charset w:val="86"/>
    <w:family w:val="auto"/>
    <w:pitch w:val="default"/>
    <w:sig w:usb0="00000000" w:usb1="00000000" w:usb2="00000010" w:usb3="00000000" w:csb0="0004009F" w:csb1="00000000"/>
  </w:font>
  <w:font w:name="仿宋_GB2312">
    <w:altName w:val="仿宋"/>
    <w:panose1 w:val="00000000000000000000"/>
    <w:charset w:val="86"/>
    <w:family w:val="modern"/>
    <w:pitch w:val="default"/>
    <w:sig w:usb0="00000000" w:usb1="00000000" w:usb2="00000010" w:usb3="00000000" w:csb0="00040000" w:csb1="00000000"/>
  </w:font>
  <w:font w:name="Arial">
    <w:panose1 w:val="020B0604020202020204"/>
    <w:charset w:val="00"/>
    <w:family w:val="swiss"/>
    <w:pitch w:val="default"/>
    <w:sig w:usb0="E0002EFF" w:usb1="C000785B" w:usb2="00000009" w:usb3="00000000" w:csb0="400001FF" w:csb1="FFFF0000"/>
  </w:font>
  <w:font w:name="Tahoma">
    <w:panose1 w:val="020B0604030504040204"/>
    <w:charset w:val="00"/>
    <w:family w:val="swiss"/>
    <w:pitch w:val="default"/>
    <w:sig w:usb0="E1002EFF" w:usb1="C000605B" w:usb2="00000029" w:usb3="00000000" w:csb0="200101FF" w:csb1="20280000"/>
  </w:font>
  <w:font w:name="Consolas">
    <w:panose1 w:val="020B0609020204030204"/>
    <w:charset w:val="00"/>
    <w:family w:val="modern"/>
    <w:pitch w:val="default"/>
    <w:sig w:usb0="E00006FF" w:usb1="0000FCFF" w:usb2="00000001" w:usb3="00000000" w:csb0="6000019F" w:csb1="DFD7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Batang">
    <w:altName w:val="Malgun Gothic"/>
    <w:panose1 w:val="02030600000101010101"/>
    <w:charset w:val="81"/>
    <w:family w:val="roman"/>
    <w:pitch w:val="default"/>
    <w:sig w:usb0="00000000" w:usb1="00000000" w:usb2="00000030" w:usb3="00000000" w:csb0="0008009F" w:csb1="00000000"/>
  </w:font>
  <w:font w:name="ZapfDingbats">
    <w:altName w:val="Wingdings"/>
    <w:panose1 w:val="00000000000000000000"/>
    <w:charset w:val="02"/>
    <w:family w:val="decorative"/>
    <w:pitch w:val="default"/>
    <w:sig w:usb0="00000000" w:usb1="00000000" w:usb2="00000000" w:usb3="00000000" w:csb0="80000000" w:csb1="00000000"/>
  </w:font>
  <w:font w:name="Courier New">
    <w:panose1 w:val="02070309020205020404"/>
    <w:charset w:val="00"/>
    <w:family w:val="modern"/>
    <w:pitch w:val="default"/>
    <w:sig w:usb0="E0002EFF" w:usb1="C0007843" w:usb2="00000009" w:usb3="00000000" w:csb0="400001FF" w:csb1="FFFF0000"/>
  </w:font>
  <w:font w:name="MS Mincho">
    <w:altName w:val="Yu Gothic UI"/>
    <w:panose1 w:val="02020609040205080304"/>
    <w:charset w:val="80"/>
    <w:family w:val="modern"/>
    <w:pitch w:val="default"/>
    <w:sig w:usb0="00000000" w:usb1="00000000" w:usb2="08000012" w:usb3="00000000" w:csb0="0002009F" w:csb1="00000000"/>
  </w:font>
  <w:font w:name="Helvetica">
    <w:altName w:val="Arial"/>
    <w:panose1 w:val="020B0604020202020204"/>
    <w:charset w:val="00"/>
    <w:family w:val="swiss"/>
    <w:pitch w:val="default"/>
    <w:sig w:usb0="00000000" w:usb1="00000000" w:usb2="00000000" w:usb3="00000000" w:csb0="00000001" w:csb1="00000000"/>
  </w:font>
  <w:font w:name="????">
    <w:altName w:val="Microsoft JhengHei"/>
    <w:panose1 w:val="00000000000000000000"/>
    <w:charset w:val="88"/>
    <w:family w:val="auto"/>
    <w:pitch w:val="default"/>
    <w:sig w:usb0="00000000" w:usb1="00000000" w:usb2="00000010" w:usb3="00000000" w:csb0="00100000" w:csb1="00000000"/>
  </w:font>
  <w:font w:name="Malgun Gothic">
    <w:panose1 w:val="020B0503020000020004"/>
    <w:charset w:val="81"/>
    <w:family w:val="swiss"/>
    <w:pitch w:val="default"/>
    <w:sig w:usb0="9000002F" w:usb1="29D77CFB" w:usb2="00000012" w:usb3="00000000" w:csb0="00080001" w:csb1="00000000"/>
  </w:font>
  <w:font w:name="MS Gothic">
    <w:panose1 w:val="020B0609070205080204"/>
    <w:charset w:val="80"/>
    <w:family w:val="modern"/>
    <w:pitch w:val="default"/>
    <w:sig w:usb0="E00002FF" w:usb1="6AC7FDFB" w:usb2="08000012" w:usb3="00000000" w:csb0="4002009F" w:csb1="DFD7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Times">
    <w:altName w:val="Times New Roman"/>
    <w:panose1 w:val="02020603050405020304"/>
    <w:charset w:val="00"/>
    <w:family w:val="roman"/>
    <w:pitch w:val="default"/>
    <w:sig w:usb0="00000000" w:usb1="00000000" w:usb2="00000009" w:usb3="00000000" w:csb0="000001FF" w:csb1="00000000"/>
  </w:font>
  <w:font w:name="仿宋">
    <w:panose1 w:val="02010609060101010101"/>
    <w:charset w:val="86"/>
    <w:family w:val="modern"/>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font>
  <w:font w:name="MS PGothic">
    <w:panose1 w:val="020B0600070205080204"/>
    <w:charset w:val="80"/>
    <w:family w:val="swiss"/>
    <w:pitch w:val="default"/>
    <w:sig w:usb0="E00002FF" w:usb1="6AC7FDFB" w:usb2="08000012" w:usb3="00000000" w:csb0="4002009F" w:csb1="DFD70000"/>
  </w:font>
  <w:font w:name="Segoe UI">
    <w:panose1 w:val="020B0502040204020203"/>
    <w:charset w:val="00"/>
    <w:family w:val="swiss"/>
    <w:pitch w:val="default"/>
    <w:sig w:usb0="E4002EFF" w:usb1="C000E47F" w:usb2="00000009" w:usb3="00000000" w:csb0="200001FF" w:csb1="00000000"/>
  </w:font>
  <w:font w:name="Yu Gothic UI">
    <w:panose1 w:val="020B0500000000000000"/>
    <w:charset w:val="80"/>
    <w:family w:val="auto"/>
    <w:pitch w:val="default"/>
    <w:sig w:usb0="E00002FF" w:usb1="2AC7FDFF" w:usb2="00000016" w:usb3="00000000" w:csb0="2002009F" w:csb1="00000000"/>
  </w:font>
  <w:font w:name="Microsoft JhengHei">
    <w:panose1 w:val="020B0604030504040204"/>
    <w:charset w:val="88"/>
    <w:family w:val="auto"/>
    <w:pitch w:val="default"/>
    <w:sig w:usb0="000002A7" w:usb1="28CF4400" w:usb2="00000016" w:usb3="00000000" w:csb0="00100009"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1DDBA0"/>
    <w:multiLevelType w:val="singleLevel"/>
    <w:tmpl w:val="AD1DDBA0"/>
    <w:lvl w:ilvl="0" w:tentative="0">
      <w:start w:val="1"/>
      <w:numFmt w:val="bullet"/>
      <w:lvlText w:val="﹣"/>
      <w:lvlJc w:val="left"/>
      <w:pPr>
        <w:ind w:left="420" w:hanging="420"/>
      </w:pPr>
      <w:rPr>
        <w:rFonts w:hint="default" w:ascii="仿宋" w:hAnsi="仿宋" w:eastAsia="仿宋" w:cs="仿宋"/>
      </w:rPr>
    </w:lvl>
  </w:abstractNum>
  <w:abstractNum w:abstractNumId="1">
    <w:nsid w:val="C6F243D9"/>
    <w:multiLevelType w:val="singleLevel"/>
    <w:tmpl w:val="C6F243D9"/>
    <w:lvl w:ilvl="0" w:tentative="0">
      <w:start w:val="1"/>
      <w:numFmt w:val="bullet"/>
      <w:lvlText w:val="◦"/>
      <w:lvlJc w:val="left"/>
      <w:pPr>
        <w:ind w:left="420" w:hanging="420"/>
      </w:pPr>
      <w:rPr>
        <w:rFonts w:hint="default" w:ascii="微软雅黑" w:hAnsi="微软雅黑" w:eastAsia="微软雅黑" w:cs="微软雅黑"/>
      </w:rPr>
    </w:lvl>
  </w:abstractNum>
  <w:abstractNum w:abstractNumId="2">
    <w:nsid w:val="FFFFFF81"/>
    <w:multiLevelType w:val="singleLevel"/>
    <w:tmpl w:val="FFFFFF81"/>
    <w:lvl w:ilvl="0" w:tentative="0">
      <w:start w:val="1"/>
      <w:numFmt w:val="bullet"/>
      <w:lvlText w:val=""/>
      <w:lvlJc w:val="left"/>
      <w:pPr>
        <w:tabs>
          <w:tab w:val="left" w:pos="1209"/>
        </w:tabs>
        <w:ind w:left="1209" w:hanging="360"/>
      </w:pPr>
      <w:rPr>
        <w:rFonts w:hint="default" w:ascii="Symbol" w:hAnsi="Symbol"/>
      </w:rPr>
    </w:lvl>
  </w:abstractNum>
  <w:abstractNum w:abstractNumId="3">
    <w:nsid w:val="007E078A"/>
    <w:multiLevelType w:val="multilevel"/>
    <w:tmpl w:val="007E078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
    <w:nsid w:val="00A84887"/>
    <w:multiLevelType w:val="multilevel"/>
    <w:tmpl w:val="00A84887"/>
    <w:lvl w:ilvl="0" w:tentative="0">
      <w:start w:val="1"/>
      <w:numFmt w:val="decimal"/>
      <w:lvlText w:val="%1."/>
      <w:lvlJc w:val="left"/>
      <w:pPr>
        <w:ind w:left="360" w:hanging="360"/>
      </w:pPr>
      <w:rPr>
        <w:rFonts w:hint="default"/>
      </w:rPr>
    </w:lvl>
    <w:lvl w:ilvl="1" w:tentative="0">
      <w:start w:val="1"/>
      <w:numFmt w:val="lowerLetter"/>
      <w:lvlText w:val="%2."/>
      <w:lvlJc w:val="left"/>
      <w:pPr>
        <w:ind w:left="1080" w:hanging="360"/>
      </w:p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abstractNum w:abstractNumId="5">
    <w:nsid w:val="022B5749"/>
    <w:multiLevelType w:val="multilevel"/>
    <w:tmpl w:val="022B5749"/>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
    <w:nsid w:val="0236023A"/>
    <w:multiLevelType w:val="multilevel"/>
    <w:tmpl w:val="0236023A"/>
    <w:lvl w:ilvl="0" w:tentative="0">
      <w:start w:val="1"/>
      <w:numFmt w:val="decimal"/>
      <w:lvlText w:val="Observation %1"/>
      <w:lvlJc w:val="left"/>
      <w:pPr>
        <w:ind w:left="1068" w:hanging="360"/>
      </w:pPr>
      <w:rPr>
        <w:rFonts w:hint="default" w:ascii="Times New Roman" w:hAnsi="Times New Roman" w:cs="Times New Roman"/>
        <w:b/>
        <w:sz w:val="22"/>
        <w:u w:val="singl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7">
    <w:nsid w:val="05AA00F2"/>
    <w:multiLevelType w:val="multilevel"/>
    <w:tmpl w:val="05AA00F2"/>
    <w:lvl w:ilvl="0" w:tentative="0">
      <w:start w:val="1"/>
      <w:numFmt w:val="bullet"/>
      <w:lvlText w:val=""/>
      <w:lvlJc w:val="left"/>
      <w:pPr>
        <w:tabs>
          <w:tab w:val="left" w:pos="720"/>
        </w:tabs>
        <w:ind w:left="720" w:hanging="360"/>
      </w:pPr>
      <w:rPr>
        <w:rFonts w:hint="default" w:ascii="Symbol" w:hAnsi="Symbol"/>
      </w:rPr>
    </w:lvl>
    <w:lvl w:ilvl="1" w:tentative="0">
      <w:start w:val="0"/>
      <w:numFmt w:val="bullet"/>
      <w:lvlText w:val="o"/>
      <w:lvlJc w:val="left"/>
      <w:pPr>
        <w:tabs>
          <w:tab w:val="left" w:pos="1440"/>
        </w:tabs>
        <w:ind w:left="1440" w:hanging="360"/>
      </w:pPr>
      <w:rPr>
        <w:rFonts w:hint="default" w:ascii="Courier New" w:hAnsi="Courier New"/>
      </w:rPr>
    </w:lvl>
    <w:lvl w:ilvl="2" w:tentative="0">
      <w:start w:val="0"/>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
      <w:lvlJc w:val="left"/>
      <w:pPr>
        <w:tabs>
          <w:tab w:val="left" w:pos="3600"/>
        </w:tabs>
        <w:ind w:left="3600" w:hanging="360"/>
      </w:pPr>
      <w:rPr>
        <w:rFonts w:hint="default" w:ascii="Symbol" w:hAnsi="Symbol"/>
      </w:rPr>
    </w:lvl>
    <w:lvl w:ilvl="5" w:tentative="0">
      <w:start w:val="1"/>
      <w:numFmt w:val="bullet"/>
      <w:lvlText w:val=""/>
      <w:lvlJc w:val="left"/>
      <w:pPr>
        <w:tabs>
          <w:tab w:val="left" w:pos="4320"/>
        </w:tabs>
        <w:ind w:left="4320" w:hanging="360"/>
      </w:pPr>
      <w:rPr>
        <w:rFonts w:hint="default" w:ascii="Symbol" w:hAnsi="Symbol"/>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
      <w:lvlJc w:val="left"/>
      <w:pPr>
        <w:tabs>
          <w:tab w:val="left" w:pos="5760"/>
        </w:tabs>
        <w:ind w:left="5760" w:hanging="360"/>
      </w:pPr>
      <w:rPr>
        <w:rFonts w:hint="default" w:ascii="Symbol" w:hAnsi="Symbol"/>
      </w:rPr>
    </w:lvl>
    <w:lvl w:ilvl="8" w:tentative="0">
      <w:start w:val="1"/>
      <w:numFmt w:val="bullet"/>
      <w:lvlText w:val=""/>
      <w:lvlJc w:val="left"/>
      <w:pPr>
        <w:tabs>
          <w:tab w:val="left" w:pos="6480"/>
        </w:tabs>
        <w:ind w:left="6480" w:hanging="360"/>
      </w:pPr>
      <w:rPr>
        <w:rFonts w:hint="default" w:ascii="Symbol" w:hAnsi="Symbol"/>
      </w:rPr>
    </w:lvl>
  </w:abstractNum>
  <w:abstractNum w:abstractNumId="8">
    <w:nsid w:val="09540AF0"/>
    <w:multiLevelType w:val="multilevel"/>
    <w:tmpl w:val="09540AF0"/>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9">
    <w:nsid w:val="0BD16FF9"/>
    <w:multiLevelType w:val="multilevel"/>
    <w:tmpl w:val="0BD16FF9"/>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0">
    <w:nsid w:val="0C6C4E97"/>
    <w:multiLevelType w:val="multilevel"/>
    <w:tmpl w:val="0C6C4E97"/>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1">
    <w:nsid w:val="0CE31218"/>
    <w:multiLevelType w:val="multilevel"/>
    <w:tmpl w:val="0CE31218"/>
    <w:lvl w:ilvl="0" w:tentative="0">
      <w:start w:val="0"/>
      <w:numFmt w:val="bullet"/>
      <w:lvlText w:val="-"/>
      <w:lvlJc w:val="left"/>
      <w:pPr>
        <w:ind w:left="840" w:hanging="420"/>
      </w:pPr>
      <w:rPr>
        <w:rFonts w:hint="default" w:ascii="Times New Roman" w:hAnsi="Times New Roman" w:eastAsia="Times New Roman" w:cs="Times New Roman"/>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2">
    <w:nsid w:val="0E2B3A84"/>
    <w:multiLevelType w:val="multilevel"/>
    <w:tmpl w:val="0E2B3A84"/>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3">
    <w:nsid w:val="0F696ECC"/>
    <w:multiLevelType w:val="multilevel"/>
    <w:tmpl w:val="0F696ECC"/>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4">
    <w:nsid w:val="130C560A"/>
    <w:multiLevelType w:val="multilevel"/>
    <w:tmpl w:val="130C560A"/>
    <w:lvl w:ilvl="0" w:tentative="0">
      <w:start w:val="1"/>
      <w:numFmt w:val="decimal"/>
      <w:pStyle w:val="2"/>
      <w:lvlText w:val="%1"/>
      <w:lvlJc w:val="left"/>
      <w:pPr>
        <w:tabs>
          <w:tab w:val="left" w:pos="432"/>
        </w:tabs>
        <w:ind w:left="432" w:hanging="432"/>
      </w:pPr>
      <w:rPr>
        <w:rFonts w:hint="default"/>
        <w:b w:val="0"/>
      </w:rPr>
    </w:lvl>
    <w:lvl w:ilvl="1" w:tentative="0">
      <w:start w:val="1"/>
      <w:numFmt w:val="decimal"/>
      <w:pStyle w:val="3"/>
      <w:lvlText w:val="%1.%2"/>
      <w:lvlJc w:val="left"/>
      <w:pPr>
        <w:tabs>
          <w:tab w:val="left" w:pos="576"/>
        </w:tabs>
        <w:ind w:left="576" w:hanging="576"/>
      </w:pPr>
      <w:rPr>
        <w:rFonts w:hint="default"/>
      </w:rPr>
    </w:lvl>
    <w:lvl w:ilvl="2" w:tentative="0">
      <w:start w:val="1"/>
      <w:numFmt w:val="decimal"/>
      <w:pStyle w:val="4"/>
      <w:lvlText w:val="%1.%2.%3"/>
      <w:lvlJc w:val="left"/>
      <w:pPr>
        <w:tabs>
          <w:tab w:val="left" w:pos="720"/>
        </w:tabs>
        <w:ind w:left="720" w:hanging="720"/>
      </w:pPr>
      <w:rPr>
        <w:rFonts w:hint="default"/>
      </w:rPr>
    </w:lvl>
    <w:lvl w:ilvl="3" w:tentative="0">
      <w:start w:val="1"/>
      <w:numFmt w:val="decimal"/>
      <w:pStyle w:val="5"/>
      <w:lvlText w:val="%1.%2.%3.%4"/>
      <w:lvlJc w:val="left"/>
      <w:pPr>
        <w:tabs>
          <w:tab w:val="left" w:pos="864"/>
        </w:tabs>
        <w:ind w:left="864" w:hanging="864"/>
      </w:pPr>
      <w:rPr>
        <w:rFonts w:hint="default"/>
      </w:rPr>
    </w:lvl>
    <w:lvl w:ilvl="4" w:tentative="0">
      <w:start w:val="1"/>
      <w:numFmt w:val="decimal"/>
      <w:pStyle w:val="6"/>
      <w:lvlText w:val="%1.%2.%3.%4.%5"/>
      <w:lvlJc w:val="left"/>
      <w:pPr>
        <w:tabs>
          <w:tab w:val="left" w:pos="1008"/>
        </w:tabs>
        <w:ind w:left="1008" w:hanging="1008"/>
      </w:pPr>
      <w:rPr>
        <w:rFonts w:hint="default"/>
      </w:rPr>
    </w:lvl>
    <w:lvl w:ilvl="5" w:tentative="0">
      <w:start w:val="1"/>
      <w:numFmt w:val="decimal"/>
      <w:pStyle w:val="7"/>
      <w:lvlText w:val="%1.%2.%3.%4.%5.%6"/>
      <w:lvlJc w:val="left"/>
      <w:pPr>
        <w:tabs>
          <w:tab w:val="left" w:pos="1152"/>
        </w:tabs>
        <w:ind w:left="1152" w:hanging="1152"/>
      </w:pPr>
      <w:rPr>
        <w:rFonts w:hint="default"/>
      </w:rPr>
    </w:lvl>
    <w:lvl w:ilvl="6" w:tentative="0">
      <w:start w:val="1"/>
      <w:numFmt w:val="decimal"/>
      <w:pStyle w:val="8"/>
      <w:lvlText w:val="%1.%2.%3.%4.%5.%6.%7"/>
      <w:lvlJc w:val="left"/>
      <w:pPr>
        <w:tabs>
          <w:tab w:val="left" w:pos="1296"/>
        </w:tabs>
        <w:ind w:left="1296" w:hanging="1296"/>
      </w:pPr>
      <w:rPr>
        <w:rFonts w:hint="default"/>
      </w:rPr>
    </w:lvl>
    <w:lvl w:ilvl="7" w:tentative="0">
      <w:start w:val="1"/>
      <w:numFmt w:val="decimal"/>
      <w:pStyle w:val="9"/>
      <w:lvlText w:val="%1.%2.%3.%4.%5.%6.%7.%8"/>
      <w:lvlJc w:val="left"/>
      <w:pPr>
        <w:tabs>
          <w:tab w:val="left" w:pos="1440"/>
        </w:tabs>
        <w:ind w:left="1440" w:hanging="1440"/>
      </w:pPr>
      <w:rPr>
        <w:rFonts w:hint="default"/>
      </w:rPr>
    </w:lvl>
    <w:lvl w:ilvl="8" w:tentative="0">
      <w:start w:val="1"/>
      <w:numFmt w:val="decimal"/>
      <w:pStyle w:val="10"/>
      <w:lvlText w:val="%1.%2.%3.%4.%5.%6.%7.%8.%9"/>
      <w:lvlJc w:val="left"/>
      <w:pPr>
        <w:tabs>
          <w:tab w:val="left" w:pos="1584"/>
        </w:tabs>
        <w:ind w:left="1584" w:hanging="1584"/>
      </w:pPr>
      <w:rPr>
        <w:rFonts w:hint="default"/>
      </w:rPr>
    </w:lvl>
  </w:abstractNum>
  <w:abstractNum w:abstractNumId="15">
    <w:nsid w:val="149F55D0"/>
    <w:multiLevelType w:val="multilevel"/>
    <w:tmpl w:val="149F55D0"/>
    <w:lvl w:ilvl="0" w:tentative="0">
      <w:start w:val="1"/>
      <w:numFmt w:val="bullet"/>
      <w:lvlText w:val=""/>
      <w:lvlJc w:val="left"/>
      <w:pPr>
        <w:ind w:left="420" w:hanging="420"/>
      </w:pPr>
      <w:rPr>
        <w:rFonts w:hint="default" w:ascii="Symbol" w:hAnsi="Symbol"/>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6">
    <w:nsid w:val="20D70B8C"/>
    <w:multiLevelType w:val="multilevel"/>
    <w:tmpl w:val="20D70B8C"/>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7">
    <w:nsid w:val="22BA7809"/>
    <w:multiLevelType w:val="multilevel"/>
    <w:tmpl w:val="22BA7809"/>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8">
    <w:nsid w:val="29BE20E1"/>
    <w:multiLevelType w:val="multilevel"/>
    <w:tmpl w:val="29BE20E1"/>
    <w:lvl w:ilvl="0" w:tentative="0">
      <w:start w:val="1"/>
      <w:numFmt w:val="bullet"/>
      <w:lvlText w:val=""/>
      <w:lvlJc w:val="left"/>
      <w:pPr>
        <w:ind w:left="420" w:hanging="420"/>
      </w:pPr>
      <w:rPr>
        <w:rFonts w:hint="default" w:ascii="Symbol" w:hAnsi="Symbol"/>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9">
    <w:nsid w:val="29DA5651"/>
    <w:multiLevelType w:val="multilevel"/>
    <w:tmpl w:val="29DA5651"/>
    <w:lvl w:ilvl="0" w:tentative="0">
      <w:start w:val="0"/>
      <w:numFmt w:val="bullet"/>
      <w:lvlText w:val="-"/>
      <w:lvlJc w:val="left"/>
      <w:pPr>
        <w:ind w:left="420" w:hanging="420"/>
      </w:pPr>
      <w:rPr>
        <w:rFonts w:hint="default" w:ascii="Times New Roman" w:hAnsi="Times New Roman" w:eastAsia="宋体" w:cs="Times New Roman"/>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0">
    <w:nsid w:val="2BCE2700"/>
    <w:multiLevelType w:val="multilevel"/>
    <w:tmpl w:val="2BCE2700"/>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1">
    <w:nsid w:val="2D0E3FA4"/>
    <w:multiLevelType w:val="multilevel"/>
    <w:tmpl w:val="2D0E3FA4"/>
    <w:lvl w:ilvl="0" w:tentative="0">
      <w:start w:val="1"/>
      <w:numFmt w:val="bullet"/>
      <w:lvlText w:val=""/>
      <w:lvlJc w:val="left"/>
      <w:pPr>
        <w:ind w:left="420" w:hanging="420"/>
      </w:pPr>
      <w:rPr>
        <w:rFonts w:hint="default" w:ascii="Symbol" w:hAnsi="Symbol"/>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2">
    <w:nsid w:val="2DDF0E1C"/>
    <w:multiLevelType w:val="multilevel"/>
    <w:tmpl w:val="2DDF0E1C"/>
    <w:lvl w:ilvl="0" w:tentative="0">
      <w:start w:val="1"/>
      <w:numFmt w:val="bullet"/>
      <w:pStyle w:val="191"/>
      <w:lvlText w:val=""/>
      <w:lvlJc w:val="left"/>
      <w:pPr>
        <w:ind w:left="450" w:hanging="360"/>
      </w:pPr>
      <w:rPr>
        <w:rFonts w:hint="default" w:ascii="Symbol" w:hAnsi="Symbol"/>
      </w:rPr>
    </w:lvl>
    <w:lvl w:ilvl="1" w:tentative="0">
      <w:start w:val="1"/>
      <w:numFmt w:val="bullet"/>
      <w:lvlText w:val="o"/>
      <w:lvlJc w:val="left"/>
      <w:pPr>
        <w:ind w:left="126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3">
    <w:nsid w:val="2E2F6BE5"/>
    <w:multiLevelType w:val="multilevel"/>
    <w:tmpl w:val="2E2F6BE5"/>
    <w:lvl w:ilvl="0" w:tentative="0">
      <w:start w:val="1"/>
      <w:numFmt w:val="bullet"/>
      <w:lvlText w:val="o"/>
      <w:lvlJc w:val="left"/>
      <w:pPr>
        <w:ind w:left="360" w:hanging="360"/>
      </w:pPr>
      <w:rPr>
        <w:rFonts w:hint="default" w:ascii="Courier New" w:hAnsi="Courier New" w:cs="Courier New"/>
      </w:rPr>
    </w:lvl>
    <w:lvl w:ilvl="1" w:tentative="0">
      <w:start w:val="1"/>
      <w:numFmt w:val="bullet"/>
      <w:lvlText w:val=""/>
      <w:lvlJc w:val="left"/>
      <w:pPr>
        <w:ind w:left="1080" w:hanging="360"/>
      </w:pPr>
      <w:rPr>
        <w:rFonts w:hint="default" w:ascii="Wingdings" w:hAnsi="Wingdings"/>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24">
    <w:nsid w:val="2EA5355D"/>
    <w:multiLevelType w:val="multilevel"/>
    <w:tmpl w:val="2EA5355D"/>
    <w:lvl w:ilvl="0" w:tentative="0">
      <w:start w:val="1"/>
      <w:numFmt w:val="bullet"/>
      <w:lvlText w:val=""/>
      <w:lvlJc w:val="left"/>
      <w:pPr>
        <w:ind w:left="999" w:hanging="360"/>
      </w:pPr>
      <w:rPr>
        <w:rFonts w:hint="default" w:ascii="Symbol" w:hAnsi="Symbol"/>
      </w:rPr>
    </w:lvl>
    <w:lvl w:ilvl="1" w:tentative="0">
      <w:start w:val="1"/>
      <w:numFmt w:val="bullet"/>
      <w:lvlText w:val="o"/>
      <w:lvlJc w:val="left"/>
      <w:pPr>
        <w:ind w:left="1719" w:hanging="360"/>
      </w:pPr>
      <w:rPr>
        <w:rFonts w:hint="default" w:ascii="Courier New" w:hAnsi="Courier New" w:cs="Courier New"/>
      </w:rPr>
    </w:lvl>
    <w:lvl w:ilvl="2" w:tentative="0">
      <w:start w:val="1"/>
      <w:numFmt w:val="bullet"/>
      <w:lvlText w:val=""/>
      <w:lvlJc w:val="left"/>
      <w:pPr>
        <w:ind w:left="2439" w:hanging="360"/>
      </w:pPr>
      <w:rPr>
        <w:rFonts w:hint="default" w:ascii="Wingdings" w:hAnsi="Wingdings"/>
      </w:rPr>
    </w:lvl>
    <w:lvl w:ilvl="3" w:tentative="0">
      <w:start w:val="1"/>
      <w:numFmt w:val="bullet"/>
      <w:lvlText w:val=""/>
      <w:lvlJc w:val="left"/>
      <w:pPr>
        <w:ind w:left="3159" w:hanging="360"/>
      </w:pPr>
      <w:rPr>
        <w:rFonts w:hint="default" w:ascii="Symbol" w:hAnsi="Symbol"/>
      </w:rPr>
    </w:lvl>
    <w:lvl w:ilvl="4" w:tentative="0">
      <w:start w:val="1"/>
      <w:numFmt w:val="bullet"/>
      <w:lvlText w:val="o"/>
      <w:lvlJc w:val="left"/>
      <w:pPr>
        <w:ind w:left="3879" w:hanging="360"/>
      </w:pPr>
      <w:rPr>
        <w:rFonts w:hint="default" w:ascii="Courier New" w:hAnsi="Courier New" w:cs="Courier New"/>
      </w:rPr>
    </w:lvl>
    <w:lvl w:ilvl="5" w:tentative="0">
      <w:start w:val="1"/>
      <w:numFmt w:val="bullet"/>
      <w:lvlText w:val=""/>
      <w:lvlJc w:val="left"/>
      <w:pPr>
        <w:ind w:left="4599" w:hanging="360"/>
      </w:pPr>
      <w:rPr>
        <w:rFonts w:hint="default" w:ascii="Wingdings" w:hAnsi="Wingdings"/>
      </w:rPr>
    </w:lvl>
    <w:lvl w:ilvl="6" w:tentative="0">
      <w:start w:val="1"/>
      <w:numFmt w:val="bullet"/>
      <w:lvlText w:val=""/>
      <w:lvlJc w:val="left"/>
      <w:pPr>
        <w:ind w:left="5319" w:hanging="360"/>
      </w:pPr>
      <w:rPr>
        <w:rFonts w:hint="default" w:ascii="Symbol" w:hAnsi="Symbol"/>
      </w:rPr>
    </w:lvl>
    <w:lvl w:ilvl="7" w:tentative="0">
      <w:start w:val="1"/>
      <w:numFmt w:val="bullet"/>
      <w:lvlText w:val="o"/>
      <w:lvlJc w:val="left"/>
      <w:pPr>
        <w:ind w:left="6039" w:hanging="360"/>
      </w:pPr>
      <w:rPr>
        <w:rFonts w:hint="default" w:ascii="Courier New" w:hAnsi="Courier New" w:cs="Courier New"/>
      </w:rPr>
    </w:lvl>
    <w:lvl w:ilvl="8" w:tentative="0">
      <w:start w:val="1"/>
      <w:numFmt w:val="bullet"/>
      <w:lvlText w:val=""/>
      <w:lvlJc w:val="left"/>
      <w:pPr>
        <w:ind w:left="6759" w:hanging="360"/>
      </w:pPr>
      <w:rPr>
        <w:rFonts w:hint="default" w:ascii="Wingdings" w:hAnsi="Wingdings"/>
      </w:rPr>
    </w:lvl>
  </w:abstractNum>
  <w:abstractNum w:abstractNumId="25">
    <w:nsid w:val="31F77BC1"/>
    <w:multiLevelType w:val="multilevel"/>
    <w:tmpl w:val="31F77BC1"/>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120" w:hanging="420"/>
      </w:pPr>
      <w:rPr>
        <w:rFonts w:hint="default" w:ascii="Wingdings" w:hAnsi="Wingdings"/>
      </w:rPr>
    </w:lvl>
    <w:lvl w:ilvl="2" w:tentative="0">
      <w:start w:val="1"/>
      <w:numFmt w:val="bullet"/>
      <w:lvlText w:val=""/>
      <w:lvlJc w:val="left"/>
      <w:pPr>
        <w:ind w:left="540" w:hanging="420"/>
      </w:pPr>
      <w:rPr>
        <w:rFonts w:hint="default" w:ascii="Wingdings" w:hAnsi="Wingdings"/>
      </w:rPr>
    </w:lvl>
    <w:lvl w:ilvl="3" w:tentative="0">
      <w:start w:val="1"/>
      <w:numFmt w:val="bullet"/>
      <w:lvlText w:val=""/>
      <w:lvlJc w:val="left"/>
      <w:pPr>
        <w:ind w:left="960" w:hanging="420"/>
      </w:pPr>
      <w:rPr>
        <w:rFonts w:hint="default" w:ascii="Wingdings" w:hAnsi="Wingdings"/>
      </w:rPr>
    </w:lvl>
    <w:lvl w:ilvl="4" w:tentative="0">
      <w:start w:val="1"/>
      <w:numFmt w:val="bullet"/>
      <w:lvlText w:val=""/>
      <w:lvlJc w:val="left"/>
      <w:pPr>
        <w:ind w:left="1380" w:hanging="420"/>
      </w:pPr>
      <w:rPr>
        <w:rFonts w:hint="default" w:ascii="Wingdings" w:hAnsi="Wingdings"/>
      </w:rPr>
    </w:lvl>
    <w:lvl w:ilvl="5" w:tentative="0">
      <w:start w:val="1"/>
      <w:numFmt w:val="bullet"/>
      <w:lvlText w:val=""/>
      <w:lvlJc w:val="left"/>
      <w:pPr>
        <w:ind w:left="1800" w:hanging="420"/>
      </w:pPr>
      <w:rPr>
        <w:rFonts w:hint="default" w:ascii="Wingdings" w:hAnsi="Wingdings"/>
      </w:rPr>
    </w:lvl>
    <w:lvl w:ilvl="6" w:tentative="0">
      <w:start w:val="1"/>
      <w:numFmt w:val="bullet"/>
      <w:lvlText w:val=""/>
      <w:lvlJc w:val="left"/>
      <w:pPr>
        <w:ind w:left="2220" w:hanging="420"/>
      </w:pPr>
      <w:rPr>
        <w:rFonts w:hint="default" w:ascii="Wingdings" w:hAnsi="Wingdings"/>
      </w:rPr>
    </w:lvl>
    <w:lvl w:ilvl="7" w:tentative="0">
      <w:start w:val="1"/>
      <w:numFmt w:val="bullet"/>
      <w:lvlText w:val=""/>
      <w:lvlJc w:val="left"/>
      <w:pPr>
        <w:ind w:left="2640" w:hanging="420"/>
      </w:pPr>
      <w:rPr>
        <w:rFonts w:hint="default" w:ascii="Wingdings" w:hAnsi="Wingdings"/>
      </w:rPr>
    </w:lvl>
    <w:lvl w:ilvl="8" w:tentative="0">
      <w:start w:val="1"/>
      <w:numFmt w:val="bullet"/>
      <w:lvlText w:val=""/>
      <w:lvlJc w:val="left"/>
      <w:pPr>
        <w:ind w:left="3060" w:hanging="420"/>
      </w:pPr>
      <w:rPr>
        <w:rFonts w:hint="default" w:ascii="Wingdings" w:hAnsi="Wingdings"/>
      </w:rPr>
    </w:lvl>
  </w:abstractNum>
  <w:abstractNum w:abstractNumId="26">
    <w:nsid w:val="323843F9"/>
    <w:multiLevelType w:val="multilevel"/>
    <w:tmpl w:val="323843F9"/>
    <w:lvl w:ilvl="0" w:tentative="0">
      <w:start w:val="1"/>
      <w:numFmt w:val="bullet"/>
      <w:lvlText w:val="-"/>
      <w:lvlJc w:val="left"/>
      <w:pPr>
        <w:ind w:left="720" w:hanging="360"/>
      </w:pPr>
      <w:rPr>
        <w:rFonts w:hint="default" w:ascii="Calibri" w:hAnsi="Calibri" w:eastAsia="Times New Roman"/>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7">
    <w:nsid w:val="34D5045A"/>
    <w:multiLevelType w:val="singleLevel"/>
    <w:tmpl w:val="34D5045A"/>
    <w:lvl w:ilvl="0" w:tentative="0">
      <w:start w:val="1"/>
      <w:numFmt w:val="bullet"/>
      <w:pStyle w:val="219"/>
      <w:lvlText w:val=""/>
      <w:lvlJc w:val="left"/>
      <w:pPr>
        <w:tabs>
          <w:tab w:val="left" w:pos="360"/>
        </w:tabs>
        <w:ind w:left="340" w:hanging="340"/>
      </w:pPr>
      <w:rPr>
        <w:rFonts w:hint="default" w:ascii="Symbol" w:hAnsi="Symbol" w:eastAsia="Times New Roman"/>
        <w:color w:val="auto"/>
      </w:rPr>
    </w:lvl>
  </w:abstractNum>
  <w:abstractNum w:abstractNumId="28">
    <w:nsid w:val="38E13E44"/>
    <w:multiLevelType w:val="multilevel"/>
    <w:tmpl w:val="38E13E44"/>
    <w:lvl w:ilvl="0" w:tentative="0">
      <w:start w:val="1"/>
      <w:numFmt w:val="bullet"/>
      <w:lvlText w:val="﹣"/>
      <w:lvlJc w:val="left"/>
      <w:pPr>
        <w:ind w:left="1271" w:hanging="420"/>
      </w:pPr>
      <w:rPr>
        <w:rFonts w:hint="default" w:ascii="仿宋" w:hAnsi="仿宋" w:eastAsia="仿宋" w:cs="仿宋"/>
      </w:rPr>
    </w:lvl>
    <w:lvl w:ilvl="1" w:tentative="0">
      <w:start w:val="1"/>
      <w:numFmt w:val="bullet"/>
      <w:lvlText w:val=""/>
      <w:lvlJc w:val="left"/>
      <w:pPr>
        <w:ind w:left="1691" w:hanging="420"/>
      </w:pPr>
      <w:rPr>
        <w:rFonts w:hint="default" w:ascii="Wingdings" w:hAnsi="Wingdings"/>
      </w:rPr>
    </w:lvl>
    <w:lvl w:ilvl="2" w:tentative="0">
      <w:start w:val="1"/>
      <w:numFmt w:val="bullet"/>
      <w:lvlText w:val=""/>
      <w:lvlJc w:val="left"/>
      <w:pPr>
        <w:ind w:left="2111" w:hanging="420"/>
      </w:pPr>
      <w:rPr>
        <w:rFonts w:hint="default" w:ascii="Wingdings" w:hAnsi="Wingdings"/>
      </w:rPr>
    </w:lvl>
    <w:lvl w:ilvl="3" w:tentative="0">
      <w:start w:val="1"/>
      <w:numFmt w:val="bullet"/>
      <w:lvlText w:val=""/>
      <w:lvlJc w:val="left"/>
      <w:pPr>
        <w:ind w:left="2531" w:hanging="420"/>
      </w:pPr>
      <w:rPr>
        <w:rFonts w:hint="default" w:ascii="Wingdings" w:hAnsi="Wingdings"/>
      </w:rPr>
    </w:lvl>
    <w:lvl w:ilvl="4" w:tentative="0">
      <w:start w:val="1"/>
      <w:numFmt w:val="bullet"/>
      <w:lvlText w:val=""/>
      <w:lvlJc w:val="left"/>
      <w:pPr>
        <w:ind w:left="2951" w:hanging="420"/>
      </w:pPr>
      <w:rPr>
        <w:rFonts w:hint="default" w:ascii="Wingdings" w:hAnsi="Wingdings"/>
      </w:rPr>
    </w:lvl>
    <w:lvl w:ilvl="5" w:tentative="0">
      <w:start w:val="1"/>
      <w:numFmt w:val="bullet"/>
      <w:lvlText w:val=""/>
      <w:lvlJc w:val="left"/>
      <w:pPr>
        <w:ind w:left="3371" w:hanging="420"/>
      </w:pPr>
      <w:rPr>
        <w:rFonts w:hint="default" w:ascii="Wingdings" w:hAnsi="Wingdings"/>
      </w:rPr>
    </w:lvl>
    <w:lvl w:ilvl="6" w:tentative="0">
      <w:start w:val="1"/>
      <w:numFmt w:val="bullet"/>
      <w:lvlText w:val=""/>
      <w:lvlJc w:val="left"/>
      <w:pPr>
        <w:ind w:left="3791" w:hanging="420"/>
      </w:pPr>
      <w:rPr>
        <w:rFonts w:hint="default" w:ascii="Wingdings" w:hAnsi="Wingdings"/>
      </w:rPr>
    </w:lvl>
    <w:lvl w:ilvl="7" w:tentative="0">
      <w:start w:val="1"/>
      <w:numFmt w:val="bullet"/>
      <w:lvlText w:val=""/>
      <w:lvlJc w:val="left"/>
      <w:pPr>
        <w:ind w:left="4211" w:hanging="420"/>
      </w:pPr>
      <w:rPr>
        <w:rFonts w:hint="default" w:ascii="Wingdings" w:hAnsi="Wingdings"/>
      </w:rPr>
    </w:lvl>
    <w:lvl w:ilvl="8" w:tentative="0">
      <w:start w:val="1"/>
      <w:numFmt w:val="bullet"/>
      <w:lvlText w:val=""/>
      <w:lvlJc w:val="left"/>
      <w:pPr>
        <w:ind w:left="4631" w:hanging="420"/>
      </w:pPr>
      <w:rPr>
        <w:rFonts w:hint="default" w:ascii="Wingdings" w:hAnsi="Wingdings"/>
      </w:rPr>
    </w:lvl>
  </w:abstractNum>
  <w:abstractNum w:abstractNumId="29">
    <w:nsid w:val="392A4EAB"/>
    <w:multiLevelType w:val="multilevel"/>
    <w:tmpl w:val="392A4EAB"/>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30">
    <w:nsid w:val="3A877D64"/>
    <w:multiLevelType w:val="multilevel"/>
    <w:tmpl w:val="3A877D64"/>
    <w:lvl w:ilvl="0" w:tentative="0">
      <w:start w:val="1"/>
      <w:numFmt w:val="decimal"/>
      <w:pStyle w:val="63"/>
      <w:lvlText w:val="[%1]"/>
      <w:lvlJc w:val="left"/>
      <w:pPr>
        <w:tabs>
          <w:tab w:val="left" w:pos="360"/>
        </w:tabs>
        <w:ind w:left="360" w:hanging="360"/>
      </w:pPr>
      <w:rPr>
        <w:b w:val="0"/>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31">
    <w:nsid w:val="3AA17979"/>
    <w:multiLevelType w:val="multilevel"/>
    <w:tmpl w:val="3AA17979"/>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2">
    <w:nsid w:val="3AA46647"/>
    <w:multiLevelType w:val="multilevel"/>
    <w:tmpl w:val="3AA46647"/>
    <w:lvl w:ilvl="0" w:tentative="0">
      <w:start w:val="1"/>
      <w:numFmt w:val="decimal"/>
      <w:pStyle w:val="203"/>
      <w:lvlText w:val="Proposal %1"/>
      <w:lvlJc w:val="left"/>
      <w:pPr>
        <w:tabs>
          <w:tab w:val="left" w:pos="1304"/>
        </w:tabs>
        <w:ind w:left="1304" w:hanging="1304"/>
      </w:pPr>
      <w:rPr>
        <w:rFonts w:hint="default"/>
        <w:b/>
      </w:rPr>
    </w:lvl>
    <w:lvl w:ilvl="1" w:tentative="0">
      <w:start w:val="1"/>
      <w:numFmt w:val="lowerLetter"/>
      <w:lvlText w:val="%2."/>
      <w:lvlJc w:val="left"/>
      <w:pPr>
        <w:tabs>
          <w:tab w:val="left" w:pos="22"/>
        </w:tabs>
        <w:ind w:left="22" w:hanging="360"/>
      </w:pPr>
      <w:rPr>
        <w:rFonts w:hint="default"/>
      </w:rPr>
    </w:lvl>
    <w:lvl w:ilvl="2" w:tentative="0">
      <w:start w:val="1"/>
      <w:numFmt w:val="lowerRoman"/>
      <w:lvlText w:val="%3."/>
      <w:lvlJc w:val="right"/>
      <w:pPr>
        <w:tabs>
          <w:tab w:val="left" w:pos="742"/>
        </w:tabs>
        <w:ind w:left="742" w:hanging="180"/>
      </w:pPr>
      <w:rPr>
        <w:rFonts w:hint="default"/>
      </w:rPr>
    </w:lvl>
    <w:lvl w:ilvl="3" w:tentative="0">
      <w:start w:val="1"/>
      <w:numFmt w:val="decimal"/>
      <w:lvlText w:val="%4."/>
      <w:lvlJc w:val="left"/>
      <w:pPr>
        <w:tabs>
          <w:tab w:val="left" w:pos="1462"/>
        </w:tabs>
        <w:ind w:left="1462" w:hanging="360"/>
      </w:pPr>
      <w:rPr>
        <w:rFonts w:hint="default"/>
      </w:rPr>
    </w:lvl>
    <w:lvl w:ilvl="4" w:tentative="0">
      <w:start w:val="1"/>
      <w:numFmt w:val="lowerLetter"/>
      <w:lvlText w:val="%5."/>
      <w:lvlJc w:val="left"/>
      <w:pPr>
        <w:tabs>
          <w:tab w:val="left" w:pos="2182"/>
        </w:tabs>
        <w:ind w:left="2182" w:hanging="360"/>
      </w:pPr>
      <w:rPr>
        <w:rFonts w:hint="default"/>
      </w:rPr>
    </w:lvl>
    <w:lvl w:ilvl="5" w:tentative="0">
      <w:start w:val="1"/>
      <w:numFmt w:val="lowerRoman"/>
      <w:lvlText w:val="%6."/>
      <w:lvlJc w:val="right"/>
      <w:pPr>
        <w:tabs>
          <w:tab w:val="left" w:pos="2902"/>
        </w:tabs>
        <w:ind w:left="2902" w:hanging="180"/>
      </w:pPr>
      <w:rPr>
        <w:rFonts w:hint="default"/>
      </w:rPr>
    </w:lvl>
    <w:lvl w:ilvl="6" w:tentative="0">
      <w:start w:val="1"/>
      <w:numFmt w:val="decimal"/>
      <w:lvlText w:val="%7."/>
      <w:lvlJc w:val="left"/>
      <w:pPr>
        <w:tabs>
          <w:tab w:val="left" w:pos="3622"/>
        </w:tabs>
        <w:ind w:left="3622" w:hanging="360"/>
      </w:pPr>
      <w:rPr>
        <w:rFonts w:hint="default"/>
      </w:rPr>
    </w:lvl>
    <w:lvl w:ilvl="7" w:tentative="0">
      <w:start w:val="1"/>
      <w:numFmt w:val="lowerLetter"/>
      <w:lvlText w:val="%8."/>
      <w:lvlJc w:val="left"/>
      <w:pPr>
        <w:tabs>
          <w:tab w:val="left" w:pos="4342"/>
        </w:tabs>
        <w:ind w:left="4342" w:hanging="360"/>
      </w:pPr>
      <w:rPr>
        <w:rFonts w:hint="default"/>
      </w:rPr>
    </w:lvl>
    <w:lvl w:ilvl="8" w:tentative="0">
      <w:start w:val="1"/>
      <w:numFmt w:val="lowerRoman"/>
      <w:lvlText w:val="%9."/>
      <w:lvlJc w:val="right"/>
      <w:pPr>
        <w:tabs>
          <w:tab w:val="left" w:pos="5062"/>
        </w:tabs>
        <w:ind w:left="5062" w:hanging="180"/>
      </w:pPr>
      <w:rPr>
        <w:rFonts w:hint="default"/>
      </w:rPr>
    </w:lvl>
  </w:abstractNum>
  <w:abstractNum w:abstractNumId="33">
    <w:nsid w:val="40DE34BC"/>
    <w:multiLevelType w:val="multilevel"/>
    <w:tmpl w:val="40DE34BC"/>
    <w:lvl w:ilvl="0" w:tentative="0">
      <w:start w:val="1"/>
      <w:numFmt w:val="decimal"/>
      <w:pStyle w:val="150"/>
      <w:lvlText w:val="%1."/>
      <w:lvlJc w:val="left"/>
      <w:pPr>
        <w:tabs>
          <w:tab w:val="left" w:pos="360"/>
        </w:tabs>
        <w:ind w:left="360" w:hanging="360"/>
      </w:p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34">
    <w:nsid w:val="42C3752B"/>
    <w:multiLevelType w:val="multilevel"/>
    <w:tmpl w:val="42C3752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5">
    <w:nsid w:val="43A557AD"/>
    <w:multiLevelType w:val="multilevel"/>
    <w:tmpl w:val="43A557AD"/>
    <w:lvl w:ilvl="0" w:tentative="0">
      <w:start w:val="1"/>
      <w:numFmt w:val="bullet"/>
      <w:lvlText w:val=""/>
      <w:lvlJc w:val="left"/>
      <w:pPr>
        <w:ind w:left="620" w:hanging="420"/>
      </w:pPr>
      <w:rPr>
        <w:rFonts w:hint="default" w:ascii="Wingdings" w:hAnsi="Wingdings"/>
      </w:rPr>
    </w:lvl>
    <w:lvl w:ilvl="1" w:tentative="0">
      <w:start w:val="1"/>
      <w:numFmt w:val="bullet"/>
      <w:lvlText w:val=""/>
      <w:lvlJc w:val="left"/>
      <w:pPr>
        <w:ind w:left="1040" w:hanging="420"/>
      </w:pPr>
      <w:rPr>
        <w:rFonts w:hint="default" w:ascii="Wingdings" w:hAnsi="Wingdings"/>
      </w:rPr>
    </w:lvl>
    <w:lvl w:ilvl="2" w:tentative="0">
      <w:start w:val="1"/>
      <w:numFmt w:val="bullet"/>
      <w:lvlText w:val=""/>
      <w:lvlJc w:val="left"/>
      <w:pPr>
        <w:ind w:left="1460" w:hanging="420"/>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36">
    <w:nsid w:val="444D740A"/>
    <w:multiLevelType w:val="multilevel"/>
    <w:tmpl w:val="444D740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7">
    <w:nsid w:val="45687294"/>
    <w:multiLevelType w:val="multilevel"/>
    <w:tmpl w:val="45687294"/>
    <w:lvl w:ilvl="0" w:tentative="0">
      <w:start w:val="1"/>
      <w:numFmt w:val="bullet"/>
      <w:lvlText w:val=""/>
      <w:lvlJc w:val="left"/>
      <w:pPr>
        <w:ind w:left="771" w:hanging="360"/>
      </w:pPr>
      <w:rPr>
        <w:rFonts w:hint="default" w:ascii="Symbol" w:hAnsi="Symbol"/>
      </w:rPr>
    </w:lvl>
    <w:lvl w:ilvl="1" w:tentative="0">
      <w:start w:val="1"/>
      <w:numFmt w:val="bullet"/>
      <w:lvlText w:val="o"/>
      <w:lvlJc w:val="left"/>
      <w:pPr>
        <w:ind w:left="1491" w:hanging="360"/>
      </w:pPr>
      <w:rPr>
        <w:rFonts w:hint="default" w:ascii="Courier New" w:hAnsi="Courier New" w:cs="Courier New"/>
      </w:rPr>
    </w:lvl>
    <w:lvl w:ilvl="2" w:tentative="0">
      <w:start w:val="1"/>
      <w:numFmt w:val="bullet"/>
      <w:lvlText w:val=""/>
      <w:lvlJc w:val="left"/>
      <w:pPr>
        <w:ind w:left="2211" w:hanging="360"/>
      </w:pPr>
      <w:rPr>
        <w:rFonts w:hint="default" w:ascii="Wingdings" w:hAnsi="Wingdings"/>
      </w:rPr>
    </w:lvl>
    <w:lvl w:ilvl="3" w:tentative="0">
      <w:start w:val="1"/>
      <w:numFmt w:val="bullet"/>
      <w:lvlText w:val=""/>
      <w:lvlJc w:val="left"/>
      <w:pPr>
        <w:ind w:left="2931" w:hanging="360"/>
      </w:pPr>
      <w:rPr>
        <w:rFonts w:hint="default" w:ascii="Symbol" w:hAnsi="Symbol"/>
      </w:rPr>
    </w:lvl>
    <w:lvl w:ilvl="4" w:tentative="0">
      <w:start w:val="1"/>
      <w:numFmt w:val="bullet"/>
      <w:lvlText w:val="o"/>
      <w:lvlJc w:val="left"/>
      <w:pPr>
        <w:ind w:left="3651" w:hanging="360"/>
      </w:pPr>
      <w:rPr>
        <w:rFonts w:hint="default" w:ascii="Courier New" w:hAnsi="Courier New" w:cs="Courier New"/>
      </w:rPr>
    </w:lvl>
    <w:lvl w:ilvl="5" w:tentative="0">
      <w:start w:val="1"/>
      <w:numFmt w:val="bullet"/>
      <w:lvlText w:val=""/>
      <w:lvlJc w:val="left"/>
      <w:pPr>
        <w:ind w:left="4371" w:hanging="360"/>
      </w:pPr>
      <w:rPr>
        <w:rFonts w:hint="default" w:ascii="Wingdings" w:hAnsi="Wingdings"/>
      </w:rPr>
    </w:lvl>
    <w:lvl w:ilvl="6" w:tentative="0">
      <w:start w:val="1"/>
      <w:numFmt w:val="bullet"/>
      <w:lvlText w:val=""/>
      <w:lvlJc w:val="left"/>
      <w:pPr>
        <w:ind w:left="5091" w:hanging="360"/>
      </w:pPr>
      <w:rPr>
        <w:rFonts w:hint="default" w:ascii="Symbol" w:hAnsi="Symbol"/>
      </w:rPr>
    </w:lvl>
    <w:lvl w:ilvl="7" w:tentative="0">
      <w:start w:val="1"/>
      <w:numFmt w:val="bullet"/>
      <w:lvlText w:val="o"/>
      <w:lvlJc w:val="left"/>
      <w:pPr>
        <w:ind w:left="5811" w:hanging="360"/>
      </w:pPr>
      <w:rPr>
        <w:rFonts w:hint="default" w:ascii="Courier New" w:hAnsi="Courier New" w:cs="Courier New"/>
      </w:rPr>
    </w:lvl>
    <w:lvl w:ilvl="8" w:tentative="0">
      <w:start w:val="1"/>
      <w:numFmt w:val="bullet"/>
      <w:lvlText w:val=""/>
      <w:lvlJc w:val="left"/>
      <w:pPr>
        <w:ind w:left="6531" w:hanging="360"/>
      </w:pPr>
      <w:rPr>
        <w:rFonts w:hint="default" w:ascii="Wingdings" w:hAnsi="Wingdings"/>
      </w:rPr>
    </w:lvl>
  </w:abstractNum>
  <w:abstractNum w:abstractNumId="38">
    <w:nsid w:val="45ED6065"/>
    <w:multiLevelType w:val="multilevel"/>
    <w:tmpl w:val="45ED6065"/>
    <w:lvl w:ilvl="0" w:tentative="0">
      <w:start w:val="1"/>
      <w:numFmt w:val="decimal"/>
      <w:suff w:val="space"/>
      <w:lvlText w:val="Proposal %1:"/>
      <w:lvlJc w:val="left"/>
      <w:pPr>
        <w:ind w:left="0" w:firstLine="0"/>
      </w:pPr>
      <w:rPr>
        <w:rFonts w:hint="default" w:ascii="Times New Roman" w:hAnsi="Times New Roman"/>
        <w:b/>
        <w:i/>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9">
    <w:nsid w:val="464D3319"/>
    <w:multiLevelType w:val="multilevel"/>
    <w:tmpl w:val="464D3319"/>
    <w:lvl w:ilvl="0" w:tentative="0">
      <w:start w:val="1"/>
      <w:numFmt w:val="decimal"/>
      <w:pStyle w:val="145"/>
      <w:lvlText w:val="%1"/>
      <w:lvlJc w:val="left"/>
      <w:pPr>
        <w:tabs>
          <w:tab w:val="left" w:pos="735"/>
        </w:tabs>
        <w:ind w:left="735" w:hanging="735"/>
      </w:pPr>
      <w:rPr>
        <w:rFonts w:hint="default"/>
      </w:rPr>
    </w:lvl>
    <w:lvl w:ilvl="1" w:tentative="0">
      <w:start w:val="1"/>
      <w:numFmt w:val="decimal"/>
      <w:lvlText w:val="%1.%2"/>
      <w:lvlJc w:val="left"/>
      <w:pPr>
        <w:tabs>
          <w:tab w:val="left" w:pos="735"/>
        </w:tabs>
        <w:ind w:left="735" w:hanging="735"/>
      </w:pPr>
      <w:rPr>
        <w:rFonts w:hint="default"/>
      </w:rPr>
    </w:lvl>
    <w:lvl w:ilvl="2" w:tentative="0">
      <w:start w:val="1"/>
      <w:numFmt w:val="decimal"/>
      <w:lvlText w:val="%1.%2.%3"/>
      <w:lvlJc w:val="left"/>
      <w:pPr>
        <w:tabs>
          <w:tab w:val="left" w:pos="1080"/>
        </w:tabs>
        <w:ind w:left="735" w:hanging="735"/>
      </w:pPr>
      <w:rPr>
        <w:rFonts w:hint="default"/>
      </w:rPr>
    </w:lvl>
    <w:lvl w:ilvl="3" w:tentative="0">
      <w:start w:val="1"/>
      <w:numFmt w:val="decimal"/>
      <w:lvlText w:val="%1.%2.%3.%4"/>
      <w:lvlJc w:val="left"/>
      <w:pPr>
        <w:tabs>
          <w:tab w:val="left" w:pos="1440"/>
        </w:tabs>
        <w:ind w:left="735" w:hanging="735"/>
      </w:pPr>
      <w:rPr>
        <w:rFonts w:hint="default"/>
      </w:rPr>
    </w:lvl>
    <w:lvl w:ilvl="4" w:tentative="0">
      <w:start w:val="1"/>
      <w:numFmt w:val="decimal"/>
      <w:lvlText w:val="%1.%2.%3.%4.%5"/>
      <w:lvlJc w:val="left"/>
      <w:pPr>
        <w:tabs>
          <w:tab w:val="left" w:pos="1440"/>
        </w:tabs>
        <w:ind w:left="1080" w:hanging="1080"/>
      </w:pPr>
      <w:rPr>
        <w:rFonts w:hint="default"/>
      </w:rPr>
    </w:lvl>
    <w:lvl w:ilvl="5" w:tentative="0">
      <w:start w:val="1"/>
      <w:numFmt w:val="decimal"/>
      <w:lvlText w:val="%1.%2.%3.%4.%5.%6"/>
      <w:lvlJc w:val="left"/>
      <w:pPr>
        <w:tabs>
          <w:tab w:val="left" w:pos="1800"/>
        </w:tabs>
        <w:ind w:left="1080" w:hanging="1080"/>
      </w:pPr>
      <w:rPr>
        <w:rFonts w:hint="default"/>
      </w:rPr>
    </w:lvl>
    <w:lvl w:ilvl="6" w:tentative="0">
      <w:start w:val="1"/>
      <w:numFmt w:val="decimal"/>
      <w:lvlText w:val="%1.%2.%3.%4.%5.%6.%7"/>
      <w:lvlJc w:val="left"/>
      <w:pPr>
        <w:tabs>
          <w:tab w:val="left" w:pos="1440"/>
        </w:tabs>
        <w:ind w:left="1440" w:hanging="1440"/>
      </w:pPr>
      <w:rPr>
        <w:rFonts w:hint="default"/>
      </w:rPr>
    </w:lvl>
    <w:lvl w:ilvl="7" w:tentative="0">
      <w:start w:val="1"/>
      <w:numFmt w:val="decimal"/>
      <w:lvlText w:val="%1.%2.%3.%4.%5.%6.%7.%8"/>
      <w:lvlJc w:val="left"/>
      <w:pPr>
        <w:tabs>
          <w:tab w:val="left" w:pos="1440"/>
        </w:tabs>
        <w:ind w:left="1440" w:hanging="1440"/>
      </w:pPr>
      <w:rPr>
        <w:rFonts w:hint="default"/>
      </w:rPr>
    </w:lvl>
    <w:lvl w:ilvl="8" w:tentative="0">
      <w:start w:val="1"/>
      <w:numFmt w:val="decimal"/>
      <w:lvlText w:val="%1.%2.%3.%4.%5.%6.%7.%8.%9"/>
      <w:lvlJc w:val="left"/>
      <w:pPr>
        <w:tabs>
          <w:tab w:val="left" w:pos="1800"/>
        </w:tabs>
        <w:ind w:left="1800" w:hanging="1800"/>
      </w:pPr>
      <w:rPr>
        <w:rFonts w:hint="default"/>
      </w:rPr>
    </w:lvl>
  </w:abstractNum>
  <w:abstractNum w:abstractNumId="40">
    <w:nsid w:val="471657A9"/>
    <w:multiLevelType w:val="multilevel"/>
    <w:tmpl w:val="471657A9"/>
    <w:lvl w:ilvl="0" w:tentative="0">
      <w:start w:val="1"/>
      <w:numFmt w:val="bullet"/>
      <w:lvlText w:val=""/>
      <w:lvlJc w:val="left"/>
      <w:pPr>
        <w:ind w:left="923" w:hanging="360"/>
      </w:pPr>
      <w:rPr>
        <w:rFonts w:hint="default" w:ascii="Symbol" w:hAnsi="Symbol"/>
      </w:rPr>
    </w:lvl>
    <w:lvl w:ilvl="1" w:tentative="0">
      <w:start w:val="1"/>
      <w:numFmt w:val="bullet"/>
      <w:lvlText w:val="o"/>
      <w:lvlJc w:val="left"/>
      <w:pPr>
        <w:ind w:left="1643" w:hanging="360"/>
      </w:pPr>
      <w:rPr>
        <w:rFonts w:hint="default" w:ascii="Courier New" w:hAnsi="Courier New" w:cs="Courier New"/>
      </w:rPr>
    </w:lvl>
    <w:lvl w:ilvl="2" w:tentative="0">
      <w:start w:val="1"/>
      <w:numFmt w:val="bullet"/>
      <w:lvlText w:val=""/>
      <w:lvlJc w:val="left"/>
      <w:pPr>
        <w:ind w:left="2363" w:hanging="360"/>
      </w:pPr>
      <w:rPr>
        <w:rFonts w:hint="default" w:ascii="Wingdings" w:hAnsi="Wingdings"/>
      </w:rPr>
    </w:lvl>
    <w:lvl w:ilvl="3" w:tentative="0">
      <w:start w:val="1"/>
      <w:numFmt w:val="bullet"/>
      <w:lvlText w:val=""/>
      <w:lvlJc w:val="left"/>
      <w:pPr>
        <w:ind w:left="3083" w:hanging="360"/>
      </w:pPr>
      <w:rPr>
        <w:rFonts w:hint="default" w:ascii="Symbol" w:hAnsi="Symbol"/>
      </w:rPr>
    </w:lvl>
    <w:lvl w:ilvl="4" w:tentative="0">
      <w:start w:val="1"/>
      <w:numFmt w:val="bullet"/>
      <w:lvlText w:val="o"/>
      <w:lvlJc w:val="left"/>
      <w:pPr>
        <w:ind w:left="3803" w:hanging="360"/>
      </w:pPr>
      <w:rPr>
        <w:rFonts w:hint="default" w:ascii="Courier New" w:hAnsi="Courier New" w:cs="Courier New"/>
      </w:rPr>
    </w:lvl>
    <w:lvl w:ilvl="5" w:tentative="0">
      <w:start w:val="1"/>
      <w:numFmt w:val="bullet"/>
      <w:lvlText w:val=""/>
      <w:lvlJc w:val="left"/>
      <w:pPr>
        <w:ind w:left="4523" w:hanging="360"/>
      </w:pPr>
      <w:rPr>
        <w:rFonts w:hint="default" w:ascii="Wingdings" w:hAnsi="Wingdings"/>
      </w:rPr>
    </w:lvl>
    <w:lvl w:ilvl="6" w:tentative="0">
      <w:start w:val="1"/>
      <w:numFmt w:val="bullet"/>
      <w:lvlText w:val=""/>
      <w:lvlJc w:val="left"/>
      <w:pPr>
        <w:ind w:left="5243" w:hanging="360"/>
      </w:pPr>
      <w:rPr>
        <w:rFonts w:hint="default" w:ascii="Symbol" w:hAnsi="Symbol"/>
      </w:rPr>
    </w:lvl>
    <w:lvl w:ilvl="7" w:tentative="0">
      <w:start w:val="1"/>
      <w:numFmt w:val="bullet"/>
      <w:lvlText w:val="o"/>
      <w:lvlJc w:val="left"/>
      <w:pPr>
        <w:ind w:left="5963" w:hanging="360"/>
      </w:pPr>
      <w:rPr>
        <w:rFonts w:hint="default" w:ascii="Courier New" w:hAnsi="Courier New" w:cs="Courier New"/>
      </w:rPr>
    </w:lvl>
    <w:lvl w:ilvl="8" w:tentative="0">
      <w:start w:val="1"/>
      <w:numFmt w:val="bullet"/>
      <w:lvlText w:val=""/>
      <w:lvlJc w:val="left"/>
      <w:pPr>
        <w:ind w:left="6683" w:hanging="360"/>
      </w:pPr>
      <w:rPr>
        <w:rFonts w:hint="default" w:ascii="Wingdings" w:hAnsi="Wingdings"/>
      </w:rPr>
    </w:lvl>
  </w:abstractNum>
  <w:abstractNum w:abstractNumId="41">
    <w:nsid w:val="4A55685D"/>
    <w:multiLevelType w:val="multilevel"/>
    <w:tmpl w:val="4A55685D"/>
    <w:lvl w:ilvl="0" w:tentative="0">
      <w:start w:val="1"/>
      <w:numFmt w:val="bullet"/>
      <w:pStyle w:val="146"/>
      <w:lvlText w:val=""/>
      <w:lvlJc w:val="left"/>
      <w:pPr>
        <w:tabs>
          <w:tab w:val="left" w:pos="992"/>
        </w:tabs>
        <w:ind w:left="992" w:hanging="425"/>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42">
    <w:nsid w:val="4B1F283C"/>
    <w:multiLevelType w:val="multilevel"/>
    <w:tmpl w:val="4B1F283C"/>
    <w:lvl w:ilvl="0" w:tentative="0">
      <w:start w:val="1"/>
      <w:numFmt w:val="bullet"/>
      <w:pStyle w:val="148"/>
      <w:lvlText w:val=""/>
      <w:lvlJc w:val="left"/>
      <w:pPr>
        <w:tabs>
          <w:tab w:val="left" w:pos="1843"/>
        </w:tabs>
        <w:ind w:left="1843" w:hanging="425"/>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43">
    <w:nsid w:val="4B9E2B08"/>
    <w:multiLevelType w:val="multilevel"/>
    <w:tmpl w:val="4B9E2B08"/>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4">
    <w:nsid w:val="4BB35DF0"/>
    <w:multiLevelType w:val="multilevel"/>
    <w:tmpl w:val="4BB35DF0"/>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5">
    <w:nsid w:val="4D283C00"/>
    <w:multiLevelType w:val="multilevel"/>
    <w:tmpl w:val="4D283C00"/>
    <w:lvl w:ilvl="0" w:tentative="0">
      <w:start w:val="1"/>
      <w:numFmt w:val="bullet"/>
      <w:lvlText w:val="-"/>
      <w:lvlJc w:val="left"/>
      <w:pPr>
        <w:ind w:left="420" w:hanging="420"/>
      </w:pPr>
      <w:rPr>
        <w:rFonts w:hint="default" w:ascii="Times New Roman" w:hAnsi="Times New Roman" w:eastAsia="Batang" w:cs="Times New Roman"/>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6">
    <w:nsid w:val="4D410240"/>
    <w:multiLevelType w:val="multilevel"/>
    <w:tmpl w:val="4D410240"/>
    <w:lvl w:ilvl="0" w:tentative="0">
      <w:start w:val="1"/>
      <w:numFmt w:val="bullet"/>
      <w:lvlText w:val=""/>
      <w:lvlJc w:val="left"/>
      <w:pPr>
        <w:ind w:left="360" w:hanging="360"/>
      </w:pPr>
      <w:rPr>
        <w:rFonts w:hint="default" w:ascii="Symbol" w:hAnsi="Symbol"/>
      </w:rPr>
    </w:lvl>
    <w:lvl w:ilvl="1" w:tentative="0">
      <w:start w:val="1"/>
      <w:numFmt w:val="bullet"/>
      <w:lvlText w:val="o"/>
      <w:lvlJc w:val="left"/>
      <w:pPr>
        <w:ind w:left="1080" w:hanging="360"/>
      </w:pPr>
      <w:rPr>
        <w:rFonts w:hint="default" w:ascii="Courier New" w:hAnsi="Courier New" w:cs="Courier New"/>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47">
    <w:nsid w:val="4D550C18"/>
    <w:multiLevelType w:val="multilevel"/>
    <w:tmpl w:val="4D550C18"/>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8">
    <w:nsid w:val="4D5917CB"/>
    <w:multiLevelType w:val="multilevel"/>
    <w:tmpl w:val="4D5917C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9">
    <w:nsid w:val="4ED1737F"/>
    <w:multiLevelType w:val="multilevel"/>
    <w:tmpl w:val="4ED1737F"/>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0">
    <w:nsid w:val="4F566006"/>
    <w:multiLevelType w:val="multilevel"/>
    <w:tmpl w:val="4F566006"/>
    <w:lvl w:ilvl="0" w:tentative="0">
      <w:start w:val="1"/>
      <w:numFmt w:val="decimal"/>
      <w:lvlText w:val="(%1)"/>
      <w:lvlJc w:val="left"/>
      <w:pPr>
        <w:ind w:left="630" w:hanging="360"/>
      </w:pPr>
      <w:rPr>
        <w:rFonts w:hint="default"/>
      </w:rPr>
    </w:lvl>
    <w:lvl w:ilvl="1" w:tentative="0">
      <w:start w:val="1"/>
      <w:numFmt w:val="lowerLetter"/>
      <w:lvlText w:val="%2."/>
      <w:lvlJc w:val="left"/>
      <w:pPr>
        <w:ind w:left="1350" w:hanging="360"/>
      </w:pPr>
    </w:lvl>
    <w:lvl w:ilvl="2" w:tentative="0">
      <w:start w:val="1"/>
      <w:numFmt w:val="lowerRoman"/>
      <w:lvlText w:val="%3."/>
      <w:lvlJc w:val="right"/>
      <w:pPr>
        <w:ind w:left="2070" w:hanging="180"/>
      </w:pPr>
    </w:lvl>
    <w:lvl w:ilvl="3" w:tentative="0">
      <w:start w:val="1"/>
      <w:numFmt w:val="decimal"/>
      <w:lvlText w:val="%4."/>
      <w:lvlJc w:val="left"/>
      <w:pPr>
        <w:ind w:left="2790" w:hanging="360"/>
      </w:pPr>
    </w:lvl>
    <w:lvl w:ilvl="4" w:tentative="0">
      <w:start w:val="1"/>
      <w:numFmt w:val="lowerLetter"/>
      <w:lvlText w:val="%5."/>
      <w:lvlJc w:val="left"/>
      <w:pPr>
        <w:ind w:left="3510" w:hanging="360"/>
      </w:pPr>
    </w:lvl>
    <w:lvl w:ilvl="5" w:tentative="0">
      <w:start w:val="1"/>
      <w:numFmt w:val="lowerRoman"/>
      <w:lvlText w:val="%6."/>
      <w:lvlJc w:val="right"/>
      <w:pPr>
        <w:ind w:left="4230" w:hanging="180"/>
      </w:pPr>
    </w:lvl>
    <w:lvl w:ilvl="6" w:tentative="0">
      <w:start w:val="1"/>
      <w:numFmt w:val="decimal"/>
      <w:lvlText w:val="%7."/>
      <w:lvlJc w:val="left"/>
      <w:pPr>
        <w:ind w:left="4950" w:hanging="360"/>
      </w:pPr>
    </w:lvl>
    <w:lvl w:ilvl="7" w:tentative="0">
      <w:start w:val="1"/>
      <w:numFmt w:val="lowerLetter"/>
      <w:lvlText w:val="%8."/>
      <w:lvlJc w:val="left"/>
      <w:pPr>
        <w:ind w:left="5670" w:hanging="360"/>
      </w:pPr>
    </w:lvl>
    <w:lvl w:ilvl="8" w:tentative="0">
      <w:start w:val="1"/>
      <w:numFmt w:val="lowerRoman"/>
      <w:lvlText w:val="%9."/>
      <w:lvlJc w:val="right"/>
      <w:pPr>
        <w:ind w:left="6390" w:hanging="180"/>
      </w:pPr>
    </w:lvl>
  </w:abstractNum>
  <w:abstractNum w:abstractNumId="51">
    <w:nsid w:val="5101505E"/>
    <w:multiLevelType w:val="multilevel"/>
    <w:tmpl w:val="5101505E"/>
    <w:lvl w:ilvl="0" w:tentative="0">
      <w:start w:val="1"/>
      <w:numFmt w:val="decimal"/>
      <w:pStyle w:val="218"/>
      <w:lvlText w:val="Observation %1"/>
      <w:lvlJc w:val="left"/>
      <w:pPr>
        <w:ind w:left="36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2">
    <w:nsid w:val="52CA544A"/>
    <w:multiLevelType w:val="multilevel"/>
    <w:tmpl w:val="52CA544A"/>
    <w:lvl w:ilvl="0" w:tentative="0">
      <w:start w:val="1"/>
      <w:numFmt w:val="decimal"/>
      <w:pStyle w:val="91"/>
      <w:lvlText w:val="[%1]"/>
      <w:lvlJc w:val="left"/>
      <w:pPr>
        <w:tabs>
          <w:tab w:val="left" w:pos="360"/>
        </w:tabs>
        <w:ind w:left="360" w:hanging="360"/>
      </w:pPr>
      <w:rPr>
        <w:rFonts w:hint="default" w:ascii="Times New Roman" w:hAnsi="Times New Roman" w:cs="Times New Roman"/>
        <w:b w:val="0"/>
        <w:bCs w:val="0"/>
        <w:i w:val="0"/>
        <w:iCs w:val="0"/>
        <w:sz w:val="20"/>
        <w:szCs w:val="16"/>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53">
    <w:nsid w:val="53675087"/>
    <w:multiLevelType w:val="multilevel"/>
    <w:tmpl w:val="53675087"/>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4">
    <w:nsid w:val="54A1732B"/>
    <w:multiLevelType w:val="multilevel"/>
    <w:tmpl w:val="54A1732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5">
    <w:nsid w:val="54BA2382"/>
    <w:multiLevelType w:val="multilevel"/>
    <w:tmpl w:val="54BA2382"/>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6">
    <w:nsid w:val="58A620CD"/>
    <w:multiLevelType w:val="multilevel"/>
    <w:tmpl w:val="58A620CD"/>
    <w:lvl w:ilvl="0" w:tentative="0">
      <w:start w:val="0"/>
      <w:numFmt w:val="bullet"/>
      <w:lvlText w:val="-"/>
      <w:lvlJc w:val="left"/>
      <w:pPr>
        <w:ind w:left="720" w:hanging="360"/>
      </w:pPr>
      <w:rPr>
        <w:rFonts w:hint="default" w:ascii="Times New Roman" w:hAnsi="Times New Roman" w:eastAsia="Times New Roman" w:cs="Times New Roman"/>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7">
    <w:nsid w:val="59601125"/>
    <w:multiLevelType w:val="multilevel"/>
    <w:tmpl w:val="59601125"/>
    <w:lvl w:ilvl="0" w:tentative="0">
      <w:start w:val="1"/>
      <w:numFmt w:val="bullet"/>
      <w:lvlText w:val="-"/>
      <w:lvlJc w:val="left"/>
      <w:pPr>
        <w:ind w:left="1140" w:hanging="420"/>
      </w:pPr>
      <w:rPr>
        <w:rFonts w:hint="default" w:ascii="MS PGothic" w:hAnsi="MS PGothic"/>
      </w:rPr>
    </w:lvl>
    <w:lvl w:ilvl="1" w:tentative="0">
      <w:start w:val="1"/>
      <w:numFmt w:val="bullet"/>
      <w:lvlText w:val="◦"/>
      <w:lvlJc w:val="left"/>
      <w:pPr>
        <w:ind w:left="1560" w:hanging="420"/>
      </w:pPr>
      <w:rPr>
        <w:rFonts w:hint="default" w:ascii="微软雅黑" w:hAnsi="微软雅黑" w:eastAsia="微软雅黑" w:cs="微软雅黑"/>
      </w:rPr>
    </w:lvl>
    <w:lvl w:ilvl="2" w:tentative="0">
      <w:start w:val="1"/>
      <w:numFmt w:val="bullet"/>
      <w:lvlText w:val=""/>
      <w:lvlJc w:val="left"/>
      <w:pPr>
        <w:ind w:left="1980" w:hanging="420"/>
      </w:pPr>
      <w:rPr>
        <w:rFonts w:hint="default" w:ascii="Wingdings" w:hAnsi="Wingdings"/>
      </w:rPr>
    </w:lvl>
    <w:lvl w:ilvl="3" w:tentative="0">
      <w:start w:val="1"/>
      <w:numFmt w:val="bullet"/>
      <w:lvlText w:val=""/>
      <w:lvlJc w:val="left"/>
      <w:pPr>
        <w:ind w:left="2400" w:hanging="420"/>
      </w:pPr>
      <w:rPr>
        <w:rFonts w:hint="default" w:ascii="Wingdings" w:hAnsi="Wingdings"/>
      </w:rPr>
    </w:lvl>
    <w:lvl w:ilvl="4" w:tentative="0">
      <w:start w:val="1"/>
      <w:numFmt w:val="bullet"/>
      <w:lvlText w:val=""/>
      <w:lvlJc w:val="left"/>
      <w:pPr>
        <w:ind w:left="2820" w:hanging="420"/>
      </w:pPr>
      <w:rPr>
        <w:rFonts w:hint="default" w:ascii="Wingdings" w:hAnsi="Wingdings"/>
      </w:rPr>
    </w:lvl>
    <w:lvl w:ilvl="5" w:tentative="0">
      <w:start w:val="1"/>
      <w:numFmt w:val="bullet"/>
      <w:lvlText w:val=""/>
      <w:lvlJc w:val="left"/>
      <w:pPr>
        <w:ind w:left="3240" w:hanging="420"/>
      </w:pPr>
      <w:rPr>
        <w:rFonts w:hint="default" w:ascii="Wingdings" w:hAnsi="Wingdings"/>
      </w:rPr>
    </w:lvl>
    <w:lvl w:ilvl="6" w:tentative="0">
      <w:start w:val="1"/>
      <w:numFmt w:val="bullet"/>
      <w:lvlText w:val=""/>
      <w:lvlJc w:val="left"/>
      <w:pPr>
        <w:ind w:left="3660" w:hanging="420"/>
      </w:pPr>
      <w:rPr>
        <w:rFonts w:hint="default" w:ascii="Wingdings" w:hAnsi="Wingdings"/>
      </w:rPr>
    </w:lvl>
    <w:lvl w:ilvl="7" w:tentative="0">
      <w:start w:val="1"/>
      <w:numFmt w:val="bullet"/>
      <w:lvlText w:val=""/>
      <w:lvlJc w:val="left"/>
      <w:pPr>
        <w:ind w:left="4080" w:hanging="420"/>
      </w:pPr>
      <w:rPr>
        <w:rFonts w:hint="default" w:ascii="Wingdings" w:hAnsi="Wingdings"/>
      </w:rPr>
    </w:lvl>
    <w:lvl w:ilvl="8" w:tentative="0">
      <w:start w:val="1"/>
      <w:numFmt w:val="bullet"/>
      <w:lvlText w:val=""/>
      <w:lvlJc w:val="left"/>
      <w:pPr>
        <w:ind w:left="4500" w:hanging="420"/>
      </w:pPr>
      <w:rPr>
        <w:rFonts w:hint="default" w:ascii="Wingdings" w:hAnsi="Wingdings"/>
      </w:rPr>
    </w:lvl>
  </w:abstractNum>
  <w:abstractNum w:abstractNumId="58">
    <w:nsid w:val="5A9E238A"/>
    <w:multiLevelType w:val="multilevel"/>
    <w:tmpl w:val="5A9E238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9">
    <w:nsid w:val="602D6979"/>
    <w:multiLevelType w:val="multilevel"/>
    <w:tmpl w:val="602D6979"/>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0">
    <w:nsid w:val="616A6CBC"/>
    <w:multiLevelType w:val="multilevel"/>
    <w:tmpl w:val="616A6CBC"/>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1">
    <w:nsid w:val="62407237"/>
    <w:multiLevelType w:val="multilevel"/>
    <w:tmpl w:val="62407237"/>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2">
    <w:nsid w:val="657574BD"/>
    <w:multiLevelType w:val="multilevel"/>
    <w:tmpl w:val="657574BD"/>
    <w:lvl w:ilvl="0" w:tentative="0">
      <w:start w:val="1"/>
      <w:numFmt w:val="bullet"/>
      <w:lvlText w:val=""/>
      <w:lvlJc w:val="left"/>
      <w:pPr>
        <w:ind w:left="780" w:hanging="420"/>
      </w:pPr>
      <w:rPr>
        <w:rFonts w:hint="default" w:ascii="Symbol" w:hAnsi="Symbol"/>
      </w:rPr>
    </w:lvl>
    <w:lvl w:ilvl="1" w:tentative="0">
      <w:start w:val="1"/>
      <w:numFmt w:val="bullet"/>
      <w:lvlText w:val=""/>
      <w:lvlJc w:val="left"/>
      <w:pPr>
        <w:ind w:left="1200" w:hanging="420"/>
      </w:pPr>
      <w:rPr>
        <w:rFonts w:hint="default" w:ascii="Wingdings" w:hAnsi="Wingdings"/>
      </w:rPr>
    </w:lvl>
    <w:lvl w:ilvl="2" w:tentative="0">
      <w:start w:val="1"/>
      <w:numFmt w:val="bullet"/>
      <w:lvlText w:val=""/>
      <w:lvlJc w:val="left"/>
      <w:pPr>
        <w:ind w:left="1620" w:hanging="420"/>
      </w:pPr>
      <w:rPr>
        <w:rFonts w:hint="default" w:ascii="Wingdings" w:hAnsi="Wingdings"/>
      </w:rPr>
    </w:lvl>
    <w:lvl w:ilvl="3" w:tentative="0">
      <w:start w:val="1"/>
      <w:numFmt w:val="bullet"/>
      <w:lvlText w:val=""/>
      <w:lvlJc w:val="left"/>
      <w:pPr>
        <w:ind w:left="2040" w:hanging="420"/>
      </w:pPr>
      <w:rPr>
        <w:rFonts w:hint="default" w:ascii="Wingdings" w:hAnsi="Wingdings"/>
      </w:rPr>
    </w:lvl>
    <w:lvl w:ilvl="4" w:tentative="0">
      <w:start w:val="1"/>
      <w:numFmt w:val="bullet"/>
      <w:lvlText w:val=""/>
      <w:lvlJc w:val="left"/>
      <w:pPr>
        <w:ind w:left="2460" w:hanging="420"/>
      </w:pPr>
      <w:rPr>
        <w:rFonts w:hint="default" w:ascii="Wingdings" w:hAnsi="Wingdings"/>
      </w:rPr>
    </w:lvl>
    <w:lvl w:ilvl="5" w:tentative="0">
      <w:start w:val="1"/>
      <w:numFmt w:val="bullet"/>
      <w:lvlText w:val=""/>
      <w:lvlJc w:val="left"/>
      <w:pPr>
        <w:ind w:left="2880" w:hanging="420"/>
      </w:pPr>
      <w:rPr>
        <w:rFonts w:hint="default" w:ascii="Wingdings" w:hAnsi="Wingdings"/>
      </w:rPr>
    </w:lvl>
    <w:lvl w:ilvl="6" w:tentative="0">
      <w:start w:val="1"/>
      <w:numFmt w:val="bullet"/>
      <w:lvlText w:val=""/>
      <w:lvlJc w:val="left"/>
      <w:pPr>
        <w:ind w:left="3300" w:hanging="420"/>
      </w:pPr>
      <w:rPr>
        <w:rFonts w:hint="default" w:ascii="Wingdings" w:hAnsi="Wingdings"/>
      </w:rPr>
    </w:lvl>
    <w:lvl w:ilvl="7" w:tentative="0">
      <w:start w:val="1"/>
      <w:numFmt w:val="bullet"/>
      <w:lvlText w:val=""/>
      <w:lvlJc w:val="left"/>
      <w:pPr>
        <w:ind w:left="3720" w:hanging="420"/>
      </w:pPr>
      <w:rPr>
        <w:rFonts w:hint="default" w:ascii="Wingdings" w:hAnsi="Wingdings"/>
      </w:rPr>
    </w:lvl>
    <w:lvl w:ilvl="8" w:tentative="0">
      <w:start w:val="1"/>
      <w:numFmt w:val="bullet"/>
      <w:lvlText w:val=""/>
      <w:lvlJc w:val="left"/>
      <w:pPr>
        <w:ind w:left="4140" w:hanging="420"/>
      </w:pPr>
      <w:rPr>
        <w:rFonts w:hint="default" w:ascii="Wingdings" w:hAnsi="Wingdings"/>
      </w:rPr>
    </w:lvl>
  </w:abstractNum>
  <w:abstractNum w:abstractNumId="63">
    <w:nsid w:val="6B503A4A"/>
    <w:multiLevelType w:val="multilevel"/>
    <w:tmpl w:val="6B503A4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4">
    <w:nsid w:val="6B834F91"/>
    <w:multiLevelType w:val="multilevel"/>
    <w:tmpl w:val="6B834F91"/>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5">
    <w:nsid w:val="6F3B703D"/>
    <w:multiLevelType w:val="multilevel"/>
    <w:tmpl w:val="6F3B703D"/>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66">
    <w:nsid w:val="71383EFF"/>
    <w:multiLevelType w:val="multilevel"/>
    <w:tmpl w:val="71383EFF"/>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7">
    <w:nsid w:val="73E56F14"/>
    <w:multiLevelType w:val="multilevel"/>
    <w:tmpl w:val="73E56F14"/>
    <w:lvl w:ilvl="0" w:tentative="0">
      <w:start w:val="1"/>
      <w:numFmt w:val="decimal"/>
      <w:pStyle w:val="84"/>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8">
    <w:nsid w:val="755460AD"/>
    <w:multiLevelType w:val="multilevel"/>
    <w:tmpl w:val="755460AD"/>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9">
    <w:nsid w:val="78F76F6F"/>
    <w:multiLevelType w:val="multilevel"/>
    <w:tmpl w:val="78F76F6F"/>
    <w:lvl w:ilvl="0" w:tentative="0">
      <w:start w:val="1"/>
      <w:numFmt w:val="bullet"/>
      <w:pStyle w:val="149"/>
      <w:lvlText w:val=""/>
      <w:lvlJc w:val="left"/>
      <w:pPr>
        <w:tabs>
          <w:tab w:val="left" w:pos="360"/>
        </w:tabs>
        <w:ind w:left="3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70">
    <w:nsid w:val="79016D6A"/>
    <w:multiLevelType w:val="multilevel"/>
    <w:tmpl w:val="79016D6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1">
    <w:nsid w:val="7A5F61F5"/>
    <w:multiLevelType w:val="multilevel"/>
    <w:tmpl w:val="7A5F61F5"/>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2">
    <w:nsid w:val="7AFF4C7F"/>
    <w:multiLevelType w:val="multilevel"/>
    <w:tmpl w:val="7AFF4C7F"/>
    <w:lvl w:ilvl="0" w:tentative="0">
      <w:start w:val="1"/>
      <w:numFmt w:val="bullet"/>
      <w:lvlText w:val="-"/>
      <w:lvlJc w:val="left"/>
      <w:pPr>
        <w:ind w:left="1282" w:hanging="360"/>
      </w:pPr>
      <w:rPr>
        <w:rFonts w:hint="default" w:ascii="Times New Roman" w:hAnsi="Times New Roman" w:eastAsia="Batang" w:cs="Times New Roman"/>
      </w:rPr>
    </w:lvl>
    <w:lvl w:ilvl="1" w:tentative="0">
      <w:start w:val="1"/>
      <w:numFmt w:val="bullet"/>
      <w:lvlText w:val="o"/>
      <w:lvlJc w:val="left"/>
      <w:pPr>
        <w:ind w:left="2002" w:hanging="360"/>
      </w:pPr>
      <w:rPr>
        <w:rFonts w:hint="default" w:ascii="Courier New" w:hAnsi="Courier New" w:cs="Courier New"/>
      </w:rPr>
    </w:lvl>
    <w:lvl w:ilvl="2" w:tentative="0">
      <w:start w:val="1"/>
      <w:numFmt w:val="bullet"/>
      <w:lvlText w:val=""/>
      <w:lvlJc w:val="left"/>
      <w:pPr>
        <w:ind w:left="2722" w:hanging="360"/>
      </w:pPr>
      <w:rPr>
        <w:rFonts w:hint="default" w:ascii="Wingdings" w:hAnsi="Wingdings"/>
      </w:rPr>
    </w:lvl>
    <w:lvl w:ilvl="3" w:tentative="0">
      <w:start w:val="1"/>
      <w:numFmt w:val="bullet"/>
      <w:lvlText w:val=""/>
      <w:lvlJc w:val="left"/>
      <w:pPr>
        <w:ind w:left="3442" w:hanging="360"/>
      </w:pPr>
      <w:rPr>
        <w:rFonts w:hint="default" w:ascii="Symbol" w:hAnsi="Symbol"/>
      </w:rPr>
    </w:lvl>
    <w:lvl w:ilvl="4" w:tentative="0">
      <w:start w:val="1"/>
      <w:numFmt w:val="bullet"/>
      <w:lvlText w:val="o"/>
      <w:lvlJc w:val="left"/>
      <w:pPr>
        <w:ind w:left="4162" w:hanging="360"/>
      </w:pPr>
      <w:rPr>
        <w:rFonts w:hint="default" w:ascii="Courier New" w:hAnsi="Courier New" w:cs="Courier New"/>
      </w:rPr>
    </w:lvl>
    <w:lvl w:ilvl="5" w:tentative="0">
      <w:start w:val="1"/>
      <w:numFmt w:val="bullet"/>
      <w:lvlText w:val=""/>
      <w:lvlJc w:val="left"/>
      <w:pPr>
        <w:ind w:left="4882" w:hanging="360"/>
      </w:pPr>
      <w:rPr>
        <w:rFonts w:hint="default" w:ascii="Wingdings" w:hAnsi="Wingdings"/>
      </w:rPr>
    </w:lvl>
    <w:lvl w:ilvl="6" w:tentative="0">
      <w:start w:val="1"/>
      <w:numFmt w:val="bullet"/>
      <w:lvlText w:val=""/>
      <w:lvlJc w:val="left"/>
      <w:pPr>
        <w:ind w:left="5602" w:hanging="360"/>
      </w:pPr>
      <w:rPr>
        <w:rFonts w:hint="default" w:ascii="Symbol" w:hAnsi="Symbol"/>
      </w:rPr>
    </w:lvl>
    <w:lvl w:ilvl="7" w:tentative="0">
      <w:start w:val="1"/>
      <w:numFmt w:val="bullet"/>
      <w:lvlText w:val="o"/>
      <w:lvlJc w:val="left"/>
      <w:pPr>
        <w:ind w:left="6322" w:hanging="360"/>
      </w:pPr>
      <w:rPr>
        <w:rFonts w:hint="default" w:ascii="Courier New" w:hAnsi="Courier New" w:cs="Courier New"/>
      </w:rPr>
    </w:lvl>
    <w:lvl w:ilvl="8" w:tentative="0">
      <w:start w:val="1"/>
      <w:numFmt w:val="bullet"/>
      <w:lvlText w:val=""/>
      <w:lvlJc w:val="left"/>
      <w:pPr>
        <w:ind w:left="7042" w:hanging="360"/>
      </w:pPr>
      <w:rPr>
        <w:rFonts w:hint="default" w:ascii="Wingdings" w:hAnsi="Wingdings"/>
      </w:rPr>
    </w:lvl>
  </w:abstractNum>
  <w:abstractNum w:abstractNumId="73">
    <w:nsid w:val="7BC330F5"/>
    <w:multiLevelType w:val="multilevel"/>
    <w:tmpl w:val="7BC330F5"/>
    <w:lvl w:ilvl="0" w:tentative="0">
      <w:start w:val="1"/>
      <w:numFmt w:val="bullet"/>
      <w:pStyle w:val="65"/>
      <w:lvlText w:val=""/>
      <w:lvlJc w:val="left"/>
      <w:pPr>
        <w:tabs>
          <w:tab w:val="left" w:pos="851"/>
        </w:tabs>
        <w:ind w:left="851" w:hanging="851"/>
      </w:pPr>
      <w:rPr>
        <w:rFonts w:hint="default" w:ascii="ZapfDingbats" w:hAnsi="ZapfDingbats"/>
        <w:b/>
        <w:i w:val="0"/>
        <w:color w:val="70CEF5"/>
        <w:sz w:val="20"/>
        <w:szCs w:val="20"/>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74">
    <w:nsid w:val="7ED57469"/>
    <w:multiLevelType w:val="multilevel"/>
    <w:tmpl w:val="7ED57469"/>
    <w:lvl w:ilvl="0" w:tentative="0">
      <w:start w:val="1"/>
      <w:numFmt w:val="bullet"/>
      <w:lvlText w:val="o"/>
      <w:lvlJc w:val="left"/>
      <w:pPr>
        <w:ind w:left="420" w:hanging="420"/>
      </w:pPr>
      <w:rPr>
        <w:rFonts w:hint="default" w:ascii="Courier New" w:hAnsi="Courier New" w:cs="Courier New"/>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75">
    <w:nsid w:val="7F547DFD"/>
    <w:multiLevelType w:val="multilevel"/>
    <w:tmpl w:val="7F547DFD"/>
    <w:lvl w:ilvl="0" w:tentative="0">
      <w:start w:val="1"/>
      <w:numFmt w:val="bullet"/>
      <w:pStyle w:val="147"/>
      <w:lvlText w:val=""/>
      <w:lvlJc w:val="left"/>
      <w:pPr>
        <w:tabs>
          <w:tab w:val="left" w:pos="1418"/>
        </w:tabs>
        <w:ind w:left="1418" w:hanging="426"/>
      </w:pPr>
      <w:rPr>
        <w:rFonts w:hint="default" w:ascii="Wingdings" w:hAnsi="Wingdings"/>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num w:numId="1">
    <w:abstractNumId w:val="14"/>
  </w:num>
  <w:num w:numId="2">
    <w:abstractNumId w:val="30"/>
  </w:num>
  <w:num w:numId="3">
    <w:abstractNumId w:val="73"/>
  </w:num>
  <w:num w:numId="4">
    <w:abstractNumId w:val="67"/>
  </w:num>
  <w:num w:numId="5">
    <w:abstractNumId w:val="52"/>
  </w:num>
  <w:num w:numId="6">
    <w:abstractNumId w:val="39"/>
  </w:num>
  <w:num w:numId="7">
    <w:abstractNumId w:val="41"/>
  </w:num>
  <w:num w:numId="8">
    <w:abstractNumId w:val="75"/>
  </w:num>
  <w:num w:numId="9">
    <w:abstractNumId w:val="42"/>
  </w:num>
  <w:num w:numId="10">
    <w:abstractNumId w:val="69"/>
  </w:num>
  <w:num w:numId="11">
    <w:abstractNumId w:val="33"/>
  </w:num>
  <w:num w:numId="12">
    <w:abstractNumId w:val="22"/>
  </w:num>
  <w:num w:numId="13">
    <w:abstractNumId w:val="32"/>
  </w:num>
  <w:num w:numId="14">
    <w:abstractNumId w:val="51"/>
  </w:num>
  <w:num w:numId="15">
    <w:abstractNumId w:val="27"/>
  </w:num>
  <w:num w:numId="16">
    <w:abstractNumId w:val="47"/>
  </w:num>
  <w:num w:numId="17">
    <w:abstractNumId w:val="62"/>
  </w:num>
  <w:num w:numId="18">
    <w:abstractNumId w:val="50"/>
  </w:num>
  <w:num w:numId="19">
    <w:abstractNumId w:val="63"/>
  </w:num>
  <w:num w:numId="20">
    <w:abstractNumId w:val="55"/>
  </w:num>
  <w:num w:numId="21">
    <w:abstractNumId w:val="1"/>
  </w:num>
  <w:num w:numId="22">
    <w:abstractNumId w:val="49"/>
  </w:num>
  <w:num w:numId="23">
    <w:abstractNumId w:val="71"/>
  </w:num>
  <w:num w:numId="24">
    <w:abstractNumId w:val="20"/>
  </w:num>
  <w:num w:numId="25">
    <w:abstractNumId w:val="56"/>
  </w:num>
  <w:num w:numId="26">
    <w:abstractNumId w:val="38"/>
  </w:num>
  <w:num w:numId="27">
    <w:abstractNumId w:val="61"/>
  </w:num>
  <w:num w:numId="28">
    <w:abstractNumId w:val="11"/>
  </w:num>
  <w:num w:numId="29">
    <w:abstractNumId w:val="10"/>
  </w:num>
  <w:num w:numId="30">
    <w:abstractNumId w:val="0"/>
  </w:num>
  <w:num w:numId="31">
    <w:abstractNumId w:val="5"/>
  </w:num>
  <w:num w:numId="32">
    <w:abstractNumId w:val="18"/>
  </w:num>
  <w:num w:numId="33">
    <w:abstractNumId w:val="48"/>
  </w:num>
  <w:num w:numId="34">
    <w:abstractNumId w:val="66"/>
  </w:num>
  <w:num w:numId="35">
    <w:abstractNumId w:val="7"/>
  </w:num>
  <w:num w:numId="36">
    <w:abstractNumId w:val="3"/>
  </w:num>
  <w:num w:numId="37">
    <w:abstractNumId w:val="40"/>
  </w:num>
  <w:num w:numId="38">
    <w:abstractNumId w:val="70"/>
  </w:num>
  <w:num w:numId="39">
    <w:abstractNumId w:val="12"/>
  </w:num>
  <w:num w:numId="40">
    <w:abstractNumId w:val="53"/>
  </w:num>
  <w:num w:numId="41">
    <w:abstractNumId w:val="54"/>
  </w:num>
  <w:num w:numId="42">
    <w:abstractNumId w:val="29"/>
  </w:num>
  <w:num w:numId="43">
    <w:abstractNumId w:val="57"/>
  </w:num>
  <w:num w:numId="44">
    <w:abstractNumId w:val="65"/>
  </w:num>
  <w:num w:numId="45">
    <w:abstractNumId w:val="25"/>
  </w:num>
  <w:num w:numId="46">
    <w:abstractNumId w:val="64"/>
  </w:num>
  <w:num w:numId="47">
    <w:abstractNumId w:val="2"/>
  </w:num>
  <w:num w:numId="48">
    <w:abstractNumId w:val="23"/>
  </w:num>
  <w:num w:numId="49">
    <w:abstractNumId w:val="28"/>
  </w:num>
  <w:num w:numId="50">
    <w:abstractNumId w:val="16"/>
  </w:num>
  <w:num w:numId="51">
    <w:abstractNumId w:val="46"/>
  </w:num>
  <w:num w:numId="52">
    <w:abstractNumId w:val="60"/>
  </w:num>
  <w:num w:numId="53">
    <w:abstractNumId w:val="34"/>
  </w:num>
  <w:num w:numId="54">
    <w:abstractNumId w:val="58"/>
  </w:num>
  <w:num w:numId="55">
    <w:abstractNumId w:val="13"/>
  </w:num>
  <w:num w:numId="56">
    <w:abstractNumId w:val="8"/>
  </w:num>
  <w:num w:numId="57">
    <w:abstractNumId w:val="74"/>
  </w:num>
  <w:num w:numId="58">
    <w:abstractNumId w:val="45"/>
  </w:num>
  <w:num w:numId="59">
    <w:abstractNumId w:val="19"/>
  </w:num>
  <w:num w:numId="60">
    <w:abstractNumId w:val="35"/>
  </w:num>
  <w:num w:numId="61">
    <w:abstractNumId w:val="26"/>
  </w:num>
  <w:num w:numId="62">
    <w:abstractNumId w:val="72"/>
  </w:num>
  <w:num w:numId="63">
    <w:abstractNumId w:val="43"/>
  </w:num>
  <w:num w:numId="64">
    <w:abstractNumId w:val="6"/>
  </w:num>
  <w:num w:numId="65">
    <w:abstractNumId w:val="17"/>
  </w:num>
  <w:num w:numId="66">
    <w:abstractNumId w:val="37"/>
  </w:num>
  <w:num w:numId="67">
    <w:abstractNumId w:val="31"/>
  </w:num>
  <w:num w:numId="68">
    <w:abstractNumId w:val="36"/>
  </w:num>
  <w:num w:numId="69">
    <w:abstractNumId w:val="59"/>
  </w:num>
  <w:num w:numId="70">
    <w:abstractNumId w:val="21"/>
  </w:num>
  <w:num w:numId="71">
    <w:abstractNumId w:val="9"/>
  </w:num>
  <w:num w:numId="72">
    <w:abstractNumId w:val="24"/>
  </w:num>
  <w:num w:numId="73">
    <w:abstractNumId w:val="68"/>
  </w:num>
  <w:num w:numId="74">
    <w:abstractNumId w:val="15"/>
  </w:num>
  <w:num w:numId="75">
    <w:abstractNumId w:val="4"/>
  </w:num>
  <w:num w:numId="76">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NotDisplayPageBoundaries w:val="1"/>
  <w:embedSystemFonts/>
  <w:bordersDoNotSurroundHeader w:val="1"/>
  <w:bordersDoNotSurroundFooter w:val="1"/>
  <w:hideSpellingErrors/>
  <w:hideGrammaticalError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nforcement="0"/>
  <w:defaultTabStop w:val="425"/>
  <w:hyphenationZone w:val="425"/>
  <w:doNotHyphenateCaps/>
  <w:drawingGridHorizontalSpacing w:val="120"/>
  <w:drawingGridVerticalSpacing w:val="120"/>
  <w:displayHorizontalDrawingGridEvery w:val="0"/>
  <w:displayVerticalDrawingGridEvery w:val="3"/>
  <w:doNotUseMarginsForDrawingGridOrigin w:val="1"/>
  <w:drawingGridHorizontalOrigin w:val="1800"/>
  <w:drawingGridVerticalOrigin w:val="1440"/>
  <w:doNotShadeFormData w:val="1"/>
  <w:characterSpacingControl w:val="compressPunctuation"/>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MyMDM2NTEzN7c0MTNR0lEKTi0uzszPAykwqgUA+5wxbiwAAAA="/>
  </w:docVars>
  <w:rsids>
    <w:rsidRoot w:val="00CF5263"/>
    <w:rsid w:val="00000226"/>
    <w:rsid w:val="00000783"/>
    <w:rsid w:val="000007FC"/>
    <w:rsid w:val="000009F1"/>
    <w:rsid w:val="00000B68"/>
    <w:rsid w:val="00000D04"/>
    <w:rsid w:val="00000DB2"/>
    <w:rsid w:val="00000E95"/>
    <w:rsid w:val="0000101E"/>
    <w:rsid w:val="000014ED"/>
    <w:rsid w:val="0000159A"/>
    <w:rsid w:val="0000192F"/>
    <w:rsid w:val="0000195C"/>
    <w:rsid w:val="00001D10"/>
    <w:rsid w:val="00001E2D"/>
    <w:rsid w:val="00002186"/>
    <w:rsid w:val="000021E6"/>
    <w:rsid w:val="000023AA"/>
    <w:rsid w:val="000023CA"/>
    <w:rsid w:val="000026A4"/>
    <w:rsid w:val="00002893"/>
    <w:rsid w:val="000029EF"/>
    <w:rsid w:val="00002DE3"/>
    <w:rsid w:val="0000309C"/>
    <w:rsid w:val="0000326E"/>
    <w:rsid w:val="000032D9"/>
    <w:rsid w:val="000033A3"/>
    <w:rsid w:val="00003605"/>
    <w:rsid w:val="0000389E"/>
    <w:rsid w:val="00003926"/>
    <w:rsid w:val="00003C56"/>
    <w:rsid w:val="00003D01"/>
    <w:rsid w:val="00003D9C"/>
    <w:rsid w:val="00003DA4"/>
    <w:rsid w:val="00003EC2"/>
    <w:rsid w:val="000040A9"/>
    <w:rsid w:val="0000458E"/>
    <w:rsid w:val="00004E70"/>
    <w:rsid w:val="0000504D"/>
    <w:rsid w:val="000055D9"/>
    <w:rsid w:val="00005835"/>
    <w:rsid w:val="00006766"/>
    <w:rsid w:val="000072B6"/>
    <w:rsid w:val="00007596"/>
    <w:rsid w:val="000076ED"/>
    <w:rsid w:val="00007813"/>
    <w:rsid w:val="00007A80"/>
    <w:rsid w:val="00007A9D"/>
    <w:rsid w:val="00007D06"/>
    <w:rsid w:val="00007D27"/>
    <w:rsid w:val="00007D95"/>
    <w:rsid w:val="0001009A"/>
    <w:rsid w:val="00010517"/>
    <w:rsid w:val="00010518"/>
    <w:rsid w:val="0001054A"/>
    <w:rsid w:val="0001058F"/>
    <w:rsid w:val="00010950"/>
    <w:rsid w:val="000109B3"/>
    <w:rsid w:val="000109E6"/>
    <w:rsid w:val="00010EEC"/>
    <w:rsid w:val="00011174"/>
    <w:rsid w:val="000112E2"/>
    <w:rsid w:val="000115C2"/>
    <w:rsid w:val="00011B04"/>
    <w:rsid w:val="00011C30"/>
    <w:rsid w:val="00011EAA"/>
    <w:rsid w:val="00011F67"/>
    <w:rsid w:val="0001222C"/>
    <w:rsid w:val="00012440"/>
    <w:rsid w:val="000124C5"/>
    <w:rsid w:val="00012862"/>
    <w:rsid w:val="000128E6"/>
    <w:rsid w:val="00012972"/>
    <w:rsid w:val="00012A25"/>
    <w:rsid w:val="00012CA8"/>
    <w:rsid w:val="00012F0C"/>
    <w:rsid w:val="00012F17"/>
    <w:rsid w:val="00012F1C"/>
    <w:rsid w:val="00013468"/>
    <w:rsid w:val="000135F3"/>
    <w:rsid w:val="00013856"/>
    <w:rsid w:val="000138B1"/>
    <w:rsid w:val="00013B6F"/>
    <w:rsid w:val="000140DD"/>
    <w:rsid w:val="0001494F"/>
    <w:rsid w:val="00014AC2"/>
    <w:rsid w:val="00014BA4"/>
    <w:rsid w:val="00014EC2"/>
    <w:rsid w:val="000152C5"/>
    <w:rsid w:val="000154F7"/>
    <w:rsid w:val="000155BB"/>
    <w:rsid w:val="00015EFB"/>
    <w:rsid w:val="0001622D"/>
    <w:rsid w:val="0001644D"/>
    <w:rsid w:val="000165E2"/>
    <w:rsid w:val="00016A1C"/>
    <w:rsid w:val="000172BE"/>
    <w:rsid w:val="00017718"/>
    <w:rsid w:val="00017753"/>
    <w:rsid w:val="000179D8"/>
    <w:rsid w:val="00017D8A"/>
    <w:rsid w:val="00017E39"/>
    <w:rsid w:val="0002077D"/>
    <w:rsid w:val="000209F4"/>
    <w:rsid w:val="00020BB3"/>
    <w:rsid w:val="00020FFF"/>
    <w:rsid w:val="000219F3"/>
    <w:rsid w:val="00022009"/>
    <w:rsid w:val="000223DB"/>
    <w:rsid w:val="00022F3F"/>
    <w:rsid w:val="00022FB0"/>
    <w:rsid w:val="00023388"/>
    <w:rsid w:val="00023425"/>
    <w:rsid w:val="00023C01"/>
    <w:rsid w:val="00023C07"/>
    <w:rsid w:val="000241BE"/>
    <w:rsid w:val="000242DF"/>
    <w:rsid w:val="000242F2"/>
    <w:rsid w:val="0002435B"/>
    <w:rsid w:val="00024730"/>
    <w:rsid w:val="00024769"/>
    <w:rsid w:val="000248A1"/>
    <w:rsid w:val="00024C82"/>
    <w:rsid w:val="00024DAD"/>
    <w:rsid w:val="00024DCE"/>
    <w:rsid w:val="00025A11"/>
    <w:rsid w:val="00025A37"/>
    <w:rsid w:val="00025BAF"/>
    <w:rsid w:val="00025EA6"/>
    <w:rsid w:val="00026090"/>
    <w:rsid w:val="00026ADC"/>
    <w:rsid w:val="00026C29"/>
    <w:rsid w:val="00026D4B"/>
    <w:rsid w:val="00026E22"/>
    <w:rsid w:val="0002705D"/>
    <w:rsid w:val="000274E2"/>
    <w:rsid w:val="000275C6"/>
    <w:rsid w:val="000276C4"/>
    <w:rsid w:val="000278E6"/>
    <w:rsid w:val="00027AD6"/>
    <w:rsid w:val="00027B53"/>
    <w:rsid w:val="00027C41"/>
    <w:rsid w:val="00030185"/>
    <w:rsid w:val="0003024C"/>
    <w:rsid w:val="000302BC"/>
    <w:rsid w:val="000302C0"/>
    <w:rsid w:val="00030470"/>
    <w:rsid w:val="0003049C"/>
    <w:rsid w:val="00030AA2"/>
    <w:rsid w:val="00030AFB"/>
    <w:rsid w:val="00030B49"/>
    <w:rsid w:val="000318F6"/>
    <w:rsid w:val="00031ADB"/>
    <w:rsid w:val="00032056"/>
    <w:rsid w:val="00032848"/>
    <w:rsid w:val="000328CA"/>
    <w:rsid w:val="00032E40"/>
    <w:rsid w:val="00032E6F"/>
    <w:rsid w:val="00032F72"/>
    <w:rsid w:val="0003376B"/>
    <w:rsid w:val="000339B0"/>
    <w:rsid w:val="00033A03"/>
    <w:rsid w:val="00033D58"/>
    <w:rsid w:val="000344F8"/>
    <w:rsid w:val="00034676"/>
    <w:rsid w:val="000346E6"/>
    <w:rsid w:val="000348E2"/>
    <w:rsid w:val="00034947"/>
    <w:rsid w:val="00034B6B"/>
    <w:rsid w:val="00034C57"/>
    <w:rsid w:val="00034DAD"/>
    <w:rsid w:val="000352B3"/>
    <w:rsid w:val="000359EA"/>
    <w:rsid w:val="00036121"/>
    <w:rsid w:val="000365B6"/>
    <w:rsid w:val="000369EF"/>
    <w:rsid w:val="00036CB7"/>
    <w:rsid w:val="00036F2F"/>
    <w:rsid w:val="000370E4"/>
    <w:rsid w:val="000373DD"/>
    <w:rsid w:val="000375E6"/>
    <w:rsid w:val="0003761F"/>
    <w:rsid w:val="000377CB"/>
    <w:rsid w:val="00037B88"/>
    <w:rsid w:val="00037C08"/>
    <w:rsid w:val="00037C16"/>
    <w:rsid w:val="00037E19"/>
    <w:rsid w:val="0004023E"/>
    <w:rsid w:val="0004024B"/>
    <w:rsid w:val="00040424"/>
    <w:rsid w:val="00040EDB"/>
    <w:rsid w:val="0004145A"/>
    <w:rsid w:val="00041538"/>
    <w:rsid w:val="000417BB"/>
    <w:rsid w:val="000419D8"/>
    <w:rsid w:val="00041A51"/>
    <w:rsid w:val="00041C57"/>
    <w:rsid w:val="00041C6E"/>
    <w:rsid w:val="00042407"/>
    <w:rsid w:val="00042C32"/>
    <w:rsid w:val="00042D3F"/>
    <w:rsid w:val="000430C6"/>
    <w:rsid w:val="000434B7"/>
    <w:rsid w:val="000435E4"/>
    <w:rsid w:val="0004363D"/>
    <w:rsid w:val="000437C2"/>
    <w:rsid w:val="00043C49"/>
    <w:rsid w:val="00044555"/>
    <w:rsid w:val="00044B08"/>
    <w:rsid w:val="00044DF0"/>
    <w:rsid w:val="00045549"/>
    <w:rsid w:val="000459BA"/>
    <w:rsid w:val="00045C8E"/>
    <w:rsid w:val="00045DE8"/>
    <w:rsid w:val="00046084"/>
    <w:rsid w:val="00046126"/>
    <w:rsid w:val="00046287"/>
    <w:rsid w:val="0004669E"/>
    <w:rsid w:val="00046796"/>
    <w:rsid w:val="000467FD"/>
    <w:rsid w:val="00046AAF"/>
    <w:rsid w:val="00046DB5"/>
    <w:rsid w:val="000471F3"/>
    <w:rsid w:val="00047225"/>
    <w:rsid w:val="000474DC"/>
    <w:rsid w:val="0004756C"/>
    <w:rsid w:val="00047926"/>
    <w:rsid w:val="00047AB3"/>
    <w:rsid w:val="00047ACE"/>
    <w:rsid w:val="00047C17"/>
    <w:rsid w:val="00047E60"/>
    <w:rsid w:val="00047E82"/>
    <w:rsid w:val="00047F1B"/>
    <w:rsid w:val="00050CEF"/>
    <w:rsid w:val="0005192F"/>
    <w:rsid w:val="000519CC"/>
    <w:rsid w:val="00052042"/>
    <w:rsid w:val="000520B8"/>
    <w:rsid w:val="0005213E"/>
    <w:rsid w:val="00052291"/>
    <w:rsid w:val="0005229B"/>
    <w:rsid w:val="00052478"/>
    <w:rsid w:val="00052630"/>
    <w:rsid w:val="00052AD2"/>
    <w:rsid w:val="00052AEF"/>
    <w:rsid w:val="00052DD1"/>
    <w:rsid w:val="000530DF"/>
    <w:rsid w:val="0005338E"/>
    <w:rsid w:val="000533A2"/>
    <w:rsid w:val="00053D7D"/>
    <w:rsid w:val="0005402A"/>
    <w:rsid w:val="00054E0C"/>
    <w:rsid w:val="00055221"/>
    <w:rsid w:val="0005541D"/>
    <w:rsid w:val="0005552D"/>
    <w:rsid w:val="00055711"/>
    <w:rsid w:val="00055FF3"/>
    <w:rsid w:val="000565C8"/>
    <w:rsid w:val="00056A91"/>
    <w:rsid w:val="00056AC0"/>
    <w:rsid w:val="00056F6D"/>
    <w:rsid w:val="00057681"/>
    <w:rsid w:val="000576BD"/>
    <w:rsid w:val="00057A03"/>
    <w:rsid w:val="00057DC3"/>
    <w:rsid w:val="00057DC8"/>
    <w:rsid w:val="0006025E"/>
    <w:rsid w:val="0006036E"/>
    <w:rsid w:val="00060542"/>
    <w:rsid w:val="00060675"/>
    <w:rsid w:val="00060D20"/>
    <w:rsid w:val="00060E38"/>
    <w:rsid w:val="00060E9D"/>
    <w:rsid w:val="000612E1"/>
    <w:rsid w:val="000613BB"/>
    <w:rsid w:val="000613BD"/>
    <w:rsid w:val="000614FE"/>
    <w:rsid w:val="00061575"/>
    <w:rsid w:val="00061858"/>
    <w:rsid w:val="00061AA0"/>
    <w:rsid w:val="00062D79"/>
    <w:rsid w:val="00063260"/>
    <w:rsid w:val="00063A10"/>
    <w:rsid w:val="00063F27"/>
    <w:rsid w:val="00064060"/>
    <w:rsid w:val="00064AA0"/>
    <w:rsid w:val="00064B3A"/>
    <w:rsid w:val="00065B30"/>
    <w:rsid w:val="00065D38"/>
    <w:rsid w:val="00065F19"/>
    <w:rsid w:val="000660D4"/>
    <w:rsid w:val="0006640F"/>
    <w:rsid w:val="00066603"/>
    <w:rsid w:val="000668E2"/>
    <w:rsid w:val="000668E5"/>
    <w:rsid w:val="00066BB1"/>
    <w:rsid w:val="0006703A"/>
    <w:rsid w:val="000670CF"/>
    <w:rsid w:val="000672BF"/>
    <w:rsid w:val="000674E6"/>
    <w:rsid w:val="00067643"/>
    <w:rsid w:val="000679C2"/>
    <w:rsid w:val="00067BF5"/>
    <w:rsid w:val="00067DA2"/>
    <w:rsid w:val="00067DD1"/>
    <w:rsid w:val="00067E74"/>
    <w:rsid w:val="00070447"/>
    <w:rsid w:val="00070480"/>
    <w:rsid w:val="00070493"/>
    <w:rsid w:val="000706E7"/>
    <w:rsid w:val="00070B2C"/>
    <w:rsid w:val="00070EF8"/>
    <w:rsid w:val="000710A8"/>
    <w:rsid w:val="00071192"/>
    <w:rsid w:val="000713A7"/>
    <w:rsid w:val="00071525"/>
    <w:rsid w:val="00071961"/>
    <w:rsid w:val="00071CAD"/>
    <w:rsid w:val="00071D7D"/>
    <w:rsid w:val="00072081"/>
    <w:rsid w:val="0007234D"/>
    <w:rsid w:val="000726E9"/>
    <w:rsid w:val="00072872"/>
    <w:rsid w:val="00072A80"/>
    <w:rsid w:val="00072B37"/>
    <w:rsid w:val="00072BB4"/>
    <w:rsid w:val="00072C6B"/>
    <w:rsid w:val="0007301D"/>
    <w:rsid w:val="000731A0"/>
    <w:rsid w:val="000735E1"/>
    <w:rsid w:val="000736C1"/>
    <w:rsid w:val="00073797"/>
    <w:rsid w:val="000737AA"/>
    <w:rsid w:val="000737EC"/>
    <w:rsid w:val="000738DB"/>
    <w:rsid w:val="00073910"/>
    <w:rsid w:val="00073BD8"/>
    <w:rsid w:val="00073DEC"/>
    <w:rsid w:val="000743FC"/>
    <w:rsid w:val="000745AA"/>
    <w:rsid w:val="00074DB1"/>
    <w:rsid w:val="00074DFD"/>
    <w:rsid w:val="00074E86"/>
    <w:rsid w:val="00075E69"/>
    <w:rsid w:val="00076097"/>
    <w:rsid w:val="00076258"/>
    <w:rsid w:val="0007646C"/>
    <w:rsid w:val="00076541"/>
    <w:rsid w:val="000767F8"/>
    <w:rsid w:val="00076D0F"/>
    <w:rsid w:val="000770A5"/>
    <w:rsid w:val="00077143"/>
    <w:rsid w:val="000772F4"/>
    <w:rsid w:val="0007730D"/>
    <w:rsid w:val="000775DD"/>
    <w:rsid w:val="000776EB"/>
    <w:rsid w:val="00077A74"/>
    <w:rsid w:val="00077ECA"/>
    <w:rsid w:val="00077F64"/>
    <w:rsid w:val="00077FDE"/>
    <w:rsid w:val="000801F1"/>
    <w:rsid w:val="00080321"/>
    <w:rsid w:val="000803D1"/>
    <w:rsid w:val="00080803"/>
    <w:rsid w:val="00080897"/>
    <w:rsid w:val="00080B2C"/>
    <w:rsid w:val="00080C0F"/>
    <w:rsid w:val="000811D0"/>
    <w:rsid w:val="0008150C"/>
    <w:rsid w:val="00081AF2"/>
    <w:rsid w:val="00081B62"/>
    <w:rsid w:val="00081CA2"/>
    <w:rsid w:val="00081CB0"/>
    <w:rsid w:val="00081FE8"/>
    <w:rsid w:val="0008213B"/>
    <w:rsid w:val="000823A1"/>
    <w:rsid w:val="000823B0"/>
    <w:rsid w:val="000824FC"/>
    <w:rsid w:val="00082576"/>
    <w:rsid w:val="000825AA"/>
    <w:rsid w:val="00082A7B"/>
    <w:rsid w:val="00082E97"/>
    <w:rsid w:val="00083002"/>
    <w:rsid w:val="000830CD"/>
    <w:rsid w:val="0008335B"/>
    <w:rsid w:val="00083379"/>
    <w:rsid w:val="00083587"/>
    <w:rsid w:val="0008362D"/>
    <w:rsid w:val="00083838"/>
    <w:rsid w:val="000838C5"/>
    <w:rsid w:val="00083A94"/>
    <w:rsid w:val="00083B6A"/>
    <w:rsid w:val="00083C02"/>
    <w:rsid w:val="00083D9F"/>
    <w:rsid w:val="00083EF7"/>
    <w:rsid w:val="000843FE"/>
    <w:rsid w:val="00084511"/>
    <w:rsid w:val="000848E2"/>
    <w:rsid w:val="00084CF1"/>
    <w:rsid w:val="000854F8"/>
    <w:rsid w:val="0008587A"/>
    <w:rsid w:val="00085E04"/>
    <w:rsid w:val="000861CD"/>
    <w:rsid w:val="00086289"/>
    <w:rsid w:val="0008628A"/>
    <w:rsid w:val="00086543"/>
    <w:rsid w:val="00086800"/>
    <w:rsid w:val="000869C2"/>
    <w:rsid w:val="00087737"/>
    <w:rsid w:val="00087913"/>
    <w:rsid w:val="0009009D"/>
    <w:rsid w:val="000902DC"/>
    <w:rsid w:val="0009041A"/>
    <w:rsid w:val="000904C2"/>
    <w:rsid w:val="00090A4B"/>
    <w:rsid w:val="00090D73"/>
    <w:rsid w:val="00090EC6"/>
    <w:rsid w:val="000910F2"/>
    <w:rsid w:val="000911AE"/>
    <w:rsid w:val="00091349"/>
    <w:rsid w:val="00092029"/>
    <w:rsid w:val="00092574"/>
    <w:rsid w:val="00092A30"/>
    <w:rsid w:val="00092ACA"/>
    <w:rsid w:val="00092BB5"/>
    <w:rsid w:val="00092ED3"/>
    <w:rsid w:val="00092F20"/>
    <w:rsid w:val="000935C3"/>
    <w:rsid w:val="00093697"/>
    <w:rsid w:val="00093B43"/>
    <w:rsid w:val="00093D1F"/>
    <w:rsid w:val="00093D42"/>
    <w:rsid w:val="00093D46"/>
    <w:rsid w:val="00093ECE"/>
    <w:rsid w:val="000944E1"/>
    <w:rsid w:val="00094928"/>
    <w:rsid w:val="00094A16"/>
    <w:rsid w:val="00094B99"/>
    <w:rsid w:val="00094DE6"/>
    <w:rsid w:val="0009502B"/>
    <w:rsid w:val="00095051"/>
    <w:rsid w:val="00095677"/>
    <w:rsid w:val="000957C2"/>
    <w:rsid w:val="000960AC"/>
    <w:rsid w:val="000960C4"/>
    <w:rsid w:val="00096356"/>
    <w:rsid w:val="00096430"/>
    <w:rsid w:val="000966A4"/>
    <w:rsid w:val="000970A3"/>
    <w:rsid w:val="000973D4"/>
    <w:rsid w:val="00097A93"/>
    <w:rsid w:val="00097AD0"/>
    <w:rsid w:val="00097BD9"/>
    <w:rsid w:val="00097C77"/>
    <w:rsid w:val="00097C99"/>
    <w:rsid w:val="00097EA3"/>
    <w:rsid w:val="000A051E"/>
    <w:rsid w:val="000A0638"/>
    <w:rsid w:val="000A0F14"/>
    <w:rsid w:val="000A11C8"/>
    <w:rsid w:val="000A1441"/>
    <w:rsid w:val="000A144C"/>
    <w:rsid w:val="000A14D9"/>
    <w:rsid w:val="000A1A06"/>
    <w:rsid w:val="000A1B60"/>
    <w:rsid w:val="000A1EC8"/>
    <w:rsid w:val="000A2008"/>
    <w:rsid w:val="000A21B4"/>
    <w:rsid w:val="000A251D"/>
    <w:rsid w:val="000A252D"/>
    <w:rsid w:val="000A280C"/>
    <w:rsid w:val="000A2852"/>
    <w:rsid w:val="000A2B37"/>
    <w:rsid w:val="000A2CC7"/>
    <w:rsid w:val="000A2ED6"/>
    <w:rsid w:val="000A33B6"/>
    <w:rsid w:val="000A3505"/>
    <w:rsid w:val="000A3A02"/>
    <w:rsid w:val="000A3C95"/>
    <w:rsid w:val="000A3F30"/>
    <w:rsid w:val="000A4205"/>
    <w:rsid w:val="000A45ED"/>
    <w:rsid w:val="000A48AD"/>
    <w:rsid w:val="000A4A19"/>
    <w:rsid w:val="000A5321"/>
    <w:rsid w:val="000A539A"/>
    <w:rsid w:val="000A54E3"/>
    <w:rsid w:val="000A62AF"/>
    <w:rsid w:val="000A62EF"/>
    <w:rsid w:val="000A630F"/>
    <w:rsid w:val="000A6351"/>
    <w:rsid w:val="000A63D6"/>
    <w:rsid w:val="000A6457"/>
    <w:rsid w:val="000A6732"/>
    <w:rsid w:val="000A716C"/>
    <w:rsid w:val="000A7329"/>
    <w:rsid w:val="000A74B4"/>
    <w:rsid w:val="000A75BF"/>
    <w:rsid w:val="000A7628"/>
    <w:rsid w:val="000A7767"/>
    <w:rsid w:val="000A7A21"/>
    <w:rsid w:val="000A7B38"/>
    <w:rsid w:val="000A7EFD"/>
    <w:rsid w:val="000B024F"/>
    <w:rsid w:val="000B0343"/>
    <w:rsid w:val="000B03AF"/>
    <w:rsid w:val="000B0556"/>
    <w:rsid w:val="000B0607"/>
    <w:rsid w:val="000B06DC"/>
    <w:rsid w:val="000B0792"/>
    <w:rsid w:val="000B0C0A"/>
    <w:rsid w:val="000B157A"/>
    <w:rsid w:val="000B1B7C"/>
    <w:rsid w:val="000B2416"/>
    <w:rsid w:val="000B2454"/>
    <w:rsid w:val="000B2481"/>
    <w:rsid w:val="000B253A"/>
    <w:rsid w:val="000B2985"/>
    <w:rsid w:val="000B2B74"/>
    <w:rsid w:val="000B2C88"/>
    <w:rsid w:val="000B2F41"/>
    <w:rsid w:val="000B3342"/>
    <w:rsid w:val="000B35F8"/>
    <w:rsid w:val="000B3AE6"/>
    <w:rsid w:val="000B3BC4"/>
    <w:rsid w:val="000B3C2F"/>
    <w:rsid w:val="000B4646"/>
    <w:rsid w:val="000B4734"/>
    <w:rsid w:val="000B4A2A"/>
    <w:rsid w:val="000B4E69"/>
    <w:rsid w:val="000B4FEA"/>
    <w:rsid w:val="000B4FEB"/>
    <w:rsid w:val="000B51FA"/>
    <w:rsid w:val="000B571D"/>
    <w:rsid w:val="000B5905"/>
    <w:rsid w:val="000B5975"/>
    <w:rsid w:val="000B59CC"/>
    <w:rsid w:val="000B5A7A"/>
    <w:rsid w:val="000B5C43"/>
    <w:rsid w:val="000B5D44"/>
    <w:rsid w:val="000B6230"/>
    <w:rsid w:val="000B6485"/>
    <w:rsid w:val="000B6743"/>
    <w:rsid w:val="000B67D3"/>
    <w:rsid w:val="000B6BFB"/>
    <w:rsid w:val="000B6D5A"/>
    <w:rsid w:val="000B6E2C"/>
    <w:rsid w:val="000B6EF3"/>
    <w:rsid w:val="000B6F33"/>
    <w:rsid w:val="000B7576"/>
    <w:rsid w:val="000B76C5"/>
    <w:rsid w:val="000B7A10"/>
    <w:rsid w:val="000B7A1A"/>
    <w:rsid w:val="000B7C05"/>
    <w:rsid w:val="000C0010"/>
    <w:rsid w:val="000C06F3"/>
    <w:rsid w:val="000C0972"/>
    <w:rsid w:val="000C0A23"/>
    <w:rsid w:val="000C1139"/>
    <w:rsid w:val="000C115D"/>
    <w:rsid w:val="000C1168"/>
    <w:rsid w:val="000C11D9"/>
    <w:rsid w:val="000C1535"/>
    <w:rsid w:val="000C17A0"/>
    <w:rsid w:val="000C1A86"/>
    <w:rsid w:val="000C1B67"/>
    <w:rsid w:val="000C1C74"/>
    <w:rsid w:val="000C1CAF"/>
    <w:rsid w:val="000C1E48"/>
    <w:rsid w:val="000C1F79"/>
    <w:rsid w:val="000C252B"/>
    <w:rsid w:val="000C2A59"/>
    <w:rsid w:val="000C2BED"/>
    <w:rsid w:val="000C2F74"/>
    <w:rsid w:val="000C2FBD"/>
    <w:rsid w:val="000C39DE"/>
    <w:rsid w:val="000C3B0C"/>
    <w:rsid w:val="000C3D23"/>
    <w:rsid w:val="000C3F0B"/>
    <w:rsid w:val="000C4055"/>
    <w:rsid w:val="000C422D"/>
    <w:rsid w:val="000C4732"/>
    <w:rsid w:val="000C4A82"/>
    <w:rsid w:val="000C4F02"/>
    <w:rsid w:val="000C4FA7"/>
    <w:rsid w:val="000C57DF"/>
    <w:rsid w:val="000C5C48"/>
    <w:rsid w:val="000C5F91"/>
    <w:rsid w:val="000C6025"/>
    <w:rsid w:val="000C7283"/>
    <w:rsid w:val="000C72ED"/>
    <w:rsid w:val="000C7572"/>
    <w:rsid w:val="000C77BA"/>
    <w:rsid w:val="000D00D7"/>
    <w:rsid w:val="000D00F4"/>
    <w:rsid w:val="000D04CB"/>
    <w:rsid w:val="000D0521"/>
    <w:rsid w:val="000D0565"/>
    <w:rsid w:val="000D0CB2"/>
    <w:rsid w:val="000D0D18"/>
    <w:rsid w:val="000D0E4E"/>
    <w:rsid w:val="000D0F19"/>
    <w:rsid w:val="000D113C"/>
    <w:rsid w:val="000D12D1"/>
    <w:rsid w:val="000D14C6"/>
    <w:rsid w:val="000D159A"/>
    <w:rsid w:val="000D1A38"/>
    <w:rsid w:val="000D1BA0"/>
    <w:rsid w:val="000D216B"/>
    <w:rsid w:val="000D22CC"/>
    <w:rsid w:val="000D2636"/>
    <w:rsid w:val="000D2A10"/>
    <w:rsid w:val="000D2E64"/>
    <w:rsid w:val="000D2E83"/>
    <w:rsid w:val="000D2FC7"/>
    <w:rsid w:val="000D32E7"/>
    <w:rsid w:val="000D36AE"/>
    <w:rsid w:val="000D38A1"/>
    <w:rsid w:val="000D3E6C"/>
    <w:rsid w:val="000D3EF2"/>
    <w:rsid w:val="000D43D4"/>
    <w:rsid w:val="000D4547"/>
    <w:rsid w:val="000D4C4E"/>
    <w:rsid w:val="000D4D28"/>
    <w:rsid w:val="000D5077"/>
    <w:rsid w:val="000D5362"/>
    <w:rsid w:val="000D54BA"/>
    <w:rsid w:val="000D54E7"/>
    <w:rsid w:val="000D5621"/>
    <w:rsid w:val="000D56AD"/>
    <w:rsid w:val="000D57F8"/>
    <w:rsid w:val="000D5851"/>
    <w:rsid w:val="000D5905"/>
    <w:rsid w:val="000D594E"/>
    <w:rsid w:val="000D5AE1"/>
    <w:rsid w:val="000D5B42"/>
    <w:rsid w:val="000D5C60"/>
    <w:rsid w:val="000D5D04"/>
    <w:rsid w:val="000D5DD8"/>
    <w:rsid w:val="000D601E"/>
    <w:rsid w:val="000D6240"/>
    <w:rsid w:val="000D6ABB"/>
    <w:rsid w:val="000D6C1A"/>
    <w:rsid w:val="000D6FA1"/>
    <w:rsid w:val="000D71E2"/>
    <w:rsid w:val="000D73A5"/>
    <w:rsid w:val="000D76E8"/>
    <w:rsid w:val="000E00C2"/>
    <w:rsid w:val="000E0160"/>
    <w:rsid w:val="000E068E"/>
    <w:rsid w:val="000E07D6"/>
    <w:rsid w:val="000E0806"/>
    <w:rsid w:val="000E0AF7"/>
    <w:rsid w:val="000E0B7F"/>
    <w:rsid w:val="000E1019"/>
    <w:rsid w:val="000E1380"/>
    <w:rsid w:val="000E13C0"/>
    <w:rsid w:val="000E140E"/>
    <w:rsid w:val="000E175F"/>
    <w:rsid w:val="000E1769"/>
    <w:rsid w:val="000E1826"/>
    <w:rsid w:val="000E184D"/>
    <w:rsid w:val="000E18DF"/>
    <w:rsid w:val="000E1B18"/>
    <w:rsid w:val="000E2189"/>
    <w:rsid w:val="000E2825"/>
    <w:rsid w:val="000E29F9"/>
    <w:rsid w:val="000E2A73"/>
    <w:rsid w:val="000E3E70"/>
    <w:rsid w:val="000E3F04"/>
    <w:rsid w:val="000E4556"/>
    <w:rsid w:val="000E4975"/>
    <w:rsid w:val="000E4C59"/>
    <w:rsid w:val="000E579F"/>
    <w:rsid w:val="000E59A0"/>
    <w:rsid w:val="000E5B5B"/>
    <w:rsid w:val="000E61E7"/>
    <w:rsid w:val="000E63AA"/>
    <w:rsid w:val="000E6728"/>
    <w:rsid w:val="000E6AB4"/>
    <w:rsid w:val="000E6B02"/>
    <w:rsid w:val="000E6C8C"/>
    <w:rsid w:val="000E7A84"/>
    <w:rsid w:val="000E7B39"/>
    <w:rsid w:val="000F09F9"/>
    <w:rsid w:val="000F0D75"/>
    <w:rsid w:val="000F1248"/>
    <w:rsid w:val="000F15BC"/>
    <w:rsid w:val="000F1746"/>
    <w:rsid w:val="000F180A"/>
    <w:rsid w:val="000F1C05"/>
    <w:rsid w:val="000F1C58"/>
    <w:rsid w:val="000F1C92"/>
    <w:rsid w:val="000F1DCC"/>
    <w:rsid w:val="000F2260"/>
    <w:rsid w:val="000F2562"/>
    <w:rsid w:val="000F27A4"/>
    <w:rsid w:val="000F2AE0"/>
    <w:rsid w:val="000F2C4F"/>
    <w:rsid w:val="000F2EEE"/>
    <w:rsid w:val="000F3697"/>
    <w:rsid w:val="000F3825"/>
    <w:rsid w:val="000F3D73"/>
    <w:rsid w:val="000F3E2D"/>
    <w:rsid w:val="000F4105"/>
    <w:rsid w:val="000F41EF"/>
    <w:rsid w:val="000F44E3"/>
    <w:rsid w:val="000F4B5F"/>
    <w:rsid w:val="000F4F82"/>
    <w:rsid w:val="000F522C"/>
    <w:rsid w:val="000F55C2"/>
    <w:rsid w:val="000F5D53"/>
    <w:rsid w:val="000F5D78"/>
    <w:rsid w:val="000F5E0B"/>
    <w:rsid w:val="000F5FEA"/>
    <w:rsid w:val="000F63BF"/>
    <w:rsid w:val="000F6959"/>
    <w:rsid w:val="000F6FCE"/>
    <w:rsid w:val="000F7152"/>
    <w:rsid w:val="000F7178"/>
    <w:rsid w:val="000F77B7"/>
    <w:rsid w:val="000F7A2D"/>
    <w:rsid w:val="000F7DE1"/>
    <w:rsid w:val="000F7F58"/>
    <w:rsid w:val="00100128"/>
    <w:rsid w:val="00100347"/>
    <w:rsid w:val="00100D0A"/>
    <w:rsid w:val="00100DDD"/>
    <w:rsid w:val="00100FF3"/>
    <w:rsid w:val="00101182"/>
    <w:rsid w:val="0010146B"/>
    <w:rsid w:val="0010172A"/>
    <w:rsid w:val="001021D5"/>
    <w:rsid w:val="001026CA"/>
    <w:rsid w:val="00102AC1"/>
    <w:rsid w:val="00102CDA"/>
    <w:rsid w:val="001039F3"/>
    <w:rsid w:val="00103ACF"/>
    <w:rsid w:val="00104187"/>
    <w:rsid w:val="001043C2"/>
    <w:rsid w:val="001043E1"/>
    <w:rsid w:val="00104630"/>
    <w:rsid w:val="00104C36"/>
    <w:rsid w:val="00104D39"/>
    <w:rsid w:val="00104FB3"/>
    <w:rsid w:val="0010505A"/>
    <w:rsid w:val="001050CC"/>
    <w:rsid w:val="001053B1"/>
    <w:rsid w:val="00105665"/>
    <w:rsid w:val="001059CE"/>
    <w:rsid w:val="00105BFC"/>
    <w:rsid w:val="00105CC7"/>
    <w:rsid w:val="00105D4F"/>
    <w:rsid w:val="00105D79"/>
    <w:rsid w:val="0010698B"/>
    <w:rsid w:val="00106C2B"/>
    <w:rsid w:val="00106DC3"/>
    <w:rsid w:val="00107779"/>
    <w:rsid w:val="001078C2"/>
    <w:rsid w:val="00107992"/>
    <w:rsid w:val="00107C4A"/>
    <w:rsid w:val="00107CAF"/>
    <w:rsid w:val="00107E1C"/>
    <w:rsid w:val="00110243"/>
    <w:rsid w:val="0011038A"/>
    <w:rsid w:val="001110BD"/>
    <w:rsid w:val="001112C4"/>
    <w:rsid w:val="001113B0"/>
    <w:rsid w:val="00111444"/>
    <w:rsid w:val="00111540"/>
    <w:rsid w:val="00111723"/>
    <w:rsid w:val="00111B77"/>
    <w:rsid w:val="00111BE4"/>
    <w:rsid w:val="00111C6E"/>
    <w:rsid w:val="00111E22"/>
    <w:rsid w:val="0011202E"/>
    <w:rsid w:val="0011214A"/>
    <w:rsid w:val="001124B7"/>
    <w:rsid w:val="00112740"/>
    <w:rsid w:val="001129B5"/>
    <w:rsid w:val="00112A23"/>
    <w:rsid w:val="0011323A"/>
    <w:rsid w:val="0011368C"/>
    <w:rsid w:val="0011393B"/>
    <w:rsid w:val="00113FA7"/>
    <w:rsid w:val="00114112"/>
    <w:rsid w:val="00114168"/>
    <w:rsid w:val="001141E3"/>
    <w:rsid w:val="001144DF"/>
    <w:rsid w:val="0011557B"/>
    <w:rsid w:val="0011605B"/>
    <w:rsid w:val="0011638C"/>
    <w:rsid w:val="00116E52"/>
    <w:rsid w:val="00117058"/>
    <w:rsid w:val="0011736B"/>
    <w:rsid w:val="001173CC"/>
    <w:rsid w:val="0011740B"/>
    <w:rsid w:val="00117C85"/>
    <w:rsid w:val="00120463"/>
    <w:rsid w:val="001205AE"/>
    <w:rsid w:val="001208B7"/>
    <w:rsid w:val="00120A1B"/>
    <w:rsid w:val="00120AC2"/>
    <w:rsid w:val="00120B13"/>
    <w:rsid w:val="00120F24"/>
    <w:rsid w:val="0012140C"/>
    <w:rsid w:val="001219DB"/>
    <w:rsid w:val="00121AD2"/>
    <w:rsid w:val="00121BFC"/>
    <w:rsid w:val="00121F61"/>
    <w:rsid w:val="00122221"/>
    <w:rsid w:val="00122264"/>
    <w:rsid w:val="00122790"/>
    <w:rsid w:val="001228D9"/>
    <w:rsid w:val="0012297E"/>
    <w:rsid w:val="00122A22"/>
    <w:rsid w:val="00122AF1"/>
    <w:rsid w:val="00123650"/>
    <w:rsid w:val="001237EE"/>
    <w:rsid w:val="00123B28"/>
    <w:rsid w:val="00124239"/>
    <w:rsid w:val="0012430D"/>
    <w:rsid w:val="00124942"/>
    <w:rsid w:val="00124B65"/>
    <w:rsid w:val="00124C65"/>
    <w:rsid w:val="00124D84"/>
    <w:rsid w:val="001250DD"/>
    <w:rsid w:val="00125403"/>
    <w:rsid w:val="00125733"/>
    <w:rsid w:val="001257DF"/>
    <w:rsid w:val="00125A22"/>
    <w:rsid w:val="00125C78"/>
    <w:rsid w:val="00125DDB"/>
    <w:rsid w:val="001261DC"/>
    <w:rsid w:val="001261F2"/>
    <w:rsid w:val="00126370"/>
    <w:rsid w:val="0012637C"/>
    <w:rsid w:val="001263AA"/>
    <w:rsid w:val="001266F3"/>
    <w:rsid w:val="001268DC"/>
    <w:rsid w:val="00126F71"/>
    <w:rsid w:val="00126F74"/>
    <w:rsid w:val="001278B9"/>
    <w:rsid w:val="001278E7"/>
    <w:rsid w:val="00127905"/>
    <w:rsid w:val="00127951"/>
    <w:rsid w:val="00127AF7"/>
    <w:rsid w:val="001302CF"/>
    <w:rsid w:val="0013069C"/>
    <w:rsid w:val="00130779"/>
    <w:rsid w:val="001307A1"/>
    <w:rsid w:val="00130EA3"/>
    <w:rsid w:val="00131040"/>
    <w:rsid w:val="00131184"/>
    <w:rsid w:val="001311CC"/>
    <w:rsid w:val="001315EF"/>
    <w:rsid w:val="00131D2E"/>
    <w:rsid w:val="001321A7"/>
    <w:rsid w:val="001321AA"/>
    <w:rsid w:val="001321D3"/>
    <w:rsid w:val="00132262"/>
    <w:rsid w:val="001324E7"/>
    <w:rsid w:val="0013257A"/>
    <w:rsid w:val="00132979"/>
    <w:rsid w:val="00132CC9"/>
    <w:rsid w:val="00132D87"/>
    <w:rsid w:val="00132DAE"/>
    <w:rsid w:val="001334CF"/>
    <w:rsid w:val="00133599"/>
    <w:rsid w:val="00133BF7"/>
    <w:rsid w:val="00134104"/>
    <w:rsid w:val="00134219"/>
    <w:rsid w:val="00134B88"/>
    <w:rsid w:val="001352D0"/>
    <w:rsid w:val="0013546D"/>
    <w:rsid w:val="001354B8"/>
    <w:rsid w:val="001354C8"/>
    <w:rsid w:val="0013580D"/>
    <w:rsid w:val="0013689F"/>
    <w:rsid w:val="00136A23"/>
    <w:rsid w:val="00136B29"/>
    <w:rsid w:val="00136B99"/>
    <w:rsid w:val="00136DD7"/>
    <w:rsid w:val="00136E02"/>
    <w:rsid w:val="001376CC"/>
    <w:rsid w:val="0013789C"/>
    <w:rsid w:val="001379A4"/>
    <w:rsid w:val="00137B46"/>
    <w:rsid w:val="001402F5"/>
    <w:rsid w:val="0014052C"/>
    <w:rsid w:val="0014053C"/>
    <w:rsid w:val="0014063E"/>
    <w:rsid w:val="0014087D"/>
    <w:rsid w:val="0014087F"/>
    <w:rsid w:val="00140B01"/>
    <w:rsid w:val="00140CDF"/>
    <w:rsid w:val="00140E07"/>
    <w:rsid w:val="00140F74"/>
    <w:rsid w:val="00141191"/>
    <w:rsid w:val="0014159C"/>
    <w:rsid w:val="001416B8"/>
    <w:rsid w:val="00141723"/>
    <w:rsid w:val="001417BB"/>
    <w:rsid w:val="00141D4E"/>
    <w:rsid w:val="00141FD5"/>
    <w:rsid w:val="00141FF3"/>
    <w:rsid w:val="001421D9"/>
    <w:rsid w:val="00142402"/>
    <w:rsid w:val="00142665"/>
    <w:rsid w:val="001429EF"/>
    <w:rsid w:val="00142C45"/>
    <w:rsid w:val="0014307E"/>
    <w:rsid w:val="00143211"/>
    <w:rsid w:val="0014324C"/>
    <w:rsid w:val="0014382A"/>
    <w:rsid w:val="0014384A"/>
    <w:rsid w:val="001439F7"/>
    <w:rsid w:val="00144221"/>
    <w:rsid w:val="0014450F"/>
    <w:rsid w:val="00144832"/>
    <w:rsid w:val="00144863"/>
    <w:rsid w:val="00144D8E"/>
    <w:rsid w:val="00144D8F"/>
    <w:rsid w:val="00144E7F"/>
    <w:rsid w:val="00145008"/>
    <w:rsid w:val="00145239"/>
    <w:rsid w:val="0014527C"/>
    <w:rsid w:val="00145C2D"/>
    <w:rsid w:val="00145C74"/>
    <w:rsid w:val="00145CDB"/>
    <w:rsid w:val="00145EB4"/>
    <w:rsid w:val="00145EB6"/>
    <w:rsid w:val="0014606B"/>
    <w:rsid w:val="0014607A"/>
    <w:rsid w:val="001462E9"/>
    <w:rsid w:val="001463A9"/>
    <w:rsid w:val="001463F7"/>
    <w:rsid w:val="0014667B"/>
    <w:rsid w:val="00146E32"/>
    <w:rsid w:val="00146EC2"/>
    <w:rsid w:val="00147200"/>
    <w:rsid w:val="00147929"/>
    <w:rsid w:val="001479D5"/>
    <w:rsid w:val="00147CFB"/>
    <w:rsid w:val="0015009F"/>
    <w:rsid w:val="00150143"/>
    <w:rsid w:val="001502DB"/>
    <w:rsid w:val="00150CDB"/>
    <w:rsid w:val="00150D21"/>
    <w:rsid w:val="00150D28"/>
    <w:rsid w:val="00150FDC"/>
    <w:rsid w:val="001512F6"/>
    <w:rsid w:val="00151573"/>
    <w:rsid w:val="00151619"/>
    <w:rsid w:val="00151763"/>
    <w:rsid w:val="00151AB0"/>
    <w:rsid w:val="00151F4B"/>
    <w:rsid w:val="00151FCB"/>
    <w:rsid w:val="001520CC"/>
    <w:rsid w:val="00152835"/>
    <w:rsid w:val="00152FD4"/>
    <w:rsid w:val="001530AC"/>
    <w:rsid w:val="00153270"/>
    <w:rsid w:val="00153740"/>
    <w:rsid w:val="00153F89"/>
    <w:rsid w:val="00154AAA"/>
    <w:rsid w:val="00154AAC"/>
    <w:rsid w:val="00154B88"/>
    <w:rsid w:val="00154D5B"/>
    <w:rsid w:val="001559FA"/>
    <w:rsid w:val="00155BEF"/>
    <w:rsid w:val="00156325"/>
    <w:rsid w:val="00156374"/>
    <w:rsid w:val="00156B1F"/>
    <w:rsid w:val="00156B73"/>
    <w:rsid w:val="00156E93"/>
    <w:rsid w:val="00157305"/>
    <w:rsid w:val="001577D8"/>
    <w:rsid w:val="0015788A"/>
    <w:rsid w:val="001579D4"/>
    <w:rsid w:val="00157E13"/>
    <w:rsid w:val="00157FC3"/>
    <w:rsid w:val="001602F8"/>
    <w:rsid w:val="00160361"/>
    <w:rsid w:val="001605B9"/>
    <w:rsid w:val="00160739"/>
    <w:rsid w:val="00160869"/>
    <w:rsid w:val="00160CFE"/>
    <w:rsid w:val="00161480"/>
    <w:rsid w:val="0016166A"/>
    <w:rsid w:val="001617AE"/>
    <w:rsid w:val="00161C00"/>
    <w:rsid w:val="0016271E"/>
    <w:rsid w:val="001628EB"/>
    <w:rsid w:val="00162AB4"/>
    <w:rsid w:val="00162D7A"/>
    <w:rsid w:val="00162E8B"/>
    <w:rsid w:val="00163053"/>
    <w:rsid w:val="001633B1"/>
    <w:rsid w:val="00163D02"/>
    <w:rsid w:val="0016436F"/>
    <w:rsid w:val="001643EF"/>
    <w:rsid w:val="001644FF"/>
    <w:rsid w:val="00164BF8"/>
    <w:rsid w:val="00164C9A"/>
    <w:rsid w:val="00164DAB"/>
    <w:rsid w:val="00164ECB"/>
    <w:rsid w:val="00164EE7"/>
    <w:rsid w:val="00165350"/>
    <w:rsid w:val="00165AD8"/>
    <w:rsid w:val="00165BBB"/>
    <w:rsid w:val="00165BD4"/>
    <w:rsid w:val="00165C75"/>
    <w:rsid w:val="00165E9A"/>
    <w:rsid w:val="0016613F"/>
    <w:rsid w:val="00166215"/>
    <w:rsid w:val="00166591"/>
    <w:rsid w:val="00166606"/>
    <w:rsid w:val="00166DB4"/>
    <w:rsid w:val="00166E57"/>
    <w:rsid w:val="00167478"/>
    <w:rsid w:val="00167A80"/>
    <w:rsid w:val="00167F82"/>
    <w:rsid w:val="001708EC"/>
    <w:rsid w:val="00170FA8"/>
    <w:rsid w:val="00171102"/>
    <w:rsid w:val="00171143"/>
    <w:rsid w:val="00171367"/>
    <w:rsid w:val="00171A05"/>
    <w:rsid w:val="00171A0A"/>
    <w:rsid w:val="00171EB3"/>
    <w:rsid w:val="00172093"/>
    <w:rsid w:val="001723FA"/>
    <w:rsid w:val="001724C1"/>
    <w:rsid w:val="00172864"/>
    <w:rsid w:val="00172B82"/>
    <w:rsid w:val="00172DFB"/>
    <w:rsid w:val="00172EFA"/>
    <w:rsid w:val="00172F67"/>
    <w:rsid w:val="00173365"/>
    <w:rsid w:val="0017356C"/>
    <w:rsid w:val="00173608"/>
    <w:rsid w:val="00173B15"/>
    <w:rsid w:val="00173EF5"/>
    <w:rsid w:val="0017415D"/>
    <w:rsid w:val="00174522"/>
    <w:rsid w:val="001745EC"/>
    <w:rsid w:val="00174769"/>
    <w:rsid w:val="001747B7"/>
    <w:rsid w:val="00175B01"/>
    <w:rsid w:val="00175C30"/>
    <w:rsid w:val="00175E87"/>
    <w:rsid w:val="001767A7"/>
    <w:rsid w:val="001767E9"/>
    <w:rsid w:val="001768A8"/>
    <w:rsid w:val="00176DD6"/>
    <w:rsid w:val="00177069"/>
    <w:rsid w:val="0017718D"/>
    <w:rsid w:val="001775B3"/>
    <w:rsid w:val="001775E1"/>
    <w:rsid w:val="0017775A"/>
    <w:rsid w:val="001777E6"/>
    <w:rsid w:val="00177C5F"/>
    <w:rsid w:val="00177CC8"/>
    <w:rsid w:val="00177D4B"/>
    <w:rsid w:val="00177FC1"/>
    <w:rsid w:val="00180194"/>
    <w:rsid w:val="001805C9"/>
    <w:rsid w:val="0018086B"/>
    <w:rsid w:val="00180884"/>
    <w:rsid w:val="00180914"/>
    <w:rsid w:val="00180A4A"/>
    <w:rsid w:val="00180FD3"/>
    <w:rsid w:val="001813A3"/>
    <w:rsid w:val="001815A2"/>
    <w:rsid w:val="00181FC1"/>
    <w:rsid w:val="00181FD4"/>
    <w:rsid w:val="00182022"/>
    <w:rsid w:val="00182539"/>
    <w:rsid w:val="00182F3D"/>
    <w:rsid w:val="00183034"/>
    <w:rsid w:val="001830F7"/>
    <w:rsid w:val="00183835"/>
    <w:rsid w:val="00183C5C"/>
    <w:rsid w:val="00183E99"/>
    <w:rsid w:val="00183EE6"/>
    <w:rsid w:val="00184322"/>
    <w:rsid w:val="0018436D"/>
    <w:rsid w:val="00184463"/>
    <w:rsid w:val="00184559"/>
    <w:rsid w:val="0018471A"/>
    <w:rsid w:val="001849AF"/>
    <w:rsid w:val="001849D5"/>
    <w:rsid w:val="00184C23"/>
    <w:rsid w:val="00184C3E"/>
    <w:rsid w:val="00184FCE"/>
    <w:rsid w:val="0018533C"/>
    <w:rsid w:val="0018588A"/>
    <w:rsid w:val="0018591C"/>
    <w:rsid w:val="00186180"/>
    <w:rsid w:val="001865D8"/>
    <w:rsid w:val="00186712"/>
    <w:rsid w:val="00186818"/>
    <w:rsid w:val="00187252"/>
    <w:rsid w:val="001873AA"/>
    <w:rsid w:val="00187A06"/>
    <w:rsid w:val="0019069B"/>
    <w:rsid w:val="0019089D"/>
    <w:rsid w:val="001908E7"/>
    <w:rsid w:val="0019093C"/>
    <w:rsid w:val="00190D77"/>
    <w:rsid w:val="00190D9A"/>
    <w:rsid w:val="00191614"/>
    <w:rsid w:val="0019179D"/>
    <w:rsid w:val="00191C91"/>
    <w:rsid w:val="00191EAD"/>
    <w:rsid w:val="00192207"/>
    <w:rsid w:val="0019268E"/>
    <w:rsid w:val="00192B50"/>
    <w:rsid w:val="00192DD9"/>
    <w:rsid w:val="00193182"/>
    <w:rsid w:val="001937DB"/>
    <w:rsid w:val="00193C57"/>
    <w:rsid w:val="00193F73"/>
    <w:rsid w:val="00193F77"/>
    <w:rsid w:val="00194339"/>
    <w:rsid w:val="00194773"/>
    <w:rsid w:val="00194848"/>
    <w:rsid w:val="00194A3C"/>
    <w:rsid w:val="00194C0A"/>
    <w:rsid w:val="00195319"/>
    <w:rsid w:val="001958EA"/>
    <w:rsid w:val="00195BD5"/>
    <w:rsid w:val="00195E0E"/>
    <w:rsid w:val="00195EBD"/>
    <w:rsid w:val="00195ECC"/>
    <w:rsid w:val="001961F0"/>
    <w:rsid w:val="001962DC"/>
    <w:rsid w:val="001966C4"/>
    <w:rsid w:val="00196DDD"/>
    <w:rsid w:val="001972A1"/>
    <w:rsid w:val="0019740D"/>
    <w:rsid w:val="0019741F"/>
    <w:rsid w:val="00197593"/>
    <w:rsid w:val="00197707"/>
    <w:rsid w:val="00197DF5"/>
    <w:rsid w:val="001A02BF"/>
    <w:rsid w:val="001A03C7"/>
    <w:rsid w:val="001A0703"/>
    <w:rsid w:val="001A0FA5"/>
    <w:rsid w:val="001A109D"/>
    <w:rsid w:val="001A10C6"/>
    <w:rsid w:val="001A138C"/>
    <w:rsid w:val="001A138F"/>
    <w:rsid w:val="001A13D8"/>
    <w:rsid w:val="001A180D"/>
    <w:rsid w:val="001A1AB0"/>
    <w:rsid w:val="001A1BAC"/>
    <w:rsid w:val="001A1FBC"/>
    <w:rsid w:val="001A20A8"/>
    <w:rsid w:val="001A2135"/>
    <w:rsid w:val="001A23CE"/>
    <w:rsid w:val="001A2C89"/>
    <w:rsid w:val="001A2FB1"/>
    <w:rsid w:val="001A3061"/>
    <w:rsid w:val="001A351E"/>
    <w:rsid w:val="001A3EAE"/>
    <w:rsid w:val="001A3ED8"/>
    <w:rsid w:val="001A472B"/>
    <w:rsid w:val="001A4B76"/>
    <w:rsid w:val="001A4EE9"/>
    <w:rsid w:val="001A525E"/>
    <w:rsid w:val="001A54F4"/>
    <w:rsid w:val="001A5800"/>
    <w:rsid w:val="001A598F"/>
    <w:rsid w:val="001A60B9"/>
    <w:rsid w:val="001A642A"/>
    <w:rsid w:val="001A673E"/>
    <w:rsid w:val="001A6772"/>
    <w:rsid w:val="001A6A47"/>
    <w:rsid w:val="001A6EC5"/>
    <w:rsid w:val="001A71D4"/>
    <w:rsid w:val="001A754C"/>
    <w:rsid w:val="001A7680"/>
    <w:rsid w:val="001A7763"/>
    <w:rsid w:val="001A7D43"/>
    <w:rsid w:val="001B0607"/>
    <w:rsid w:val="001B068C"/>
    <w:rsid w:val="001B0BD9"/>
    <w:rsid w:val="001B13F9"/>
    <w:rsid w:val="001B1447"/>
    <w:rsid w:val="001B1A33"/>
    <w:rsid w:val="001B3964"/>
    <w:rsid w:val="001B3C89"/>
    <w:rsid w:val="001B3E4B"/>
    <w:rsid w:val="001B413E"/>
    <w:rsid w:val="001B4452"/>
    <w:rsid w:val="001B466C"/>
    <w:rsid w:val="001B47D6"/>
    <w:rsid w:val="001B4871"/>
    <w:rsid w:val="001B48CE"/>
    <w:rsid w:val="001B4E26"/>
    <w:rsid w:val="001B4F34"/>
    <w:rsid w:val="001B52B1"/>
    <w:rsid w:val="001B52EC"/>
    <w:rsid w:val="001B554A"/>
    <w:rsid w:val="001B5652"/>
    <w:rsid w:val="001B5834"/>
    <w:rsid w:val="001B5A24"/>
    <w:rsid w:val="001B6564"/>
    <w:rsid w:val="001B6914"/>
    <w:rsid w:val="001B691A"/>
    <w:rsid w:val="001B6DDA"/>
    <w:rsid w:val="001B6EA5"/>
    <w:rsid w:val="001B6ED4"/>
    <w:rsid w:val="001B72C7"/>
    <w:rsid w:val="001B7348"/>
    <w:rsid w:val="001B73D5"/>
    <w:rsid w:val="001B740A"/>
    <w:rsid w:val="001B74DA"/>
    <w:rsid w:val="001B7751"/>
    <w:rsid w:val="001B79BF"/>
    <w:rsid w:val="001C005A"/>
    <w:rsid w:val="001C02D8"/>
    <w:rsid w:val="001C04E3"/>
    <w:rsid w:val="001C09C8"/>
    <w:rsid w:val="001C0B19"/>
    <w:rsid w:val="001C0EA1"/>
    <w:rsid w:val="001C141F"/>
    <w:rsid w:val="001C1840"/>
    <w:rsid w:val="001C19BE"/>
    <w:rsid w:val="001C22FC"/>
    <w:rsid w:val="001C2378"/>
    <w:rsid w:val="001C2501"/>
    <w:rsid w:val="001C2BFD"/>
    <w:rsid w:val="001C2C3F"/>
    <w:rsid w:val="001C2C68"/>
    <w:rsid w:val="001C3B6F"/>
    <w:rsid w:val="001C3B74"/>
    <w:rsid w:val="001C3D3C"/>
    <w:rsid w:val="001C3E56"/>
    <w:rsid w:val="001C3EE9"/>
    <w:rsid w:val="001C3FA4"/>
    <w:rsid w:val="001C40F9"/>
    <w:rsid w:val="001C4328"/>
    <w:rsid w:val="001C458B"/>
    <w:rsid w:val="001C4657"/>
    <w:rsid w:val="001C4AAC"/>
    <w:rsid w:val="001C4AEF"/>
    <w:rsid w:val="001C4B77"/>
    <w:rsid w:val="001C4CAA"/>
    <w:rsid w:val="001C4F18"/>
    <w:rsid w:val="001C5442"/>
    <w:rsid w:val="001C5451"/>
    <w:rsid w:val="001C5619"/>
    <w:rsid w:val="001C5719"/>
    <w:rsid w:val="001C574A"/>
    <w:rsid w:val="001C5D4F"/>
    <w:rsid w:val="001C5EB7"/>
    <w:rsid w:val="001C623E"/>
    <w:rsid w:val="001C64C0"/>
    <w:rsid w:val="001C6949"/>
    <w:rsid w:val="001C69DA"/>
    <w:rsid w:val="001C6E3F"/>
    <w:rsid w:val="001C6F06"/>
    <w:rsid w:val="001C738B"/>
    <w:rsid w:val="001C740C"/>
    <w:rsid w:val="001C7464"/>
    <w:rsid w:val="001C7BED"/>
    <w:rsid w:val="001C7CD8"/>
    <w:rsid w:val="001D04CD"/>
    <w:rsid w:val="001D0834"/>
    <w:rsid w:val="001D084A"/>
    <w:rsid w:val="001D086A"/>
    <w:rsid w:val="001D1155"/>
    <w:rsid w:val="001D1425"/>
    <w:rsid w:val="001D1D76"/>
    <w:rsid w:val="001D2157"/>
    <w:rsid w:val="001D2360"/>
    <w:rsid w:val="001D25C3"/>
    <w:rsid w:val="001D26F4"/>
    <w:rsid w:val="001D2A73"/>
    <w:rsid w:val="001D3088"/>
    <w:rsid w:val="001D3109"/>
    <w:rsid w:val="001D332E"/>
    <w:rsid w:val="001D3806"/>
    <w:rsid w:val="001D3978"/>
    <w:rsid w:val="001D398E"/>
    <w:rsid w:val="001D3D99"/>
    <w:rsid w:val="001D3F62"/>
    <w:rsid w:val="001D42ED"/>
    <w:rsid w:val="001D4328"/>
    <w:rsid w:val="001D4962"/>
    <w:rsid w:val="001D4E16"/>
    <w:rsid w:val="001D5033"/>
    <w:rsid w:val="001D52C7"/>
    <w:rsid w:val="001D5694"/>
    <w:rsid w:val="001D5BEE"/>
    <w:rsid w:val="001D5C88"/>
    <w:rsid w:val="001D5D65"/>
    <w:rsid w:val="001D5D67"/>
    <w:rsid w:val="001D5E2D"/>
    <w:rsid w:val="001D5E7E"/>
    <w:rsid w:val="001D5ED1"/>
    <w:rsid w:val="001D62A8"/>
    <w:rsid w:val="001D6422"/>
    <w:rsid w:val="001D6567"/>
    <w:rsid w:val="001D695C"/>
    <w:rsid w:val="001D6FD9"/>
    <w:rsid w:val="001D73A7"/>
    <w:rsid w:val="001D73D3"/>
    <w:rsid w:val="001D780E"/>
    <w:rsid w:val="001E033D"/>
    <w:rsid w:val="001E04B0"/>
    <w:rsid w:val="001E05C3"/>
    <w:rsid w:val="001E0618"/>
    <w:rsid w:val="001E0AD3"/>
    <w:rsid w:val="001E1412"/>
    <w:rsid w:val="001E1955"/>
    <w:rsid w:val="001E1D39"/>
    <w:rsid w:val="001E1F3D"/>
    <w:rsid w:val="001E1F7B"/>
    <w:rsid w:val="001E200F"/>
    <w:rsid w:val="001E2663"/>
    <w:rsid w:val="001E2BE3"/>
    <w:rsid w:val="001E2EF8"/>
    <w:rsid w:val="001E2F11"/>
    <w:rsid w:val="001E2FF5"/>
    <w:rsid w:val="001E345E"/>
    <w:rsid w:val="001E36BA"/>
    <w:rsid w:val="001E36E4"/>
    <w:rsid w:val="001E379D"/>
    <w:rsid w:val="001E396A"/>
    <w:rsid w:val="001E3A3C"/>
    <w:rsid w:val="001E3C2B"/>
    <w:rsid w:val="001E3D56"/>
    <w:rsid w:val="001E3E3C"/>
    <w:rsid w:val="001E3F19"/>
    <w:rsid w:val="001E4039"/>
    <w:rsid w:val="001E41C0"/>
    <w:rsid w:val="001E52CC"/>
    <w:rsid w:val="001E557A"/>
    <w:rsid w:val="001E5C23"/>
    <w:rsid w:val="001E5E0B"/>
    <w:rsid w:val="001E5E6F"/>
    <w:rsid w:val="001E61F8"/>
    <w:rsid w:val="001E6687"/>
    <w:rsid w:val="001E6968"/>
    <w:rsid w:val="001E7504"/>
    <w:rsid w:val="001E75A2"/>
    <w:rsid w:val="001E76D2"/>
    <w:rsid w:val="001E76DF"/>
    <w:rsid w:val="001E7731"/>
    <w:rsid w:val="001E7AC2"/>
    <w:rsid w:val="001E7CF2"/>
    <w:rsid w:val="001F03CF"/>
    <w:rsid w:val="001F053E"/>
    <w:rsid w:val="001F0A8A"/>
    <w:rsid w:val="001F0E29"/>
    <w:rsid w:val="001F0FA9"/>
    <w:rsid w:val="001F1308"/>
    <w:rsid w:val="001F1525"/>
    <w:rsid w:val="001F155B"/>
    <w:rsid w:val="001F1E87"/>
    <w:rsid w:val="001F1EB6"/>
    <w:rsid w:val="001F1F24"/>
    <w:rsid w:val="001F1FE2"/>
    <w:rsid w:val="001F2730"/>
    <w:rsid w:val="001F2781"/>
    <w:rsid w:val="001F2895"/>
    <w:rsid w:val="001F2BBF"/>
    <w:rsid w:val="001F2E23"/>
    <w:rsid w:val="001F341F"/>
    <w:rsid w:val="001F358D"/>
    <w:rsid w:val="001F3827"/>
    <w:rsid w:val="001F3911"/>
    <w:rsid w:val="001F3CCB"/>
    <w:rsid w:val="001F3F1A"/>
    <w:rsid w:val="001F3F59"/>
    <w:rsid w:val="001F405B"/>
    <w:rsid w:val="001F46A6"/>
    <w:rsid w:val="001F482A"/>
    <w:rsid w:val="001F4CBD"/>
    <w:rsid w:val="001F4DFB"/>
    <w:rsid w:val="001F50A6"/>
    <w:rsid w:val="001F5305"/>
    <w:rsid w:val="001F5545"/>
    <w:rsid w:val="001F5777"/>
    <w:rsid w:val="001F5937"/>
    <w:rsid w:val="001F59E3"/>
    <w:rsid w:val="001F59ED"/>
    <w:rsid w:val="001F5CAA"/>
    <w:rsid w:val="001F6804"/>
    <w:rsid w:val="001F6C09"/>
    <w:rsid w:val="001F6DD4"/>
    <w:rsid w:val="001F6F56"/>
    <w:rsid w:val="001F7121"/>
    <w:rsid w:val="001F72B1"/>
    <w:rsid w:val="001F7530"/>
    <w:rsid w:val="001F7609"/>
    <w:rsid w:val="001F799B"/>
    <w:rsid w:val="00200213"/>
    <w:rsid w:val="0020067A"/>
    <w:rsid w:val="0020089D"/>
    <w:rsid w:val="00200AEF"/>
    <w:rsid w:val="00200D2C"/>
    <w:rsid w:val="00200FD8"/>
    <w:rsid w:val="00201053"/>
    <w:rsid w:val="0020156E"/>
    <w:rsid w:val="002019CD"/>
    <w:rsid w:val="002019D8"/>
    <w:rsid w:val="00201B8B"/>
    <w:rsid w:val="00201EC7"/>
    <w:rsid w:val="002020C9"/>
    <w:rsid w:val="0020245E"/>
    <w:rsid w:val="00202469"/>
    <w:rsid w:val="002026A8"/>
    <w:rsid w:val="00202D53"/>
    <w:rsid w:val="00203046"/>
    <w:rsid w:val="0020349A"/>
    <w:rsid w:val="002034B4"/>
    <w:rsid w:val="00203904"/>
    <w:rsid w:val="00204032"/>
    <w:rsid w:val="002042DC"/>
    <w:rsid w:val="0020444C"/>
    <w:rsid w:val="002046C7"/>
    <w:rsid w:val="002047D9"/>
    <w:rsid w:val="00204A91"/>
    <w:rsid w:val="00204BAD"/>
    <w:rsid w:val="00204D60"/>
    <w:rsid w:val="00204EAE"/>
    <w:rsid w:val="00204F3D"/>
    <w:rsid w:val="00204F62"/>
    <w:rsid w:val="00205077"/>
    <w:rsid w:val="002052DE"/>
    <w:rsid w:val="00205627"/>
    <w:rsid w:val="002056D0"/>
    <w:rsid w:val="00205A4C"/>
    <w:rsid w:val="00205B18"/>
    <w:rsid w:val="00205B2F"/>
    <w:rsid w:val="00205C4A"/>
    <w:rsid w:val="00205CDD"/>
    <w:rsid w:val="0020603F"/>
    <w:rsid w:val="002062FE"/>
    <w:rsid w:val="0020698F"/>
    <w:rsid w:val="00206A6C"/>
    <w:rsid w:val="00206CE8"/>
    <w:rsid w:val="00206D15"/>
    <w:rsid w:val="00206E9A"/>
    <w:rsid w:val="00206F03"/>
    <w:rsid w:val="00206F06"/>
    <w:rsid w:val="00207826"/>
    <w:rsid w:val="00207D2B"/>
    <w:rsid w:val="00207E60"/>
    <w:rsid w:val="00207FAF"/>
    <w:rsid w:val="00210860"/>
    <w:rsid w:val="002108C4"/>
    <w:rsid w:val="00210A75"/>
    <w:rsid w:val="00210A9C"/>
    <w:rsid w:val="00210B6A"/>
    <w:rsid w:val="002112B1"/>
    <w:rsid w:val="00211C3D"/>
    <w:rsid w:val="00212074"/>
    <w:rsid w:val="00212316"/>
    <w:rsid w:val="00212552"/>
    <w:rsid w:val="00212591"/>
    <w:rsid w:val="00212649"/>
    <w:rsid w:val="00212C3E"/>
    <w:rsid w:val="00212CB6"/>
    <w:rsid w:val="00212DE3"/>
    <w:rsid w:val="00212E37"/>
    <w:rsid w:val="0021304F"/>
    <w:rsid w:val="002136E8"/>
    <w:rsid w:val="00213749"/>
    <w:rsid w:val="00213844"/>
    <w:rsid w:val="00213917"/>
    <w:rsid w:val="002140FF"/>
    <w:rsid w:val="002141E6"/>
    <w:rsid w:val="00214365"/>
    <w:rsid w:val="002146D9"/>
    <w:rsid w:val="00214BDA"/>
    <w:rsid w:val="00214C8B"/>
    <w:rsid w:val="002156E0"/>
    <w:rsid w:val="00215AA8"/>
    <w:rsid w:val="00215CDD"/>
    <w:rsid w:val="0021609D"/>
    <w:rsid w:val="0021618E"/>
    <w:rsid w:val="00216E35"/>
    <w:rsid w:val="002170F5"/>
    <w:rsid w:val="002172BA"/>
    <w:rsid w:val="0021783A"/>
    <w:rsid w:val="00217A84"/>
    <w:rsid w:val="00217E0B"/>
    <w:rsid w:val="00220891"/>
    <w:rsid w:val="00220894"/>
    <w:rsid w:val="00220B1A"/>
    <w:rsid w:val="00220BE6"/>
    <w:rsid w:val="0022134B"/>
    <w:rsid w:val="002216C9"/>
    <w:rsid w:val="00221D96"/>
    <w:rsid w:val="00221DE9"/>
    <w:rsid w:val="00222173"/>
    <w:rsid w:val="0022218A"/>
    <w:rsid w:val="00222688"/>
    <w:rsid w:val="00222DB9"/>
    <w:rsid w:val="002230EC"/>
    <w:rsid w:val="002235B3"/>
    <w:rsid w:val="00223D16"/>
    <w:rsid w:val="0022454E"/>
    <w:rsid w:val="00224952"/>
    <w:rsid w:val="00224B23"/>
    <w:rsid w:val="00224C8B"/>
    <w:rsid w:val="00224DD2"/>
    <w:rsid w:val="0022510B"/>
    <w:rsid w:val="0022524D"/>
    <w:rsid w:val="00225255"/>
    <w:rsid w:val="002257FD"/>
    <w:rsid w:val="00225A6A"/>
    <w:rsid w:val="00225AC7"/>
    <w:rsid w:val="00225ACC"/>
    <w:rsid w:val="00225EC9"/>
    <w:rsid w:val="002269F7"/>
    <w:rsid w:val="00226B90"/>
    <w:rsid w:val="00226C39"/>
    <w:rsid w:val="00226C96"/>
    <w:rsid w:val="00227025"/>
    <w:rsid w:val="002276FC"/>
    <w:rsid w:val="00227791"/>
    <w:rsid w:val="002279AC"/>
    <w:rsid w:val="00227C7F"/>
    <w:rsid w:val="0023038E"/>
    <w:rsid w:val="00230584"/>
    <w:rsid w:val="0023076A"/>
    <w:rsid w:val="00230786"/>
    <w:rsid w:val="00230BA5"/>
    <w:rsid w:val="00230BDC"/>
    <w:rsid w:val="002311E4"/>
    <w:rsid w:val="0023148E"/>
    <w:rsid w:val="002314FE"/>
    <w:rsid w:val="00231C25"/>
    <w:rsid w:val="00231C6F"/>
    <w:rsid w:val="00232934"/>
    <w:rsid w:val="00232A90"/>
    <w:rsid w:val="00232CAF"/>
    <w:rsid w:val="002330B4"/>
    <w:rsid w:val="00233303"/>
    <w:rsid w:val="00233306"/>
    <w:rsid w:val="002337BC"/>
    <w:rsid w:val="00233991"/>
    <w:rsid w:val="00233B8D"/>
    <w:rsid w:val="00233C84"/>
    <w:rsid w:val="00234151"/>
    <w:rsid w:val="0023417B"/>
    <w:rsid w:val="002344D3"/>
    <w:rsid w:val="002346FF"/>
    <w:rsid w:val="002347FE"/>
    <w:rsid w:val="00234F8C"/>
    <w:rsid w:val="0023516E"/>
    <w:rsid w:val="002352C0"/>
    <w:rsid w:val="0023535E"/>
    <w:rsid w:val="00235542"/>
    <w:rsid w:val="002359A3"/>
    <w:rsid w:val="00235AF6"/>
    <w:rsid w:val="002360B5"/>
    <w:rsid w:val="00236183"/>
    <w:rsid w:val="00236289"/>
    <w:rsid w:val="0023636A"/>
    <w:rsid w:val="00236878"/>
    <w:rsid w:val="0023690D"/>
    <w:rsid w:val="00236926"/>
    <w:rsid w:val="002369B0"/>
    <w:rsid w:val="00236AD8"/>
    <w:rsid w:val="00236D8B"/>
    <w:rsid w:val="002371FB"/>
    <w:rsid w:val="002373C1"/>
    <w:rsid w:val="002374DC"/>
    <w:rsid w:val="00237591"/>
    <w:rsid w:val="00237AEF"/>
    <w:rsid w:val="00237C15"/>
    <w:rsid w:val="00237C9E"/>
    <w:rsid w:val="00237E41"/>
    <w:rsid w:val="002401AF"/>
    <w:rsid w:val="002401F5"/>
    <w:rsid w:val="002402C4"/>
    <w:rsid w:val="00240817"/>
    <w:rsid w:val="00240995"/>
    <w:rsid w:val="00240E54"/>
    <w:rsid w:val="00240F07"/>
    <w:rsid w:val="002414CB"/>
    <w:rsid w:val="00241564"/>
    <w:rsid w:val="0024157D"/>
    <w:rsid w:val="002416A0"/>
    <w:rsid w:val="002417F9"/>
    <w:rsid w:val="002419A9"/>
    <w:rsid w:val="00241BCC"/>
    <w:rsid w:val="00241C84"/>
    <w:rsid w:val="0024201C"/>
    <w:rsid w:val="00242C4C"/>
    <w:rsid w:val="00242EF1"/>
    <w:rsid w:val="002438AC"/>
    <w:rsid w:val="00243D61"/>
    <w:rsid w:val="00243E8F"/>
    <w:rsid w:val="002442B5"/>
    <w:rsid w:val="00244552"/>
    <w:rsid w:val="002448DE"/>
    <w:rsid w:val="00244F6B"/>
    <w:rsid w:val="00245026"/>
    <w:rsid w:val="0024509D"/>
    <w:rsid w:val="002451C5"/>
    <w:rsid w:val="00245682"/>
    <w:rsid w:val="002456D2"/>
    <w:rsid w:val="00245B5A"/>
    <w:rsid w:val="00245F1F"/>
    <w:rsid w:val="00245F2E"/>
    <w:rsid w:val="00246123"/>
    <w:rsid w:val="002462BB"/>
    <w:rsid w:val="0024663B"/>
    <w:rsid w:val="00246863"/>
    <w:rsid w:val="00246AF2"/>
    <w:rsid w:val="00247103"/>
    <w:rsid w:val="0024724C"/>
    <w:rsid w:val="0024784C"/>
    <w:rsid w:val="00250034"/>
    <w:rsid w:val="00250067"/>
    <w:rsid w:val="00250409"/>
    <w:rsid w:val="00250734"/>
    <w:rsid w:val="00250922"/>
    <w:rsid w:val="00250C81"/>
    <w:rsid w:val="00251204"/>
    <w:rsid w:val="00251341"/>
    <w:rsid w:val="00251372"/>
    <w:rsid w:val="00251422"/>
    <w:rsid w:val="00251523"/>
    <w:rsid w:val="002516AE"/>
    <w:rsid w:val="002516DE"/>
    <w:rsid w:val="00251B73"/>
    <w:rsid w:val="00251F81"/>
    <w:rsid w:val="0025201E"/>
    <w:rsid w:val="0025221A"/>
    <w:rsid w:val="002527C3"/>
    <w:rsid w:val="002527FF"/>
    <w:rsid w:val="00252BE0"/>
    <w:rsid w:val="00252ED3"/>
    <w:rsid w:val="002532C5"/>
    <w:rsid w:val="002532D4"/>
    <w:rsid w:val="00253588"/>
    <w:rsid w:val="00253AEF"/>
    <w:rsid w:val="00253D36"/>
    <w:rsid w:val="00253F28"/>
    <w:rsid w:val="00253F75"/>
    <w:rsid w:val="00253FB8"/>
    <w:rsid w:val="002546F4"/>
    <w:rsid w:val="00254865"/>
    <w:rsid w:val="00254CF1"/>
    <w:rsid w:val="002551D0"/>
    <w:rsid w:val="00255374"/>
    <w:rsid w:val="002557A2"/>
    <w:rsid w:val="002558BB"/>
    <w:rsid w:val="00255AAD"/>
    <w:rsid w:val="00255D73"/>
    <w:rsid w:val="00255DB7"/>
    <w:rsid w:val="00255E2A"/>
    <w:rsid w:val="00255ED4"/>
    <w:rsid w:val="00257300"/>
    <w:rsid w:val="00257BF4"/>
    <w:rsid w:val="00257C9A"/>
    <w:rsid w:val="00257CDE"/>
    <w:rsid w:val="00257F53"/>
    <w:rsid w:val="00260003"/>
    <w:rsid w:val="00260026"/>
    <w:rsid w:val="002602FE"/>
    <w:rsid w:val="0026035D"/>
    <w:rsid w:val="002603D3"/>
    <w:rsid w:val="002606A8"/>
    <w:rsid w:val="002606D6"/>
    <w:rsid w:val="00260AD3"/>
    <w:rsid w:val="00260BC8"/>
    <w:rsid w:val="00260C8F"/>
    <w:rsid w:val="00260DCB"/>
    <w:rsid w:val="00260F56"/>
    <w:rsid w:val="00260FCB"/>
    <w:rsid w:val="002611EF"/>
    <w:rsid w:val="002615BE"/>
    <w:rsid w:val="00261871"/>
    <w:rsid w:val="00261A5B"/>
    <w:rsid w:val="00261C98"/>
    <w:rsid w:val="00261DD4"/>
    <w:rsid w:val="00261EC1"/>
    <w:rsid w:val="00261FB9"/>
    <w:rsid w:val="002622FC"/>
    <w:rsid w:val="0026248E"/>
    <w:rsid w:val="00262914"/>
    <w:rsid w:val="002629B3"/>
    <w:rsid w:val="00262FC1"/>
    <w:rsid w:val="00262FD2"/>
    <w:rsid w:val="0026315A"/>
    <w:rsid w:val="00263642"/>
    <w:rsid w:val="00263721"/>
    <w:rsid w:val="00263DA4"/>
    <w:rsid w:val="002640FF"/>
    <w:rsid w:val="00264406"/>
    <w:rsid w:val="002647BF"/>
    <w:rsid w:val="002647D5"/>
    <w:rsid w:val="00264A1A"/>
    <w:rsid w:val="00264DE6"/>
    <w:rsid w:val="00265032"/>
    <w:rsid w:val="002651FB"/>
    <w:rsid w:val="0026538C"/>
    <w:rsid w:val="0026553B"/>
    <w:rsid w:val="002655A6"/>
    <w:rsid w:val="00265781"/>
    <w:rsid w:val="002659A5"/>
    <w:rsid w:val="00265DD1"/>
    <w:rsid w:val="00265E7B"/>
    <w:rsid w:val="00265F54"/>
    <w:rsid w:val="002661A7"/>
    <w:rsid w:val="00266510"/>
    <w:rsid w:val="002666A0"/>
    <w:rsid w:val="00266B13"/>
    <w:rsid w:val="00266C51"/>
    <w:rsid w:val="00266DDF"/>
    <w:rsid w:val="00266F29"/>
    <w:rsid w:val="00266F53"/>
    <w:rsid w:val="00267DA1"/>
    <w:rsid w:val="002701CB"/>
    <w:rsid w:val="002703A2"/>
    <w:rsid w:val="002706C0"/>
    <w:rsid w:val="00270728"/>
    <w:rsid w:val="00270A87"/>
    <w:rsid w:val="00270D42"/>
    <w:rsid w:val="0027124B"/>
    <w:rsid w:val="00271895"/>
    <w:rsid w:val="0027195D"/>
    <w:rsid w:val="00271D1D"/>
    <w:rsid w:val="00271D76"/>
    <w:rsid w:val="00271F7F"/>
    <w:rsid w:val="00272866"/>
    <w:rsid w:val="00272A82"/>
    <w:rsid w:val="00272B03"/>
    <w:rsid w:val="00272D16"/>
    <w:rsid w:val="00272DB2"/>
    <w:rsid w:val="00273171"/>
    <w:rsid w:val="002732ED"/>
    <w:rsid w:val="002733E2"/>
    <w:rsid w:val="0027348E"/>
    <w:rsid w:val="00273CB3"/>
    <w:rsid w:val="0027404C"/>
    <w:rsid w:val="0027422C"/>
    <w:rsid w:val="0027450A"/>
    <w:rsid w:val="002745CB"/>
    <w:rsid w:val="00274799"/>
    <w:rsid w:val="00274A19"/>
    <w:rsid w:val="002750B1"/>
    <w:rsid w:val="002755CC"/>
    <w:rsid w:val="0027583E"/>
    <w:rsid w:val="002759C1"/>
    <w:rsid w:val="00275BF8"/>
    <w:rsid w:val="00275EFE"/>
    <w:rsid w:val="00276166"/>
    <w:rsid w:val="00276462"/>
    <w:rsid w:val="00276473"/>
    <w:rsid w:val="00276897"/>
    <w:rsid w:val="0027689C"/>
    <w:rsid w:val="002768A9"/>
    <w:rsid w:val="00276A35"/>
    <w:rsid w:val="0027715E"/>
    <w:rsid w:val="00277411"/>
    <w:rsid w:val="00277835"/>
    <w:rsid w:val="00277B56"/>
    <w:rsid w:val="00277D47"/>
    <w:rsid w:val="00277D95"/>
    <w:rsid w:val="00277DF4"/>
    <w:rsid w:val="0028065D"/>
    <w:rsid w:val="002809D4"/>
    <w:rsid w:val="00280A7B"/>
    <w:rsid w:val="00280AB1"/>
    <w:rsid w:val="00281194"/>
    <w:rsid w:val="00281C22"/>
    <w:rsid w:val="00281EC1"/>
    <w:rsid w:val="00282247"/>
    <w:rsid w:val="00282455"/>
    <w:rsid w:val="0028246F"/>
    <w:rsid w:val="00282A96"/>
    <w:rsid w:val="00282C7E"/>
    <w:rsid w:val="0028376B"/>
    <w:rsid w:val="0028389E"/>
    <w:rsid w:val="00283913"/>
    <w:rsid w:val="00283C9B"/>
    <w:rsid w:val="00283F09"/>
    <w:rsid w:val="002841CB"/>
    <w:rsid w:val="002841F0"/>
    <w:rsid w:val="00284606"/>
    <w:rsid w:val="00284643"/>
    <w:rsid w:val="0028479C"/>
    <w:rsid w:val="00284935"/>
    <w:rsid w:val="00284BAE"/>
    <w:rsid w:val="00284BEF"/>
    <w:rsid w:val="00284DA0"/>
    <w:rsid w:val="00285394"/>
    <w:rsid w:val="002853BC"/>
    <w:rsid w:val="002854A1"/>
    <w:rsid w:val="002859AF"/>
    <w:rsid w:val="00285ADA"/>
    <w:rsid w:val="002863B3"/>
    <w:rsid w:val="0028640F"/>
    <w:rsid w:val="002865A8"/>
    <w:rsid w:val="00286673"/>
    <w:rsid w:val="00286AE7"/>
    <w:rsid w:val="00286B65"/>
    <w:rsid w:val="00286BD0"/>
    <w:rsid w:val="00287243"/>
    <w:rsid w:val="00287271"/>
    <w:rsid w:val="002876E7"/>
    <w:rsid w:val="00287C4E"/>
    <w:rsid w:val="00287D65"/>
    <w:rsid w:val="00287E3A"/>
    <w:rsid w:val="00287FAE"/>
    <w:rsid w:val="00290647"/>
    <w:rsid w:val="00290BA8"/>
    <w:rsid w:val="00290C4A"/>
    <w:rsid w:val="00290F9E"/>
    <w:rsid w:val="00291178"/>
    <w:rsid w:val="00291385"/>
    <w:rsid w:val="00291422"/>
    <w:rsid w:val="00291754"/>
    <w:rsid w:val="00291AE7"/>
    <w:rsid w:val="00291E17"/>
    <w:rsid w:val="0029237F"/>
    <w:rsid w:val="00292438"/>
    <w:rsid w:val="00292715"/>
    <w:rsid w:val="002928E8"/>
    <w:rsid w:val="00292B29"/>
    <w:rsid w:val="00292BF6"/>
    <w:rsid w:val="00292FBE"/>
    <w:rsid w:val="002934F4"/>
    <w:rsid w:val="00293600"/>
    <w:rsid w:val="002938E3"/>
    <w:rsid w:val="00293D83"/>
    <w:rsid w:val="00293E57"/>
    <w:rsid w:val="00294092"/>
    <w:rsid w:val="00294448"/>
    <w:rsid w:val="002947D1"/>
    <w:rsid w:val="002948DF"/>
    <w:rsid w:val="00294D90"/>
    <w:rsid w:val="0029503F"/>
    <w:rsid w:val="00295048"/>
    <w:rsid w:val="0029534D"/>
    <w:rsid w:val="0029547B"/>
    <w:rsid w:val="002959C9"/>
    <w:rsid w:val="00295B4C"/>
    <w:rsid w:val="00295C1A"/>
    <w:rsid w:val="00295C22"/>
    <w:rsid w:val="00295E1A"/>
    <w:rsid w:val="0029619C"/>
    <w:rsid w:val="00296595"/>
    <w:rsid w:val="00296940"/>
    <w:rsid w:val="00296B48"/>
    <w:rsid w:val="00296C1E"/>
    <w:rsid w:val="00296C48"/>
    <w:rsid w:val="00296F2F"/>
    <w:rsid w:val="0029745E"/>
    <w:rsid w:val="00297889"/>
    <w:rsid w:val="00297B84"/>
    <w:rsid w:val="00297E08"/>
    <w:rsid w:val="00297E4A"/>
    <w:rsid w:val="002A0719"/>
    <w:rsid w:val="002A0805"/>
    <w:rsid w:val="002A083F"/>
    <w:rsid w:val="002A0CFF"/>
    <w:rsid w:val="002A0D10"/>
    <w:rsid w:val="002A0D25"/>
    <w:rsid w:val="002A0E5C"/>
    <w:rsid w:val="002A109E"/>
    <w:rsid w:val="002A1881"/>
    <w:rsid w:val="002A1B1B"/>
    <w:rsid w:val="002A1C48"/>
    <w:rsid w:val="002A1E92"/>
    <w:rsid w:val="002A204D"/>
    <w:rsid w:val="002A257E"/>
    <w:rsid w:val="002A2582"/>
    <w:rsid w:val="002A2616"/>
    <w:rsid w:val="002A26E1"/>
    <w:rsid w:val="002A2A37"/>
    <w:rsid w:val="002A2D69"/>
    <w:rsid w:val="002A2F85"/>
    <w:rsid w:val="002A3260"/>
    <w:rsid w:val="002A368A"/>
    <w:rsid w:val="002A39BF"/>
    <w:rsid w:val="002A4065"/>
    <w:rsid w:val="002A43D3"/>
    <w:rsid w:val="002A4C60"/>
    <w:rsid w:val="002A51DD"/>
    <w:rsid w:val="002A546C"/>
    <w:rsid w:val="002A5849"/>
    <w:rsid w:val="002A59F0"/>
    <w:rsid w:val="002A5A92"/>
    <w:rsid w:val="002A5C2F"/>
    <w:rsid w:val="002A5E49"/>
    <w:rsid w:val="002A633C"/>
    <w:rsid w:val="002A6432"/>
    <w:rsid w:val="002A65D1"/>
    <w:rsid w:val="002A666B"/>
    <w:rsid w:val="002A674B"/>
    <w:rsid w:val="002A680C"/>
    <w:rsid w:val="002A6A32"/>
    <w:rsid w:val="002A6C7C"/>
    <w:rsid w:val="002A6F25"/>
    <w:rsid w:val="002A6FD3"/>
    <w:rsid w:val="002A70D6"/>
    <w:rsid w:val="002A757B"/>
    <w:rsid w:val="002A7822"/>
    <w:rsid w:val="002B0A7D"/>
    <w:rsid w:val="002B130E"/>
    <w:rsid w:val="002B1380"/>
    <w:rsid w:val="002B14AE"/>
    <w:rsid w:val="002B18A5"/>
    <w:rsid w:val="002B19A9"/>
    <w:rsid w:val="002B1A69"/>
    <w:rsid w:val="002B1BA7"/>
    <w:rsid w:val="002B1C21"/>
    <w:rsid w:val="002B1D71"/>
    <w:rsid w:val="002B1F66"/>
    <w:rsid w:val="002B1FEE"/>
    <w:rsid w:val="002B2723"/>
    <w:rsid w:val="002B2746"/>
    <w:rsid w:val="002B293A"/>
    <w:rsid w:val="002B2B87"/>
    <w:rsid w:val="002B303A"/>
    <w:rsid w:val="002B3143"/>
    <w:rsid w:val="002B39C0"/>
    <w:rsid w:val="002B3B32"/>
    <w:rsid w:val="002B3E8C"/>
    <w:rsid w:val="002B3EB1"/>
    <w:rsid w:val="002B3F17"/>
    <w:rsid w:val="002B409A"/>
    <w:rsid w:val="002B4398"/>
    <w:rsid w:val="002B43A0"/>
    <w:rsid w:val="002B452A"/>
    <w:rsid w:val="002B47E8"/>
    <w:rsid w:val="002B50D2"/>
    <w:rsid w:val="002B538E"/>
    <w:rsid w:val="002B53FB"/>
    <w:rsid w:val="002B5474"/>
    <w:rsid w:val="002B555C"/>
    <w:rsid w:val="002B575D"/>
    <w:rsid w:val="002B5954"/>
    <w:rsid w:val="002B5AA9"/>
    <w:rsid w:val="002B5DCA"/>
    <w:rsid w:val="002B5EA7"/>
    <w:rsid w:val="002B63C4"/>
    <w:rsid w:val="002B69DF"/>
    <w:rsid w:val="002B6BDC"/>
    <w:rsid w:val="002B6E8F"/>
    <w:rsid w:val="002B714D"/>
    <w:rsid w:val="002B728F"/>
    <w:rsid w:val="002B737A"/>
    <w:rsid w:val="002B749A"/>
    <w:rsid w:val="002B75B0"/>
    <w:rsid w:val="002B7824"/>
    <w:rsid w:val="002B7A72"/>
    <w:rsid w:val="002B7EAF"/>
    <w:rsid w:val="002C02A6"/>
    <w:rsid w:val="002C0302"/>
    <w:rsid w:val="002C034E"/>
    <w:rsid w:val="002C0636"/>
    <w:rsid w:val="002C07BE"/>
    <w:rsid w:val="002C099C"/>
    <w:rsid w:val="002C0B74"/>
    <w:rsid w:val="002C0C8B"/>
    <w:rsid w:val="002C0CBB"/>
    <w:rsid w:val="002C1201"/>
    <w:rsid w:val="002C121F"/>
    <w:rsid w:val="002C1460"/>
    <w:rsid w:val="002C182F"/>
    <w:rsid w:val="002C190A"/>
    <w:rsid w:val="002C1E66"/>
    <w:rsid w:val="002C20DC"/>
    <w:rsid w:val="002C20F2"/>
    <w:rsid w:val="002C23B6"/>
    <w:rsid w:val="002C2609"/>
    <w:rsid w:val="002C27BC"/>
    <w:rsid w:val="002C2C08"/>
    <w:rsid w:val="002C3500"/>
    <w:rsid w:val="002C387C"/>
    <w:rsid w:val="002C38B2"/>
    <w:rsid w:val="002C38DD"/>
    <w:rsid w:val="002C3A06"/>
    <w:rsid w:val="002C3CD0"/>
    <w:rsid w:val="002C3F9C"/>
    <w:rsid w:val="002C4039"/>
    <w:rsid w:val="002C420E"/>
    <w:rsid w:val="002C4264"/>
    <w:rsid w:val="002C4728"/>
    <w:rsid w:val="002C4859"/>
    <w:rsid w:val="002C4C55"/>
    <w:rsid w:val="002C4EDF"/>
    <w:rsid w:val="002C5411"/>
    <w:rsid w:val="002C57D4"/>
    <w:rsid w:val="002C598F"/>
    <w:rsid w:val="002C5AFA"/>
    <w:rsid w:val="002C67D8"/>
    <w:rsid w:val="002C6B7D"/>
    <w:rsid w:val="002C6EDB"/>
    <w:rsid w:val="002C72B2"/>
    <w:rsid w:val="002C744E"/>
    <w:rsid w:val="002C7B25"/>
    <w:rsid w:val="002C7CDC"/>
    <w:rsid w:val="002C7FDF"/>
    <w:rsid w:val="002D00F9"/>
    <w:rsid w:val="002D01D4"/>
    <w:rsid w:val="002D0389"/>
    <w:rsid w:val="002D0439"/>
    <w:rsid w:val="002D04FC"/>
    <w:rsid w:val="002D0763"/>
    <w:rsid w:val="002D09BE"/>
    <w:rsid w:val="002D0C98"/>
    <w:rsid w:val="002D11B7"/>
    <w:rsid w:val="002D1322"/>
    <w:rsid w:val="002D17F8"/>
    <w:rsid w:val="002D1A1D"/>
    <w:rsid w:val="002D1E14"/>
    <w:rsid w:val="002D286B"/>
    <w:rsid w:val="002D2962"/>
    <w:rsid w:val="002D2CC8"/>
    <w:rsid w:val="002D2E62"/>
    <w:rsid w:val="002D2F4E"/>
    <w:rsid w:val="002D2FFA"/>
    <w:rsid w:val="002D3163"/>
    <w:rsid w:val="002D32F7"/>
    <w:rsid w:val="002D3305"/>
    <w:rsid w:val="002D3AFA"/>
    <w:rsid w:val="002D3BBC"/>
    <w:rsid w:val="002D438A"/>
    <w:rsid w:val="002D4DB2"/>
    <w:rsid w:val="002D50EF"/>
    <w:rsid w:val="002D5738"/>
    <w:rsid w:val="002D5A07"/>
    <w:rsid w:val="002D5B3E"/>
    <w:rsid w:val="002D5E53"/>
    <w:rsid w:val="002D60C3"/>
    <w:rsid w:val="002D63BE"/>
    <w:rsid w:val="002D66D1"/>
    <w:rsid w:val="002D6860"/>
    <w:rsid w:val="002D6884"/>
    <w:rsid w:val="002D6915"/>
    <w:rsid w:val="002D709F"/>
    <w:rsid w:val="002D70E4"/>
    <w:rsid w:val="002D721A"/>
    <w:rsid w:val="002D726D"/>
    <w:rsid w:val="002D7584"/>
    <w:rsid w:val="002D7A98"/>
    <w:rsid w:val="002D7C9B"/>
    <w:rsid w:val="002D7F71"/>
    <w:rsid w:val="002E0319"/>
    <w:rsid w:val="002E0991"/>
    <w:rsid w:val="002E0DAE"/>
    <w:rsid w:val="002E1272"/>
    <w:rsid w:val="002E1622"/>
    <w:rsid w:val="002E167C"/>
    <w:rsid w:val="002E16C5"/>
    <w:rsid w:val="002E179B"/>
    <w:rsid w:val="002E1AC7"/>
    <w:rsid w:val="002E1C9E"/>
    <w:rsid w:val="002E22B7"/>
    <w:rsid w:val="002E257B"/>
    <w:rsid w:val="002E2A3B"/>
    <w:rsid w:val="002E2C53"/>
    <w:rsid w:val="002E2E11"/>
    <w:rsid w:val="002E2EA3"/>
    <w:rsid w:val="002E307A"/>
    <w:rsid w:val="002E37DB"/>
    <w:rsid w:val="002E3B56"/>
    <w:rsid w:val="002E3C65"/>
    <w:rsid w:val="002E3E70"/>
    <w:rsid w:val="002E3EAB"/>
    <w:rsid w:val="002E3F5B"/>
    <w:rsid w:val="002E3F84"/>
    <w:rsid w:val="002E4362"/>
    <w:rsid w:val="002E44D4"/>
    <w:rsid w:val="002E46F6"/>
    <w:rsid w:val="002E4A60"/>
    <w:rsid w:val="002E50A9"/>
    <w:rsid w:val="002E575F"/>
    <w:rsid w:val="002E593D"/>
    <w:rsid w:val="002E63D7"/>
    <w:rsid w:val="002E63D9"/>
    <w:rsid w:val="002E640E"/>
    <w:rsid w:val="002E6B1E"/>
    <w:rsid w:val="002E6CE0"/>
    <w:rsid w:val="002E6F13"/>
    <w:rsid w:val="002E6F84"/>
    <w:rsid w:val="002E7538"/>
    <w:rsid w:val="002E753D"/>
    <w:rsid w:val="002E793A"/>
    <w:rsid w:val="002E7E0E"/>
    <w:rsid w:val="002F0169"/>
    <w:rsid w:val="002F01FF"/>
    <w:rsid w:val="002F0789"/>
    <w:rsid w:val="002F0C28"/>
    <w:rsid w:val="002F1250"/>
    <w:rsid w:val="002F15D9"/>
    <w:rsid w:val="002F17FB"/>
    <w:rsid w:val="002F186B"/>
    <w:rsid w:val="002F18EF"/>
    <w:rsid w:val="002F1E2C"/>
    <w:rsid w:val="002F1E5A"/>
    <w:rsid w:val="002F20BE"/>
    <w:rsid w:val="002F2577"/>
    <w:rsid w:val="002F2662"/>
    <w:rsid w:val="002F2DE6"/>
    <w:rsid w:val="002F3168"/>
    <w:rsid w:val="002F3767"/>
    <w:rsid w:val="002F3832"/>
    <w:rsid w:val="002F3CDE"/>
    <w:rsid w:val="002F3E13"/>
    <w:rsid w:val="002F43E7"/>
    <w:rsid w:val="002F4922"/>
    <w:rsid w:val="002F5351"/>
    <w:rsid w:val="002F53ED"/>
    <w:rsid w:val="002F5464"/>
    <w:rsid w:val="002F5625"/>
    <w:rsid w:val="002F58CD"/>
    <w:rsid w:val="002F5A59"/>
    <w:rsid w:val="002F5DD6"/>
    <w:rsid w:val="002F5FEA"/>
    <w:rsid w:val="002F63E7"/>
    <w:rsid w:val="002F6875"/>
    <w:rsid w:val="002F6D0E"/>
    <w:rsid w:val="002F774E"/>
    <w:rsid w:val="002F7910"/>
    <w:rsid w:val="002F7B8E"/>
    <w:rsid w:val="002F7BE3"/>
    <w:rsid w:val="002F7E6A"/>
    <w:rsid w:val="002F7F82"/>
    <w:rsid w:val="0030006E"/>
    <w:rsid w:val="00300165"/>
    <w:rsid w:val="003005A1"/>
    <w:rsid w:val="003005D4"/>
    <w:rsid w:val="003009AC"/>
    <w:rsid w:val="003009EF"/>
    <w:rsid w:val="00300A6C"/>
    <w:rsid w:val="003010CF"/>
    <w:rsid w:val="003013AB"/>
    <w:rsid w:val="00301617"/>
    <w:rsid w:val="00301BEE"/>
    <w:rsid w:val="0030202E"/>
    <w:rsid w:val="00302754"/>
    <w:rsid w:val="00302CF3"/>
    <w:rsid w:val="00302D13"/>
    <w:rsid w:val="003033E5"/>
    <w:rsid w:val="00303440"/>
    <w:rsid w:val="00303C1E"/>
    <w:rsid w:val="00304052"/>
    <w:rsid w:val="003043A1"/>
    <w:rsid w:val="00304C5B"/>
    <w:rsid w:val="00304D9B"/>
    <w:rsid w:val="00304DE8"/>
    <w:rsid w:val="00305058"/>
    <w:rsid w:val="0030511B"/>
    <w:rsid w:val="00305284"/>
    <w:rsid w:val="00305664"/>
    <w:rsid w:val="00305CFC"/>
    <w:rsid w:val="00305DF0"/>
    <w:rsid w:val="00305E26"/>
    <w:rsid w:val="00305FF9"/>
    <w:rsid w:val="0030603D"/>
    <w:rsid w:val="003061F1"/>
    <w:rsid w:val="0030641E"/>
    <w:rsid w:val="00306529"/>
    <w:rsid w:val="003067F9"/>
    <w:rsid w:val="0030697F"/>
    <w:rsid w:val="00306CBD"/>
    <w:rsid w:val="00306CD6"/>
    <w:rsid w:val="00306D76"/>
    <w:rsid w:val="00306DD7"/>
    <w:rsid w:val="00306E55"/>
    <w:rsid w:val="00306E6B"/>
    <w:rsid w:val="003072E8"/>
    <w:rsid w:val="00307338"/>
    <w:rsid w:val="003077CC"/>
    <w:rsid w:val="00307C36"/>
    <w:rsid w:val="00307DCE"/>
    <w:rsid w:val="00310097"/>
    <w:rsid w:val="003100C8"/>
    <w:rsid w:val="00310194"/>
    <w:rsid w:val="0031052E"/>
    <w:rsid w:val="003106DE"/>
    <w:rsid w:val="00310A46"/>
    <w:rsid w:val="00310EC7"/>
    <w:rsid w:val="00311161"/>
    <w:rsid w:val="00311397"/>
    <w:rsid w:val="00311B29"/>
    <w:rsid w:val="00311F68"/>
    <w:rsid w:val="00311F6F"/>
    <w:rsid w:val="003122EF"/>
    <w:rsid w:val="00312400"/>
    <w:rsid w:val="00312739"/>
    <w:rsid w:val="00312A17"/>
    <w:rsid w:val="00312AD7"/>
    <w:rsid w:val="00312CB5"/>
    <w:rsid w:val="00312D10"/>
    <w:rsid w:val="00312EC8"/>
    <w:rsid w:val="0031306A"/>
    <w:rsid w:val="003130B6"/>
    <w:rsid w:val="00313148"/>
    <w:rsid w:val="00313280"/>
    <w:rsid w:val="0031336F"/>
    <w:rsid w:val="0031361D"/>
    <w:rsid w:val="0031382C"/>
    <w:rsid w:val="0031406C"/>
    <w:rsid w:val="003140F3"/>
    <w:rsid w:val="003144E3"/>
    <w:rsid w:val="00314AE5"/>
    <w:rsid w:val="00314BDF"/>
    <w:rsid w:val="00314C05"/>
    <w:rsid w:val="00314DBF"/>
    <w:rsid w:val="00314F2E"/>
    <w:rsid w:val="0031545F"/>
    <w:rsid w:val="003156C4"/>
    <w:rsid w:val="003158DE"/>
    <w:rsid w:val="00315D56"/>
    <w:rsid w:val="00315EDE"/>
    <w:rsid w:val="00315F63"/>
    <w:rsid w:val="00316689"/>
    <w:rsid w:val="0031674C"/>
    <w:rsid w:val="00316EB5"/>
    <w:rsid w:val="00316FE4"/>
    <w:rsid w:val="00317318"/>
    <w:rsid w:val="00317496"/>
    <w:rsid w:val="00317577"/>
    <w:rsid w:val="0031781A"/>
    <w:rsid w:val="003178DA"/>
    <w:rsid w:val="00317966"/>
    <w:rsid w:val="00317A11"/>
    <w:rsid w:val="00317C91"/>
    <w:rsid w:val="00317DB8"/>
    <w:rsid w:val="00317E99"/>
    <w:rsid w:val="00317F51"/>
    <w:rsid w:val="003202C2"/>
    <w:rsid w:val="0032040A"/>
    <w:rsid w:val="00320618"/>
    <w:rsid w:val="003209A4"/>
    <w:rsid w:val="00320BA6"/>
    <w:rsid w:val="00320C54"/>
    <w:rsid w:val="0032100B"/>
    <w:rsid w:val="00321793"/>
    <w:rsid w:val="00321BD7"/>
    <w:rsid w:val="00321C88"/>
    <w:rsid w:val="00321F40"/>
    <w:rsid w:val="00321FE0"/>
    <w:rsid w:val="0032260F"/>
    <w:rsid w:val="00322835"/>
    <w:rsid w:val="00322859"/>
    <w:rsid w:val="003228DA"/>
    <w:rsid w:val="00322B3A"/>
    <w:rsid w:val="003231E4"/>
    <w:rsid w:val="003232AF"/>
    <w:rsid w:val="003232C1"/>
    <w:rsid w:val="003238CF"/>
    <w:rsid w:val="003238DB"/>
    <w:rsid w:val="00323D6B"/>
    <w:rsid w:val="00323DFC"/>
    <w:rsid w:val="0032463B"/>
    <w:rsid w:val="00324B51"/>
    <w:rsid w:val="00324CD7"/>
    <w:rsid w:val="00324D86"/>
    <w:rsid w:val="00324E6A"/>
    <w:rsid w:val="003255C6"/>
    <w:rsid w:val="003257F6"/>
    <w:rsid w:val="003257FD"/>
    <w:rsid w:val="00325A20"/>
    <w:rsid w:val="003268B9"/>
    <w:rsid w:val="00326957"/>
    <w:rsid w:val="00326AE2"/>
    <w:rsid w:val="00326B11"/>
    <w:rsid w:val="00326B4C"/>
    <w:rsid w:val="00327025"/>
    <w:rsid w:val="00327482"/>
    <w:rsid w:val="003275B7"/>
    <w:rsid w:val="00327981"/>
    <w:rsid w:val="00327A9F"/>
    <w:rsid w:val="00327D3E"/>
    <w:rsid w:val="00327D5C"/>
    <w:rsid w:val="003302AB"/>
    <w:rsid w:val="003308CA"/>
    <w:rsid w:val="00330AA4"/>
    <w:rsid w:val="00330FDB"/>
    <w:rsid w:val="00331525"/>
    <w:rsid w:val="0033171D"/>
    <w:rsid w:val="003318AA"/>
    <w:rsid w:val="003319B5"/>
    <w:rsid w:val="00331D0A"/>
    <w:rsid w:val="00331FC3"/>
    <w:rsid w:val="00332165"/>
    <w:rsid w:val="003322C0"/>
    <w:rsid w:val="00332D46"/>
    <w:rsid w:val="00332F3B"/>
    <w:rsid w:val="00332F3D"/>
    <w:rsid w:val="003336B3"/>
    <w:rsid w:val="00333A5B"/>
    <w:rsid w:val="0033426B"/>
    <w:rsid w:val="0033492A"/>
    <w:rsid w:val="00334EAA"/>
    <w:rsid w:val="003351B6"/>
    <w:rsid w:val="003351FF"/>
    <w:rsid w:val="00335B75"/>
    <w:rsid w:val="00335D8C"/>
    <w:rsid w:val="00335F97"/>
    <w:rsid w:val="00336072"/>
    <w:rsid w:val="0033617E"/>
    <w:rsid w:val="0033633C"/>
    <w:rsid w:val="003363A1"/>
    <w:rsid w:val="003363F5"/>
    <w:rsid w:val="00336AEF"/>
    <w:rsid w:val="00336B3F"/>
    <w:rsid w:val="003374A4"/>
    <w:rsid w:val="00337513"/>
    <w:rsid w:val="00337D49"/>
    <w:rsid w:val="0034038E"/>
    <w:rsid w:val="00340946"/>
    <w:rsid w:val="00340BB7"/>
    <w:rsid w:val="00341947"/>
    <w:rsid w:val="0034226D"/>
    <w:rsid w:val="0034241F"/>
    <w:rsid w:val="0034295E"/>
    <w:rsid w:val="00342972"/>
    <w:rsid w:val="00342B0A"/>
    <w:rsid w:val="00342FDD"/>
    <w:rsid w:val="00343198"/>
    <w:rsid w:val="00343479"/>
    <w:rsid w:val="00343573"/>
    <w:rsid w:val="0034371D"/>
    <w:rsid w:val="00343B4D"/>
    <w:rsid w:val="00343C97"/>
    <w:rsid w:val="00343E6E"/>
    <w:rsid w:val="0034429B"/>
    <w:rsid w:val="003442FF"/>
    <w:rsid w:val="00344645"/>
    <w:rsid w:val="00344866"/>
    <w:rsid w:val="0034492F"/>
    <w:rsid w:val="00344F9B"/>
    <w:rsid w:val="00345001"/>
    <w:rsid w:val="00345F14"/>
    <w:rsid w:val="003462FD"/>
    <w:rsid w:val="0034638C"/>
    <w:rsid w:val="003463B1"/>
    <w:rsid w:val="0034666E"/>
    <w:rsid w:val="00346746"/>
    <w:rsid w:val="00346C4F"/>
    <w:rsid w:val="00346F7F"/>
    <w:rsid w:val="00347394"/>
    <w:rsid w:val="00347700"/>
    <w:rsid w:val="0034770B"/>
    <w:rsid w:val="0034786A"/>
    <w:rsid w:val="00347877"/>
    <w:rsid w:val="003478A8"/>
    <w:rsid w:val="00347DC4"/>
    <w:rsid w:val="00347DE2"/>
    <w:rsid w:val="00350108"/>
    <w:rsid w:val="003502A8"/>
    <w:rsid w:val="00350762"/>
    <w:rsid w:val="003507C4"/>
    <w:rsid w:val="003507D4"/>
    <w:rsid w:val="00350C10"/>
    <w:rsid w:val="00350D6F"/>
    <w:rsid w:val="00351029"/>
    <w:rsid w:val="00351110"/>
    <w:rsid w:val="00351113"/>
    <w:rsid w:val="00351124"/>
    <w:rsid w:val="00351186"/>
    <w:rsid w:val="00351947"/>
    <w:rsid w:val="003519A1"/>
    <w:rsid w:val="00351FB3"/>
    <w:rsid w:val="00352138"/>
    <w:rsid w:val="00352480"/>
    <w:rsid w:val="003525B4"/>
    <w:rsid w:val="00352853"/>
    <w:rsid w:val="00352ECF"/>
    <w:rsid w:val="003530D2"/>
    <w:rsid w:val="003531B0"/>
    <w:rsid w:val="0035331A"/>
    <w:rsid w:val="003534E1"/>
    <w:rsid w:val="003535EC"/>
    <w:rsid w:val="00353B0A"/>
    <w:rsid w:val="00353F0E"/>
    <w:rsid w:val="00353F96"/>
    <w:rsid w:val="00354652"/>
    <w:rsid w:val="003548D8"/>
    <w:rsid w:val="00354A6C"/>
    <w:rsid w:val="00354A98"/>
    <w:rsid w:val="00354EF2"/>
    <w:rsid w:val="00354EF6"/>
    <w:rsid w:val="00355021"/>
    <w:rsid w:val="003554CA"/>
    <w:rsid w:val="00355A12"/>
    <w:rsid w:val="00355F0A"/>
    <w:rsid w:val="00355F4C"/>
    <w:rsid w:val="00356164"/>
    <w:rsid w:val="003565C7"/>
    <w:rsid w:val="0035679F"/>
    <w:rsid w:val="003567B4"/>
    <w:rsid w:val="0035691E"/>
    <w:rsid w:val="0035693E"/>
    <w:rsid w:val="00356A12"/>
    <w:rsid w:val="00356F1E"/>
    <w:rsid w:val="003574B7"/>
    <w:rsid w:val="00357776"/>
    <w:rsid w:val="00357844"/>
    <w:rsid w:val="00357931"/>
    <w:rsid w:val="00360232"/>
    <w:rsid w:val="0036024F"/>
    <w:rsid w:val="003602E0"/>
    <w:rsid w:val="003608E8"/>
    <w:rsid w:val="00360922"/>
    <w:rsid w:val="00360BB0"/>
    <w:rsid w:val="00360D01"/>
    <w:rsid w:val="003610DA"/>
    <w:rsid w:val="00361539"/>
    <w:rsid w:val="003617BD"/>
    <w:rsid w:val="00361ACB"/>
    <w:rsid w:val="00361BA3"/>
    <w:rsid w:val="00361E81"/>
    <w:rsid w:val="00361F20"/>
    <w:rsid w:val="0036208A"/>
    <w:rsid w:val="003621F9"/>
    <w:rsid w:val="00362252"/>
    <w:rsid w:val="0036227F"/>
    <w:rsid w:val="00362569"/>
    <w:rsid w:val="00362760"/>
    <w:rsid w:val="00362B15"/>
    <w:rsid w:val="00362EEB"/>
    <w:rsid w:val="00362EF6"/>
    <w:rsid w:val="00363364"/>
    <w:rsid w:val="00363493"/>
    <w:rsid w:val="003636A5"/>
    <w:rsid w:val="003636CD"/>
    <w:rsid w:val="00363701"/>
    <w:rsid w:val="00363889"/>
    <w:rsid w:val="003639F6"/>
    <w:rsid w:val="00363EEF"/>
    <w:rsid w:val="0036405E"/>
    <w:rsid w:val="0036420C"/>
    <w:rsid w:val="0036425B"/>
    <w:rsid w:val="003642B6"/>
    <w:rsid w:val="00364394"/>
    <w:rsid w:val="00364518"/>
    <w:rsid w:val="003645F8"/>
    <w:rsid w:val="00364691"/>
    <w:rsid w:val="003647AF"/>
    <w:rsid w:val="0036487C"/>
    <w:rsid w:val="00364C65"/>
    <w:rsid w:val="00364EA3"/>
    <w:rsid w:val="00364F80"/>
    <w:rsid w:val="003651AB"/>
    <w:rsid w:val="00365411"/>
    <w:rsid w:val="003654C3"/>
    <w:rsid w:val="003655C4"/>
    <w:rsid w:val="00365E08"/>
    <w:rsid w:val="00365FA2"/>
    <w:rsid w:val="00366154"/>
    <w:rsid w:val="00366C69"/>
    <w:rsid w:val="00366EA5"/>
    <w:rsid w:val="003671DB"/>
    <w:rsid w:val="00367441"/>
    <w:rsid w:val="003675FB"/>
    <w:rsid w:val="00367617"/>
    <w:rsid w:val="003678A8"/>
    <w:rsid w:val="00367B1D"/>
    <w:rsid w:val="00367D34"/>
    <w:rsid w:val="00370225"/>
    <w:rsid w:val="00370D40"/>
    <w:rsid w:val="00370E4F"/>
    <w:rsid w:val="00371215"/>
    <w:rsid w:val="003713C8"/>
    <w:rsid w:val="003715AA"/>
    <w:rsid w:val="003716F2"/>
    <w:rsid w:val="003717EA"/>
    <w:rsid w:val="00371DF0"/>
    <w:rsid w:val="00371E08"/>
    <w:rsid w:val="00371E33"/>
    <w:rsid w:val="00371F65"/>
    <w:rsid w:val="00372601"/>
    <w:rsid w:val="0037295B"/>
    <w:rsid w:val="00372ACA"/>
    <w:rsid w:val="00372CF0"/>
    <w:rsid w:val="00372DF3"/>
    <w:rsid w:val="00372F0D"/>
    <w:rsid w:val="00373617"/>
    <w:rsid w:val="00373869"/>
    <w:rsid w:val="003739AE"/>
    <w:rsid w:val="00373CA2"/>
    <w:rsid w:val="00373D4F"/>
    <w:rsid w:val="00373DE3"/>
    <w:rsid w:val="00374059"/>
    <w:rsid w:val="003742F5"/>
    <w:rsid w:val="0037478D"/>
    <w:rsid w:val="00374904"/>
    <w:rsid w:val="00374BA1"/>
    <w:rsid w:val="00374DBE"/>
    <w:rsid w:val="0037535B"/>
    <w:rsid w:val="0037552D"/>
    <w:rsid w:val="00375621"/>
    <w:rsid w:val="003756DB"/>
    <w:rsid w:val="00375A80"/>
    <w:rsid w:val="00375C05"/>
    <w:rsid w:val="00375D98"/>
    <w:rsid w:val="00375DC0"/>
    <w:rsid w:val="003762BC"/>
    <w:rsid w:val="0037630F"/>
    <w:rsid w:val="003764A1"/>
    <w:rsid w:val="00376CB6"/>
    <w:rsid w:val="00376D9C"/>
    <w:rsid w:val="00376D9F"/>
    <w:rsid w:val="00376DCB"/>
    <w:rsid w:val="00376F86"/>
    <w:rsid w:val="003770BB"/>
    <w:rsid w:val="003770D2"/>
    <w:rsid w:val="00377175"/>
    <w:rsid w:val="003776A8"/>
    <w:rsid w:val="003776ED"/>
    <w:rsid w:val="0037771A"/>
    <w:rsid w:val="003777F2"/>
    <w:rsid w:val="00377A96"/>
    <w:rsid w:val="00377B5C"/>
    <w:rsid w:val="00377C81"/>
    <w:rsid w:val="003802DC"/>
    <w:rsid w:val="0038095E"/>
    <w:rsid w:val="00380AED"/>
    <w:rsid w:val="00380DD7"/>
    <w:rsid w:val="00380E4E"/>
    <w:rsid w:val="00380FBF"/>
    <w:rsid w:val="003812F9"/>
    <w:rsid w:val="003814D4"/>
    <w:rsid w:val="003815D1"/>
    <w:rsid w:val="003815EE"/>
    <w:rsid w:val="00382404"/>
    <w:rsid w:val="003825A9"/>
    <w:rsid w:val="00382689"/>
    <w:rsid w:val="0038283C"/>
    <w:rsid w:val="00382913"/>
    <w:rsid w:val="00382A43"/>
    <w:rsid w:val="00382B1C"/>
    <w:rsid w:val="00382BE2"/>
    <w:rsid w:val="00382D60"/>
    <w:rsid w:val="00382F29"/>
    <w:rsid w:val="00383433"/>
    <w:rsid w:val="00383808"/>
    <w:rsid w:val="003839D5"/>
    <w:rsid w:val="00383C8D"/>
    <w:rsid w:val="00383D40"/>
    <w:rsid w:val="00383F13"/>
    <w:rsid w:val="00384166"/>
    <w:rsid w:val="00384698"/>
    <w:rsid w:val="00384929"/>
    <w:rsid w:val="00384954"/>
    <w:rsid w:val="00384B4C"/>
    <w:rsid w:val="00384B6A"/>
    <w:rsid w:val="00385089"/>
    <w:rsid w:val="0038519E"/>
    <w:rsid w:val="003851AD"/>
    <w:rsid w:val="003852FB"/>
    <w:rsid w:val="003853B8"/>
    <w:rsid w:val="003853F4"/>
    <w:rsid w:val="00385429"/>
    <w:rsid w:val="00385B05"/>
    <w:rsid w:val="00385E64"/>
    <w:rsid w:val="00386273"/>
    <w:rsid w:val="00386382"/>
    <w:rsid w:val="003865C1"/>
    <w:rsid w:val="003865EF"/>
    <w:rsid w:val="00386867"/>
    <w:rsid w:val="00386899"/>
    <w:rsid w:val="00386BA9"/>
    <w:rsid w:val="00386CBE"/>
    <w:rsid w:val="00387714"/>
    <w:rsid w:val="00387A0E"/>
    <w:rsid w:val="00387A25"/>
    <w:rsid w:val="00387B23"/>
    <w:rsid w:val="00387CA0"/>
    <w:rsid w:val="00387D45"/>
    <w:rsid w:val="00390017"/>
    <w:rsid w:val="003900CC"/>
    <w:rsid w:val="003901A3"/>
    <w:rsid w:val="00390452"/>
    <w:rsid w:val="003905D9"/>
    <w:rsid w:val="0039072F"/>
    <w:rsid w:val="00391324"/>
    <w:rsid w:val="00391431"/>
    <w:rsid w:val="0039164F"/>
    <w:rsid w:val="00391997"/>
    <w:rsid w:val="00391D7F"/>
    <w:rsid w:val="0039282D"/>
    <w:rsid w:val="00392988"/>
    <w:rsid w:val="00392D6D"/>
    <w:rsid w:val="0039303C"/>
    <w:rsid w:val="003934D0"/>
    <w:rsid w:val="003937C9"/>
    <w:rsid w:val="00393B48"/>
    <w:rsid w:val="00393FF9"/>
    <w:rsid w:val="003940CE"/>
    <w:rsid w:val="00394275"/>
    <w:rsid w:val="00394335"/>
    <w:rsid w:val="0039452F"/>
    <w:rsid w:val="00394BF8"/>
    <w:rsid w:val="00394D28"/>
    <w:rsid w:val="00395545"/>
    <w:rsid w:val="003955DE"/>
    <w:rsid w:val="00395704"/>
    <w:rsid w:val="00395784"/>
    <w:rsid w:val="00395E7D"/>
    <w:rsid w:val="0039643E"/>
    <w:rsid w:val="0039682C"/>
    <w:rsid w:val="00396CDF"/>
    <w:rsid w:val="00396D18"/>
    <w:rsid w:val="00396E7A"/>
    <w:rsid w:val="00397311"/>
    <w:rsid w:val="003976BD"/>
    <w:rsid w:val="003977AC"/>
    <w:rsid w:val="00397A84"/>
    <w:rsid w:val="00397C1D"/>
    <w:rsid w:val="003A0727"/>
    <w:rsid w:val="003A0967"/>
    <w:rsid w:val="003A0C27"/>
    <w:rsid w:val="003A0C3D"/>
    <w:rsid w:val="003A0C68"/>
    <w:rsid w:val="003A0D48"/>
    <w:rsid w:val="003A0E1C"/>
    <w:rsid w:val="003A11D6"/>
    <w:rsid w:val="003A180F"/>
    <w:rsid w:val="003A18DD"/>
    <w:rsid w:val="003A1A05"/>
    <w:rsid w:val="003A20C8"/>
    <w:rsid w:val="003A2132"/>
    <w:rsid w:val="003A25B6"/>
    <w:rsid w:val="003A260F"/>
    <w:rsid w:val="003A2635"/>
    <w:rsid w:val="003A2744"/>
    <w:rsid w:val="003A27EA"/>
    <w:rsid w:val="003A2ADD"/>
    <w:rsid w:val="003A2C29"/>
    <w:rsid w:val="003A2EC3"/>
    <w:rsid w:val="003A35F2"/>
    <w:rsid w:val="003A36F2"/>
    <w:rsid w:val="003A3D39"/>
    <w:rsid w:val="003A3EC7"/>
    <w:rsid w:val="003A40B4"/>
    <w:rsid w:val="003A4256"/>
    <w:rsid w:val="003A44DC"/>
    <w:rsid w:val="003A4EAB"/>
    <w:rsid w:val="003A54EA"/>
    <w:rsid w:val="003A5726"/>
    <w:rsid w:val="003A5938"/>
    <w:rsid w:val="003A5A47"/>
    <w:rsid w:val="003A5A8F"/>
    <w:rsid w:val="003A5BC9"/>
    <w:rsid w:val="003A5CD1"/>
    <w:rsid w:val="003A6651"/>
    <w:rsid w:val="003A672B"/>
    <w:rsid w:val="003A680C"/>
    <w:rsid w:val="003A6886"/>
    <w:rsid w:val="003A68F6"/>
    <w:rsid w:val="003A69E9"/>
    <w:rsid w:val="003A6CCB"/>
    <w:rsid w:val="003A6D21"/>
    <w:rsid w:val="003A6F0C"/>
    <w:rsid w:val="003A7095"/>
    <w:rsid w:val="003A710B"/>
    <w:rsid w:val="003A77B1"/>
    <w:rsid w:val="003A7834"/>
    <w:rsid w:val="003A7E23"/>
    <w:rsid w:val="003B0229"/>
    <w:rsid w:val="003B03A7"/>
    <w:rsid w:val="003B08F2"/>
    <w:rsid w:val="003B096C"/>
    <w:rsid w:val="003B09D1"/>
    <w:rsid w:val="003B0A6E"/>
    <w:rsid w:val="003B0B5B"/>
    <w:rsid w:val="003B0D60"/>
    <w:rsid w:val="003B0E79"/>
    <w:rsid w:val="003B13BA"/>
    <w:rsid w:val="003B1864"/>
    <w:rsid w:val="003B1BAA"/>
    <w:rsid w:val="003B1BCC"/>
    <w:rsid w:val="003B1F4A"/>
    <w:rsid w:val="003B215D"/>
    <w:rsid w:val="003B2521"/>
    <w:rsid w:val="003B25A9"/>
    <w:rsid w:val="003B2872"/>
    <w:rsid w:val="003B2C21"/>
    <w:rsid w:val="003B2CBC"/>
    <w:rsid w:val="003B3575"/>
    <w:rsid w:val="003B3939"/>
    <w:rsid w:val="003B3A96"/>
    <w:rsid w:val="003B3CB2"/>
    <w:rsid w:val="003B41D8"/>
    <w:rsid w:val="003B4485"/>
    <w:rsid w:val="003B45C7"/>
    <w:rsid w:val="003B47D3"/>
    <w:rsid w:val="003B494F"/>
    <w:rsid w:val="003B4B7D"/>
    <w:rsid w:val="003B50BC"/>
    <w:rsid w:val="003B52EC"/>
    <w:rsid w:val="003B5CCA"/>
    <w:rsid w:val="003B5D97"/>
    <w:rsid w:val="003B61C7"/>
    <w:rsid w:val="003B63A4"/>
    <w:rsid w:val="003B63D1"/>
    <w:rsid w:val="003B68BA"/>
    <w:rsid w:val="003B68FE"/>
    <w:rsid w:val="003B6A8B"/>
    <w:rsid w:val="003B6C1C"/>
    <w:rsid w:val="003B6D7D"/>
    <w:rsid w:val="003B795E"/>
    <w:rsid w:val="003B7A7E"/>
    <w:rsid w:val="003B7CC1"/>
    <w:rsid w:val="003B7D7E"/>
    <w:rsid w:val="003B7F9C"/>
    <w:rsid w:val="003C00F4"/>
    <w:rsid w:val="003C0186"/>
    <w:rsid w:val="003C08FF"/>
    <w:rsid w:val="003C1012"/>
    <w:rsid w:val="003C1178"/>
    <w:rsid w:val="003C11C9"/>
    <w:rsid w:val="003C1229"/>
    <w:rsid w:val="003C14CF"/>
    <w:rsid w:val="003C15D4"/>
    <w:rsid w:val="003C15F6"/>
    <w:rsid w:val="003C19E7"/>
    <w:rsid w:val="003C1FD4"/>
    <w:rsid w:val="003C2004"/>
    <w:rsid w:val="003C213D"/>
    <w:rsid w:val="003C25AD"/>
    <w:rsid w:val="003C285D"/>
    <w:rsid w:val="003C2AB1"/>
    <w:rsid w:val="003C2D21"/>
    <w:rsid w:val="003C3510"/>
    <w:rsid w:val="003C3673"/>
    <w:rsid w:val="003C388C"/>
    <w:rsid w:val="003C3F72"/>
    <w:rsid w:val="003C424C"/>
    <w:rsid w:val="003C4384"/>
    <w:rsid w:val="003C47C1"/>
    <w:rsid w:val="003C4878"/>
    <w:rsid w:val="003C4EE6"/>
    <w:rsid w:val="003C5927"/>
    <w:rsid w:val="003C5B25"/>
    <w:rsid w:val="003C5CDE"/>
    <w:rsid w:val="003C5DC0"/>
    <w:rsid w:val="003C5DF6"/>
    <w:rsid w:val="003C5E6B"/>
    <w:rsid w:val="003C5FE1"/>
    <w:rsid w:val="003C6246"/>
    <w:rsid w:val="003C63CD"/>
    <w:rsid w:val="003C6510"/>
    <w:rsid w:val="003C6DFE"/>
    <w:rsid w:val="003C705F"/>
    <w:rsid w:val="003C73ED"/>
    <w:rsid w:val="003C755B"/>
    <w:rsid w:val="003C7AD7"/>
    <w:rsid w:val="003C7B74"/>
    <w:rsid w:val="003C7F0B"/>
    <w:rsid w:val="003D01E5"/>
    <w:rsid w:val="003D05A2"/>
    <w:rsid w:val="003D08AC"/>
    <w:rsid w:val="003D0B82"/>
    <w:rsid w:val="003D0E3D"/>
    <w:rsid w:val="003D0FC3"/>
    <w:rsid w:val="003D1AF1"/>
    <w:rsid w:val="003D1F6F"/>
    <w:rsid w:val="003D2375"/>
    <w:rsid w:val="003D23B5"/>
    <w:rsid w:val="003D23EE"/>
    <w:rsid w:val="003D2550"/>
    <w:rsid w:val="003D259E"/>
    <w:rsid w:val="003D25E6"/>
    <w:rsid w:val="003D2C1D"/>
    <w:rsid w:val="003D2C34"/>
    <w:rsid w:val="003D3810"/>
    <w:rsid w:val="003D3A05"/>
    <w:rsid w:val="003D3AB5"/>
    <w:rsid w:val="003D3C95"/>
    <w:rsid w:val="003D3DDD"/>
    <w:rsid w:val="003D448E"/>
    <w:rsid w:val="003D4756"/>
    <w:rsid w:val="003D49CD"/>
    <w:rsid w:val="003D4CD1"/>
    <w:rsid w:val="003D51F4"/>
    <w:rsid w:val="003D58EE"/>
    <w:rsid w:val="003D5CBF"/>
    <w:rsid w:val="003D5D98"/>
    <w:rsid w:val="003D63D4"/>
    <w:rsid w:val="003D66D2"/>
    <w:rsid w:val="003D67AB"/>
    <w:rsid w:val="003D6804"/>
    <w:rsid w:val="003D6FBC"/>
    <w:rsid w:val="003D709F"/>
    <w:rsid w:val="003D780C"/>
    <w:rsid w:val="003D7856"/>
    <w:rsid w:val="003D7A89"/>
    <w:rsid w:val="003E0587"/>
    <w:rsid w:val="003E07AE"/>
    <w:rsid w:val="003E0E19"/>
    <w:rsid w:val="003E14FC"/>
    <w:rsid w:val="003E1584"/>
    <w:rsid w:val="003E1B7F"/>
    <w:rsid w:val="003E1CEB"/>
    <w:rsid w:val="003E292E"/>
    <w:rsid w:val="003E2976"/>
    <w:rsid w:val="003E2A7A"/>
    <w:rsid w:val="003E2B9B"/>
    <w:rsid w:val="003E2E3C"/>
    <w:rsid w:val="003E32CB"/>
    <w:rsid w:val="003E3484"/>
    <w:rsid w:val="003E38A3"/>
    <w:rsid w:val="003E3BF1"/>
    <w:rsid w:val="003E3C50"/>
    <w:rsid w:val="003E3CD7"/>
    <w:rsid w:val="003E3E99"/>
    <w:rsid w:val="003E41E8"/>
    <w:rsid w:val="003E4858"/>
    <w:rsid w:val="003E4952"/>
    <w:rsid w:val="003E4BD0"/>
    <w:rsid w:val="003E4E30"/>
    <w:rsid w:val="003E4FB4"/>
    <w:rsid w:val="003E531F"/>
    <w:rsid w:val="003E55B8"/>
    <w:rsid w:val="003E58F3"/>
    <w:rsid w:val="003E5933"/>
    <w:rsid w:val="003E5D6C"/>
    <w:rsid w:val="003E61F0"/>
    <w:rsid w:val="003E6247"/>
    <w:rsid w:val="003E6316"/>
    <w:rsid w:val="003E6345"/>
    <w:rsid w:val="003E66FE"/>
    <w:rsid w:val="003E672D"/>
    <w:rsid w:val="003E6884"/>
    <w:rsid w:val="003E6AC5"/>
    <w:rsid w:val="003E6B72"/>
    <w:rsid w:val="003E6C49"/>
    <w:rsid w:val="003E77BA"/>
    <w:rsid w:val="003E7ABE"/>
    <w:rsid w:val="003E7E70"/>
    <w:rsid w:val="003E7EDB"/>
    <w:rsid w:val="003F0096"/>
    <w:rsid w:val="003F00AA"/>
    <w:rsid w:val="003F00FF"/>
    <w:rsid w:val="003F01DF"/>
    <w:rsid w:val="003F04B0"/>
    <w:rsid w:val="003F0850"/>
    <w:rsid w:val="003F09BD"/>
    <w:rsid w:val="003F0D12"/>
    <w:rsid w:val="003F0E52"/>
    <w:rsid w:val="003F1175"/>
    <w:rsid w:val="003F1552"/>
    <w:rsid w:val="003F160C"/>
    <w:rsid w:val="003F1C30"/>
    <w:rsid w:val="003F1CE3"/>
    <w:rsid w:val="003F2275"/>
    <w:rsid w:val="003F2455"/>
    <w:rsid w:val="003F283D"/>
    <w:rsid w:val="003F2B3D"/>
    <w:rsid w:val="003F2E34"/>
    <w:rsid w:val="003F324F"/>
    <w:rsid w:val="003F33BC"/>
    <w:rsid w:val="003F38F3"/>
    <w:rsid w:val="003F3A48"/>
    <w:rsid w:val="003F3B83"/>
    <w:rsid w:val="003F3D4E"/>
    <w:rsid w:val="003F3E38"/>
    <w:rsid w:val="003F3E4B"/>
    <w:rsid w:val="003F4358"/>
    <w:rsid w:val="003F469E"/>
    <w:rsid w:val="003F46F9"/>
    <w:rsid w:val="003F477E"/>
    <w:rsid w:val="003F4900"/>
    <w:rsid w:val="003F49C8"/>
    <w:rsid w:val="003F4BEB"/>
    <w:rsid w:val="003F4C83"/>
    <w:rsid w:val="003F4E3A"/>
    <w:rsid w:val="003F5314"/>
    <w:rsid w:val="003F545D"/>
    <w:rsid w:val="003F5888"/>
    <w:rsid w:val="003F59DB"/>
    <w:rsid w:val="003F6798"/>
    <w:rsid w:val="003F6CD2"/>
    <w:rsid w:val="003F7511"/>
    <w:rsid w:val="003F788D"/>
    <w:rsid w:val="003F7C64"/>
    <w:rsid w:val="003F7D6A"/>
    <w:rsid w:val="0040023D"/>
    <w:rsid w:val="0040032E"/>
    <w:rsid w:val="0040045F"/>
    <w:rsid w:val="004008E3"/>
    <w:rsid w:val="00400B09"/>
    <w:rsid w:val="00400B22"/>
    <w:rsid w:val="00400E2B"/>
    <w:rsid w:val="00400F66"/>
    <w:rsid w:val="0040126E"/>
    <w:rsid w:val="00401369"/>
    <w:rsid w:val="0040209D"/>
    <w:rsid w:val="004020D4"/>
    <w:rsid w:val="004021B6"/>
    <w:rsid w:val="004021C9"/>
    <w:rsid w:val="004026E1"/>
    <w:rsid w:val="004027B8"/>
    <w:rsid w:val="00402C38"/>
    <w:rsid w:val="00402D0A"/>
    <w:rsid w:val="00402D58"/>
    <w:rsid w:val="00402F3C"/>
    <w:rsid w:val="00403088"/>
    <w:rsid w:val="00403861"/>
    <w:rsid w:val="00403B7E"/>
    <w:rsid w:val="00403DD6"/>
    <w:rsid w:val="00404262"/>
    <w:rsid w:val="0040469E"/>
    <w:rsid w:val="0040470C"/>
    <w:rsid w:val="0040477D"/>
    <w:rsid w:val="004047C4"/>
    <w:rsid w:val="004047E4"/>
    <w:rsid w:val="00405033"/>
    <w:rsid w:val="004052BC"/>
    <w:rsid w:val="0040570B"/>
    <w:rsid w:val="00405A8B"/>
    <w:rsid w:val="00405B32"/>
    <w:rsid w:val="00405EDB"/>
    <w:rsid w:val="00405FB1"/>
    <w:rsid w:val="00406023"/>
    <w:rsid w:val="004063CB"/>
    <w:rsid w:val="00406460"/>
    <w:rsid w:val="00406716"/>
    <w:rsid w:val="0040683C"/>
    <w:rsid w:val="00406BA7"/>
    <w:rsid w:val="00407309"/>
    <w:rsid w:val="0040797B"/>
    <w:rsid w:val="00410021"/>
    <w:rsid w:val="00410101"/>
    <w:rsid w:val="004102C3"/>
    <w:rsid w:val="00410581"/>
    <w:rsid w:val="004106A8"/>
    <w:rsid w:val="00410883"/>
    <w:rsid w:val="00410DE9"/>
    <w:rsid w:val="00410F11"/>
    <w:rsid w:val="00411013"/>
    <w:rsid w:val="0041142F"/>
    <w:rsid w:val="00411479"/>
    <w:rsid w:val="0041177E"/>
    <w:rsid w:val="00411D4B"/>
    <w:rsid w:val="0041226E"/>
    <w:rsid w:val="004122E3"/>
    <w:rsid w:val="00412461"/>
    <w:rsid w:val="004124A5"/>
    <w:rsid w:val="00412546"/>
    <w:rsid w:val="0041263F"/>
    <w:rsid w:val="00412765"/>
    <w:rsid w:val="00412FFE"/>
    <w:rsid w:val="00413053"/>
    <w:rsid w:val="0041319C"/>
    <w:rsid w:val="0041333F"/>
    <w:rsid w:val="004137B6"/>
    <w:rsid w:val="004138DA"/>
    <w:rsid w:val="00413A54"/>
    <w:rsid w:val="00413C10"/>
    <w:rsid w:val="00413CD9"/>
    <w:rsid w:val="00413CE0"/>
    <w:rsid w:val="00413DB8"/>
    <w:rsid w:val="00413F9A"/>
    <w:rsid w:val="004140CA"/>
    <w:rsid w:val="0041428D"/>
    <w:rsid w:val="004146E4"/>
    <w:rsid w:val="00414B64"/>
    <w:rsid w:val="00414C65"/>
    <w:rsid w:val="00414D82"/>
    <w:rsid w:val="004153CA"/>
    <w:rsid w:val="004159F5"/>
    <w:rsid w:val="00415C0C"/>
    <w:rsid w:val="00415D76"/>
    <w:rsid w:val="004165AD"/>
    <w:rsid w:val="00416665"/>
    <w:rsid w:val="004167BE"/>
    <w:rsid w:val="00416886"/>
    <w:rsid w:val="00416A1B"/>
    <w:rsid w:val="00416A67"/>
    <w:rsid w:val="00416A9B"/>
    <w:rsid w:val="00416ACB"/>
    <w:rsid w:val="00416F27"/>
    <w:rsid w:val="00417172"/>
    <w:rsid w:val="00417408"/>
    <w:rsid w:val="0042082A"/>
    <w:rsid w:val="0042088B"/>
    <w:rsid w:val="00420BA3"/>
    <w:rsid w:val="00420C93"/>
    <w:rsid w:val="00420D00"/>
    <w:rsid w:val="0042147B"/>
    <w:rsid w:val="00421886"/>
    <w:rsid w:val="00421A15"/>
    <w:rsid w:val="00421DCF"/>
    <w:rsid w:val="00422341"/>
    <w:rsid w:val="00422A88"/>
    <w:rsid w:val="00422AD4"/>
    <w:rsid w:val="00422B39"/>
    <w:rsid w:val="00422F28"/>
    <w:rsid w:val="00422FA9"/>
    <w:rsid w:val="00422FE0"/>
    <w:rsid w:val="004230AD"/>
    <w:rsid w:val="00423641"/>
    <w:rsid w:val="00423803"/>
    <w:rsid w:val="00423A48"/>
    <w:rsid w:val="00423B6B"/>
    <w:rsid w:val="00423CAD"/>
    <w:rsid w:val="00423F8E"/>
    <w:rsid w:val="004240E9"/>
    <w:rsid w:val="00424ABB"/>
    <w:rsid w:val="00424CB9"/>
    <w:rsid w:val="00424D14"/>
    <w:rsid w:val="00424FF0"/>
    <w:rsid w:val="00425DFD"/>
    <w:rsid w:val="00425FEA"/>
    <w:rsid w:val="00426266"/>
    <w:rsid w:val="0042654D"/>
    <w:rsid w:val="00426664"/>
    <w:rsid w:val="004267D0"/>
    <w:rsid w:val="004268D4"/>
    <w:rsid w:val="00426CA0"/>
    <w:rsid w:val="00426E27"/>
    <w:rsid w:val="0042739B"/>
    <w:rsid w:val="00427579"/>
    <w:rsid w:val="00427909"/>
    <w:rsid w:val="00427C5F"/>
    <w:rsid w:val="00430221"/>
    <w:rsid w:val="00430950"/>
    <w:rsid w:val="004309FA"/>
    <w:rsid w:val="00430A2D"/>
    <w:rsid w:val="0043120B"/>
    <w:rsid w:val="00431350"/>
    <w:rsid w:val="004314FC"/>
    <w:rsid w:val="00431505"/>
    <w:rsid w:val="004317D9"/>
    <w:rsid w:val="004319EF"/>
    <w:rsid w:val="00431AC2"/>
    <w:rsid w:val="00431AF0"/>
    <w:rsid w:val="00431BA7"/>
    <w:rsid w:val="0043213A"/>
    <w:rsid w:val="0043227E"/>
    <w:rsid w:val="004322D3"/>
    <w:rsid w:val="00432684"/>
    <w:rsid w:val="0043272E"/>
    <w:rsid w:val="00432C49"/>
    <w:rsid w:val="004330F4"/>
    <w:rsid w:val="00433134"/>
    <w:rsid w:val="004331E1"/>
    <w:rsid w:val="00433318"/>
    <w:rsid w:val="00433563"/>
    <w:rsid w:val="00433590"/>
    <w:rsid w:val="0043393D"/>
    <w:rsid w:val="00433A77"/>
    <w:rsid w:val="00434095"/>
    <w:rsid w:val="0043409A"/>
    <w:rsid w:val="00434464"/>
    <w:rsid w:val="004344C7"/>
    <w:rsid w:val="004344F4"/>
    <w:rsid w:val="004349BC"/>
    <w:rsid w:val="004349F4"/>
    <w:rsid w:val="00434F52"/>
    <w:rsid w:val="00434FB0"/>
    <w:rsid w:val="00435274"/>
    <w:rsid w:val="004352AD"/>
    <w:rsid w:val="0043545D"/>
    <w:rsid w:val="004354EE"/>
    <w:rsid w:val="004356DE"/>
    <w:rsid w:val="00435FE2"/>
    <w:rsid w:val="00436382"/>
    <w:rsid w:val="0043638B"/>
    <w:rsid w:val="004365CD"/>
    <w:rsid w:val="00436762"/>
    <w:rsid w:val="0043676F"/>
    <w:rsid w:val="0043685B"/>
    <w:rsid w:val="00436B60"/>
    <w:rsid w:val="00436E2F"/>
    <w:rsid w:val="00436EAB"/>
    <w:rsid w:val="004376A7"/>
    <w:rsid w:val="00437849"/>
    <w:rsid w:val="00437A1F"/>
    <w:rsid w:val="00437BAF"/>
    <w:rsid w:val="00437C7C"/>
    <w:rsid w:val="00437DB4"/>
    <w:rsid w:val="00437E2C"/>
    <w:rsid w:val="00437FF7"/>
    <w:rsid w:val="0044002F"/>
    <w:rsid w:val="004412FA"/>
    <w:rsid w:val="00441651"/>
    <w:rsid w:val="004418D9"/>
    <w:rsid w:val="00441E35"/>
    <w:rsid w:val="00441EA1"/>
    <w:rsid w:val="00442A3D"/>
    <w:rsid w:val="00442BB2"/>
    <w:rsid w:val="00442F17"/>
    <w:rsid w:val="0044318F"/>
    <w:rsid w:val="00443319"/>
    <w:rsid w:val="00443408"/>
    <w:rsid w:val="004434E4"/>
    <w:rsid w:val="0044372D"/>
    <w:rsid w:val="004438B7"/>
    <w:rsid w:val="0044397D"/>
    <w:rsid w:val="00443DEA"/>
    <w:rsid w:val="004440D0"/>
    <w:rsid w:val="004442EC"/>
    <w:rsid w:val="00444654"/>
    <w:rsid w:val="00444A5B"/>
    <w:rsid w:val="00444C22"/>
    <w:rsid w:val="00445119"/>
    <w:rsid w:val="004454A9"/>
    <w:rsid w:val="00445610"/>
    <w:rsid w:val="004456AA"/>
    <w:rsid w:val="004457BA"/>
    <w:rsid w:val="004457C0"/>
    <w:rsid w:val="0044615D"/>
    <w:rsid w:val="00446194"/>
    <w:rsid w:val="004461D9"/>
    <w:rsid w:val="00446747"/>
    <w:rsid w:val="00446AC6"/>
    <w:rsid w:val="00446EC6"/>
    <w:rsid w:val="0044759B"/>
    <w:rsid w:val="004476AE"/>
    <w:rsid w:val="00447D34"/>
    <w:rsid w:val="00447F54"/>
    <w:rsid w:val="004501DE"/>
    <w:rsid w:val="00450B7E"/>
    <w:rsid w:val="00450D53"/>
    <w:rsid w:val="00450F73"/>
    <w:rsid w:val="004510D0"/>
    <w:rsid w:val="0045136B"/>
    <w:rsid w:val="004517BB"/>
    <w:rsid w:val="00451C74"/>
    <w:rsid w:val="00451C7E"/>
    <w:rsid w:val="004521A6"/>
    <w:rsid w:val="004524A5"/>
    <w:rsid w:val="00452535"/>
    <w:rsid w:val="00452AC6"/>
    <w:rsid w:val="00452B21"/>
    <w:rsid w:val="00453413"/>
    <w:rsid w:val="00453BB6"/>
    <w:rsid w:val="00453CAA"/>
    <w:rsid w:val="00453F17"/>
    <w:rsid w:val="00454368"/>
    <w:rsid w:val="0045451D"/>
    <w:rsid w:val="00454646"/>
    <w:rsid w:val="0045481A"/>
    <w:rsid w:val="00454851"/>
    <w:rsid w:val="00454B35"/>
    <w:rsid w:val="00454BE8"/>
    <w:rsid w:val="00454CFA"/>
    <w:rsid w:val="00454E8E"/>
    <w:rsid w:val="00454EB8"/>
    <w:rsid w:val="00455113"/>
    <w:rsid w:val="004552BB"/>
    <w:rsid w:val="00455356"/>
    <w:rsid w:val="004556EB"/>
    <w:rsid w:val="004556F5"/>
    <w:rsid w:val="00455BC2"/>
    <w:rsid w:val="00455F37"/>
    <w:rsid w:val="00456421"/>
    <w:rsid w:val="004564DC"/>
    <w:rsid w:val="00456A0D"/>
    <w:rsid w:val="00456D23"/>
    <w:rsid w:val="00456DAB"/>
    <w:rsid w:val="00456FD3"/>
    <w:rsid w:val="00457244"/>
    <w:rsid w:val="004573E8"/>
    <w:rsid w:val="004573E9"/>
    <w:rsid w:val="00457CED"/>
    <w:rsid w:val="00457E96"/>
    <w:rsid w:val="00460144"/>
    <w:rsid w:val="004605CA"/>
    <w:rsid w:val="004606E7"/>
    <w:rsid w:val="00460CC3"/>
    <w:rsid w:val="00460E86"/>
    <w:rsid w:val="0046111A"/>
    <w:rsid w:val="00461536"/>
    <w:rsid w:val="00461626"/>
    <w:rsid w:val="0046199B"/>
    <w:rsid w:val="00461A42"/>
    <w:rsid w:val="00461C4E"/>
    <w:rsid w:val="00461CB5"/>
    <w:rsid w:val="00462165"/>
    <w:rsid w:val="0046232A"/>
    <w:rsid w:val="00462661"/>
    <w:rsid w:val="00462697"/>
    <w:rsid w:val="004627C4"/>
    <w:rsid w:val="004629D9"/>
    <w:rsid w:val="00462D64"/>
    <w:rsid w:val="00463329"/>
    <w:rsid w:val="0046338E"/>
    <w:rsid w:val="004636CD"/>
    <w:rsid w:val="00463A59"/>
    <w:rsid w:val="00463BA4"/>
    <w:rsid w:val="00463DCE"/>
    <w:rsid w:val="00463F7A"/>
    <w:rsid w:val="004640AF"/>
    <w:rsid w:val="00464142"/>
    <w:rsid w:val="004644D0"/>
    <w:rsid w:val="0046455E"/>
    <w:rsid w:val="004646B4"/>
    <w:rsid w:val="00464865"/>
    <w:rsid w:val="00464A88"/>
    <w:rsid w:val="00465028"/>
    <w:rsid w:val="0046508C"/>
    <w:rsid w:val="004651A0"/>
    <w:rsid w:val="0046533E"/>
    <w:rsid w:val="0046586C"/>
    <w:rsid w:val="00465CFA"/>
    <w:rsid w:val="00465DDC"/>
    <w:rsid w:val="00465E51"/>
    <w:rsid w:val="00466153"/>
    <w:rsid w:val="00466532"/>
    <w:rsid w:val="004667DD"/>
    <w:rsid w:val="004668CA"/>
    <w:rsid w:val="00466A1B"/>
    <w:rsid w:val="00467319"/>
    <w:rsid w:val="00467488"/>
    <w:rsid w:val="00467726"/>
    <w:rsid w:val="004678C3"/>
    <w:rsid w:val="00467BE8"/>
    <w:rsid w:val="00467C41"/>
    <w:rsid w:val="00467F45"/>
    <w:rsid w:val="00470624"/>
    <w:rsid w:val="004707FE"/>
    <w:rsid w:val="0047083E"/>
    <w:rsid w:val="00470DB7"/>
    <w:rsid w:val="00470EB5"/>
    <w:rsid w:val="00471175"/>
    <w:rsid w:val="004711F2"/>
    <w:rsid w:val="00471357"/>
    <w:rsid w:val="00471481"/>
    <w:rsid w:val="004715BD"/>
    <w:rsid w:val="00471C55"/>
    <w:rsid w:val="00471D37"/>
    <w:rsid w:val="00471FA6"/>
    <w:rsid w:val="00472068"/>
    <w:rsid w:val="00472310"/>
    <w:rsid w:val="00472526"/>
    <w:rsid w:val="00472595"/>
    <w:rsid w:val="0047286B"/>
    <w:rsid w:val="00472BC0"/>
    <w:rsid w:val="00472E27"/>
    <w:rsid w:val="00472E62"/>
    <w:rsid w:val="004730C7"/>
    <w:rsid w:val="004739D4"/>
    <w:rsid w:val="00474220"/>
    <w:rsid w:val="004742A0"/>
    <w:rsid w:val="0047432B"/>
    <w:rsid w:val="0047433A"/>
    <w:rsid w:val="00474B75"/>
    <w:rsid w:val="0047512C"/>
    <w:rsid w:val="0047529A"/>
    <w:rsid w:val="0047529E"/>
    <w:rsid w:val="004752D3"/>
    <w:rsid w:val="004754E1"/>
    <w:rsid w:val="00475A03"/>
    <w:rsid w:val="00475A81"/>
    <w:rsid w:val="00475C2C"/>
    <w:rsid w:val="00475CE0"/>
    <w:rsid w:val="00476168"/>
    <w:rsid w:val="004763B1"/>
    <w:rsid w:val="00476827"/>
    <w:rsid w:val="00476B00"/>
    <w:rsid w:val="00476BD4"/>
    <w:rsid w:val="00476D1C"/>
    <w:rsid w:val="00476D66"/>
    <w:rsid w:val="00476DCE"/>
    <w:rsid w:val="004772E8"/>
    <w:rsid w:val="0047737F"/>
    <w:rsid w:val="004775D7"/>
    <w:rsid w:val="0047776E"/>
    <w:rsid w:val="0047779F"/>
    <w:rsid w:val="00477C35"/>
    <w:rsid w:val="0048033D"/>
    <w:rsid w:val="00480548"/>
    <w:rsid w:val="004808C8"/>
    <w:rsid w:val="004808DC"/>
    <w:rsid w:val="00480988"/>
    <w:rsid w:val="00480A0A"/>
    <w:rsid w:val="00480CBA"/>
    <w:rsid w:val="00480E05"/>
    <w:rsid w:val="0048144B"/>
    <w:rsid w:val="00481E59"/>
    <w:rsid w:val="004820A8"/>
    <w:rsid w:val="004820F3"/>
    <w:rsid w:val="0048230A"/>
    <w:rsid w:val="0048231F"/>
    <w:rsid w:val="004828E0"/>
    <w:rsid w:val="00482BBE"/>
    <w:rsid w:val="004832A5"/>
    <w:rsid w:val="00483362"/>
    <w:rsid w:val="004836A0"/>
    <w:rsid w:val="00483A12"/>
    <w:rsid w:val="00483A1A"/>
    <w:rsid w:val="00484343"/>
    <w:rsid w:val="004845AB"/>
    <w:rsid w:val="004846B4"/>
    <w:rsid w:val="004848B0"/>
    <w:rsid w:val="004848B7"/>
    <w:rsid w:val="00484A77"/>
    <w:rsid w:val="00484DFF"/>
    <w:rsid w:val="0048515A"/>
    <w:rsid w:val="0048515B"/>
    <w:rsid w:val="00485396"/>
    <w:rsid w:val="0048540F"/>
    <w:rsid w:val="0048546C"/>
    <w:rsid w:val="00485970"/>
    <w:rsid w:val="00485A2D"/>
    <w:rsid w:val="00485BDA"/>
    <w:rsid w:val="00485C0D"/>
    <w:rsid w:val="00485D81"/>
    <w:rsid w:val="00485DDD"/>
    <w:rsid w:val="00485E42"/>
    <w:rsid w:val="004860E4"/>
    <w:rsid w:val="0048610A"/>
    <w:rsid w:val="004861E1"/>
    <w:rsid w:val="00486575"/>
    <w:rsid w:val="004866D0"/>
    <w:rsid w:val="00486CB4"/>
    <w:rsid w:val="00486CC8"/>
    <w:rsid w:val="004876EA"/>
    <w:rsid w:val="00490999"/>
    <w:rsid w:val="00490D12"/>
    <w:rsid w:val="00490F46"/>
    <w:rsid w:val="0049131A"/>
    <w:rsid w:val="0049149F"/>
    <w:rsid w:val="004915C2"/>
    <w:rsid w:val="0049165B"/>
    <w:rsid w:val="00491BD3"/>
    <w:rsid w:val="00492118"/>
    <w:rsid w:val="00492509"/>
    <w:rsid w:val="004925E0"/>
    <w:rsid w:val="00492660"/>
    <w:rsid w:val="00492768"/>
    <w:rsid w:val="00492AC1"/>
    <w:rsid w:val="00492F8B"/>
    <w:rsid w:val="00493016"/>
    <w:rsid w:val="00493292"/>
    <w:rsid w:val="004934EE"/>
    <w:rsid w:val="00493A74"/>
    <w:rsid w:val="00493CFA"/>
    <w:rsid w:val="00493EAC"/>
    <w:rsid w:val="00494242"/>
    <w:rsid w:val="0049481B"/>
    <w:rsid w:val="0049486B"/>
    <w:rsid w:val="004948C6"/>
    <w:rsid w:val="00494907"/>
    <w:rsid w:val="00494E8E"/>
    <w:rsid w:val="00494F1B"/>
    <w:rsid w:val="00495320"/>
    <w:rsid w:val="004955BC"/>
    <w:rsid w:val="0049564A"/>
    <w:rsid w:val="00495752"/>
    <w:rsid w:val="00495AD3"/>
    <w:rsid w:val="00495CC7"/>
    <w:rsid w:val="00495D63"/>
    <w:rsid w:val="00495DF7"/>
    <w:rsid w:val="00495E6B"/>
    <w:rsid w:val="0049648F"/>
    <w:rsid w:val="00496606"/>
    <w:rsid w:val="00496870"/>
    <w:rsid w:val="00496A57"/>
    <w:rsid w:val="00496AC1"/>
    <w:rsid w:val="00496F05"/>
    <w:rsid w:val="00497370"/>
    <w:rsid w:val="00497602"/>
    <w:rsid w:val="00497616"/>
    <w:rsid w:val="00497935"/>
    <w:rsid w:val="00497B03"/>
    <w:rsid w:val="004A0191"/>
    <w:rsid w:val="004A01C1"/>
    <w:rsid w:val="004A0B5B"/>
    <w:rsid w:val="004A0F30"/>
    <w:rsid w:val="004A0F39"/>
    <w:rsid w:val="004A131E"/>
    <w:rsid w:val="004A17F4"/>
    <w:rsid w:val="004A198C"/>
    <w:rsid w:val="004A1AA3"/>
    <w:rsid w:val="004A1B5C"/>
    <w:rsid w:val="004A1C72"/>
    <w:rsid w:val="004A1CA2"/>
    <w:rsid w:val="004A1E4C"/>
    <w:rsid w:val="004A2394"/>
    <w:rsid w:val="004A251F"/>
    <w:rsid w:val="004A2725"/>
    <w:rsid w:val="004A2A37"/>
    <w:rsid w:val="004A2B26"/>
    <w:rsid w:val="004A2D12"/>
    <w:rsid w:val="004A2D4B"/>
    <w:rsid w:val="004A3068"/>
    <w:rsid w:val="004A320E"/>
    <w:rsid w:val="004A34E7"/>
    <w:rsid w:val="004A38AC"/>
    <w:rsid w:val="004A3BF1"/>
    <w:rsid w:val="004A3D2A"/>
    <w:rsid w:val="004A3E42"/>
    <w:rsid w:val="004A4166"/>
    <w:rsid w:val="004A4574"/>
    <w:rsid w:val="004A4715"/>
    <w:rsid w:val="004A48F9"/>
    <w:rsid w:val="004A4B47"/>
    <w:rsid w:val="004A4D7F"/>
    <w:rsid w:val="004A5046"/>
    <w:rsid w:val="004A565E"/>
    <w:rsid w:val="004A5DF3"/>
    <w:rsid w:val="004A612C"/>
    <w:rsid w:val="004A6134"/>
    <w:rsid w:val="004A694A"/>
    <w:rsid w:val="004A69BE"/>
    <w:rsid w:val="004A6B6F"/>
    <w:rsid w:val="004A7092"/>
    <w:rsid w:val="004A79CA"/>
    <w:rsid w:val="004A7B79"/>
    <w:rsid w:val="004B01BD"/>
    <w:rsid w:val="004B0C4B"/>
    <w:rsid w:val="004B0F25"/>
    <w:rsid w:val="004B132E"/>
    <w:rsid w:val="004B1685"/>
    <w:rsid w:val="004B1EE4"/>
    <w:rsid w:val="004B200C"/>
    <w:rsid w:val="004B228E"/>
    <w:rsid w:val="004B231E"/>
    <w:rsid w:val="004B2514"/>
    <w:rsid w:val="004B267B"/>
    <w:rsid w:val="004B2835"/>
    <w:rsid w:val="004B2BB2"/>
    <w:rsid w:val="004B2C7F"/>
    <w:rsid w:val="004B2D0E"/>
    <w:rsid w:val="004B333C"/>
    <w:rsid w:val="004B3396"/>
    <w:rsid w:val="004B3819"/>
    <w:rsid w:val="004B3E69"/>
    <w:rsid w:val="004B3F40"/>
    <w:rsid w:val="004B44A5"/>
    <w:rsid w:val="004B49E6"/>
    <w:rsid w:val="004B4A83"/>
    <w:rsid w:val="004B4B39"/>
    <w:rsid w:val="004B4BEB"/>
    <w:rsid w:val="004B4C08"/>
    <w:rsid w:val="004B4D69"/>
    <w:rsid w:val="004B4F45"/>
    <w:rsid w:val="004B51C0"/>
    <w:rsid w:val="004B5F3E"/>
    <w:rsid w:val="004B6078"/>
    <w:rsid w:val="004B64DE"/>
    <w:rsid w:val="004B6E03"/>
    <w:rsid w:val="004B6F9D"/>
    <w:rsid w:val="004B7413"/>
    <w:rsid w:val="004B7921"/>
    <w:rsid w:val="004B792F"/>
    <w:rsid w:val="004B7E37"/>
    <w:rsid w:val="004B7F15"/>
    <w:rsid w:val="004B7F16"/>
    <w:rsid w:val="004C01A8"/>
    <w:rsid w:val="004C0310"/>
    <w:rsid w:val="004C0A61"/>
    <w:rsid w:val="004C0AF7"/>
    <w:rsid w:val="004C0BBE"/>
    <w:rsid w:val="004C0F66"/>
    <w:rsid w:val="004C0FCB"/>
    <w:rsid w:val="004C0FD2"/>
    <w:rsid w:val="004C14BE"/>
    <w:rsid w:val="004C1840"/>
    <w:rsid w:val="004C1CF9"/>
    <w:rsid w:val="004C1D28"/>
    <w:rsid w:val="004C1FA2"/>
    <w:rsid w:val="004C2093"/>
    <w:rsid w:val="004C20BC"/>
    <w:rsid w:val="004C20EE"/>
    <w:rsid w:val="004C24C9"/>
    <w:rsid w:val="004C2A4F"/>
    <w:rsid w:val="004C2C76"/>
    <w:rsid w:val="004C311C"/>
    <w:rsid w:val="004C31B6"/>
    <w:rsid w:val="004C363A"/>
    <w:rsid w:val="004C36DE"/>
    <w:rsid w:val="004C3FA7"/>
    <w:rsid w:val="004C4384"/>
    <w:rsid w:val="004C46D6"/>
    <w:rsid w:val="004C495A"/>
    <w:rsid w:val="004C4B0D"/>
    <w:rsid w:val="004C4BE8"/>
    <w:rsid w:val="004C4D7F"/>
    <w:rsid w:val="004C50CA"/>
    <w:rsid w:val="004C5178"/>
    <w:rsid w:val="004C5319"/>
    <w:rsid w:val="004C5325"/>
    <w:rsid w:val="004C537C"/>
    <w:rsid w:val="004C53FC"/>
    <w:rsid w:val="004C5AE2"/>
    <w:rsid w:val="004C621F"/>
    <w:rsid w:val="004C625B"/>
    <w:rsid w:val="004C6704"/>
    <w:rsid w:val="004C67FD"/>
    <w:rsid w:val="004C6883"/>
    <w:rsid w:val="004C6A83"/>
    <w:rsid w:val="004C6AD0"/>
    <w:rsid w:val="004C6C5A"/>
    <w:rsid w:val="004C704A"/>
    <w:rsid w:val="004C7051"/>
    <w:rsid w:val="004C73CE"/>
    <w:rsid w:val="004C75CA"/>
    <w:rsid w:val="004C76BA"/>
    <w:rsid w:val="004C7944"/>
    <w:rsid w:val="004C7948"/>
    <w:rsid w:val="004C7B0F"/>
    <w:rsid w:val="004C7B30"/>
    <w:rsid w:val="004C7BB8"/>
    <w:rsid w:val="004C7BFC"/>
    <w:rsid w:val="004C7C60"/>
    <w:rsid w:val="004C7C79"/>
    <w:rsid w:val="004C7FBA"/>
    <w:rsid w:val="004D0366"/>
    <w:rsid w:val="004D0446"/>
    <w:rsid w:val="004D0482"/>
    <w:rsid w:val="004D04A5"/>
    <w:rsid w:val="004D050B"/>
    <w:rsid w:val="004D0760"/>
    <w:rsid w:val="004D0B75"/>
    <w:rsid w:val="004D0CA9"/>
    <w:rsid w:val="004D0DFE"/>
    <w:rsid w:val="004D0E82"/>
    <w:rsid w:val="004D123F"/>
    <w:rsid w:val="004D1613"/>
    <w:rsid w:val="004D16B2"/>
    <w:rsid w:val="004D19E5"/>
    <w:rsid w:val="004D1B0A"/>
    <w:rsid w:val="004D1D7E"/>
    <w:rsid w:val="004D1D91"/>
    <w:rsid w:val="004D200C"/>
    <w:rsid w:val="004D22C3"/>
    <w:rsid w:val="004D29DB"/>
    <w:rsid w:val="004D2B0C"/>
    <w:rsid w:val="004D32D7"/>
    <w:rsid w:val="004D3B6F"/>
    <w:rsid w:val="004D3DEE"/>
    <w:rsid w:val="004D3E0D"/>
    <w:rsid w:val="004D46E2"/>
    <w:rsid w:val="004D48FE"/>
    <w:rsid w:val="004D50FA"/>
    <w:rsid w:val="004D5292"/>
    <w:rsid w:val="004D5622"/>
    <w:rsid w:val="004D5758"/>
    <w:rsid w:val="004D60D6"/>
    <w:rsid w:val="004D6103"/>
    <w:rsid w:val="004D6B47"/>
    <w:rsid w:val="004D6C6F"/>
    <w:rsid w:val="004D6D48"/>
    <w:rsid w:val="004D6E87"/>
    <w:rsid w:val="004D6E99"/>
    <w:rsid w:val="004D6F4D"/>
    <w:rsid w:val="004D6F95"/>
    <w:rsid w:val="004D708D"/>
    <w:rsid w:val="004D7283"/>
    <w:rsid w:val="004D72FE"/>
    <w:rsid w:val="004D7757"/>
    <w:rsid w:val="004D7781"/>
    <w:rsid w:val="004D784D"/>
    <w:rsid w:val="004D7B00"/>
    <w:rsid w:val="004D7E91"/>
    <w:rsid w:val="004D7EA4"/>
    <w:rsid w:val="004E003A"/>
    <w:rsid w:val="004E04C0"/>
    <w:rsid w:val="004E0610"/>
    <w:rsid w:val="004E069B"/>
    <w:rsid w:val="004E0768"/>
    <w:rsid w:val="004E0A0C"/>
    <w:rsid w:val="004E0B8E"/>
    <w:rsid w:val="004E10A3"/>
    <w:rsid w:val="004E13E5"/>
    <w:rsid w:val="004E1853"/>
    <w:rsid w:val="004E1921"/>
    <w:rsid w:val="004E1A31"/>
    <w:rsid w:val="004E1C55"/>
    <w:rsid w:val="004E20FD"/>
    <w:rsid w:val="004E2579"/>
    <w:rsid w:val="004E2826"/>
    <w:rsid w:val="004E2908"/>
    <w:rsid w:val="004E29BA"/>
    <w:rsid w:val="004E29D2"/>
    <w:rsid w:val="004E2D34"/>
    <w:rsid w:val="004E2DBD"/>
    <w:rsid w:val="004E2DE0"/>
    <w:rsid w:val="004E3237"/>
    <w:rsid w:val="004E345F"/>
    <w:rsid w:val="004E34C3"/>
    <w:rsid w:val="004E3A22"/>
    <w:rsid w:val="004E3EC5"/>
    <w:rsid w:val="004E3F2A"/>
    <w:rsid w:val="004E4060"/>
    <w:rsid w:val="004E409A"/>
    <w:rsid w:val="004E43A1"/>
    <w:rsid w:val="004E4B9D"/>
    <w:rsid w:val="004E4F8E"/>
    <w:rsid w:val="004E53A1"/>
    <w:rsid w:val="004E548D"/>
    <w:rsid w:val="004E5559"/>
    <w:rsid w:val="004E575C"/>
    <w:rsid w:val="004E5913"/>
    <w:rsid w:val="004E59B2"/>
    <w:rsid w:val="004E5CD8"/>
    <w:rsid w:val="004E5FB5"/>
    <w:rsid w:val="004E5FDD"/>
    <w:rsid w:val="004E6087"/>
    <w:rsid w:val="004E61F5"/>
    <w:rsid w:val="004E640A"/>
    <w:rsid w:val="004E66FE"/>
    <w:rsid w:val="004E6B62"/>
    <w:rsid w:val="004E6EBF"/>
    <w:rsid w:val="004E71D0"/>
    <w:rsid w:val="004E72EA"/>
    <w:rsid w:val="004E7411"/>
    <w:rsid w:val="004E7773"/>
    <w:rsid w:val="004E77A7"/>
    <w:rsid w:val="004E7832"/>
    <w:rsid w:val="004E7A5B"/>
    <w:rsid w:val="004E7E94"/>
    <w:rsid w:val="004F085D"/>
    <w:rsid w:val="004F08C4"/>
    <w:rsid w:val="004F0F1C"/>
    <w:rsid w:val="004F0FB9"/>
    <w:rsid w:val="004F162B"/>
    <w:rsid w:val="004F1BE2"/>
    <w:rsid w:val="004F1C13"/>
    <w:rsid w:val="004F2129"/>
    <w:rsid w:val="004F2153"/>
    <w:rsid w:val="004F23C8"/>
    <w:rsid w:val="004F273B"/>
    <w:rsid w:val="004F291F"/>
    <w:rsid w:val="004F29EC"/>
    <w:rsid w:val="004F2A8C"/>
    <w:rsid w:val="004F2F7E"/>
    <w:rsid w:val="004F308D"/>
    <w:rsid w:val="004F32B5"/>
    <w:rsid w:val="004F3342"/>
    <w:rsid w:val="004F3AA1"/>
    <w:rsid w:val="004F3B88"/>
    <w:rsid w:val="004F3C7E"/>
    <w:rsid w:val="004F4021"/>
    <w:rsid w:val="004F407E"/>
    <w:rsid w:val="004F40BC"/>
    <w:rsid w:val="004F41FC"/>
    <w:rsid w:val="004F45B4"/>
    <w:rsid w:val="004F4714"/>
    <w:rsid w:val="004F4B64"/>
    <w:rsid w:val="004F4C12"/>
    <w:rsid w:val="004F4E98"/>
    <w:rsid w:val="004F5172"/>
    <w:rsid w:val="004F52C6"/>
    <w:rsid w:val="004F5479"/>
    <w:rsid w:val="004F5629"/>
    <w:rsid w:val="004F56D9"/>
    <w:rsid w:val="004F5C36"/>
    <w:rsid w:val="004F6090"/>
    <w:rsid w:val="004F609B"/>
    <w:rsid w:val="004F638F"/>
    <w:rsid w:val="004F7151"/>
    <w:rsid w:val="004F7528"/>
    <w:rsid w:val="004F765A"/>
    <w:rsid w:val="004F7BCA"/>
    <w:rsid w:val="004F7D89"/>
    <w:rsid w:val="00500892"/>
    <w:rsid w:val="00500DB1"/>
    <w:rsid w:val="00500E2E"/>
    <w:rsid w:val="00501706"/>
    <w:rsid w:val="00501981"/>
    <w:rsid w:val="00501A85"/>
    <w:rsid w:val="00501BB3"/>
    <w:rsid w:val="005021DD"/>
    <w:rsid w:val="00502408"/>
    <w:rsid w:val="00502696"/>
    <w:rsid w:val="005026CA"/>
    <w:rsid w:val="005028EA"/>
    <w:rsid w:val="00502B72"/>
    <w:rsid w:val="00502FBD"/>
    <w:rsid w:val="005034C5"/>
    <w:rsid w:val="00503518"/>
    <w:rsid w:val="00503725"/>
    <w:rsid w:val="00503C6E"/>
    <w:rsid w:val="00503C78"/>
    <w:rsid w:val="0050415F"/>
    <w:rsid w:val="00504653"/>
    <w:rsid w:val="00504773"/>
    <w:rsid w:val="00504BB0"/>
    <w:rsid w:val="00504BC1"/>
    <w:rsid w:val="00504EC9"/>
    <w:rsid w:val="00504EF6"/>
    <w:rsid w:val="00505134"/>
    <w:rsid w:val="00505B27"/>
    <w:rsid w:val="00505C04"/>
    <w:rsid w:val="0050650E"/>
    <w:rsid w:val="00506E88"/>
    <w:rsid w:val="00506EFC"/>
    <w:rsid w:val="00506FC9"/>
    <w:rsid w:val="00506FD8"/>
    <w:rsid w:val="005071DE"/>
    <w:rsid w:val="00507451"/>
    <w:rsid w:val="0050765C"/>
    <w:rsid w:val="005076BD"/>
    <w:rsid w:val="00507738"/>
    <w:rsid w:val="00507A95"/>
    <w:rsid w:val="00507D5F"/>
    <w:rsid w:val="00507E57"/>
    <w:rsid w:val="005104F2"/>
    <w:rsid w:val="0051084B"/>
    <w:rsid w:val="00510B05"/>
    <w:rsid w:val="00510BC5"/>
    <w:rsid w:val="005115D3"/>
    <w:rsid w:val="00511703"/>
    <w:rsid w:val="0051175B"/>
    <w:rsid w:val="00511F15"/>
    <w:rsid w:val="00511F75"/>
    <w:rsid w:val="005120CD"/>
    <w:rsid w:val="005124A8"/>
    <w:rsid w:val="0051257D"/>
    <w:rsid w:val="0051259B"/>
    <w:rsid w:val="00512765"/>
    <w:rsid w:val="00513186"/>
    <w:rsid w:val="0051318C"/>
    <w:rsid w:val="00513413"/>
    <w:rsid w:val="005142CD"/>
    <w:rsid w:val="005143C9"/>
    <w:rsid w:val="00514B86"/>
    <w:rsid w:val="00514EA6"/>
    <w:rsid w:val="00514EA8"/>
    <w:rsid w:val="0051510D"/>
    <w:rsid w:val="0051520E"/>
    <w:rsid w:val="0051545D"/>
    <w:rsid w:val="005157A9"/>
    <w:rsid w:val="0051582B"/>
    <w:rsid w:val="00516701"/>
    <w:rsid w:val="00516B23"/>
    <w:rsid w:val="00516C51"/>
    <w:rsid w:val="005173A7"/>
    <w:rsid w:val="00517795"/>
    <w:rsid w:val="005177E1"/>
    <w:rsid w:val="0051791B"/>
    <w:rsid w:val="00517978"/>
    <w:rsid w:val="00517DEE"/>
    <w:rsid w:val="00517F53"/>
    <w:rsid w:val="0052012E"/>
    <w:rsid w:val="00520C0A"/>
    <w:rsid w:val="00521027"/>
    <w:rsid w:val="0052156F"/>
    <w:rsid w:val="005218B6"/>
    <w:rsid w:val="0052242E"/>
    <w:rsid w:val="00522589"/>
    <w:rsid w:val="00522A49"/>
    <w:rsid w:val="00522E68"/>
    <w:rsid w:val="00522EF9"/>
    <w:rsid w:val="005236FF"/>
    <w:rsid w:val="0052384C"/>
    <w:rsid w:val="00524176"/>
    <w:rsid w:val="00524545"/>
    <w:rsid w:val="0052470E"/>
    <w:rsid w:val="0052477B"/>
    <w:rsid w:val="00525053"/>
    <w:rsid w:val="005251A9"/>
    <w:rsid w:val="005254EC"/>
    <w:rsid w:val="005255BF"/>
    <w:rsid w:val="005256D1"/>
    <w:rsid w:val="005257DE"/>
    <w:rsid w:val="00525909"/>
    <w:rsid w:val="00525BD5"/>
    <w:rsid w:val="00525E97"/>
    <w:rsid w:val="00525FDB"/>
    <w:rsid w:val="00526256"/>
    <w:rsid w:val="005262A9"/>
    <w:rsid w:val="00526462"/>
    <w:rsid w:val="00526D5F"/>
    <w:rsid w:val="00526E5C"/>
    <w:rsid w:val="00526EEA"/>
    <w:rsid w:val="00527097"/>
    <w:rsid w:val="005271AA"/>
    <w:rsid w:val="00527200"/>
    <w:rsid w:val="00527DCD"/>
    <w:rsid w:val="00530051"/>
    <w:rsid w:val="00530157"/>
    <w:rsid w:val="005305FE"/>
    <w:rsid w:val="005312FB"/>
    <w:rsid w:val="005313B5"/>
    <w:rsid w:val="0053154A"/>
    <w:rsid w:val="00531EBE"/>
    <w:rsid w:val="0053260A"/>
    <w:rsid w:val="005327CA"/>
    <w:rsid w:val="0053286B"/>
    <w:rsid w:val="005328DD"/>
    <w:rsid w:val="00532CF7"/>
    <w:rsid w:val="00532D47"/>
    <w:rsid w:val="00532DC5"/>
    <w:rsid w:val="00532EF2"/>
    <w:rsid w:val="00532F8B"/>
    <w:rsid w:val="00533170"/>
    <w:rsid w:val="005332FA"/>
    <w:rsid w:val="00533737"/>
    <w:rsid w:val="00533A46"/>
    <w:rsid w:val="00533B2C"/>
    <w:rsid w:val="00533C3B"/>
    <w:rsid w:val="00533CB6"/>
    <w:rsid w:val="00533D02"/>
    <w:rsid w:val="00533FC3"/>
    <w:rsid w:val="00534419"/>
    <w:rsid w:val="0053487B"/>
    <w:rsid w:val="005354B5"/>
    <w:rsid w:val="0053586E"/>
    <w:rsid w:val="005358AC"/>
    <w:rsid w:val="0053592C"/>
    <w:rsid w:val="005359BA"/>
    <w:rsid w:val="00535A06"/>
    <w:rsid w:val="00535AD9"/>
    <w:rsid w:val="00535B79"/>
    <w:rsid w:val="00535D7C"/>
    <w:rsid w:val="00536056"/>
    <w:rsid w:val="0053629F"/>
    <w:rsid w:val="00536579"/>
    <w:rsid w:val="005368E3"/>
    <w:rsid w:val="00536A5A"/>
    <w:rsid w:val="00536C1E"/>
    <w:rsid w:val="00536CDF"/>
    <w:rsid w:val="00536DE4"/>
    <w:rsid w:val="0053777B"/>
    <w:rsid w:val="00537E07"/>
    <w:rsid w:val="00540F93"/>
    <w:rsid w:val="00541026"/>
    <w:rsid w:val="0054102D"/>
    <w:rsid w:val="005416CA"/>
    <w:rsid w:val="00541C95"/>
    <w:rsid w:val="00541D6B"/>
    <w:rsid w:val="00542128"/>
    <w:rsid w:val="0054212E"/>
    <w:rsid w:val="0054224D"/>
    <w:rsid w:val="005423B1"/>
    <w:rsid w:val="00542461"/>
    <w:rsid w:val="00542812"/>
    <w:rsid w:val="005433D9"/>
    <w:rsid w:val="0054343A"/>
    <w:rsid w:val="00543739"/>
    <w:rsid w:val="005437F6"/>
    <w:rsid w:val="00543974"/>
    <w:rsid w:val="00543EBF"/>
    <w:rsid w:val="005441E2"/>
    <w:rsid w:val="005441F2"/>
    <w:rsid w:val="00544222"/>
    <w:rsid w:val="005444BF"/>
    <w:rsid w:val="00544635"/>
    <w:rsid w:val="00544ABA"/>
    <w:rsid w:val="00544D47"/>
    <w:rsid w:val="005451D6"/>
    <w:rsid w:val="0054593A"/>
    <w:rsid w:val="005459D3"/>
    <w:rsid w:val="005463C5"/>
    <w:rsid w:val="005466A3"/>
    <w:rsid w:val="005467FB"/>
    <w:rsid w:val="00546AE9"/>
    <w:rsid w:val="00546C7B"/>
    <w:rsid w:val="00546DC1"/>
    <w:rsid w:val="0054726B"/>
    <w:rsid w:val="00547309"/>
    <w:rsid w:val="005476FF"/>
    <w:rsid w:val="00547989"/>
    <w:rsid w:val="00547B63"/>
    <w:rsid w:val="00547D46"/>
    <w:rsid w:val="00550100"/>
    <w:rsid w:val="00550366"/>
    <w:rsid w:val="00550880"/>
    <w:rsid w:val="0055094B"/>
    <w:rsid w:val="00551012"/>
    <w:rsid w:val="00551125"/>
    <w:rsid w:val="00551320"/>
    <w:rsid w:val="005516C3"/>
    <w:rsid w:val="005518A4"/>
    <w:rsid w:val="0055220D"/>
    <w:rsid w:val="0055249E"/>
    <w:rsid w:val="0055261B"/>
    <w:rsid w:val="005526FF"/>
    <w:rsid w:val="00552768"/>
    <w:rsid w:val="00552866"/>
    <w:rsid w:val="00552935"/>
    <w:rsid w:val="005529D6"/>
    <w:rsid w:val="005529DE"/>
    <w:rsid w:val="005529E5"/>
    <w:rsid w:val="00552A08"/>
    <w:rsid w:val="00552A9C"/>
    <w:rsid w:val="00552C6E"/>
    <w:rsid w:val="005530A1"/>
    <w:rsid w:val="00553127"/>
    <w:rsid w:val="00553225"/>
    <w:rsid w:val="00553241"/>
    <w:rsid w:val="005537D5"/>
    <w:rsid w:val="0055390A"/>
    <w:rsid w:val="00553A2C"/>
    <w:rsid w:val="00553A37"/>
    <w:rsid w:val="00554510"/>
    <w:rsid w:val="00554B23"/>
    <w:rsid w:val="00554BE7"/>
    <w:rsid w:val="00554D73"/>
    <w:rsid w:val="00554E03"/>
    <w:rsid w:val="00555221"/>
    <w:rsid w:val="00555362"/>
    <w:rsid w:val="005557A0"/>
    <w:rsid w:val="00555905"/>
    <w:rsid w:val="00555F94"/>
    <w:rsid w:val="005562AF"/>
    <w:rsid w:val="005564D5"/>
    <w:rsid w:val="00556B52"/>
    <w:rsid w:val="00556B6A"/>
    <w:rsid w:val="00556D68"/>
    <w:rsid w:val="00556DB7"/>
    <w:rsid w:val="00557173"/>
    <w:rsid w:val="00557234"/>
    <w:rsid w:val="0055742E"/>
    <w:rsid w:val="005576A1"/>
    <w:rsid w:val="00557A1A"/>
    <w:rsid w:val="00557A64"/>
    <w:rsid w:val="00560007"/>
    <w:rsid w:val="00560313"/>
    <w:rsid w:val="00560509"/>
    <w:rsid w:val="005605C0"/>
    <w:rsid w:val="00560609"/>
    <w:rsid w:val="00560D23"/>
    <w:rsid w:val="00560FC0"/>
    <w:rsid w:val="0056143A"/>
    <w:rsid w:val="00561590"/>
    <w:rsid w:val="005615D8"/>
    <w:rsid w:val="005617B8"/>
    <w:rsid w:val="00561A4A"/>
    <w:rsid w:val="00561A57"/>
    <w:rsid w:val="005626D6"/>
    <w:rsid w:val="005627F9"/>
    <w:rsid w:val="005628B3"/>
    <w:rsid w:val="0056299C"/>
    <w:rsid w:val="00562AA2"/>
    <w:rsid w:val="00562B6E"/>
    <w:rsid w:val="00563793"/>
    <w:rsid w:val="005638D4"/>
    <w:rsid w:val="00563E8F"/>
    <w:rsid w:val="00564068"/>
    <w:rsid w:val="00564070"/>
    <w:rsid w:val="0056457B"/>
    <w:rsid w:val="005648F8"/>
    <w:rsid w:val="00564D9F"/>
    <w:rsid w:val="00564F30"/>
    <w:rsid w:val="005651EA"/>
    <w:rsid w:val="005656ED"/>
    <w:rsid w:val="005657E8"/>
    <w:rsid w:val="00566439"/>
    <w:rsid w:val="00566544"/>
    <w:rsid w:val="00566608"/>
    <w:rsid w:val="00566707"/>
    <w:rsid w:val="00566C27"/>
    <w:rsid w:val="00566C83"/>
    <w:rsid w:val="00566D7A"/>
    <w:rsid w:val="00566DC4"/>
    <w:rsid w:val="00567086"/>
    <w:rsid w:val="00567604"/>
    <w:rsid w:val="00567661"/>
    <w:rsid w:val="00567C15"/>
    <w:rsid w:val="00567DA3"/>
    <w:rsid w:val="00567FB3"/>
    <w:rsid w:val="0057005E"/>
    <w:rsid w:val="005700FE"/>
    <w:rsid w:val="00570150"/>
    <w:rsid w:val="00570B27"/>
    <w:rsid w:val="00570E24"/>
    <w:rsid w:val="00570E4D"/>
    <w:rsid w:val="00570E8A"/>
    <w:rsid w:val="00570F4B"/>
    <w:rsid w:val="00570F7C"/>
    <w:rsid w:val="00571CA1"/>
    <w:rsid w:val="00571D9C"/>
    <w:rsid w:val="00571DD0"/>
    <w:rsid w:val="00572210"/>
    <w:rsid w:val="00572760"/>
    <w:rsid w:val="00572D09"/>
    <w:rsid w:val="00572D82"/>
    <w:rsid w:val="00572DFD"/>
    <w:rsid w:val="00572F2E"/>
    <w:rsid w:val="0057305B"/>
    <w:rsid w:val="00573191"/>
    <w:rsid w:val="00573268"/>
    <w:rsid w:val="005732F9"/>
    <w:rsid w:val="00573904"/>
    <w:rsid w:val="00573E9D"/>
    <w:rsid w:val="00574132"/>
    <w:rsid w:val="00574139"/>
    <w:rsid w:val="0057417C"/>
    <w:rsid w:val="005743DE"/>
    <w:rsid w:val="00574ACF"/>
    <w:rsid w:val="00574C08"/>
    <w:rsid w:val="00574C53"/>
    <w:rsid w:val="00574F3F"/>
    <w:rsid w:val="005751B2"/>
    <w:rsid w:val="00575322"/>
    <w:rsid w:val="0057562C"/>
    <w:rsid w:val="005756A0"/>
    <w:rsid w:val="005759F6"/>
    <w:rsid w:val="00575A1B"/>
    <w:rsid w:val="00575A52"/>
    <w:rsid w:val="00575E3E"/>
    <w:rsid w:val="00576589"/>
    <w:rsid w:val="005765AD"/>
    <w:rsid w:val="005765F5"/>
    <w:rsid w:val="00576600"/>
    <w:rsid w:val="00576AB3"/>
    <w:rsid w:val="00576CA9"/>
    <w:rsid w:val="00576D6C"/>
    <w:rsid w:val="00576DBE"/>
    <w:rsid w:val="005772DB"/>
    <w:rsid w:val="005775C2"/>
    <w:rsid w:val="005779D3"/>
    <w:rsid w:val="00577A2E"/>
    <w:rsid w:val="00577AEC"/>
    <w:rsid w:val="00577FC0"/>
    <w:rsid w:val="00580380"/>
    <w:rsid w:val="00580395"/>
    <w:rsid w:val="00580501"/>
    <w:rsid w:val="00580713"/>
    <w:rsid w:val="005808F4"/>
    <w:rsid w:val="00580D63"/>
    <w:rsid w:val="00580E48"/>
    <w:rsid w:val="00580F0A"/>
    <w:rsid w:val="00580F92"/>
    <w:rsid w:val="00581246"/>
    <w:rsid w:val="00581418"/>
    <w:rsid w:val="00581ABD"/>
    <w:rsid w:val="00581C9F"/>
    <w:rsid w:val="005821BE"/>
    <w:rsid w:val="005823E9"/>
    <w:rsid w:val="00582AA5"/>
    <w:rsid w:val="00582BAB"/>
    <w:rsid w:val="00582BD8"/>
    <w:rsid w:val="00582C3A"/>
    <w:rsid w:val="00582E1A"/>
    <w:rsid w:val="00583147"/>
    <w:rsid w:val="0058319B"/>
    <w:rsid w:val="00583260"/>
    <w:rsid w:val="00583AC0"/>
    <w:rsid w:val="00583BC2"/>
    <w:rsid w:val="00583CB5"/>
    <w:rsid w:val="0058440E"/>
    <w:rsid w:val="00584416"/>
    <w:rsid w:val="00584B39"/>
    <w:rsid w:val="00584D59"/>
    <w:rsid w:val="00585028"/>
    <w:rsid w:val="005851C8"/>
    <w:rsid w:val="005854D1"/>
    <w:rsid w:val="005855CE"/>
    <w:rsid w:val="00585F5B"/>
    <w:rsid w:val="00586149"/>
    <w:rsid w:val="0058620A"/>
    <w:rsid w:val="00586269"/>
    <w:rsid w:val="005862CE"/>
    <w:rsid w:val="00586543"/>
    <w:rsid w:val="00586807"/>
    <w:rsid w:val="00587433"/>
    <w:rsid w:val="00587478"/>
    <w:rsid w:val="0058760D"/>
    <w:rsid w:val="005876A5"/>
    <w:rsid w:val="005878D3"/>
    <w:rsid w:val="00587B9C"/>
    <w:rsid w:val="00587FC0"/>
    <w:rsid w:val="0059021E"/>
    <w:rsid w:val="00590359"/>
    <w:rsid w:val="00590460"/>
    <w:rsid w:val="005906AD"/>
    <w:rsid w:val="00590BCD"/>
    <w:rsid w:val="00590DA6"/>
    <w:rsid w:val="00591127"/>
    <w:rsid w:val="00591824"/>
    <w:rsid w:val="00591A00"/>
    <w:rsid w:val="00591C7D"/>
    <w:rsid w:val="00592115"/>
    <w:rsid w:val="005921DB"/>
    <w:rsid w:val="00592B03"/>
    <w:rsid w:val="00592FE7"/>
    <w:rsid w:val="0059316F"/>
    <w:rsid w:val="00593406"/>
    <w:rsid w:val="00593706"/>
    <w:rsid w:val="005939E1"/>
    <w:rsid w:val="00593AB9"/>
    <w:rsid w:val="00593BF7"/>
    <w:rsid w:val="005948DF"/>
    <w:rsid w:val="00594ABB"/>
    <w:rsid w:val="00594D1C"/>
    <w:rsid w:val="00594E36"/>
    <w:rsid w:val="00594F0A"/>
    <w:rsid w:val="0059525E"/>
    <w:rsid w:val="0059559E"/>
    <w:rsid w:val="00595887"/>
    <w:rsid w:val="005958AC"/>
    <w:rsid w:val="005961F7"/>
    <w:rsid w:val="00596367"/>
    <w:rsid w:val="005964F8"/>
    <w:rsid w:val="00596B9C"/>
    <w:rsid w:val="00596D65"/>
    <w:rsid w:val="00596E0C"/>
    <w:rsid w:val="00597248"/>
    <w:rsid w:val="0059725F"/>
    <w:rsid w:val="00597644"/>
    <w:rsid w:val="00597BA5"/>
    <w:rsid w:val="00597BC4"/>
    <w:rsid w:val="00597D17"/>
    <w:rsid w:val="00597DBD"/>
    <w:rsid w:val="00597EF9"/>
    <w:rsid w:val="005A019A"/>
    <w:rsid w:val="005A034E"/>
    <w:rsid w:val="005A054D"/>
    <w:rsid w:val="005A0564"/>
    <w:rsid w:val="005A0659"/>
    <w:rsid w:val="005A065D"/>
    <w:rsid w:val="005A0766"/>
    <w:rsid w:val="005A0A46"/>
    <w:rsid w:val="005A0BAF"/>
    <w:rsid w:val="005A10B9"/>
    <w:rsid w:val="005A11EA"/>
    <w:rsid w:val="005A1764"/>
    <w:rsid w:val="005A1847"/>
    <w:rsid w:val="005A1F03"/>
    <w:rsid w:val="005A1F25"/>
    <w:rsid w:val="005A1FEB"/>
    <w:rsid w:val="005A256C"/>
    <w:rsid w:val="005A269F"/>
    <w:rsid w:val="005A305E"/>
    <w:rsid w:val="005A30BB"/>
    <w:rsid w:val="005A3215"/>
    <w:rsid w:val="005A323A"/>
    <w:rsid w:val="005A3287"/>
    <w:rsid w:val="005A383F"/>
    <w:rsid w:val="005A3887"/>
    <w:rsid w:val="005A3C3A"/>
    <w:rsid w:val="005A3D4D"/>
    <w:rsid w:val="005A3E87"/>
    <w:rsid w:val="005A41AE"/>
    <w:rsid w:val="005A45B5"/>
    <w:rsid w:val="005A46E8"/>
    <w:rsid w:val="005A4A79"/>
    <w:rsid w:val="005A507E"/>
    <w:rsid w:val="005A51DE"/>
    <w:rsid w:val="005A550D"/>
    <w:rsid w:val="005A5768"/>
    <w:rsid w:val="005A5B4A"/>
    <w:rsid w:val="005A5F49"/>
    <w:rsid w:val="005A6171"/>
    <w:rsid w:val="005A62D5"/>
    <w:rsid w:val="005A6447"/>
    <w:rsid w:val="005A69EA"/>
    <w:rsid w:val="005A6F7A"/>
    <w:rsid w:val="005A77C8"/>
    <w:rsid w:val="005A7938"/>
    <w:rsid w:val="005A7AAB"/>
    <w:rsid w:val="005B0542"/>
    <w:rsid w:val="005B0957"/>
    <w:rsid w:val="005B0AF2"/>
    <w:rsid w:val="005B0B8F"/>
    <w:rsid w:val="005B10F1"/>
    <w:rsid w:val="005B165B"/>
    <w:rsid w:val="005B177A"/>
    <w:rsid w:val="005B17FA"/>
    <w:rsid w:val="005B1DEA"/>
    <w:rsid w:val="005B2225"/>
    <w:rsid w:val="005B2799"/>
    <w:rsid w:val="005B2B77"/>
    <w:rsid w:val="005B3694"/>
    <w:rsid w:val="005B3D4A"/>
    <w:rsid w:val="005B454C"/>
    <w:rsid w:val="005B4606"/>
    <w:rsid w:val="005B4AB9"/>
    <w:rsid w:val="005B4AFD"/>
    <w:rsid w:val="005B4D87"/>
    <w:rsid w:val="005B50EC"/>
    <w:rsid w:val="005B52D4"/>
    <w:rsid w:val="005B54C7"/>
    <w:rsid w:val="005B57BE"/>
    <w:rsid w:val="005B5BF6"/>
    <w:rsid w:val="005B5D13"/>
    <w:rsid w:val="005B6174"/>
    <w:rsid w:val="005B656C"/>
    <w:rsid w:val="005B67A0"/>
    <w:rsid w:val="005B6910"/>
    <w:rsid w:val="005B6AC9"/>
    <w:rsid w:val="005B6FF6"/>
    <w:rsid w:val="005B76D9"/>
    <w:rsid w:val="005B7725"/>
    <w:rsid w:val="005B7A48"/>
    <w:rsid w:val="005B7DD1"/>
    <w:rsid w:val="005B7E6F"/>
    <w:rsid w:val="005B7EAB"/>
    <w:rsid w:val="005C00A0"/>
    <w:rsid w:val="005C01DD"/>
    <w:rsid w:val="005C02F8"/>
    <w:rsid w:val="005C07F6"/>
    <w:rsid w:val="005C08B4"/>
    <w:rsid w:val="005C0F72"/>
    <w:rsid w:val="005C0FC6"/>
    <w:rsid w:val="005C13AE"/>
    <w:rsid w:val="005C13B6"/>
    <w:rsid w:val="005C19BC"/>
    <w:rsid w:val="005C23C9"/>
    <w:rsid w:val="005C25C2"/>
    <w:rsid w:val="005C2898"/>
    <w:rsid w:val="005C28FA"/>
    <w:rsid w:val="005C2C55"/>
    <w:rsid w:val="005C2CF7"/>
    <w:rsid w:val="005C3191"/>
    <w:rsid w:val="005C32F1"/>
    <w:rsid w:val="005C3AB6"/>
    <w:rsid w:val="005C3AD2"/>
    <w:rsid w:val="005C3E7D"/>
    <w:rsid w:val="005C4019"/>
    <w:rsid w:val="005C40F4"/>
    <w:rsid w:val="005C41A2"/>
    <w:rsid w:val="005C43BE"/>
    <w:rsid w:val="005C44F3"/>
    <w:rsid w:val="005C4527"/>
    <w:rsid w:val="005C47E3"/>
    <w:rsid w:val="005C4C2F"/>
    <w:rsid w:val="005C4DD2"/>
    <w:rsid w:val="005C545E"/>
    <w:rsid w:val="005C5604"/>
    <w:rsid w:val="005C5609"/>
    <w:rsid w:val="005C6EB8"/>
    <w:rsid w:val="005C6F51"/>
    <w:rsid w:val="005C712D"/>
    <w:rsid w:val="005C77DD"/>
    <w:rsid w:val="005C7C75"/>
    <w:rsid w:val="005C7CA4"/>
    <w:rsid w:val="005C7E1B"/>
    <w:rsid w:val="005D008F"/>
    <w:rsid w:val="005D036F"/>
    <w:rsid w:val="005D0C5C"/>
    <w:rsid w:val="005D0D6A"/>
    <w:rsid w:val="005D0D71"/>
    <w:rsid w:val="005D0E4F"/>
    <w:rsid w:val="005D0E67"/>
    <w:rsid w:val="005D0EE7"/>
    <w:rsid w:val="005D18BA"/>
    <w:rsid w:val="005D1AEB"/>
    <w:rsid w:val="005D1DAA"/>
    <w:rsid w:val="005D1E32"/>
    <w:rsid w:val="005D2008"/>
    <w:rsid w:val="005D206B"/>
    <w:rsid w:val="005D20EF"/>
    <w:rsid w:val="005D22B7"/>
    <w:rsid w:val="005D2610"/>
    <w:rsid w:val="005D2878"/>
    <w:rsid w:val="005D2A84"/>
    <w:rsid w:val="005D2BDE"/>
    <w:rsid w:val="005D2D6A"/>
    <w:rsid w:val="005D2E86"/>
    <w:rsid w:val="005D2F1D"/>
    <w:rsid w:val="005D3781"/>
    <w:rsid w:val="005D395B"/>
    <w:rsid w:val="005D3A67"/>
    <w:rsid w:val="005D3C94"/>
    <w:rsid w:val="005D3D76"/>
    <w:rsid w:val="005D3E42"/>
    <w:rsid w:val="005D42F0"/>
    <w:rsid w:val="005D42FA"/>
    <w:rsid w:val="005D4343"/>
    <w:rsid w:val="005D445B"/>
    <w:rsid w:val="005D4578"/>
    <w:rsid w:val="005D45DE"/>
    <w:rsid w:val="005D4645"/>
    <w:rsid w:val="005D4BFA"/>
    <w:rsid w:val="005D4EAD"/>
    <w:rsid w:val="005D4EFA"/>
    <w:rsid w:val="005D5226"/>
    <w:rsid w:val="005D552F"/>
    <w:rsid w:val="005D55BA"/>
    <w:rsid w:val="005D56E5"/>
    <w:rsid w:val="005D5ADB"/>
    <w:rsid w:val="005D5B21"/>
    <w:rsid w:val="005D635F"/>
    <w:rsid w:val="005D648A"/>
    <w:rsid w:val="005D7023"/>
    <w:rsid w:val="005D718A"/>
    <w:rsid w:val="005D74F8"/>
    <w:rsid w:val="005D7754"/>
    <w:rsid w:val="005D7840"/>
    <w:rsid w:val="005D7AEA"/>
    <w:rsid w:val="005D7E0D"/>
    <w:rsid w:val="005D7F22"/>
    <w:rsid w:val="005D7FCE"/>
    <w:rsid w:val="005E0104"/>
    <w:rsid w:val="005E0214"/>
    <w:rsid w:val="005E02C8"/>
    <w:rsid w:val="005E039C"/>
    <w:rsid w:val="005E0AF7"/>
    <w:rsid w:val="005E0D58"/>
    <w:rsid w:val="005E145E"/>
    <w:rsid w:val="005E1700"/>
    <w:rsid w:val="005E181B"/>
    <w:rsid w:val="005E1874"/>
    <w:rsid w:val="005E1928"/>
    <w:rsid w:val="005E19E2"/>
    <w:rsid w:val="005E1ADD"/>
    <w:rsid w:val="005E1C48"/>
    <w:rsid w:val="005E22A7"/>
    <w:rsid w:val="005E234A"/>
    <w:rsid w:val="005E2551"/>
    <w:rsid w:val="005E2A27"/>
    <w:rsid w:val="005E2AE9"/>
    <w:rsid w:val="005E2D01"/>
    <w:rsid w:val="005E3200"/>
    <w:rsid w:val="005E35CC"/>
    <w:rsid w:val="005E371E"/>
    <w:rsid w:val="005E3C14"/>
    <w:rsid w:val="005E3E81"/>
    <w:rsid w:val="005E4119"/>
    <w:rsid w:val="005E4374"/>
    <w:rsid w:val="005E439B"/>
    <w:rsid w:val="005E45B7"/>
    <w:rsid w:val="005E4825"/>
    <w:rsid w:val="005E49CD"/>
    <w:rsid w:val="005E4CD6"/>
    <w:rsid w:val="005E4CE6"/>
    <w:rsid w:val="005E4EC1"/>
    <w:rsid w:val="005E4EF3"/>
    <w:rsid w:val="005E522D"/>
    <w:rsid w:val="005E525E"/>
    <w:rsid w:val="005E53F9"/>
    <w:rsid w:val="005E5477"/>
    <w:rsid w:val="005E58B6"/>
    <w:rsid w:val="005E59D3"/>
    <w:rsid w:val="005E5B3B"/>
    <w:rsid w:val="005E5E7A"/>
    <w:rsid w:val="005E6AA5"/>
    <w:rsid w:val="005E7188"/>
    <w:rsid w:val="005E775D"/>
    <w:rsid w:val="005E7A10"/>
    <w:rsid w:val="005E7D06"/>
    <w:rsid w:val="005E7DA2"/>
    <w:rsid w:val="005F0A43"/>
    <w:rsid w:val="005F0AC0"/>
    <w:rsid w:val="005F0D6E"/>
    <w:rsid w:val="005F1016"/>
    <w:rsid w:val="005F11EE"/>
    <w:rsid w:val="005F1496"/>
    <w:rsid w:val="005F14A9"/>
    <w:rsid w:val="005F159E"/>
    <w:rsid w:val="005F185E"/>
    <w:rsid w:val="005F1C60"/>
    <w:rsid w:val="005F1D60"/>
    <w:rsid w:val="005F1DEC"/>
    <w:rsid w:val="005F22BF"/>
    <w:rsid w:val="005F2583"/>
    <w:rsid w:val="005F27BF"/>
    <w:rsid w:val="005F28F4"/>
    <w:rsid w:val="005F2F12"/>
    <w:rsid w:val="005F3063"/>
    <w:rsid w:val="005F30C0"/>
    <w:rsid w:val="005F3168"/>
    <w:rsid w:val="005F3275"/>
    <w:rsid w:val="005F3C3B"/>
    <w:rsid w:val="005F4171"/>
    <w:rsid w:val="005F43A3"/>
    <w:rsid w:val="005F4414"/>
    <w:rsid w:val="005F46D6"/>
    <w:rsid w:val="005F48B8"/>
    <w:rsid w:val="005F4929"/>
    <w:rsid w:val="005F4DD6"/>
    <w:rsid w:val="005F50D8"/>
    <w:rsid w:val="005F526A"/>
    <w:rsid w:val="005F53A1"/>
    <w:rsid w:val="005F5801"/>
    <w:rsid w:val="005F5874"/>
    <w:rsid w:val="005F5E07"/>
    <w:rsid w:val="005F6152"/>
    <w:rsid w:val="005F653B"/>
    <w:rsid w:val="005F659F"/>
    <w:rsid w:val="005F68F4"/>
    <w:rsid w:val="005F6A3A"/>
    <w:rsid w:val="005F6A8C"/>
    <w:rsid w:val="005F6B77"/>
    <w:rsid w:val="005F6E31"/>
    <w:rsid w:val="005F6FF5"/>
    <w:rsid w:val="005F70BA"/>
    <w:rsid w:val="005F7487"/>
    <w:rsid w:val="005F753F"/>
    <w:rsid w:val="005F7A27"/>
    <w:rsid w:val="005F7F7F"/>
    <w:rsid w:val="00600033"/>
    <w:rsid w:val="00600048"/>
    <w:rsid w:val="006001D7"/>
    <w:rsid w:val="006002C7"/>
    <w:rsid w:val="0060032A"/>
    <w:rsid w:val="00600378"/>
    <w:rsid w:val="006005F9"/>
    <w:rsid w:val="00600F95"/>
    <w:rsid w:val="006011F3"/>
    <w:rsid w:val="006015F8"/>
    <w:rsid w:val="00601651"/>
    <w:rsid w:val="00601839"/>
    <w:rsid w:val="00601883"/>
    <w:rsid w:val="00601929"/>
    <w:rsid w:val="00601DF6"/>
    <w:rsid w:val="00602759"/>
    <w:rsid w:val="0060277A"/>
    <w:rsid w:val="0060287C"/>
    <w:rsid w:val="00602B7C"/>
    <w:rsid w:val="00603101"/>
    <w:rsid w:val="00603312"/>
    <w:rsid w:val="006037B6"/>
    <w:rsid w:val="00603839"/>
    <w:rsid w:val="00603CE2"/>
    <w:rsid w:val="00603CE7"/>
    <w:rsid w:val="00603FDF"/>
    <w:rsid w:val="00603FE6"/>
    <w:rsid w:val="0060400C"/>
    <w:rsid w:val="00604034"/>
    <w:rsid w:val="0060478C"/>
    <w:rsid w:val="006048B6"/>
    <w:rsid w:val="00604DC7"/>
    <w:rsid w:val="00604E47"/>
    <w:rsid w:val="00604FB9"/>
    <w:rsid w:val="0060501F"/>
    <w:rsid w:val="00605248"/>
    <w:rsid w:val="00605441"/>
    <w:rsid w:val="0060556B"/>
    <w:rsid w:val="00605705"/>
    <w:rsid w:val="0060585A"/>
    <w:rsid w:val="00605A6F"/>
    <w:rsid w:val="00606534"/>
    <w:rsid w:val="006066D7"/>
    <w:rsid w:val="00606970"/>
    <w:rsid w:val="00606A20"/>
    <w:rsid w:val="00606B75"/>
    <w:rsid w:val="00606CD6"/>
    <w:rsid w:val="006070A4"/>
    <w:rsid w:val="00607116"/>
    <w:rsid w:val="00607285"/>
    <w:rsid w:val="006072C6"/>
    <w:rsid w:val="00607666"/>
    <w:rsid w:val="0060785D"/>
    <w:rsid w:val="00607A2E"/>
    <w:rsid w:val="0061008B"/>
    <w:rsid w:val="006102FA"/>
    <w:rsid w:val="00610A8E"/>
    <w:rsid w:val="00610D44"/>
    <w:rsid w:val="00611317"/>
    <w:rsid w:val="00611826"/>
    <w:rsid w:val="006118C1"/>
    <w:rsid w:val="00611CD6"/>
    <w:rsid w:val="00611D2D"/>
    <w:rsid w:val="00612306"/>
    <w:rsid w:val="006123A6"/>
    <w:rsid w:val="006126D6"/>
    <w:rsid w:val="00612905"/>
    <w:rsid w:val="00612976"/>
    <w:rsid w:val="00613014"/>
    <w:rsid w:val="0061303B"/>
    <w:rsid w:val="006130F7"/>
    <w:rsid w:val="006135DF"/>
    <w:rsid w:val="00613946"/>
    <w:rsid w:val="00613A10"/>
    <w:rsid w:val="00613AF8"/>
    <w:rsid w:val="00613D2F"/>
    <w:rsid w:val="00613D8E"/>
    <w:rsid w:val="00614282"/>
    <w:rsid w:val="006142E0"/>
    <w:rsid w:val="00614443"/>
    <w:rsid w:val="0061445D"/>
    <w:rsid w:val="006146DC"/>
    <w:rsid w:val="00614AE7"/>
    <w:rsid w:val="00614D3B"/>
    <w:rsid w:val="00614DE5"/>
    <w:rsid w:val="00614F2E"/>
    <w:rsid w:val="00615181"/>
    <w:rsid w:val="006153EB"/>
    <w:rsid w:val="006154FE"/>
    <w:rsid w:val="00615682"/>
    <w:rsid w:val="00615E49"/>
    <w:rsid w:val="00616112"/>
    <w:rsid w:val="00616195"/>
    <w:rsid w:val="006161FD"/>
    <w:rsid w:val="00616785"/>
    <w:rsid w:val="006169BE"/>
    <w:rsid w:val="00616A34"/>
    <w:rsid w:val="00616C24"/>
    <w:rsid w:val="00616C9B"/>
    <w:rsid w:val="00616FD7"/>
    <w:rsid w:val="00617028"/>
    <w:rsid w:val="006174DD"/>
    <w:rsid w:val="00617C9F"/>
    <w:rsid w:val="00617E14"/>
    <w:rsid w:val="00620039"/>
    <w:rsid w:val="00620144"/>
    <w:rsid w:val="006204F4"/>
    <w:rsid w:val="00620528"/>
    <w:rsid w:val="0062054C"/>
    <w:rsid w:val="006205CA"/>
    <w:rsid w:val="0062089F"/>
    <w:rsid w:val="006208AB"/>
    <w:rsid w:val="0062156F"/>
    <w:rsid w:val="00621990"/>
    <w:rsid w:val="00621CFF"/>
    <w:rsid w:val="00621F53"/>
    <w:rsid w:val="006220A7"/>
    <w:rsid w:val="0062236E"/>
    <w:rsid w:val="006226A8"/>
    <w:rsid w:val="00622A69"/>
    <w:rsid w:val="00622DE8"/>
    <w:rsid w:val="00622E2A"/>
    <w:rsid w:val="00622E6E"/>
    <w:rsid w:val="00623089"/>
    <w:rsid w:val="0062308E"/>
    <w:rsid w:val="006231A4"/>
    <w:rsid w:val="006233E5"/>
    <w:rsid w:val="006234C4"/>
    <w:rsid w:val="00623B5F"/>
    <w:rsid w:val="00623D6B"/>
    <w:rsid w:val="00623EDB"/>
    <w:rsid w:val="00623F50"/>
    <w:rsid w:val="00624046"/>
    <w:rsid w:val="006242A1"/>
    <w:rsid w:val="00624336"/>
    <w:rsid w:val="00624383"/>
    <w:rsid w:val="006244C9"/>
    <w:rsid w:val="006245F6"/>
    <w:rsid w:val="0062475D"/>
    <w:rsid w:val="0062495F"/>
    <w:rsid w:val="00625481"/>
    <w:rsid w:val="006258DB"/>
    <w:rsid w:val="00625DEA"/>
    <w:rsid w:val="0062660B"/>
    <w:rsid w:val="00626662"/>
    <w:rsid w:val="00626AD1"/>
    <w:rsid w:val="00626CD5"/>
    <w:rsid w:val="00626D70"/>
    <w:rsid w:val="00626F4C"/>
    <w:rsid w:val="00627774"/>
    <w:rsid w:val="0062790A"/>
    <w:rsid w:val="0062790D"/>
    <w:rsid w:val="00627EB7"/>
    <w:rsid w:val="006302B7"/>
    <w:rsid w:val="006304BC"/>
    <w:rsid w:val="00630702"/>
    <w:rsid w:val="00630725"/>
    <w:rsid w:val="00630A59"/>
    <w:rsid w:val="00630DCE"/>
    <w:rsid w:val="0063120A"/>
    <w:rsid w:val="00631475"/>
    <w:rsid w:val="0063150B"/>
    <w:rsid w:val="00631585"/>
    <w:rsid w:val="00631872"/>
    <w:rsid w:val="00631DAE"/>
    <w:rsid w:val="00631F00"/>
    <w:rsid w:val="0063200E"/>
    <w:rsid w:val="0063235A"/>
    <w:rsid w:val="00632553"/>
    <w:rsid w:val="00632B1F"/>
    <w:rsid w:val="00632F55"/>
    <w:rsid w:val="006333F4"/>
    <w:rsid w:val="006334ED"/>
    <w:rsid w:val="0063363D"/>
    <w:rsid w:val="006337DC"/>
    <w:rsid w:val="00633895"/>
    <w:rsid w:val="006339CF"/>
    <w:rsid w:val="00633AD2"/>
    <w:rsid w:val="00633B3F"/>
    <w:rsid w:val="00633F7C"/>
    <w:rsid w:val="006340C5"/>
    <w:rsid w:val="0063414C"/>
    <w:rsid w:val="006341C0"/>
    <w:rsid w:val="0063467A"/>
    <w:rsid w:val="00634730"/>
    <w:rsid w:val="0063474D"/>
    <w:rsid w:val="0063484A"/>
    <w:rsid w:val="006348A9"/>
    <w:rsid w:val="00634ACF"/>
    <w:rsid w:val="00634BE6"/>
    <w:rsid w:val="00634CEB"/>
    <w:rsid w:val="00635035"/>
    <w:rsid w:val="006353ED"/>
    <w:rsid w:val="0063580D"/>
    <w:rsid w:val="006358C9"/>
    <w:rsid w:val="00635952"/>
    <w:rsid w:val="00635B12"/>
    <w:rsid w:val="00635CAE"/>
    <w:rsid w:val="00635D22"/>
    <w:rsid w:val="00635DC3"/>
    <w:rsid w:val="0063606C"/>
    <w:rsid w:val="00636679"/>
    <w:rsid w:val="00636A61"/>
    <w:rsid w:val="00636F19"/>
    <w:rsid w:val="006371F8"/>
    <w:rsid w:val="006371FD"/>
    <w:rsid w:val="00637240"/>
    <w:rsid w:val="006376E1"/>
    <w:rsid w:val="006377CE"/>
    <w:rsid w:val="006378B1"/>
    <w:rsid w:val="00637A06"/>
    <w:rsid w:val="0064003B"/>
    <w:rsid w:val="00640288"/>
    <w:rsid w:val="006406B0"/>
    <w:rsid w:val="00640776"/>
    <w:rsid w:val="0064080C"/>
    <w:rsid w:val="00640F5B"/>
    <w:rsid w:val="00641116"/>
    <w:rsid w:val="006411C4"/>
    <w:rsid w:val="00641B8B"/>
    <w:rsid w:val="00641C32"/>
    <w:rsid w:val="0064232D"/>
    <w:rsid w:val="006424FE"/>
    <w:rsid w:val="00642835"/>
    <w:rsid w:val="00642AAA"/>
    <w:rsid w:val="00642CD6"/>
    <w:rsid w:val="00643202"/>
    <w:rsid w:val="0064357E"/>
    <w:rsid w:val="0064358F"/>
    <w:rsid w:val="00643660"/>
    <w:rsid w:val="006438AB"/>
    <w:rsid w:val="00643908"/>
    <w:rsid w:val="00643BBF"/>
    <w:rsid w:val="00644388"/>
    <w:rsid w:val="00644804"/>
    <w:rsid w:val="00644934"/>
    <w:rsid w:val="00644D0C"/>
    <w:rsid w:val="00644D5B"/>
    <w:rsid w:val="00644E74"/>
    <w:rsid w:val="006452D8"/>
    <w:rsid w:val="00645612"/>
    <w:rsid w:val="00645E77"/>
    <w:rsid w:val="00645FC7"/>
    <w:rsid w:val="0064602A"/>
    <w:rsid w:val="00646099"/>
    <w:rsid w:val="006463D0"/>
    <w:rsid w:val="0064663E"/>
    <w:rsid w:val="006467F7"/>
    <w:rsid w:val="00646D76"/>
    <w:rsid w:val="00647134"/>
    <w:rsid w:val="006476A7"/>
    <w:rsid w:val="00650139"/>
    <w:rsid w:val="00650441"/>
    <w:rsid w:val="006507EC"/>
    <w:rsid w:val="00650A63"/>
    <w:rsid w:val="00650DAA"/>
    <w:rsid w:val="0065122E"/>
    <w:rsid w:val="0065128D"/>
    <w:rsid w:val="00651524"/>
    <w:rsid w:val="006516C9"/>
    <w:rsid w:val="00651764"/>
    <w:rsid w:val="00651961"/>
    <w:rsid w:val="00651E5A"/>
    <w:rsid w:val="0065213C"/>
    <w:rsid w:val="006526AA"/>
    <w:rsid w:val="00652756"/>
    <w:rsid w:val="006528DA"/>
    <w:rsid w:val="00652AD8"/>
    <w:rsid w:val="00652B79"/>
    <w:rsid w:val="00652CE5"/>
    <w:rsid w:val="00652F05"/>
    <w:rsid w:val="0065313E"/>
    <w:rsid w:val="006533C3"/>
    <w:rsid w:val="00653FCF"/>
    <w:rsid w:val="00654068"/>
    <w:rsid w:val="006542FC"/>
    <w:rsid w:val="00654583"/>
    <w:rsid w:val="006549A1"/>
    <w:rsid w:val="00654A5E"/>
    <w:rsid w:val="00654B38"/>
    <w:rsid w:val="00654B83"/>
    <w:rsid w:val="00654F1D"/>
    <w:rsid w:val="00655061"/>
    <w:rsid w:val="006550BF"/>
    <w:rsid w:val="0065510C"/>
    <w:rsid w:val="00655ABD"/>
    <w:rsid w:val="00655B63"/>
    <w:rsid w:val="00655C40"/>
    <w:rsid w:val="00655C68"/>
    <w:rsid w:val="00656615"/>
    <w:rsid w:val="00656DB4"/>
    <w:rsid w:val="00656E5F"/>
    <w:rsid w:val="006571F6"/>
    <w:rsid w:val="006572DF"/>
    <w:rsid w:val="0065736B"/>
    <w:rsid w:val="00657434"/>
    <w:rsid w:val="00657544"/>
    <w:rsid w:val="00657B95"/>
    <w:rsid w:val="00657D20"/>
    <w:rsid w:val="00661353"/>
    <w:rsid w:val="006618CC"/>
    <w:rsid w:val="00661BBC"/>
    <w:rsid w:val="00662111"/>
    <w:rsid w:val="00662118"/>
    <w:rsid w:val="00662337"/>
    <w:rsid w:val="00662D85"/>
    <w:rsid w:val="00662DD6"/>
    <w:rsid w:val="00663197"/>
    <w:rsid w:val="006631E4"/>
    <w:rsid w:val="006638AD"/>
    <w:rsid w:val="00663B2C"/>
    <w:rsid w:val="00663C0A"/>
    <w:rsid w:val="00663C14"/>
    <w:rsid w:val="00663D9F"/>
    <w:rsid w:val="00663DC0"/>
    <w:rsid w:val="00663EC5"/>
    <w:rsid w:val="00663F75"/>
    <w:rsid w:val="006641EB"/>
    <w:rsid w:val="006643FD"/>
    <w:rsid w:val="0066474C"/>
    <w:rsid w:val="006648B0"/>
    <w:rsid w:val="00664B28"/>
    <w:rsid w:val="00664BCF"/>
    <w:rsid w:val="00664C76"/>
    <w:rsid w:val="0066507A"/>
    <w:rsid w:val="00665229"/>
    <w:rsid w:val="006654BC"/>
    <w:rsid w:val="00665EA3"/>
    <w:rsid w:val="006661B3"/>
    <w:rsid w:val="006663A7"/>
    <w:rsid w:val="00666B5D"/>
    <w:rsid w:val="00666C5A"/>
    <w:rsid w:val="00666DE2"/>
    <w:rsid w:val="00666E0E"/>
    <w:rsid w:val="00667028"/>
    <w:rsid w:val="0066732C"/>
    <w:rsid w:val="006679F5"/>
    <w:rsid w:val="00667B77"/>
    <w:rsid w:val="00667CCB"/>
    <w:rsid w:val="00670179"/>
    <w:rsid w:val="00670388"/>
    <w:rsid w:val="00670613"/>
    <w:rsid w:val="0067073A"/>
    <w:rsid w:val="00670942"/>
    <w:rsid w:val="00670A0D"/>
    <w:rsid w:val="0067160A"/>
    <w:rsid w:val="006716DA"/>
    <w:rsid w:val="00671784"/>
    <w:rsid w:val="006717A7"/>
    <w:rsid w:val="0067195A"/>
    <w:rsid w:val="00671C6D"/>
    <w:rsid w:val="00671ED0"/>
    <w:rsid w:val="006726FE"/>
    <w:rsid w:val="00672832"/>
    <w:rsid w:val="006728ED"/>
    <w:rsid w:val="00672DB9"/>
    <w:rsid w:val="00672EF4"/>
    <w:rsid w:val="006730CA"/>
    <w:rsid w:val="006732B1"/>
    <w:rsid w:val="006733AE"/>
    <w:rsid w:val="00673454"/>
    <w:rsid w:val="006734B9"/>
    <w:rsid w:val="00673578"/>
    <w:rsid w:val="006736DE"/>
    <w:rsid w:val="00673777"/>
    <w:rsid w:val="00673A18"/>
    <w:rsid w:val="00673E10"/>
    <w:rsid w:val="006740D6"/>
    <w:rsid w:val="006742CE"/>
    <w:rsid w:val="0067446F"/>
    <w:rsid w:val="0067447C"/>
    <w:rsid w:val="006745B4"/>
    <w:rsid w:val="006745E1"/>
    <w:rsid w:val="006746A4"/>
    <w:rsid w:val="00674A80"/>
    <w:rsid w:val="00674CD8"/>
    <w:rsid w:val="00674FE3"/>
    <w:rsid w:val="0067542D"/>
    <w:rsid w:val="006754BE"/>
    <w:rsid w:val="00675558"/>
    <w:rsid w:val="00675611"/>
    <w:rsid w:val="0067564A"/>
    <w:rsid w:val="006756F4"/>
    <w:rsid w:val="00675757"/>
    <w:rsid w:val="00675A60"/>
    <w:rsid w:val="00675B1D"/>
    <w:rsid w:val="00675B9A"/>
    <w:rsid w:val="00675BA8"/>
    <w:rsid w:val="00675DDB"/>
    <w:rsid w:val="00675DF6"/>
    <w:rsid w:val="00676521"/>
    <w:rsid w:val="0067697E"/>
    <w:rsid w:val="006769A2"/>
    <w:rsid w:val="006771A8"/>
    <w:rsid w:val="0067723C"/>
    <w:rsid w:val="006772B2"/>
    <w:rsid w:val="00677443"/>
    <w:rsid w:val="0067769A"/>
    <w:rsid w:val="0067780C"/>
    <w:rsid w:val="00680210"/>
    <w:rsid w:val="00680328"/>
    <w:rsid w:val="0068050E"/>
    <w:rsid w:val="00680597"/>
    <w:rsid w:val="006806A3"/>
    <w:rsid w:val="006806A6"/>
    <w:rsid w:val="00680897"/>
    <w:rsid w:val="00680A26"/>
    <w:rsid w:val="00680C00"/>
    <w:rsid w:val="00680C4F"/>
    <w:rsid w:val="00681211"/>
    <w:rsid w:val="00681317"/>
    <w:rsid w:val="0068144F"/>
    <w:rsid w:val="0068154E"/>
    <w:rsid w:val="0068162C"/>
    <w:rsid w:val="0068170F"/>
    <w:rsid w:val="00681797"/>
    <w:rsid w:val="00681896"/>
    <w:rsid w:val="00681B36"/>
    <w:rsid w:val="00681BFA"/>
    <w:rsid w:val="006822C8"/>
    <w:rsid w:val="00682560"/>
    <w:rsid w:val="006827DC"/>
    <w:rsid w:val="00682A92"/>
    <w:rsid w:val="00682C40"/>
    <w:rsid w:val="00682DFE"/>
    <w:rsid w:val="00682E14"/>
    <w:rsid w:val="0068321C"/>
    <w:rsid w:val="0068354B"/>
    <w:rsid w:val="0068371E"/>
    <w:rsid w:val="0068426A"/>
    <w:rsid w:val="0068436C"/>
    <w:rsid w:val="0068454C"/>
    <w:rsid w:val="006845A1"/>
    <w:rsid w:val="006845EE"/>
    <w:rsid w:val="00684793"/>
    <w:rsid w:val="006847B4"/>
    <w:rsid w:val="00684C2A"/>
    <w:rsid w:val="0068545E"/>
    <w:rsid w:val="006855F4"/>
    <w:rsid w:val="00685655"/>
    <w:rsid w:val="00685C69"/>
    <w:rsid w:val="00685D9F"/>
    <w:rsid w:val="00685FD4"/>
    <w:rsid w:val="00686612"/>
    <w:rsid w:val="0068661E"/>
    <w:rsid w:val="006867B7"/>
    <w:rsid w:val="00686991"/>
    <w:rsid w:val="006869C9"/>
    <w:rsid w:val="00686B56"/>
    <w:rsid w:val="00686D6B"/>
    <w:rsid w:val="006878F6"/>
    <w:rsid w:val="00687F86"/>
    <w:rsid w:val="00690089"/>
    <w:rsid w:val="006900F0"/>
    <w:rsid w:val="00690A49"/>
    <w:rsid w:val="00690AE0"/>
    <w:rsid w:val="00690B21"/>
    <w:rsid w:val="00690BB6"/>
    <w:rsid w:val="00690DFC"/>
    <w:rsid w:val="00690FFC"/>
    <w:rsid w:val="00691502"/>
    <w:rsid w:val="00691B30"/>
    <w:rsid w:val="00691C86"/>
    <w:rsid w:val="00691F2F"/>
    <w:rsid w:val="006921A0"/>
    <w:rsid w:val="006924A5"/>
    <w:rsid w:val="00692AF6"/>
    <w:rsid w:val="00692B3C"/>
    <w:rsid w:val="00693937"/>
    <w:rsid w:val="006939CC"/>
    <w:rsid w:val="00693B2B"/>
    <w:rsid w:val="00693D37"/>
    <w:rsid w:val="00693E1F"/>
    <w:rsid w:val="00693ECB"/>
    <w:rsid w:val="006941D1"/>
    <w:rsid w:val="00694334"/>
    <w:rsid w:val="00694574"/>
    <w:rsid w:val="00694797"/>
    <w:rsid w:val="00694A6E"/>
    <w:rsid w:val="00694C14"/>
    <w:rsid w:val="00694CD1"/>
    <w:rsid w:val="00695887"/>
    <w:rsid w:val="0069599C"/>
    <w:rsid w:val="00695B54"/>
    <w:rsid w:val="00696DAA"/>
    <w:rsid w:val="00697367"/>
    <w:rsid w:val="00697575"/>
    <w:rsid w:val="00697733"/>
    <w:rsid w:val="006977DC"/>
    <w:rsid w:val="00697BB6"/>
    <w:rsid w:val="006A01C4"/>
    <w:rsid w:val="006A0266"/>
    <w:rsid w:val="006A0389"/>
    <w:rsid w:val="006A090E"/>
    <w:rsid w:val="006A1314"/>
    <w:rsid w:val="006A15A6"/>
    <w:rsid w:val="006A19DA"/>
    <w:rsid w:val="006A1B72"/>
    <w:rsid w:val="006A1D91"/>
    <w:rsid w:val="006A21B4"/>
    <w:rsid w:val="006A2455"/>
    <w:rsid w:val="006A254E"/>
    <w:rsid w:val="006A25D6"/>
    <w:rsid w:val="006A2857"/>
    <w:rsid w:val="006A2AF3"/>
    <w:rsid w:val="006A2C30"/>
    <w:rsid w:val="006A301C"/>
    <w:rsid w:val="006A366A"/>
    <w:rsid w:val="006A374D"/>
    <w:rsid w:val="006A39EE"/>
    <w:rsid w:val="006A3E2B"/>
    <w:rsid w:val="006A3F21"/>
    <w:rsid w:val="006A412A"/>
    <w:rsid w:val="006A44DE"/>
    <w:rsid w:val="006A45AF"/>
    <w:rsid w:val="006A5B8F"/>
    <w:rsid w:val="006A5D01"/>
    <w:rsid w:val="006A5D22"/>
    <w:rsid w:val="006A60AA"/>
    <w:rsid w:val="006A665A"/>
    <w:rsid w:val="006A67CA"/>
    <w:rsid w:val="006A6BFF"/>
    <w:rsid w:val="006A6E17"/>
    <w:rsid w:val="006A73C2"/>
    <w:rsid w:val="006A7F5D"/>
    <w:rsid w:val="006B0556"/>
    <w:rsid w:val="006B0640"/>
    <w:rsid w:val="006B0B7F"/>
    <w:rsid w:val="006B0E09"/>
    <w:rsid w:val="006B120D"/>
    <w:rsid w:val="006B17E7"/>
    <w:rsid w:val="006B19E8"/>
    <w:rsid w:val="006B1A8A"/>
    <w:rsid w:val="006B1CDE"/>
    <w:rsid w:val="006B1D79"/>
    <w:rsid w:val="006B1EA7"/>
    <w:rsid w:val="006B1F77"/>
    <w:rsid w:val="006B1FD5"/>
    <w:rsid w:val="006B1FEC"/>
    <w:rsid w:val="006B1FF7"/>
    <w:rsid w:val="006B2124"/>
    <w:rsid w:val="006B24E8"/>
    <w:rsid w:val="006B2897"/>
    <w:rsid w:val="006B28BC"/>
    <w:rsid w:val="006B2917"/>
    <w:rsid w:val="006B2B2D"/>
    <w:rsid w:val="006B2D5E"/>
    <w:rsid w:val="006B37F4"/>
    <w:rsid w:val="006B3834"/>
    <w:rsid w:val="006B38A4"/>
    <w:rsid w:val="006B3949"/>
    <w:rsid w:val="006B394F"/>
    <w:rsid w:val="006B39D7"/>
    <w:rsid w:val="006B3AF9"/>
    <w:rsid w:val="006B3B4F"/>
    <w:rsid w:val="006B4376"/>
    <w:rsid w:val="006B44B5"/>
    <w:rsid w:val="006B453C"/>
    <w:rsid w:val="006B47C6"/>
    <w:rsid w:val="006B4855"/>
    <w:rsid w:val="006B4DAA"/>
    <w:rsid w:val="006B555A"/>
    <w:rsid w:val="006B5589"/>
    <w:rsid w:val="006B5935"/>
    <w:rsid w:val="006B5D94"/>
    <w:rsid w:val="006B5E80"/>
    <w:rsid w:val="006B600A"/>
    <w:rsid w:val="006B64FB"/>
    <w:rsid w:val="006B6635"/>
    <w:rsid w:val="006B6B89"/>
    <w:rsid w:val="006B700D"/>
    <w:rsid w:val="006B713B"/>
    <w:rsid w:val="006B77C0"/>
    <w:rsid w:val="006B7D22"/>
    <w:rsid w:val="006B7D2C"/>
    <w:rsid w:val="006B7D55"/>
    <w:rsid w:val="006B7EF1"/>
    <w:rsid w:val="006C0626"/>
    <w:rsid w:val="006C065B"/>
    <w:rsid w:val="006C1019"/>
    <w:rsid w:val="006C1094"/>
    <w:rsid w:val="006C1627"/>
    <w:rsid w:val="006C17FF"/>
    <w:rsid w:val="006C1B0A"/>
    <w:rsid w:val="006C1F3C"/>
    <w:rsid w:val="006C2014"/>
    <w:rsid w:val="006C23E0"/>
    <w:rsid w:val="006C2551"/>
    <w:rsid w:val="006C2B53"/>
    <w:rsid w:val="006C2BB5"/>
    <w:rsid w:val="006C2BEE"/>
    <w:rsid w:val="006C2E21"/>
    <w:rsid w:val="006C31F4"/>
    <w:rsid w:val="006C35C2"/>
    <w:rsid w:val="006C35E0"/>
    <w:rsid w:val="006C361F"/>
    <w:rsid w:val="006C3664"/>
    <w:rsid w:val="006C382F"/>
    <w:rsid w:val="006C3AD8"/>
    <w:rsid w:val="006C3C6D"/>
    <w:rsid w:val="006C3E82"/>
    <w:rsid w:val="006C3EB4"/>
    <w:rsid w:val="006C4516"/>
    <w:rsid w:val="006C455E"/>
    <w:rsid w:val="006C4E6C"/>
    <w:rsid w:val="006C561C"/>
    <w:rsid w:val="006C5958"/>
    <w:rsid w:val="006C5B4F"/>
    <w:rsid w:val="006C614B"/>
    <w:rsid w:val="006C643C"/>
    <w:rsid w:val="006C651F"/>
    <w:rsid w:val="006C661D"/>
    <w:rsid w:val="006C6AB1"/>
    <w:rsid w:val="006C6E3A"/>
    <w:rsid w:val="006C6EBD"/>
    <w:rsid w:val="006C6FD7"/>
    <w:rsid w:val="006C733D"/>
    <w:rsid w:val="006C750E"/>
    <w:rsid w:val="006C7A5A"/>
    <w:rsid w:val="006C7C0B"/>
    <w:rsid w:val="006C7D92"/>
    <w:rsid w:val="006C7EC5"/>
    <w:rsid w:val="006D00DB"/>
    <w:rsid w:val="006D0361"/>
    <w:rsid w:val="006D04D0"/>
    <w:rsid w:val="006D092C"/>
    <w:rsid w:val="006D0A13"/>
    <w:rsid w:val="006D16B0"/>
    <w:rsid w:val="006D1977"/>
    <w:rsid w:val="006D19B9"/>
    <w:rsid w:val="006D19E9"/>
    <w:rsid w:val="006D1A5A"/>
    <w:rsid w:val="006D1A9E"/>
    <w:rsid w:val="006D2182"/>
    <w:rsid w:val="006D2444"/>
    <w:rsid w:val="006D254B"/>
    <w:rsid w:val="006D25EE"/>
    <w:rsid w:val="006D289B"/>
    <w:rsid w:val="006D28DC"/>
    <w:rsid w:val="006D2CFE"/>
    <w:rsid w:val="006D2E54"/>
    <w:rsid w:val="006D2E56"/>
    <w:rsid w:val="006D307C"/>
    <w:rsid w:val="006D319C"/>
    <w:rsid w:val="006D3BE1"/>
    <w:rsid w:val="006D3C1A"/>
    <w:rsid w:val="006D3E63"/>
    <w:rsid w:val="006D3FC1"/>
    <w:rsid w:val="006D4201"/>
    <w:rsid w:val="006D4248"/>
    <w:rsid w:val="006D46B2"/>
    <w:rsid w:val="006D48FC"/>
    <w:rsid w:val="006D4D18"/>
    <w:rsid w:val="006D5119"/>
    <w:rsid w:val="006D529C"/>
    <w:rsid w:val="006D5315"/>
    <w:rsid w:val="006D600C"/>
    <w:rsid w:val="006D6196"/>
    <w:rsid w:val="006D6229"/>
    <w:rsid w:val="006D62BC"/>
    <w:rsid w:val="006D6450"/>
    <w:rsid w:val="006D65DE"/>
    <w:rsid w:val="006D6939"/>
    <w:rsid w:val="006D6DB4"/>
    <w:rsid w:val="006D6FC3"/>
    <w:rsid w:val="006D77AA"/>
    <w:rsid w:val="006D7E40"/>
    <w:rsid w:val="006D7EB0"/>
    <w:rsid w:val="006E0138"/>
    <w:rsid w:val="006E0573"/>
    <w:rsid w:val="006E05DF"/>
    <w:rsid w:val="006E061A"/>
    <w:rsid w:val="006E07E8"/>
    <w:rsid w:val="006E0BB0"/>
    <w:rsid w:val="006E12C3"/>
    <w:rsid w:val="006E16B2"/>
    <w:rsid w:val="006E1935"/>
    <w:rsid w:val="006E1AC0"/>
    <w:rsid w:val="006E1B6F"/>
    <w:rsid w:val="006E212B"/>
    <w:rsid w:val="006E2460"/>
    <w:rsid w:val="006E2529"/>
    <w:rsid w:val="006E2777"/>
    <w:rsid w:val="006E2A73"/>
    <w:rsid w:val="006E2F86"/>
    <w:rsid w:val="006E32C5"/>
    <w:rsid w:val="006E3324"/>
    <w:rsid w:val="006E3334"/>
    <w:rsid w:val="006E34BF"/>
    <w:rsid w:val="006E3735"/>
    <w:rsid w:val="006E375F"/>
    <w:rsid w:val="006E3CE9"/>
    <w:rsid w:val="006E3E25"/>
    <w:rsid w:val="006E3ECD"/>
    <w:rsid w:val="006E3F26"/>
    <w:rsid w:val="006E4099"/>
    <w:rsid w:val="006E40C2"/>
    <w:rsid w:val="006E4394"/>
    <w:rsid w:val="006E45F3"/>
    <w:rsid w:val="006E4688"/>
    <w:rsid w:val="006E4852"/>
    <w:rsid w:val="006E4A2F"/>
    <w:rsid w:val="006E4DA0"/>
    <w:rsid w:val="006E4ED4"/>
    <w:rsid w:val="006E522B"/>
    <w:rsid w:val="006E528F"/>
    <w:rsid w:val="006E5326"/>
    <w:rsid w:val="006E5437"/>
    <w:rsid w:val="006E5909"/>
    <w:rsid w:val="006E5CA3"/>
    <w:rsid w:val="006E5E19"/>
    <w:rsid w:val="006E61C3"/>
    <w:rsid w:val="006E64C8"/>
    <w:rsid w:val="006E6660"/>
    <w:rsid w:val="006E6DFC"/>
    <w:rsid w:val="006E6F16"/>
    <w:rsid w:val="006E7003"/>
    <w:rsid w:val="006E7094"/>
    <w:rsid w:val="006E71C9"/>
    <w:rsid w:val="006E745F"/>
    <w:rsid w:val="006E7525"/>
    <w:rsid w:val="006E754B"/>
    <w:rsid w:val="006E7922"/>
    <w:rsid w:val="006E799D"/>
    <w:rsid w:val="006E7C06"/>
    <w:rsid w:val="006F02CE"/>
    <w:rsid w:val="006F0395"/>
    <w:rsid w:val="006F0593"/>
    <w:rsid w:val="006F0653"/>
    <w:rsid w:val="006F0889"/>
    <w:rsid w:val="006F0D1C"/>
    <w:rsid w:val="006F1064"/>
    <w:rsid w:val="006F1977"/>
    <w:rsid w:val="006F1A28"/>
    <w:rsid w:val="006F1E6F"/>
    <w:rsid w:val="006F1EB7"/>
    <w:rsid w:val="006F20CB"/>
    <w:rsid w:val="006F20FB"/>
    <w:rsid w:val="006F2136"/>
    <w:rsid w:val="006F27B2"/>
    <w:rsid w:val="006F2BD1"/>
    <w:rsid w:val="006F2C76"/>
    <w:rsid w:val="006F2CD3"/>
    <w:rsid w:val="006F39AF"/>
    <w:rsid w:val="006F3AC2"/>
    <w:rsid w:val="006F3BB5"/>
    <w:rsid w:val="006F4117"/>
    <w:rsid w:val="006F42BF"/>
    <w:rsid w:val="006F42D5"/>
    <w:rsid w:val="006F46EB"/>
    <w:rsid w:val="006F48BA"/>
    <w:rsid w:val="006F496D"/>
    <w:rsid w:val="006F4CDA"/>
    <w:rsid w:val="006F52E5"/>
    <w:rsid w:val="006F57D3"/>
    <w:rsid w:val="006F5887"/>
    <w:rsid w:val="006F5A44"/>
    <w:rsid w:val="006F5B83"/>
    <w:rsid w:val="006F6066"/>
    <w:rsid w:val="006F673B"/>
    <w:rsid w:val="006F67D5"/>
    <w:rsid w:val="006F6850"/>
    <w:rsid w:val="006F68F4"/>
    <w:rsid w:val="006F6B62"/>
    <w:rsid w:val="006F6BC2"/>
    <w:rsid w:val="006F707E"/>
    <w:rsid w:val="006F70D2"/>
    <w:rsid w:val="006F74F1"/>
    <w:rsid w:val="006F760F"/>
    <w:rsid w:val="006F78C2"/>
    <w:rsid w:val="0070012D"/>
    <w:rsid w:val="007001DC"/>
    <w:rsid w:val="0070064E"/>
    <w:rsid w:val="007008CE"/>
    <w:rsid w:val="00700C81"/>
    <w:rsid w:val="00700FBF"/>
    <w:rsid w:val="007017D1"/>
    <w:rsid w:val="00701834"/>
    <w:rsid w:val="007019ED"/>
    <w:rsid w:val="00701F61"/>
    <w:rsid w:val="00702065"/>
    <w:rsid w:val="00702244"/>
    <w:rsid w:val="007022F3"/>
    <w:rsid w:val="007025CB"/>
    <w:rsid w:val="00702654"/>
    <w:rsid w:val="0070273B"/>
    <w:rsid w:val="007027F6"/>
    <w:rsid w:val="00702A43"/>
    <w:rsid w:val="00702B12"/>
    <w:rsid w:val="007034AA"/>
    <w:rsid w:val="0070395F"/>
    <w:rsid w:val="00703C9D"/>
    <w:rsid w:val="00703E9E"/>
    <w:rsid w:val="00703EE9"/>
    <w:rsid w:val="00703F50"/>
    <w:rsid w:val="007040F5"/>
    <w:rsid w:val="0070438E"/>
    <w:rsid w:val="0070490C"/>
    <w:rsid w:val="00704B74"/>
    <w:rsid w:val="00704D25"/>
    <w:rsid w:val="007050E6"/>
    <w:rsid w:val="00705454"/>
    <w:rsid w:val="00705716"/>
    <w:rsid w:val="00705C38"/>
    <w:rsid w:val="00705EFD"/>
    <w:rsid w:val="007060BE"/>
    <w:rsid w:val="007063E3"/>
    <w:rsid w:val="00706465"/>
    <w:rsid w:val="007064D6"/>
    <w:rsid w:val="00706894"/>
    <w:rsid w:val="0070695A"/>
    <w:rsid w:val="0070782D"/>
    <w:rsid w:val="00710085"/>
    <w:rsid w:val="0071086D"/>
    <w:rsid w:val="007109C2"/>
    <w:rsid w:val="00710D8A"/>
    <w:rsid w:val="00710FDE"/>
    <w:rsid w:val="00710FF4"/>
    <w:rsid w:val="0071102B"/>
    <w:rsid w:val="0071116F"/>
    <w:rsid w:val="0071118C"/>
    <w:rsid w:val="00711340"/>
    <w:rsid w:val="0071145A"/>
    <w:rsid w:val="00711F24"/>
    <w:rsid w:val="00711F5E"/>
    <w:rsid w:val="0071265A"/>
    <w:rsid w:val="00712843"/>
    <w:rsid w:val="00712A40"/>
    <w:rsid w:val="00712C42"/>
    <w:rsid w:val="00712D48"/>
    <w:rsid w:val="0071301D"/>
    <w:rsid w:val="007130C0"/>
    <w:rsid w:val="0071320E"/>
    <w:rsid w:val="00713252"/>
    <w:rsid w:val="007133FE"/>
    <w:rsid w:val="00713697"/>
    <w:rsid w:val="00713736"/>
    <w:rsid w:val="0071373D"/>
    <w:rsid w:val="00713DE4"/>
    <w:rsid w:val="00713E8D"/>
    <w:rsid w:val="00714313"/>
    <w:rsid w:val="00714A76"/>
    <w:rsid w:val="00714C47"/>
    <w:rsid w:val="0071507C"/>
    <w:rsid w:val="007152C1"/>
    <w:rsid w:val="00715368"/>
    <w:rsid w:val="007155C4"/>
    <w:rsid w:val="00715CB8"/>
    <w:rsid w:val="00715EB0"/>
    <w:rsid w:val="00716462"/>
    <w:rsid w:val="00716802"/>
    <w:rsid w:val="0071685C"/>
    <w:rsid w:val="00716C7E"/>
    <w:rsid w:val="00716D21"/>
    <w:rsid w:val="00716E86"/>
    <w:rsid w:val="00716E92"/>
    <w:rsid w:val="00716EA1"/>
    <w:rsid w:val="00716FB8"/>
    <w:rsid w:val="0071735E"/>
    <w:rsid w:val="00717714"/>
    <w:rsid w:val="007179D9"/>
    <w:rsid w:val="00717A5D"/>
    <w:rsid w:val="00717BEB"/>
    <w:rsid w:val="007203A1"/>
    <w:rsid w:val="00720410"/>
    <w:rsid w:val="007205F8"/>
    <w:rsid w:val="00720A8D"/>
    <w:rsid w:val="00721084"/>
    <w:rsid w:val="007210AB"/>
    <w:rsid w:val="00721262"/>
    <w:rsid w:val="00721D21"/>
    <w:rsid w:val="00721D9B"/>
    <w:rsid w:val="00722121"/>
    <w:rsid w:val="00722367"/>
    <w:rsid w:val="007224B9"/>
    <w:rsid w:val="00722507"/>
    <w:rsid w:val="00722552"/>
    <w:rsid w:val="00722910"/>
    <w:rsid w:val="00722A6A"/>
    <w:rsid w:val="00722F94"/>
    <w:rsid w:val="00723240"/>
    <w:rsid w:val="0072379D"/>
    <w:rsid w:val="007239D8"/>
    <w:rsid w:val="00723AA7"/>
    <w:rsid w:val="00724079"/>
    <w:rsid w:val="0072432E"/>
    <w:rsid w:val="00724657"/>
    <w:rsid w:val="007248D1"/>
    <w:rsid w:val="00724AE9"/>
    <w:rsid w:val="00725DD1"/>
    <w:rsid w:val="00725FEE"/>
    <w:rsid w:val="00726036"/>
    <w:rsid w:val="00726279"/>
    <w:rsid w:val="00726444"/>
    <w:rsid w:val="0072644D"/>
    <w:rsid w:val="007265BD"/>
    <w:rsid w:val="00726603"/>
    <w:rsid w:val="0072672F"/>
    <w:rsid w:val="00726A4B"/>
    <w:rsid w:val="00726A9B"/>
    <w:rsid w:val="00726F1C"/>
    <w:rsid w:val="00727530"/>
    <w:rsid w:val="007278D1"/>
    <w:rsid w:val="0072791C"/>
    <w:rsid w:val="00727BAF"/>
    <w:rsid w:val="00727C69"/>
    <w:rsid w:val="00730323"/>
    <w:rsid w:val="007305A9"/>
    <w:rsid w:val="00730660"/>
    <w:rsid w:val="0073072A"/>
    <w:rsid w:val="00730ABB"/>
    <w:rsid w:val="00730C28"/>
    <w:rsid w:val="00731431"/>
    <w:rsid w:val="0073195A"/>
    <w:rsid w:val="007319BA"/>
    <w:rsid w:val="007319DD"/>
    <w:rsid w:val="00731E7C"/>
    <w:rsid w:val="00732026"/>
    <w:rsid w:val="00732277"/>
    <w:rsid w:val="007323C4"/>
    <w:rsid w:val="0073251E"/>
    <w:rsid w:val="00732607"/>
    <w:rsid w:val="00732817"/>
    <w:rsid w:val="007328E8"/>
    <w:rsid w:val="007329EF"/>
    <w:rsid w:val="00732A6C"/>
    <w:rsid w:val="00732D60"/>
    <w:rsid w:val="00732E4C"/>
    <w:rsid w:val="0073325F"/>
    <w:rsid w:val="0073327A"/>
    <w:rsid w:val="00733328"/>
    <w:rsid w:val="00733D89"/>
    <w:rsid w:val="00733FD1"/>
    <w:rsid w:val="00734100"/>
    <w:rsid w:val="007342F5"/>
    <w:rsid w:val="00734714"/>
    <w:rsid w:val="00734A33"/>
    <w:rsid w:val="00734E39"/>
    <w:rsid w:val="00734EBE"/>
    <w:rsid w:val="00735498"/>
    <w:rsid w:val="00735546"/>
    <w:rsid w:val="00735C2C"/>
    <w:rsid w:val="00735CF3"/>
    <w:rsid w:val="00736487"/>
    <w:rsid w:val="0073665E"/>
    <w:rsid w:val="00736690"/>
    <w:rsid w:val="00736DD8"/>
    <w:rsid w:val="007373A3"/>
    <w:rsid w:val="00737555"/>
    <w:rsid w:val="00737628"/>
    <w:rsid w:val="007376F1"/>
    <w:rsid w:val="00737770"/>
    <w:rsid w:val="00737806"/>
    <w:rsid w:val="00737D3C"/>
    <w:rsid w:val="00740113"/>
    <w:rsid w:val="007403EF"/>
    <w:rsid w:val="00740548"/>
    <w:rsid w:val="0074059A"/>
    <w:rsid w:val="0074076A"/>
    <w:rsid w:val="007407D9"/>
    <w:rsid w:val="007408D3"/>
    <w:rsid w:val="007409BE"/>
    <w:rsid w:val="00740A8E"/>
    <w:rsid w:val="00740B49"/>
    <w:rsid w:val="0074114B"/>
    <w:rsid w:val="007411E1"/>
    <w:rsid w:val="00741240"/>
    <w:rsid w:val="007418C7"/>
    <w:rsid w:val="007419EF"/>
    <w:rsid w:val="00741AED"/>
    <w:rsid w:val="00741AF4"/>
    <w:rsid w:val="00741DCC"/>
    <w:rsid w:val="0074203A"/>
    <w:rsid w:val="00742112"/>
    <w:rsid w:val="007426EB"/>
    <w:rsid w:val="0074276D"/>
    <w:rsid w:val="007427B5"/>
    <w:rsid w:val="00742865"/>
    <w:rsid w:val="0074296C"/>
    <w:rsid w:val="00742C1B"/>
    <w:rsid w:val="00742C83"/>
    <w:rsid w:val="00742DB1"/>
    <w:rsid w:val="00742EE2"/>
    <w:rsid w:val="00743324"/>
    <w:rsid w:val="007433C8"/>
    <w:rsid w:val="007435B9"/>
    <w:rsid w:val="0074360F"/>
    <w:rsid w:val="007436CD"/>
    <w:rsid w:val="00743722"/>
    <w:rsid w:val="00743786"/>
    <w:rsid w:val="00743EAE"/>
    <w:rsid w:val="00743EED"/>
    <w:rsid w:val="00744256"/>
    <w:rsid w:val="007442BC"/>
    <w:rsid w:val="00744397"/>
    <w:rsid w:val="0074458E"/>
    <w:rsid w:val="007447D9"/>
    <w:rsid w:val="0074494C"/>
    <w:rsid w:val="0074497A"/>
    <w:rsid w:val="00744A64"/>
    <w:rsid w:val="00744D47"/>
    <w:rsid w:val="00744D5F"/>
    <w:rsid w:val="00744EA0"/>
    <w:rsid w:val="00744F8A"/>
    <w:rsid w:val="007457E6"/>
    <w:rsid w:val="00745903"/>
    <w:rsid w:val="0074599C"/>
    <w:rsid w:val="00745B31"/>
    <w:rsid w:val="00745E55"/>
    <w:rsid w:val="007461DC"/>
    <w:rsid w:val="00746285"/>
    <w:rsid w:val="00746317"/>
    <w:rsid w:val="0074638D"/>
    <w:rsid w:val="0074639F"/>
    <w:rsid w:val="00746484"/>
    <w:rsid w:val="007465A4"/>
    <w:rsid w:val="0074690D"/>
    <w:rsid w:val="00746C8B"/>
    <w:rsid w:val="00746DD0"/>
    <w:rsid w:val="0074704F"/>
    <w:rsid w:val="007472D0"/>
    <w:rsid w:val="00747429"/>
    <w:rsid w:val="00747883"/>
    <w:rsid w:val="00747F48"/>
    <w:rsid w:val="00747F4C"/>
    <w:rsid w:val="007500B0"/>
    <w:rsid w:val="007500B6"/>
    <w:rsid w:val="00750130"/>
    <w:rsid w:val="0075047C"/>
    <w:rsid w:val="007504AD"/>
    <w:rsid w:val="007505C0"/>
    <w:rsid w:val="0075079C"/>
    <w:rsid w:val="007508CE"/>
    <w:rsid w:val="007509F0"/>
    <w:rsid w:val="00751091"/>
    <w:rsid w:val="0075124A"/>
    <w:rsid w:val="007514B2"/>
    <w:rsid w:val="0075161C"/>
    <w:rsid w:val="007519E2"/>
    <w:rsid w:val="00751B2A"/>
    <w:rsid w:val="00751B83"/>
    <w:rsid w:val="00752893"/>
    <w:rsid w:val="00752BCC"/>
    <w:rsid w:val="00752C47"/>
    <w:rsid w:val="00752CAA"/>
    <w:rsid w:val="00752E6E"/>
    <w:rsid w:val="00752F9D"/>
    <w:rsid w:val="0075357E"/>
    <w:rsid w:val="00753654"/>
    <w:rsid w:val="00753766"/>
    <w:rsid w:val="007537F7"/>
    <w:rsid w:val="00753874"/>
    <w:rsid w:val="00753ADB"/>
    <w:rsid w:val="00753E80"/>
    <w:rsid w:val="0075425B"/>
    <w:rsid w:val="00754359"/>
    <w:rsid w:val="00754411"/>
    <w:rsid w:val="00754564"/>
    <w:rsid w:val="00754AF5"/>
    <w:rsid w:val="00754BD9"/>
    <w:rsid w:val="00754E7A"/>
    <w:rsid w:val="00754E8E"/>
    <w:rsid w:val="0075540C"/>
    <w:rsid w:val="00755709"/>
    <w:rsid w:val="00755AD0"/>
    <w:rsid w:val="00755C1E"/>
    <w:rsid w:val="00755D50"/>
    <w:rsid w:val="00755DB1"/>
    <w:rsid w:val="007560F5"/>
    <w:rsid w:val="0075700F"/>
    <w:rsid w:val="007574FC"/>
    <w:rsid w:val="0075757A"/>
    <w:rsid w:val="00757632"/>
    <w:rsid w:val="00757800"/>
    <w:rsid w:val="007600F2"/>
    <w:rsid w:val="00760975"/>
    <w:rsid w:val="00760D96"/>
    <w:rsid w:val="00761046"/>
    <w:rsid w:val="00761063"/>
    <w:rsid w:val="0076146B"/>
    <w:rsid w:val="00761795"/>
    <w:rsid w:val="0076189E"/>
    <w:rsid w:val="00761C29"/>
    <w:rsid w:val="00761FDA"/>
    <w:rsid w:val="007621FF"/>
    <w:rsid w:val="007624A8"/>
    <w:rsid w:val="0076271F"/>
    <w:rsid w:val="00762CC2"/>
    <w:rsid w:val="0076344C"/>
    <w:rsid w:val="007634E3"/>
    <w:rsid w:val="00763589"/>
    <w:rsid w:val="007639EB"/>
    <w:rsid w:val="00763A0E"/>
    <w:rsid w:val="00764194"/>
    <w:rsid w:val="007642D4"/>
    <w:rsid w:val="00764582"/>
    <w:rsid w:val="0076472A"/>
    <w:rsid w:val="007647EE"/>
    <w:rsid w:val="00764A14"/>
    <w:rsid w:val="0076567B"/>
    <w:rsid w:val="0076592F"/>
    <w:rsid w:val="00765C0F"/>
    <w:rsid w:val="00765ED3"/>
    <w:rsid w:val="0076607C"/>
    <w:rsid w:val="00766590"/>
    <w:rsid w:val="0076681D"/>
    <w:rsid w:val="00766A65"/>
    <w:rsid w:val="00766BCF"/>
    <w:rsid w:val="007671F5"/>
    <w:rsid w:val="00767280"/>
    <w:rsid w:val="007676B8"/>
    <w:rsid w:val="00767887"/>
    <w:rsid w:val="00767B80"/>
    <w:rsid w:val="00767BAE"/>
    <w:rsid w:val="0077008C"/>
    <w:rsid w:val="007700FD"/>
    <w:rsid w:val="00770213"/>
    <w:rsid w:val="007703D2"/>
    <w:rsid w:val="007705AF"/>
    <w:rsid w:val="00770704"/>
    <w:rsid w:val="00770A12"/>
    <w:rsid w:val="0077175C"/>
    <w:rsid w:val="00771870"/>
    <w:rsid w:val="00771B87"/>
    <w:rsid w:val="00771BF9"/>
    <w:rsid w:val="00771D41"/>
    <w:rsid w:val="00771D51"/>
    <w:rsid w:val="00771F31"/>
    <w:rsid w:val="007721EF"/>
    <w:rsid w:val="00772204"/>
    <w:rsid w:val="0077230A"/>
    <w:rsid w:val="0077233C"/>
    <w:rsid w:val="007724A2"/>
    <w:rsid w:val="0077256A"/>
    <w:rsid w:val="00772D31"/>
    <w:rsid w:val="00772F46"/>
    <w:rsid w:val="00772F8A"/>
    <w:rsid w:val="0077302A"/>
    <w:rsid w:val="007733BC"/>
    <w:rsid w:val="00773599"/>
    <w:rsid w:val="007739C6"/>
    <w:rsid w:val="00773D5E"/>
    <w:rsid w:val="00773EC0"/>
    <w:rsid w:val="00773EC2"/>
    <w:rsid w:val="007743D0"/>
    <w:rsid w:val="007743EA"/>
    <w:rsid w:val="00774889"/>
    <w:rsid w:val="00774DA5"/>
    <w:rsid w:val="00774F2E"/>
    <w:rsid w:val="00774FF5"/>
    <w:rsid w:val="007750B3"/>
    <w:rsid w:val="00775436"/>
    <w:rsid w:val="007756AA"/>
    <w:rsid w:val="00775876"/>
    <w:rsid w:val="0077588C"/>
    <w:rsid w:val="0077596C"/>
    <w:rsid w:val="00775B20"/>
    <w:rsid w:val="00775F11"/>
    <w:rsid w:val="00775F76"/>
    <w:rsid w:val="0077609E"/>
    <w:rsid w:val="00776AEA"/>
    <w:rsid w:val="007770FB"/>
    <w:rsid w:val="007776A9"/>
    <w:rsid w:val="0077780D"/>
    <w:rsid w:val="00777BA0"/>
    <w:rsid w:val="00777D9A"/>
    <w:rsid w:val="007803BD"/>
    <w:rsid w:val="007803C9"/>
    <w:rsid w:val="0078058E"/>
    <w:rsid w:val="0078085D"/>
    <w:rsid w:val="007809E5"/>
    <w:rsid w:val="00780C5C"/>
    <w:rsid w:val="00780DD7"/>
    <w:rsid w:val="00780E60"/>
    <w:rsid w:val="00781092"/>
    <w:rsid w:val="007811DC"/>
    <w:rsid w:val="007820FA"/>
    <w:rsid w:val="0078229B"/>
    <w:rsid w:val="007822C0"/>
    <w:rsid w:val="00782583"/>
    <w:rsid w:val="00782637"/>
    <w:rsid w:val="0078285F"/>
    <w:rsid w:val="00782FDB"/>
    <w:rsid w:val="007830F1"/>
    <w:rsid w:val="00783207"/>
    <w:rsid w:val="00783389"/>
    <w:rsid w:val="0078362A"/>
    <w:rsid w:val="007836D4"/>
    <w:rsid w:val="00783A97"/>
    <w:rsid w:val="00783DDD"/>
    <w:rsid w:val="00783E1D"/>
    <w:rsid w:val="00783F09"/>
    <w:rsid w:val="0078405D"/>
    <w:rsid w:val="0078455B"/>
    <w:rsid w:val="0078483B"/>
    <w:rsid w:val="00784CB1"/>
    <w:rsid w:val="00784EED"/>
    <w:rsid w:val="007851E4"/>
    <w:rsid w:val="00785900"/>
    <w:rsid w:val="00785A46"/>
    <w:rsid w:val="007862D2"/>
    <w:rsid w:val="00786446"/>
    <w:rsid w:val="007865FA"/>
    <w:rsid w:val="0078667B"/>
    <w:rsid w:val="00786861"/>
    <w:rsid w:val="00786958"/>
    <w:rsid w:val="00786E71"/>
    <w:rsid w:val="00787256"/>
    <w:rsid w:val="007875E2"/>
    <w:rsid w:val="00787656"/>
    <w:rsid w:val="007877CD"/>
    <w:rsid w:val="00787815"/>
    <w:rsid w:val="00787886"/>
    <w:rsid w:val="00787998"/>
    <w:rsid w:val="00787D84"/>
    <w:rsid w:val="00787DC5"/>
    <w:rsid w:val="0079020C"/>
    <w:rsid w:val="0079063A"/>
    <w:rsid w:val="00790B83"/>
    <w:rsid w:val="00790BDF"/>
    <w:rsid w:val="00790F07"/>
    <w:rsid w:val="00790F6E"/>
    <w:rsid w:val="00791402"/>
    <w:rsid w:val="00791603"/>
    <w:rsid w:val="0079162F"/>
    <w:rsid w:val="007919CE"/>
    <w:rsid w:val="00791F8A"/>
    <w:rsid w:val="00792449"/>
    <w:rsid w:val="00792A6D"/>
    <w:rsid w:val="0079315F"/>
    <w:rsid w:val="00793688"/>
    <w:rsid w:val="00793703"/>
    <w:rsid w:val="00793B56"/>
    <w:rsid w:val="00793BED"/>
    <w:rsid w:val="00793D1C"/>
    <w:rsid w:val="00793F26"/>
    <w:rsid w:val="007946E9"/>
    <w:rsid w:val="00794771"/>
    <w:rsid w:val="00794924"/>
    <w:rsid w:val="00794A6E"/>
    <w:rsid w:val="00794B65"/>
    <w:rsid w:val="00794DAB"/>
    <w:rsid w:val="00794FFD"/>
    <w:rsid w:val="007951B1"/>
    <w:rsid w:val="0079573B"/>
    <w:rsid w:val="0079577B"/>
    <w:rsid w:val="00795B95"/>
    <w:rsid w:val="00795EBF"/>
    <w:rsid w:val="007962BA"/>
    <w:rsid w:val="0079689D"/>
    <w:rsid w:val="00797409"/>
    <w:rsid w:val="00797516"/>
    <w:rsid w:val="007A002C"/>
    <w:rsid w:val="007A015A"/>
    <w:rsid w:val="007A01D1"/>
    <w:rsid w:val="007A0575"/>
    <w:rsid w:val="007A05FB"/>
    <w:rsid w:val="007A0658"/>
    <w:rsid w:val="007A0BAC"/>
    <w:rsid w:val="007A0BC2"/>
    <w:rsid w:val="007A0FF9"/>
    <w:rsid w:val="007A1142"/>
    <w:rsid w:val="007A13E3"/>
    <w:rsid w:val="007A1E86"/>
    <w:rsid w:val="007A1F44"/>
    <w:rsid w:val="007A23FF"/>
    <w:rsid w:val="007A2827"/>
    <w:rsid w:val="007A295B"/>
    <w:rsid w:val="007A2B30"/>
    <w:rsid w:val="007A2FCF"/>
    <w:rsid w:val="007A30C4"/>
    <w:rsid w:val="007A3424"/>
    <w:rsid w:val="007A35EF"/>
    <w:rsid w:val="007A43A2"/>
    <w:rsid w:val="007A454E"/>
    <w:rsid w:val="007A46F6"/>
    <w:rsid w:val="007A48D2"/>
    <w:rsid w:val="007A4C68"/>
    <w:rsid w:val="007A4D04"/>
    <w:rsid w:val="007A5680"/>
    <w:rsid w:val="007A5855"/>
    <w:rsid w:val="007A5BDC"/>
    <w:rsid w:val="007A5BE7"/>
    <w:rsid w:val="007A5CFC"/>
    <w:rsid w:val="007A5E26"/>
    <w:rsid w:val="007A66B4"/>
    <w:rsid w:val="007A6920"/>
    <w:rsid w:val="007A72AC"/>
    <w:rsid w:val="007A75D8"/>
    <w:rsid w:val="007A7A96"/>
    <w:rsid w:val="007A7C6B"/>
    <w:rsid w:val="007B00F3"/>
    <w:rsid w:val="007B03AF"/>
    <w:rsid w:val="007B058C"/>
    <w:rsid w:val="007B0606"/>
    <w:rsid w:val="007B0726"/>
    <w:rsid w:val="007B0BE9"/>
    <w:rsid w:val="007B0C1B"/>
    <w:rsid w:val="007B0D1F"/>
    <w:rsid w:val="007B0D84"/>
    <w:rsid w:val="007B1121"/>
    <w:rsid w:val="007B114F"/>
    <w:rsid w:val="007B1543"/>
    <w:rsid w:val="007B193C"/>
    <w:rsid w:val="007B194B"/>
    <w:rsid w:val="007B1AC0"/>
    <w:rsid w:val="007B1AD1"/>
    <w:rsid w:val="007B1FA9"/>
    <w:rsid w:val="007B250B"/>
    <w:rsid w:val="007B2582"/>
    <w:rsid w:val="007B270A"/>
    <w:rsid w:val="007B2CE2"/>
    <w:rsid w:val="007B2D3B"/>
    <w:rsid w:val="007B366F"/>
    <w:rsid w:val="007B3A81"/>
    <w:rsid w:val="007B3B79"/>
    <w:rsid w:val="007B3F97"/>
    <w:rsid w:val="007B4574"/>
    <w:rsid w:val="007B4D52"/>
    <w:rsid w:val="007B5169"/>
    <w:rsid w:val="007B51A3"/>
    <w:rsid w:val="007B52CD"/>
    <w:rsid w:val="007B5D4B"/>
    <w:rsid w:val="007B5FBA"/>
    <w:rsid w:val="007B6028"/>
    <w:rsid w:val="007B6256"/>
    <w:rsid w:val="007B6269"/>
    <w:rsid w:val="007B62A6"/>
    <w:rsid w:val="007B6C25"/>
    <w:rsid w:val="007B7091"/>
    <w:rsid w:val="007B71AD"/>
    <w:rsid w:val="007B7601"/>
    <w:rsid w:val="007B7A08"/>
    <w:rsid w:val="007B7D70"/>
    <w:rsid w:val="007B7DC1"/>
    <w:rsid w:val="007B7EDB"/>
    <w:rsid w:val="007C026E"/>
    <w:rsid w:val="007C05AB"/>
    <w:rsid w:val="007C09B3"/>
    <w:rsid w:val="007C0D16"/>
    <w:rsid w:val="007C0F78"/>
    <w:rsid w:val="007C1517"/>
    <w:rsid w:val="007C19AD"/>
    <w:rsid w:val="007C1AF5"/>
    <w:rsid w:val="007C1B76"/>
    <w:rsid w:val="007C1FEA"/>
    <w:rsid w:val="007C24C5"/>
    <w:rsid w:val="007C2978"/>
    <w:rsid w:val="007C30DB"/>
    <w:rsid w:val="007C31C6"/>
    <w:rsid w:val="007C3598"/>
    <w:rsid w:val="007C39EB"/>
    <w:rsid w:val="007C3D1C"/>
    <w:rsid w:val="007C3FA8"/>
    <w:rsid w:val="007C4723"/>
    <w:rsid w:val="007C474D"/>
    <w:rsid w:val="007C4850"/>
    <w:rsid w:val="007C49D6"/>
    <w:rsid w:val="007C4CD6"/>
    <w:rsid w:val="007C4D93"/>
    <w:rsid w:val="007C5158"/>
    <w:rsid w:val="007C5359"/>
    <w:rsid w:val="007C53F4"/>
    <w:rsid w:val="007C5675"/>
    <w:rsid w:val="007C5764"/>
    <w:rsid w:val="007C6201"/>
    <w:rsid w:val="007C6225"/>
    <w:rsid w:val="007C62B3"/>
    <w:rsid w:val="007C6353"/>
    <w:rsid w:val="007C68DA"/>
    <w:rsid w:val="007C7668"/>
    <w:rsid w:val="007D0124"/>
    <w:rsid w:val="007D043D"/>
    <w:rsid w:val="007D0579"/>
    <w:rsid w:val="007D05A2"/>
    <w:rsid w:val="007D060D"/>
    <w:rsid w:val="007D0686"/>
    <w:rsid w:val="007D0A44"/>
    <w:rsid w:val="007D0E63"/>
    <w:rsid w:val="007D1533"/>
    <w:rsid w:val="007D1654"/>
    <w:rsid w:val="007D1B4D"/>
    <w:rsid w:val="007D1DAD"/>
    <w:rsid w:val="007D1DB9"/>
    <w:rsid w:val="007D229A"/>
    <w:rsid w:val="007D2415"/>
    <w:rsid w:val="007D241C"/>
    <w:rsid w:val="007D24FA"/>
    <w:rsid w:val="007D2D12"/>
    <w:rsid w:val="007D2D8D"/>
    <w:rsid w:val="007D2F44"/>
    <w:rsid w:val="007D2F4D"/>
    <w:rsid w:val="007D3887"/>
    <w:rsid w:val="007D3C4A"/>
    <w:rsid w:val="007D413F"/>
    <w:rsid w:val="007D4178"/>
    <w:rsid w:val="007D41A3"/>
    <w:rsid w:val="007D41C6"/>
    <w:rsid w:val="007D422B"/>
    <w:rsid w:val="007D4D33"/>
    <w:rsid w:val="007D572F"/>
    <w:rsid w:val="007D5B81"/>
    <w:rsid w:val="007D672A"/>
    <w:rsid w:val="007D6B03"/>
    <w:rsid w:val="007D6B41"/>
    <w:rsid w:val="007D7175"/>
    <w:rsid w:val="007D7A9A"/>
    <w:rsid w:val="007D7ED3"/>
    <w:rsid w:val="007E02CD"/>
    <w:rsid w:val="007E03E6"/>
    <w:rsid w:val="007E05B9"/>
    <w:rsid w:val="007E05BA"/>
    <w:rsid w:val="007E0E01"/>
    <w:rsid w:val="007E1235"/>
    <w:rsid w:val="007E1294"/>
    <w:rsid w:val="007E1369"/>
    <w:rsid w:val="007E13B8"/>
    <w:rsid w:val="007E14E9"/>
    <w:rsid w:val="007E177C"/>
    <w:rsid w:val="007E1A1B"/>
    <w:rsid w:val="007E1A5F"/>
    <w:rsid w:val="007E1A88"/>
    <w:rsid w:val="007E1C1C"/>
    <w:rsid w:val="007E21B2"/>
    <w:rsid w:val="007E299A"/>
    <w:rsid w:val="007E2DBE"/>
    <w:rsid w:val="007E2EA6"/>
    <w:rsid w:val="007E2FC7"/>
    <w:rsid w:val="007E32F7"/>
    <w:rsid w:val="007E33AE"/>
    <w:rsid w:val="007E3652"/>
    <w:rsid w:val="007E3765"/>
    <w:rsid w:val="007E37F8"/>
    <w:rsid w:val="007E3945"/>
    <w:rsid w:val="007E4041"/>
    <w:rsid w:val="007E410F"/>
    <w:rsid w:val="007E4283"/>
    <w:rsid w:val="007E4874"/>
    <w:rsid w:val="007E48E4"/>
    <w:rsid w:val="007E4C88"/>
    <w:rsid w:val="007E4CBC"/>
    <w:rsid w:val="007E4F2C"/>
    <w:rsid w:val="007E5098"/>
    <w:rsid w:val="007E5650"/>
    <w:rsid w:val="007E571D"/>
    <w:rsid w:val="007E5813"/>
    <w:rsid w:val="007E585E"/>
    <w:rsid w:val="007E5878"/>
    <w:rsid w:val="007E5924"/>
    <w:rsid w:val="007E5B7B"/>
    <w:rsid w:val="007E5CC5"/>
    <w:rsid w:val="007E5FCA"/>
    <w:rsid w:val="007E649F"/>
    <w:rsid w:val="007E65EF"/>
    <w:rsid w:val="007E66B7"/>
    <w:rsid w:val="007E6A06"/>
    <w:rsid w:val="007E6C29"/>
    <w:rsid w:val="007E7169"/>
    <w:rsid w:val="007E71B5"/>
    <w:rsid w:val="007E7213"/>
    <w:rsid w:val="007E79DD"/>
    <w:rsid w:val="007E7DDF"/>
    <w:rsid w:val="007E7F2D"/>
    <w:rsid w:val="007F0063"/>
    <w:rsid w:val="007F0682"/>
    <w:rsid w:val="007F0C56"/>
    <w:rsid w:val="007F0F1A"/>
    <w:rsid w:val="007F0F52"/>
    <w:rsid w:val="007F0F96"/>
    <w:rsid w:val="007F11C8"/>
    <w:rsid w:val="007F1210"/>
    <w:rsid w:val="007F132F"/>
    <w:rsid w:val="007F1784"/>
    <w:rsid w:val="007F1881"/>
    <w:rsid w:val="007F1B98"/>
    <w:rsid w:val="007F1C51"/>
    <w:rsid w:val="007F1CFB"/>
    <w:rsid w:val="007F1D94"/>
    <w:rsid w:val="007F20D4"/>
    <w:rsid w:val="007F21FC"/>
    <w:rsid w:val="007F220B"/>
    <w:rsid w:val="007F27DD"/>
    <w:rsid w:val="007F2C76"/>
    <w:rsid w:val="007F3038"/>
    <w:rsid w:val="007F3390"/>
    <w:rsid w:val="007F36DB"/>
    <w:rsid w:val="007F3DC6"/>
    <w:rsid w:val="007F425E"/>
    <w:rsid w:val="007F440F"/>
    <w:rsid w:val="007F463D"/>
    <w:rsid w:val="007F4690"/>
    <w:rsid w:val="007F4DFB"/>
    <w:rsid w:val="007F4F39"/>
    <w:rsid w:val="007F5022"/>
    <w:rsid w:val="007F5570"/>
    <w:rsid w:val="007F5E10"/>
    <w:rsid w:val="007F5E1E"/>
    <w:rsid w:val="007F614C"/>
    <w:rsid w:val="007F6486"/>
    <w:rsid w:val="007F648D"/>
    <w:rsid w:val="007F6681"/>
    <w:rsid w:val="007F66BD"/>
    <w:rsid w:val="007F6880"/>
    <w:rsid w:val="007F6F10"/>
    <w:rsid w:val="007F6F96"/>
    <w:rsid w:val="007F733A"/>
    <w:rsid w:val="007F76B4"/>
    <w:rsid w:val="007F7771"/>
    <w:rsid w:val="007F77EA"/>
    <w:rsid w:val="007F7A9A"/>
    <w:rsid w:val="007F7C5C"/>
    <w:rsid w:val="007F7D2D"/>
    <w:rsid w:val="007F7FCA"/>
    <w:rsid w:val="008001B4"/>
    <w:rsid w:val="00800769"/>
    <w:rsid w:val="00800935"/>
    <w:rsid w:val="00800C0A"/>
    <w:rsid w:val="00800D01"/>
    <w:rsid w:val="00800ED2"/>
    <w:rsid w:val="008010FB"/>
    <w:rsid w:val="0080117C"/>
    <w:rsid w:val="00801523"/>
    <w:rsid w:val="008015AE"/>
    <w:rsid w:val="008015C3"/>
    <w:rsid w:val="00801E6F"/>
    <w:rsid w:val="00801F54"/>
    <w:rsid w:val="008022AE"/>
    <w:rsid w:val="008027D7"/>
    <w:rsid w:val="008028B0"/>
    <w:rsid w:val="008028D7"/>
    <w:rsid w:val="00802E74"/>
    <w:rsid w:val="008034B2"/>
    <w:rsid w:val="008036C6"/>
    <w:rsid w:val="00803765"/>
    <w:rsid w:val="00803AC3"/>
    <w:rsid w:val="00803C22"/>
    <w:rsid w:val="00803C9D"/>
    <w:rsid w:val="00803E3C"/>
    <w:rsid w:val="0080404B"/>
    <w:rsid w:val="00804924"/>
    <w:rsid w:val="008049F5"/>
    <w:rsid w:val="00804B92"/>
    <w:rsid w:val="00804BEC"/>
    <w:rsid w:val="00804E21"/>
    <w:rsid w:val="00804E95"/>
    <w:rsid w:val="00804F02"/>
    <w:rsid w:val="00805092"/>
    <w:rsid w:val="00805653"/>
    <w:rsid w:val="00806019"/>
    <w:rsid w:val="0080675B"/>
    <w:rsid w:val="008067DA"/>
    <w:rsid w:val="0080685E"/>
    <w:rsid w:val="00806A98"/>
    <w:rsid w:val="00806AAF"/>
    <w:rsid w:val="008070AC"/>
    <w:rsid w:val="0080714F"/>
    <w:rsid w:val="00807541"/>
    <w:rsid w:val="00807D77"/>
    <w:rsid w:val="008101FD"/>
    <w:rsid w:val="00810882"/>
    <w:rsid w:val="0081096B"/>
    <w:rsid w:val="00810AC0"/>
    <w:rsid w:val="00810C74"/>
    <w:rsid w:val="00810CB8"/>
    <w:rsid w:val="00810D8D"/>
    <w:rsid w:val="00810FF6"/>
    <w:rsid w:val="008116BB"/>
    <w:rsid w:val="0081174D"/>
    <w:rsid w:val="00811835"/>
    <w:rsid w:val="008120DC"/>
    <w:rsid w:val="00812DCD"/>
    <w:rsid w:val="008131CF"/>
    <w:rsid w:val="00813489"/>
    <w:rsid w:val="008135F0"/>
    <w:rsid w:val="00813B7B"/>
    <w:rsid w:val="00813E1B"/>
    <w:rsid w:val="00813F2F"/>
    <w:rsid w:val="00814278"/>
    <w:rsid w:val="008149F5"/>
    <w:rsid w:val="00814A3B"/>
    <w:rsid w:val="00814CC6"/>
    <w:rsid w:val="0081581D"/>
    <w:rsid w:val="00815929"/>
    <w:rsid w:val="008159C8"/>
    <w:rsid w:val="00815DB2"/>
    <w:rsid w:val="0081623E"/>
    <w:rsid w:val="008164DD"/>
    <w:rsid w:val="00816835"/>
    <w:rsid w:val="008169B1"/>
    <w:rsid w:val="00816C92"/>
    <w:rsid w:val="00816F98"/>
    <w:rsid w:val="00817165"/>
    <w:rsid w:val="0081723D"/>
    <w:rsid w:val="00817263"/>
    <w:rsid w:val="008172BE"/>
    <w:rsid w:val="0081745A"/>
    <w:rsid w:val="008176B0"/>
    <w:rsid w:val="00817B71"/>
    <w:rsid w:val="008200EF"/>
    <w:rsid w:val="00820244"/>
    <w:rsid w:val="0082081A"/>
    <w:rsid w:val="00820A46"/>
    <w:rsid w:val="00820ADC"/>
    <w:rsid w:val="0082100A"/>
    <w:rsid w:val="008214F0"/>
    <w:rsid w:val="00821684"/>
    <w:rsid w:val="008219B9"/>
    <w:rsid w:val="00821DE2"/>
    <w:rsid w:val="008221B3"/>
    <w:rsid w:val="0082248E"/>
    <w:rsid w:val="0082262F"/>
    <w:rsid w:val="00822926"/>
    <w:rsid w:val="00822A57"/>
    <w:rsid w:val="00822B48"/>
    <w:rsid w:val="00822D59"/>
    <w:rsid w:val="00822EAD"/>
    <w:rsid w:val="00823279"/>
    <w:rsid w:val="00823710"/>
    <w:rsid w:val="00823831"/>
    <w:rsid w:val="00823E38"/>
    <w:rsid w:val="0082423D"/>
    <w:rsid w:val="00824321"/>
    <w:rsid w:val="00824DA1"/>
    <w:rsid w:val="00824E03"/>
    <w:rsid w:val="00824ECF"/>
    <w:rsid w:val="00824FDF"/>
    <w:rsid w:val="00825098"/>
    <w:rsid w:val="00825125"/>
    <w:rsid w:val="008257CC"/>
    <w:rsid w:val="00825E74"/>
    <w:rsid w:val="0082623E"/>
    <w:rsid w:val="00826880"/>
    <w:rsid w:val="0082689F"/>
    <w:rsid w:val="00826A11"/>
    <w:rsid w:val="00826DE2"/>
    <w:rsid w:val="00827005"/>
    <w:rsid w:val="008274BF"/>
    <w:rsid w:val="00827A94"/>
    <w:rsid w:val="00827AFC"/>
    <w:rsid w:val="00827F7A"/>
    <w:rsid w:val="008300EF"/>
    <w:rsid w:val="0083015A"/>
    <w:rsid w:val="008302F9"/>
    <w:rsid w:val="0083098F"/>
    <w:rsid w:val="008309E5"/>
    <w:rsid w:val="00830BBB"/>
    <w:rsid w:val="00830DC3"/>
    <w:rsid w:val="00830E13"/>
    <w:rsid w:val="0083115C"/>
    <w:rsid w:val="00831555"/>
    <w:rsid w:val="0083168F"/>
    <w:rsid w:val="00831C67"/>
    <w:rsid w:val="00831CA0"/>
    <w:rsid w:val="00831F52"/>
    <w:rsid w:val="00831FAE"/>
    <w:rsid w:val="008320C0"/>
    <w:rsid w:val="00832154"/>
    <w:rsid w:val="008321EE"/>
    <w:rsid w:val="008322E3"/>
    <w:rsid w:val="00832887"/>
    <w:rsid w:val="0083294F"/>
    <w:rsid w:val="00832DD4"/>
    <w:rsid w:val="00832EC0"/>
    <w:rsid w:val="00832F0D"/>
    <w:rsid w:val="00832F5C"/>
    <w:rsid w:val="008332D0"/>
    <w:rsid w:val="00833A64"/>
    <w:rsid w:val="00833F32"/>
    <w:rsid w:val="008340AF"/>
    <w:rsid w:val="008344B5"/>
    <w:rsid w:val="00834827"/>
    <w:rsid w:val="00834ADD"/>
    <w:rsid w:val="00834F86"/>
    <w:rsid w:val="00834FC0"/>
    <w:rsid w:val="008350EE"/>
    <w:rsid w:val="008353FE"/>
    <w:rsid w:val="008359D3"/>
    <w:rsid w:val="008359E0"/>
    <w:rsid w:val="00835BAC"/>
    <w:rsid w:val="00836120"/>
    <w:rsid w:val="0083675F"/>
    <w:rsid w:val="00836A95"/>
    <w:rsid w:val="00836E2F"/>
    <w:rsid w:val="00837135"/>
    <w:rsid w:val="00837238"/>
    <w:rsid w:val="008373BA"/>
    <w:rsid w:val="0083755A"/>
    <w:rsid w:val="008376F6"/>
    <w:rsid w:val="008377DA"/>
    <w:rsid w:val="00837D5B"/>
    <w:rsid w:val="00837EA6"/>
    <w:rsid w:val="00837F00"/>
    <w:rsid w:val="00837F35"/>
    <w:rsid w:val="00840032"/>
    <w:rsid w:val="00840201"/>
    <w:rsid w:val="00840607"/>
    <w:rsid w:val="0084093D"/>
    <w:rsid w:val="00840B34"/>
    <w:rsid w:val="00840E0A"/>
    <w:rsid w:val="00840F90"/>
    <w:rsid w:val="0084125F"/>
    <w:rsid w:val="008415F4"/>
    <w:rsid w:val="00841783"/>
    <w:rsid w:val="008419A7"/>
    <w:rsid w:val="008419FE"/>
    <w:rsid w:val="00841CD2"/>
    <w:rsid w:val="00842058"/>
    <w:rsid w:val="00842736"/>
    <w:rsid w:val="00842B77"/>
    <w:rsid w:val="00842CA3"/>
    <w:rsid w:val="00842D8A"/>
    <w:rsid w:val="0084309F"/>
    <w:rsid w:val="008430AC"/>
    <w:rsid w:val="0084322D"/>
    <w:rsid w:val="00843435"/>
    <w:rsid w:val="00843451"/>
    <w:rsid w:val="00843EC8"/>
    <w:rsid w:val="00843F0E"/>
    <w:rsid w:val="008441E1"/>
    <w:rsid w:val="00844ABC"/>
    <w:rsid w:val="00844B7E"/>
    <w:rsid w:val="00845BC4"/>
    <w:rsid w:val="00845BE9"/>
    <w:rsid w:val="00845C12"/>
    <w:rsid w:val="00845EEE"/>
    <w:rsid w:val="00846778"/>
    <w:rsid w:val="008469D9"/>
    <w:rsid w:val="00846DC0"/>
    <w:rsid w:val="008474A7"/>
    <w:rsid w:val="00847672"/>
    <w:rsid w:val="00847919"/>
    <w:rsid w:val="00847A19"/>
    <w:rsid w:val="00847B03"/>
    <w:rsid w:val="00847B2C"/>
    <w:rsid w:val="00847D5A"/>
    <w:rsid w:val="00847E99"/>
    <w:rsid w:val="00847F91"/>
    <w:rsid w:val="00850079"/>
    <w:rsid w:val="0085042C"/>
    <w:rsid w:val="008506B6"/>
    <w:rsid w:val="00850AE0"/>
    <w:rsid w:val="00850CBB"/>
    <w:rsid w:val="00850DA9"/>
    <w:rsid w:val="00850F0E"/>
    <w:rsid w:val="0085123F"/>
    <w:rsid w:val="00851849"/>
    <w:rsid w:val="00851B1C"/>
    <w:rsid w:val="008524D2"/>
    <w:rsid w:val="008528D6"/>
    <w:rsid w:val="00852999"/>
    <w:rsid w:val="00852B81"/>
    <w:rsid w:val="00852BB6"/>
    <w:rsid w:val="00852E19"/>
    <w:rsid w:val="008530D8"/>
    <w:rsid w:val="008531DD"/>
    <w:rsid w:val="008534E8"/>
    <w:rsid w:val="0085360F"/>
    <w:rsid w:val="0085378B"/>
    <w:rsid w:val="0085386A"/>
    <w:rsid w:val="008538DD"/>
    <w:rsid w:val="00853AEA"/>
    <w:rsid w:val="00854021"/>
    <w:rsid w:val="00854247"/>
    <w:rsid w:val="0085464D"/>
    <w:rsid w:val="00854720"/>
    <w:rsid w:val="008547DA"/>
    <w:rsid w:val="008549BB"/>
    <w:rsid w:val="00854CF0"/>
    <w:rsid w:val="00854E1A"/>
    <w:rsid w:val="00854EDA"/>
    <w:rsid w:val="008556B6"/>
    <w:rsid w:val="00855A28"/>
    <w:rsid w:val="00855E0F"/>
    <w:rsid w:val="00856090"/>
    <w:rsid w:val="008561A0"/>
    <w:rsid w:val="008563DE"/>
    <w:rsid w:val="0085640C"/>
    <w:rsid w:val="00856563"/>
    <w:rsid w:val="00856833"/>
    <w:rsid w:val="00856840"/>
    <w:rsid w:val="00856CF6"/>
    <w:rsid w:val="00857659"/>
    <w:rsid w:val="00857870"/>
    <w:rsid w:val="00857A0A"/>
    <w:rsid w:val="0086011A"/>
    <w:rsid w:val="00860579"/>
    <w:rsid w:val="008607B5"/>
    <w:rsid w:val="0086087C"/>
    <w:rsid w:val="00860D8E"/>
    <w:rsid w:val="00860DFA"/>
    <w:rsid w:val="008611B6"/>
    <w:rsid w:val="00861593"/>
    <w:rsid w:val="008623DA"/>
    <w:rsid w:val="00862440"/>
    <w:rsid w:val="008626AA"/>
    <w:rsid w:val="0086275E"/>
    <w:rsid w:val="00862C81"/>
    <w:rsid w:val="00863171"/>
    <w:rsid w:val="008631FD"/>
    <w:rsid w:val="00863219"/>
    <w:rsid w:val="00863297"/>
    <w:rsid w:val="00863636"/>
    <w:rsid w:val="008636AB"/>
    <w:rsid w:val="00863707"/>
    <w:rsid w:val="00863778"/>
    <w:rsid w:val="0086379A"/>
    <w:rsid w:val="00863970"/>
    <w:rsid w:val="0086404C"/>
    <w:rsid w:val="0086440E"/>
    <w:rsid w:val="0086443C"/>
    <w:rsid w:val="00864440"/>
    <w:rsid w:val="0086469D"/>
    <w:rsid w:val="0086486F"/>
    <w:rsid w:val="00864937"/>
    <w:rsid w:val="00864B4A"/>
    <w:rsid w:val="00864D76"/>
    <w:rsid w:val="00864EB0"/>
    <w:rsid w:val="00864FDD"/>
    <w:rsid w:val="008650FC"/>
    <w:rsid w:val="00865327"/>
    <w:rsid w:val="0086574A"/>
    <w:rsid w:val="008659B6"/>
    <w:rsid w:val="00865DE9"/>
    <w:rsid w:val="00865FA0"/>
    <w:rsid w:val="00866318"/>
    <w:rsid w:val="0086647D"/>
    <w:rsid w:val="008667A6"/>
    <w:rsid w:val="00866DAE"/>
    <w:rsid w:val="00866EB3"/>
    <w:rsid w:val="00866EF5"/>
    <w:rsid w:val="00866F62"/>
    <w:rsid w:val="0086701A"/>
    <w:rsid w:val="008674B4"/>
    <w:rsid w:val="008675DB"/>
    <w:rsid w:val="00867BD2"/>
    <w:rsid w:val="00867C96"/>
    <w:rsid w:val="00867E42"/>
    <w:rsid w:val="00867F85"/>
    <w:rsid w:val="00870148"/>
    <w:rsid w:val="00870432"/>
    <w:rsid w:val="008704AF"/>
    <w:rsid w:val="00870C23"/>
    <w:rsid w:val="008712FD"/>
    <w:rsid w:val="0087138E"/>
    <w:rsid w:val="00871416"/>
    <w:rsid w:val="008716A1"/>
    <w:rsid w:val="008717FE"/>
    <w:rsid w:val="00871EDC"/>
    <w:rsid w:val="0087221C"/>
    <w:rsid w:val="00872284"/>
    <w:rsid w:val="00872530"/>
    <w:rsid w:val="00872644"/>
    <w:rsid w:val="008728CB"/>
    <w:rsid w:val="00872998"/>
    <w:rsid w:val="00872D3F"/>
    <w:rsid w:val="00873132"/>
    <w:rsid w:val="008733E4"/>
    <w:rsid w:val="00873692"/>
    <w:rsid w:val="008739F7"/>
    <w:rsid w:val="00873D8A"/>
    <w:rsid w:val="00873F15"/>
    <w:rsid w:val="00873F8A"/>
    <w:rsid w:val="00874040"/>
    <w:rsid w:val="00874096"/>
    <w:rsid w:val="00874552"/>
    <w:rsid w:val="00874B4E"/>
    <w:rsid w:val="00874F84"/>
    <w:rsid w:val="008754BC"/>
    <w:rsid w:val="008756A4"/>
    <w:rsid w:val="0087572F"/>
    <w:rsid w:val="0087574B"/>
    <w:rsid w:val="008759E0"/>
    <w:rsid w:val="00875C09"/>
    <w:rsid w:val="00875F73"/>
    <w:rsid w:val="00875FB1"/>
    <w:rsid w:val="0087619F"/>
    <w:rsid w:val="00876462"/>
    <w:rsid w:val="00876502"/>
    <w:rsid w:val="0087675C"/>
    <w:rsid w:val="00876A02"/>
    <w:rsid w:val="00876A1F"/>
    <w:rsid w:val="00876BA6"/>
    <w:rsid w:val="00876CA9"/>
    <w:rsid w:val="00876F78"/>
    <w:rsid w:val="00876FFE"/>
    <w:rsid w:val="00877941"/>
    <w:rsid w:val="00877C72"/>
    <w:rsid w:val="00877C76"/>
    <w:rsid w:val="00880182"/>
    <w:rsid w:val="008803D4"/>
    <w:rsid w:val="008805C8"/>
    <w:rsid w:val="0088068E"/>
    <w:rsid w:val="008806BD"/>
    <w:rsid w:val="008806F0"/>
    <w:rsid w:val="008807E1"/>
    <w:rsid w:val="00880F30"/>
    <w:rsid w:val="00880F38"/>
    <w:rsid w:val="008811B1"/>
    <w:rsid w:val="008811E4"/>
    <w:rsid w:val="008811F6"/>
    <w:rsid w:val="00881492"/>
    <w:rsid w:val="00881B37"/>
    <w:rsid w:val="00881D7E"/>
    <w:rsid w:val="00881DA0"/>
    <w:rsid w:val="008820F8"/>
    <w:rsid w:val="00882239"/>
    <w:rsid w:val="00882269"/>
    <w:rsid w:val="00882580"/>
    <w:rsid w:val="008828A4"/>
    <w:rsid w:val="00882952"/>
    <w:rsid w:val="00882B2E"/>
    <w:rsid w:val="00883093"/>
    <w:rsid w:val="008832E1"/>
    <w:rsid w:val="008833E8"/>
    <w:rsid w:val="00883462"/>
    <w:rsid w:val="008834BA"/>
    <w:rsid w:val="008834F0"/>
    <w:rsid w:val="00884432"/>
    <w:rsid w:val="008845DD"/>
    <w:rsid w:val="0088477D"/>
    <w:rsid w:val="00884C69"/>
    <w:rsid w:val="00884F33"/>
    <w:rsid w:val="008851B5"/>
    <w:rsid w:val="008852D8"/>
    <w:rsid w:val="008856DF"/>
    <w:rsid w:val="008859C6"/>
    <w:rsid w:val="00885C52"/>
    <w:rsid w:val="00885F65"/>
    <w:rsid w:val="00886030"/>
    <w:rsid w:val="00886299"/>
    <w:rsid w:val="00886378"/>
    <w:rsid w:val="008864A4"/>
    <w:rsid w:val="00886734"/>
    <w:rsid w:val="00886E51"/>
    <w:rsid w:val="0088701C"/>
    <w:rsid w:val="0088702F"/>
    <w:rsid w:val="008874DA"/>
    <w:rsid w:val="008874EA"/>
    <w:rsid w:val="00887925"/>
    <w:rsid w:val="00887B48"/>
    <w:rsid w:val="0089012B"/>
    <w:rsid w:val="00890990"/>
    <w:rsid w:val="00890A69"/>
    <w:rsid w:val="0089176E"/>
    <w:rsid w:val="008917E0"/>
    <w:rsid w:val="00891AE5"/>
    <w:rsid w:val="0089224F"/>
    <w:rsid w:val="00892365"/>
    <w:rsid w:val="0089294F"/>
    <w:rsid w:val="00892A47"/>
    <w:rsid w:val="00892A5E"/>
    <w:rsid w:val="00892BE5"/>
    <w:rsid w:val="00893247"/>
    <w:rsid w:val="0089387C"/>
    <w:rsid w:val="00893A6C"/>
    <w:rsid w:val="00893B46"/>
    <w:rsid w:val="00893C2D"/>
    <w:rsid w:val="00893E36"/>
    <w:rsid w:val="008940B6"/>
    <w:rsid w:val="00894170"/>
    <w:rsid w:val="00894298"/>
    <w:rsid w:val="008942EE"/>
    <w:rsid w:val="0089444E"/>
    <w:rsid w:val="008945C3"/>
    <w:rsid w:val="0089480C"/>
    <w:rsid w:val="0089494F"/>
    <w:rsid w:val="008949DF"/>
    <w:rsid w:val="00894C60"/>
    <w:rsid w:val="00894E86"/>
    <w:rsid w:val="008951DB"/>
    <w:rsid w:val="00895270"/>
    <w:rsid w:val="008953E1"/>
    <w:rsid w:val="008956DD"/>
    <w:rsid w:val="00895791"/>
    <w:rsid w:val="008959A4"/>
    <w:rsid w:val="00895B8A"/>
    <w:rsid w:val="008962E4"/>
    <w:rsid w:val="00896734"/>
    <w:rsid w:val="0089673A"/>
    <w:rsid w:val="0089687D"/>
    <w:rsid w:val="00896904"/>
    <w:rsid w:val="00896C81"/>
    <w:rsid w:val="00896D83"/>
    <w:rsid w:val="00896DE6"/>
    <w:rsid w:val="00896F24"/>
    <w:rsid w:val="00896FE8"/>
    <w:rsid w:val="00897289"/>
    <w:rsid w:val="0089745D"/>
    <w:rsid w:val="00897529"/>
    <w:rsid w:val="008978C6"/>
    <w:rsid w:val="008978F0"/>
    <w:rsid w:val="008A052D"/>
    <w:rsid w:val="008A0720"/>
    <w:rsid w:val="008A0851"/>
    <w:rsid w:val="008A0A4B"/>
    <w:rsid w:val="008A0AB2"/>
    <w:rsid w:val="008A0CFC"/>
    <w:rsid w:val="008A102A"/>
    <w:rsid w:val="008A12FE"/>
    <w:rsid w:val="008A1328"/>
    <w:rsid w:val="008A161F"/>
    <w:rsid w:val="008A1DA8"/>
    <w:rsid w:val="008A2055"/>
    <w:rsid w:val="008A2434"/>
    <w:rsid w:val="008A28B6"/>
    <w:rsid w:val="008A2AD2"/>
    <w:rsid w:val="008A2BB1"/>
    <w:rsid w:val="008A2F52"/>
    <w:rsid w:val="008A3187"/>
    <w:rsid w:val="008A3387"/>
    <w:rsid w:val="008A338B"/>
    <w:rsid w:val="008A3466"/>
    <w:rsid w:val="008A389F"/>
    <w:rsid w:val="008A3A01"/>
    <w:rsid w:val="008A3D02"/>
    <w:rsid w:val="008A44DC"/>
    <w:rsid w:val="008A45A7"/>
    <w:rsid w:val="008A45C5"/>
    <w:rsid w:val="008A4717"/>
    <w:rsid w:val="008A47B1"/>
    <w:rsid w:val="008A48D4"/>
    <w:rsid w:val="008A49DD"/>
    <w:rsid w:val="008A5499"/>
    <w:rsid w:val="008A5676"/>
    <w:rsid w:val="008A5940"/>
    <w:rsid w:val="008A6807"/>
    <w:rsid w:val="008A6C9D"/>
    <w:rsid w:val="008A7381"/>
    <w:rsid w:val="008A73B2"/>
    <w:rsid w:val="008A7929"/>
    <w:rsid w:val="008A79B5"/>
    <w:rsid w:val="008A7A65"/>
    <w:rsid w:val="008A7B90"/>
    <w:rsid w:val="008A7F94"/>
    <w:rsid w:val="008B01E0"/>
    <w:rsid w:val="008B043F"/>
    <w:rsid w:val="008B075F"/>
    <w:rsid w:val="008B0808"/>
    <w:rsid w:val="008B0AEC"/>
    <w:rsid w:val="008B0C82"/>
    <w:rsid w:val="008B0CD6"/>
    <w:rsid w:val="008B0EAD"/>
    <w:rsid w:val="008B1213"/>
    <w:rsid w:val="008B1216"/>
    <w:rsid w:val="008B1473"/>
    <w:rsid w:val="008B1BBC"/>
    <w:rsid w:val="008B1BE0"/>
    <w:rsid w:val="008B1C2D"/>
    <w:rsid w:val="008B1DFC"/>
    <w:rsid w:val="008B1E53"/>
    <w:rsid w:val="008B1E5B"/>
    <w:rsid w:val="008B2045"/>
    <w:rsid w:val="008B20BF"/>
    <w:rsid w:val="008B235A"/>
    <w:rsid w:val="008B23E6"/>
    <w:rsid w:val="008B258F"/>
    <w:rsid w:val="008B2975"/>
    <w:rsid w:val="008B2DAE"/>
    <w:rsid w:val="008B306D"/>
    <w:rsid w:val="008B317C"/>
    <w:rsid w:val="008B31C8"/>
    <w:rsid w:val="008B329F"/>
    <w:rsid w:val="008B389D"/>
    <w:rsid w:val="008B3C5C"/>
    <w:rsid w:val="008B414C"/>
    <w:rsid w:val="008B4390"/>
    <w:rsid w:val="008B43CC"/>
    <w:rsid w:val="008B4823"/>
    <w:rsid w:val="008B5008"/>
    <w:rsid w:val="008B5099"/>
    <w:rsid w:val="008B50E7"/>
    <w:rsid w:val="008B5299"/>
    <w:rsid w:val="008B52C0"/>
    <w:rsid w:val="008B55F3"/>
    <w:rsid w:val="008B5A5F"/>
    <w:rsid w:val="008B5AB0"/>
    <w:rsid w:val="008B5AFB"/>
    <w:rsid w:val="008B5BCE"/>
    <w:rsid w:val="008B6051"/>
    <w:rsid w:val="008B6054"/>
    <w:rsid w:val="008B61D8"/>
    <w:rsid w:val="008B64BB"/>
    <w:rsid w:val="008B68BF"/>
    <w:rsid w:val="008B6A78"/>
    <w:rsid w:val="008B6FF4"/>
    <w:rsid w:val="008B7187"/>
    <w:rsid w:val="008B7437"/>
    <w:rsid w:val="008B75A4"/>
    <w:rsid w:val="008B7A86"/>
    <w:rsid w:val="008B7AE7"/>
    <w:rsid w:val="008B7B08"/>
    <w:rsid w:val="008B7F8A"/>
    <w:rsid w:val="008C0217"/>
    <w:rsid w:val="008C0BDF"/>
    <w:rsid w:val="008C13EA"/>
    <w:rsid w:val="008C13F0"/>
    <w:rsid w:val="008C1425"/>
    <w:rsid w:val="008C1463"/>
    <w:rsid w:val="008C14E3"/>
    <w:rsid w:val="008C1DC8"/>
    <w:rsid w:val="008C1F26"/>
    <w:rsid w:val="008C20A9"/>
    <w:rsid w:val="008C20E8"/>
    <w:rsid w:val="008C2195"/>
    <w:rsid w:val="008C2339"/>
    <w:rsid w:val="008C23AF"/>
    <w:rsid w:val="008C2470"/>
    <w:rsid w:val="008C2A3A"/>
    <w:rsid w:val="008C2C4C"/>
    <w:rsid w:val="008C3061"/>
    <w:rsid w:val="008C344F"/>
    <w:rsid w:val="008C356C"/>
    <w:rsid w:val="008C3857"/>
    <w:rsid w:val="008C3F0B"/>
    <w:rsid w:val="008C40D1"/>
    <w:rsid w:val="008C4225"/>
    <w:rsid w:val="008C4C7E"/>
    <w:rsid w:val="008C5791"/>
    <w:rsid w:val="008C5854"/>
    <w:rsid w:val="008C5862"/>
    <w:rsid w:val="008C5C46"/>
    <w:rsid w:val="008C5FDA"/>
    <w:rsid w:val="008C6119"/>
    <w:rsid w:val="008C6184"/>
    <w:rsid w:val="008C6C6B"/>
    <w:rsid w:val="008C6CBA"/>
    <w:rsid w:val="008C6F0E"/>
    <w:rsid w:val="008C73A9"/>
    <w:rsid w:val="008C785E"/>
    <w:rsid w:val="008C79A6"/>
    <w:rsid w:val="008D060F"/>
    <w:rsid w:val="008D0907"/>
    <w:rsid w:val="008D0AFB"/>
    <w:rsid w:val="008D0D40"/>
    <w:rsid w:val="008D0FD4"/>
    <w:rsid w:val="008D1034"/>
    <w:rsid w:val="008D1253"/>
    <w:rsid w:val="008D1511"/>
    <w:rsid w:val="008D1653"/>
    <w:rsid w:val="008D17D5"/>
    <w:rsid w:val="008D197E"/>
    <w:rsid w:val="008D1BA8"/>
    <w:rsid w:val="008D2232"/>
    <w:rsid w:val="008D290C"/>
    <w:rsid w:val="008D2CFE"/>
    <w:rsid w:val="008D2D7A"/>
    <w:rsid w:val="008D3035"/>
    <w:rsid w:val="008D30D5"/>
    <w:rsid w:val="008D3198"/>
    <w:rsid w:val="008D32DF"/>
    <w:rsid w:val="008D34F0"/>
    <w:rsid w:val="008D3564"/>
    <w:rsid w:val="008D35CD"/>
    <w:rsid w:val="008D35E9"/>
    <w:rsid w:val="008D3951"/>
    <w:rsid w:val="008D3956"/>
    <w:rsid w:val="008D3959"/>
    <w:rsid w:val="008D3966"/>
    <w:rsid w:val="008D3AE8"/>
    <w:rsid w:val="008D3C5E"/>
    <w:rsid w:val="008D4352"/>
    <w:rsid w:val="008D49B2"/>
    <w:rsid w:val="008D4D1A"/>
    <w:rsid w:val="008D56A6"/>
    <w:rsid w:val="008D57EA"/>
    <w:rsid w:val="008D5812"/>
    <w:rsid w:val="008D5D61"/>
    <w:rsid w:val="008D5E08"/>
    <w:rsid w:val="008D5F96"/>
    <w:rsid w:val="008D60BC"/>
    <w:rsid w:val="008D6A36"/>
    <w:rsid w:val="008D6D7B"/>
    <w:rsid w:val="008D7152"/>
    <w:rsid w:val="008D75EB"/>
    <w:rsid w:val="008D781A"/>
    <w:rsid w:val="008D7B6B"/>
    <w:rsid w:val="008D7EB7"/>
    <w:rsid w:val="008D7EDD"/>
    <w:rsid w:val="008E018B"/>
    <w:rsid w:val="008E03D6"/>
    <w:rsid w:val="008E08E0"/>
    <w:rsid w:val="008E0EB8"/>
    <w:rsid w:val="008E10A6"/>
    <w:rsid w:val="008E1271"/>
    <w:rsid w:val="008E12F0"/>
    <w:rsid w:val="008E1480"/>
    <w:rsid w:val="008E1579"/>
    <w:rsid w:val="008E1694"/>
    <w:rsid w:val="008E1950"/>
    <w:rsid w:val="008E1B36"/>
    <w:rsid w:val="008E1B6F"/>
    <w:rsid w:val="008E20FB"/>
    <w:rsid w:val="008E2134"/>
    <w:rsid w:val="008E2251"/>
    <w:rsid w:val="008E22F1"/>
    <w:rsid w:val="008E24B3"/>
    <w:rsid w:val="008E24CA"/>
    <w:rsid w:val="008E273E"/>
    <w:rsid w:val="008E27F0"/>
    <w:rsid w:val="008E2F6E"/>
    <w:rsid w:val="008E31AA"/>
    <w:rsid w:val="008E38AD"/>
    <w:rsid w:val="008E3EEC"/>
    <w:rsid w:val="008E408F"/>
    <w:rsid w:val="008E4526"/>
    <w:rsid w:val="008E4A78"/>
    <w:rsid w:val="008E4CA9"/>
    <w:rsid w:val="008E4DE6"/>
    <w:rsid w:val="008E54A3"/>
    <w:rsid w:val="008E55B7"/>
    <w:rsid w:val="008E5BF2"/>
    <w:rsid w:val="008E5C81"/>
    <w:rsid w:val="008E6017"/>
    <w:rsid w:val="008E6A05"/>
    <w:rsid w:val="008E73FA"/>
    <w:rsid w:val="008E7468"/>
    <w:rsid w:val="008E7663"/>
    <w:rsid w:val="008E780F"/>
    <w:rsid w:val="008E7C26"/>
    <w:rsid w:val="008E7D7C"/>
    <w:rsid w:val="008E7DA7"/>
    <w:rsid w:val="008E7F12"/>
    <w:rsid w:val="008F0475"/>
    <w:rsid w:val="008F04C2"/>
    <w:rsid w:val="008F0A38"/>
    <w:rsid w:val="008F0F84"/>
    <w:rsid w:val="008F1014"/>
    <w:rsid w:val="008F118F"/>
    <w:rsid w:val="008F11B9"/>
    <w:rsid w:val="008F11C9"/>
    <w:rsid w:val="008F14EA"/>
    <w:rsid w:val="008F1924"/>
    <w:rsid w:val="008F1F88"/>
    <w:rsid w:val="008F20C3"/>
    <w:rsid w:val="008F23D8"/>
    <w:rsid w:val="008F27C7"/>
    <w:rsid w:val="008F27FF"/>
    <w:rsid w:val="008F2FD5"/>
    <w:rsid w:val="008F30E5"/>
    <w:rsid w:val="008F35FA"/>
    <w:rsid w:val="008F37E5"/>
    <w:rsid w:val="008F3864"/>
    <w:rsid w:val="008F4082"/>
    <w:rsid w:val="008F4508"/>
    <w:rsid w:val="008F454F"/>
    <w:rsid w:val="008F46C3"/>
    <w:rsid w:val="008F48C2"/>
    <w:rsid w:val="008F4D34"/>
    <w:rsid w:val="008F4E9F"/>
    <w:rsid w:val="008F5270"/>
    <w:rsid w:val="008F5367"/>
    <w:rsid w:val="008F5840"/>
    <w:rsid w:val="008F5934"/>
    <w:rsid w:val="008F5B7D"/>
    <w:rsid w:val="008F5E65"/>
    <w:rsid w:val="008F5EEF"/>
    <w:rsid w:val="008F645A"/>
    <w:rsid w:val="008F658D"/>
    <w:rsid w:val="008F65D7"/>
    <w:rsid w:val="008F66FE"/>
    <w:rsid w:val="008F6A63"/>
    <w:rsid w:val="008F6B52"/>
    <w:rsid w:val="008F7072"/>
    <w:rsid w:val="008F7271"/>
    <w:rsid w:val="008F72CC"/>
    <w:rsid w:val="008F72CD"/>
    <w:rsid w:val="008F7662"/>
    <w:rsid w:val="008F79B8"/>
    <w:rsid w:val="009000F2"/>
    <w:rsid w:val="009004EC"/>
    <w:rsid w:val="00900550"/>
    <w:rsid w:val="00900879"/>
    <w:rsid w:val="00901051"/>
    <w:rsid w:val="0090116C"/>
    <w:rsid w:val="009013AD"/>
    <w:rsid w:val="00901BF9"/>
    <w:rsid w:val="00901D34"/>
    <w:rsid w:val="00901D69"/>
    <w:rsid w:val="00901DDB"/>
    <w:rsid w:val="00902179"/>
    <w:rsid w:val="0090257E"/>
    <w:rsid w:val="00902AC8"/>
    <w:rsid w:val="00902B96"/>
    <w:rsid w:val="00902BA5"/>
    <w:rsid w:val="009035EA"/>
    <w:rsid w:val="00903802"/>
    <w:rsid w:val="00903822"/>
    <w:rsid w:val="00903D22"/>
    <w:rsid w:val="00903F53"/>
    <w:rsid w:val="00904271"/>
    <w:rsid w:val="009046E4"/>
    <w:rsid w:val="00904938"/>
    <w:rsid w:val="00904D52"/>
    <w:rsid w:val="00904E5F"/>
    <w:rsid w:val="009052DA"/>
    <w:rsid w:val="00905BD0"/>
    <w:rsid w:val="00905BD5"/>
    <w:rsid w:val="00906450"/>
    <w:rsid w:val="00906493"/>
    <w:rsid w:val="009067BE"/>
    <w:rsid w:val="0090696D"/>
    <w:rsid w:val="00906CD6"/>
    <w:rsid w:val="00906E4D"/>
    <w:rsid w:val="00906F31"/>
    <w:rsid w:val="009078B3"/>
    <w:rsid w:val="00907A77"/>
    <w:rsid w:val="00907E00"/>
    <w:rsid w:val="00907E44"/>
    <w:rsid w:val="0091023F"/>
    <w:rsid w:val="009102DB"/>
    <w:rsid w:val="009103BF"/>
    <w:rsid w:val="00910471"/>
    <w:rsid w:val="0091088D"/>
    <w:rsid w:val="00910D0B"/>
    <w:rsid w:val="00910D65"/>
    <w:rsid w:val="00910FC9"/>
    <w:rsid w:val="009111A1"/>
    <w:rsid w:val="00911413"/>
    <w:rsid w:val="009114A4"/>
    <w:rsid w:val="00911A80"/>
    <w:rsid w:val="00911E66"/>
    <w:rsid w:val="00912016"/>
    <w:rsid w:val="00912084"/>
    <w:rsid w:val="009123F5"/>
    <w:rsid w:val="00912784"/>
    <w:rsid w:val="00912841"/>
    <w:rsid w:val="00912893"/>
    <w:rsid w:val="0091291A"/>
    <w:rsid w:val="0091294B"/>
    <w:rsid w:val="009129D7"/>
    <w:rsid w:val="00912A4F"/>
    <w:rsid w:val="00912B01"/>
    <w:rsid w:val="00912B7A"/>
    <w:rsid w:val="009134C7"/>
    <w:rsid w:val="009135A2"/>
    <w:rsid w:val="00913612"/>
    <w:rsid w:val="0091366A"/>
    <w:rsid w:val="009136D0"/>
    <w:rsid w:val="00913824"/>
    <w:rsid w:val="009139B8"/>
    <w:rsid w:val="00913CD0"/>
    <w:rsid w:val="00913D0F"/>
    <w:rsid w:val="00914086"/>
    <w:rsid w:val="009154AC"/>
    <w:rsid w:val="009155D5"/>
    <w:rsid w:val="00915757"/>
    <w:rsid w:val="009159B3"/>
    <w:rsid w:val="00915BA9"/>
    <w:rsid w:val="00915D9D"/>
    <w:rsid w:val="0091610E"/>
    <w:rsid w:val="00916181"/>
    <w:rsid w:val="00916682"/>
    <w:rsid w:val="00916924"/>
    <w:rsid w:val="009169E0"/>
    <w:rsid w:val="00916AB1"/>
    <w:rsid w:val="00916BE7"/>
    <w:rsid w:val="00916C8C"/>
    <w:rsid w:val="00916CEC"/>
    <w:rsid w:val="00916DED"/>
    <w:rsid w:val="00917180"/>
    <w:rsid w:val="00917354"/>
    <w:rsid w:val="0091743F"/>
    <w:rsid w:val="00917851"/>
    <w:rsid w:val="00917A81"/>
    <w:rsid w:val="00917CF6"/>
    <w:rsid w:val="00920182"/>
    <w:rsid w:val="00920498"/>
    <w:rsid w:val="009204C5"/>
    <w:rsid w:val="0092066C"/>
    <w:rsid w:val="00920A2D"/>
    <w:rsid w:val="00920C10"/>
    <w:rsid w:val="00920EBE"/>
    <w:rsid w:val="0092140F"/>
    <w:rsid w:val="00921615"/>
    <w:rsid w:val="00921762"/>
    <w:rsid w:val="0092180D"/>
    <w:rsid w:val="0092193A"/>
    <w:rsid w:val="00921B6B"/>
    <w:rsid w:val="00921CB8"/>
    <w:rsid w:val="00921EC3"/>
    <w:rsid w:val="00922430"/>
    <w:rsid w:val="00922495"/>
    <w:rsid w:val="0092275D"/>
    <w:rsid w:val="009232C9"/>
    <w:rsid w:val="009232E8"/>
    <w:rsid w:val="00923608"/>
    <w:rsid w:val="009236F2"/>
    <w:rsid w:val="009238E5"/>
    <w:rsid w:val="00923C1F"/>
    <w:rsid w:val="00923F12"/>
    <w:rsid w:val="00923F5A"/>
    <w:rsid w:val="0092406A"/>
    <w:rsid w:val="009243AE"/>
    <w:rsid w:val="009245E4"/>
    <w:rsid w:val="00924652"/>
    <w:rsid w:val="00924A1E"/>
    <w:rsid w:val="00924A67"/>
    <w:rsid w:val="00924C53"/>
    <w:rsid w:val="00924E62"/>
    <w:rsid w:val="00924E6E"/>
    <w:rsid w:val="00924FF8"/>
    <w:rsid w:val="009250BB"/>
    <w:rsid w:val="009251D5"/>
    <w:rsid w:val="009256B5"/>
    <w:rsid w:val="009257E8"/>
    <w:rsid w:val="00925A4A"/>
    <w:rsid w:val="00925BA8"/>
    <w:rsid w:val="00925D1D"/>
    <w:rsid w:val="00925E4C"/>
    <w:rsid w:val="009266E7"/>
    <w:rsid w:val="00926BCF"/>
    <w:rsid w:val="00926DA7"/>
    <w:rsid w:val="00926E45"/>
    <w:rsid w:val="00927610"/>
    <w:rsid w:val="00927655"/>
    <w:rsid w:val="0092794D"/>
    <w:rsid w:val="009279AF"/>
    <w:rsid w:val="00927AC8"/>
    <w:rsid w:val="00927F88"/>
    <w:rsid w:val="00927F8B"/>
    <w:rsid w:val="00930007"/>
    <w:rsid w:val="00930075"/>
    <w:rsid w:val="009302D0"/>
    <w:rsid w:val="0093094D"/>
    <w:rsid w:val="0093097D"/>
    <w:rsid w:val="00930F0F"/>
    <w:rsid w:val="00931104"/>
    <w:rsid w:val="009311C4"/>
    <w:rsid w:val="00931672"/>
    <w:rsid w:val="009319E6"/>
    <w:rsid w:val="00931BAF"/>
    <w:rsid w:val="00931DC0"/>
    <w:rsid w:val="009328C7"/>
    <w:rsid w:val="00932A2F"/>
    <w:rsid w:val="00932A85"/>
    <w:rsid w:val="00932BCE"/>
    <w:rsid w:val="00932D07"/>
    <w:rsid w:val="00932ECF"/>
    <w:rsid w:val="0093336F"/>
    <w:rsid w:val="009336EC"/>
    <w:rsid w:val="00933997"/>
    <w:rsid w:val="00933CC1"/>
    <w:rsid w:val="00933F56"/>
    <w:rsid w:val="00933F67"/>
    <w:rsid w:val="009349A7"/>
    <w:rsid w:val="00934C13"/>
    <w:rsid w:val="00934C90"/>
    <w:rsid w:val="00934F6D"/>
    <w:rsid w:val="00935228"/>
    <w:rsid w:val="009355A2"/>
    <w:rsid w:val="00935D20"/>
    <w:rsid w:val="00935F9E"/>
    <w:rsid w:val="00936780"/>
    <w:rsid w:val="00936D98"/>
    <w:rsid w:val="00936E9D"/>
    <w:rsid w:val="009375B9"/>
    <w:rsid w:val="00937779"/>
    <w:rsid w:val="009401AC"/>
    <w:rsid w:val="00940200"/>
    <w:rsid w:val="00940314"/>
    <w:rsid w:val="00940A58"/>
    <w:rsid w:val="00940A68"/>
    <w:rsid w:val="00940BCF"/>
    <w:rsid w:val="00940D2E"/>
    <w:rsid w:val="00940DE7"/>
    <w:rsid w:val="00940FC5"/>
    <w:rsid w:val="00941059"/>
    <w:rsid w:val="0094130D"/>
    <w:rsid w:val="009414EB"/>
    <w:rsid w:val="00941B00"/>
    <w:rsid w:val="00941EB0"/>
    <w:rsid w:val="00942409"/>
    <w:rsid w:val="009425EC"/>
    <w:rsid w:val="00942B16"/>
    <w:rsid w:val="00942BBA"/>
    <w:rsid w:val="00942C80"/>
    <w:rsid w:val="00942D0A"/>
    <w:rsid w:val="0094309B"/>
    <w:rsid w:val="00943197"/>
    <w:rsid w:val="009435F2"/>
    <w:rsid w:val="00943638"/>
    <w:rsid w:val="00943E86"/>
    <w:rsid w:val="00943EA7"/>
    <w:rsid w:val="00943FAC"/>
    <w:rsid w:val="0094471C"/>
    <w:rsid w:val="00944918"/>
    <w:rsid w:val="00945180"/>
    <w:rsid w:val="00945339"/>
    <w:rsid w:val="0094542C"/>
    <w:rsid w:val="0094582B"/>
    <w:rsid w:val="0094590C"/>
    <w:rsid w:val="00946355"/>
    <w:rsid w:val="009468B7"/>
    <w:rsid w:val="0094691B"/>
    <w:rsid w:val="00946B02"/>
    <w:rsid w:val="0094724E"/>
    <w:rsid w:val="009474A0"/>
    <w:rsid w:val="009474C2"/>
    <w:rsid w:val="00947801"/>
    <w:rsid w:val="00947BE6"/>
    <w:rsid w:val="00947E19"/>
    <w:rsid w:val="00947E54"/>
    <w:rsid w:val="0095026C"/>
    <w:rsid w:val="0095033F"/>
    <w:rsid w:val="0095043B"/>
    <w:rsid w:val="0095048D"/>
    <w:rsid w:val="00950DD7"/>
    <w:rsid w:val="00951355"/>
    <w:rsid w:val="00951528"/>
    <w:rsid w:val="009517F9"/>
    <w:rsid w:val="00951839"/>
    <w:rsid w:val="00951864"/>
    <w:rsid w:val="00951ADB"/>
    <w:rsid w:val="00951BF4"/>
    <w:rsid w:val="00951DB4"/>
    <w:rsid w:val="00951E8B"/>
    <w:rsid w:val="00951F79"/>
    <w:rsid w:val="00952111"/>
    <w:rsid w:val="0095224D"/>
    <w:rsid w:val="009524B1"/>
    <w:rsid w:val="00952564"/>
    <w:rsid w:val="00952DD2"/>
    <w:rsid w:val="00952E29"/>
    <w:rsid w:val="00952F27"/>
    <w:rsid w:val="009535FF"/>
    <w:rsid w:val="0095380C"/>
    <w:rsid w:val="0095399D"/>
    <w:rsid w:val="00953AEE"/>
    <w:rsid w:val="00953BEB"/>
    <w:rsid w:val="00953C6C"/>
    <w:rsid w:val="009542B4"/>
    <w:rsid w:val="00954353"/>
    <w:rsid w:val="009544CF"/>
    <w:rsid w:val="00954FFA"/>
    <w:rsid w:val="0095507A"/>
    <w:rsid w:val="00955C0A"/>
    <w:rsid w:val="00955C4F"/>
    <w:rsid w:val="00956102"/>
    <w:rsid w:val="0095629B"/>
    <w:rsid w:val="009563D9"/>
    <w:rsid w:val="00956671"/>
    <w:rsid w:val="00956914"/>
    <w:rsid w:val="00956A13"/>
    <w:rsid w:val="00956D4B"/>
    <w:rsid w:val="00956E25"/>
    <w:rsid w:val="00956F76"/>
    <w:rsid w:val="00957217"/>
    <w:rsid w:val="0095739A"/>
    <w:rsid w:val="009601F0"/>
    <w:rsid w:val="00960884"/>
    <w:rsid w:val="00960902"/>
    <w:rsid w:val="00960DE0"/>
    <w:rsid w:val="00961205"/>
    <w:rsid w:val="0096142F"/>
    <w:rsid w:val="00961448"/>
    <w:rsid w:val="00961472"/>
    <w:rsid w:val="00961587"/>
    <w:rsid w:val="00961AA4"/>
    <w:rsid w:val="00961BCC"/>
    <w:rsid w:val="00962202"/>
    <w:rsid w:val="009628D1"/>
    <w:rsid w:val="00962E7C"/>
    <w:rsid w:val="00963040"/>
    <w:rsid w:val="009635BA"/>
    <w:rsid w:val="00963B21"/>
    <w:rsid w:val="00963C5D"/>
    <w:rsid w:val="00964C4A"/>
    <w:rsid w:val="00964EC8"/>
    <w:rsid w:val="00965178"/>
    <w:rsid w:val="0096520D"/>
    <w:rsid w:val="0096556B"/>
    <w:rsid w:val="009657F1"/>
    <w:rsid w:val="00965A0D"/>
    <w:rsid w:val="00965C3C"/>
    <w:rsid w:val="0096616A"/>
    <w:rsid w:val="0096625D"/>
    <w:rsid w:val="0096628D"/>
    <w:rsid w:val="009664ED"/>
    <w:rsid w:val="0096691B"/>
    <w:rsid w:val="00966AFE"/>
    <w:rsid w:val="00966DAD"/>
    <w:rsid w:val="00966DDD"/>
    <w:rsid w:val="00966F1E"/>
    <w:rsid w:val="00967041"/>
    <w:rsid w:val="00967042"/>
    <w:rsid w:val="009671D2"/>
    <w:rsid w:val="00967267"/>
    <w:rsid w:val="00967575"/>
    <w:rsid w:val="009677CB"/>
    <w:rsid w:val="00967A01"/>
    <w:rsid w:val="00967BB8"/>
    <w:rsid w:val="00967E04"/>
    <w:rsid w:val="009700E1"/>
    <w:rsid w:val="0097047E"/>
    <w:rsid w:val="00970517"/>
    <w:rsid w:val="009709DF"/>
    <w:rsid w:val="009709F8"/>
    <w:rsid w:val="00970D01"/>
    <w:rsid w:val="00970F1C"/>
    <w:rsid w:val="00971121"/>
    <w:rsid w:val="00971571"/>
    <w:rsid w:val="009716FD"/>
    <w:rsid w:val="00971A9C"/>
    <w:rsid w:val="00971B45"/>
    <w:rsid w:val="00971C02"/>
    <w:rsid w:val="00971DF5"/>
    <w:rsid w:val="00971F76"/>
    <w:rsid w:val="0097244E"/>
    <w:rsid w:val="00972579"/>
    <w:rsid w:val="00972791"/>
    <w:rsid w:val="00972922"/>
    <w:rsid w:val="00972929"/>
    <w:rsid w:val="00972A68"/>
    <w:rsid w:val="00972F91"/>
    <w:rsid w:val="0097306C"/>
    <w:rsid w:val="00973094"/>
    <w:rsid w:val="009733D8"/>
    <w:rsid w:val="009737B0"/>
    <w:rsid w:val="00973827"/>
    <w:rsid w:val="00973A21"/>
    <w:rsid w:val="00973E9D"/>
    <w:rsid w:val="009742D3"/>
    <w:rsid w:val="0097465A"/>
    <w:rsid w:val="0097499E"/>
    <w:rsid w:val="00974AA2"/>
    <w:rsid w:val="00974BA4"/>
    <w:rsid w:val="00974FE0"/>
    <w:rsid w:val="00975183"/>
    <w:rsid w:val="009755CD"/>
    <w:rsid w:val="009758F1"/>
    <w:rsid w:val="00975A1A"/>
    <w:rsid w:val="00975A29"/>
    <w:rsid w:val="00975B2C"/>
    <w:rsid w:val="00976068"/>
    <w:rsid w:val="009760D0"/>
    <w:rsid w:val="00976311"/>
    <w:rsid w:val="009764AF"/>
    <w:rsid w:val="009768A6"/>
    <w:rsid w:val="00977059"/>
    <w:rsid w:val="009773B5"/>
    <w:rsid w:val="00977525"/>
    <w:rsid w:val="00977838"/>
    <w:rsid w:val="00977939"/>
    <w:rsid w:val="00977BA7"/>
    <w:rsid w:val="009800CE"/>
    <w:rsid w:val="00980520"/>
    <w:rsid w:val="00980D7B"/>
    <w:rsid w:val="0098152F"/>
    <w:rsid w:val="0098172F"/>
    <w:rsid w:val="0098194F"/>
    <w:rsid w:val="00981CD3"/>
    <w:rsid w:val="009821C0"/>
    <w:rsid w:val="009826C8"/>
    <w:rsid w:val="009829E3"/>
    <w:rsid w:val="00982D20"/>
    <w:rsid w:val="00983117"/>
    <w:rsid w:val="0098323C"/>
    <w:rsid w:val="009835BD"/>
    <w:rsid w:val="00983612"/>
    <w:rsid w:val="009836E4"/>
    <w:rsid w:val="0098380C"/>
    <w:rsid w:val="009838D0"/>
    <w:rsid w:val="00983F62"/>
    <w:rsid w:val="0098412F"/>
    <w:rsid w:val="009843ED"/>
    <w:rsid w:val="0098471D"/>
    <w:rsid w:val="00984FDB"/>
    <w:rsid w:val="009854D5"/>
    <w:rsid w:val="00985531"/>
    <w:rsid w:val="009856B7"/>
    <w:rsid w:val="009858DD"/>
    <w:rsid w:val="00985AB7"/>
    <w:rsid w:val="00985F28"/>
    <w:rsid w:val="00986149"/>
    <w:rsid w:val="00986157"/>
    <w:rsid w:val="00986176"/>
    <w:rsid w:val="00986827"/>
    <w:rsid w:val="009868C8"/>
    <w:rsid w:val="00986A57"/>
    <w:rsid w:val="00986CE7"/>
    <w:rsid w:val="00986E7F"/>
    <w:rsid w:val="009870A6"/>
    <w:rsid w:val="00987380"/>
    <w:rsid w:val="00987536"/>
    <w:rsid w:val="0098781E"/>
    <w:rsid w:val="00987837"/>
    <w:rsid w:val="009878EC"/>
    <w:rsid w:val="00990103"/>
    <w:rsid w:val="0099038E"/>
    <w:rsid w:val="009906EE"/>
    <w:rsid w:val="00990BD5"/>
    <w:rsid w:val="00990F29"/>
    <w:rsid w:val="00990F51"/>
    <w:rsid w:val="00991506"/>
    <w:rsid w:val="0099158C"/>
    <w:rsid w:val="009915E1"/>
    <w:rsid w:val="00991701"/>
    <w:rsid w:val="00991860"/>
    <w:rsid w:val="0099196F"/>
    <w:rsid w:val="009919CA"/>
    <w:rsid w:val="00991A89"/>
    <w:rsid w:val="009923B6"/>
    <w:rsid w:val="009928DB"/>
    <w:rsid w:val="00992B98"/>
    <w:rsid w:val="0099359F"/>
    <w:rsid w:val="00993AC9"/>
    <w:rsid w:val="00993C58"/>
    <w:rsid w:val="009945B5"/>
    <w:rsid w:val="009945E5"/>
    <w:rsid w:val="00994871"/>
    <w:rsid w:val="00994A08"/>
    <w:rsid w:val="00994BFD"/>
    <w:rsid w:val="00994C1D"/>
    <w:rsid w:val="00994E08"/>
    <w:rsid w:val="00994E35"/>
    <w:rsid w:val="009951F9"/>
    <w:rsid w:val="009952FE"/>
    <w:rsid w:val="0099537A"/>
    <w:rsid w:val="009953A5"/>
    <w:rsid w:val="0099544C"/>
    <w:rsid w:val="00995498"/>
    <w:rsid w:val="009958B0"/>
    <w:rsid w:val="0099599E"/>
    <w:rsid w:val="00995C95"/>
    <w:rsid w:val="00995DB8"/>
    <w:rsid w:val="00995E85"/>
    <w:rsid w:val="00995EC7"/>
    <w:rsid w:val="00996065"/>
    <w:rsid w:val="00996468"/>
    <w:rsid w:val="0099664D"/>
    <w:rsid w:val="00996876"/>
    <w:rsid w:val="00996DD4"/>
    <w:rsid w:val="00996FFA"/>
    <w:rsid w:val="009973F1"/>
    <w:rsid w:val="009973F3"/>
    <w:rsid w:val="009979C6"/>
    <w:rsid w:val="00997D39"/>
    <w:rsid w:val="00997DB5"/>
    <w:rsid w:val="009A010D"/>
    <w:rsid w:val="009A0130"/>
    <w:rsid w:val="009A0199"/>
    <w:rsid w:val="009A03E1"/>
    <w:rsid w:val="009A044F"/>
    <w:rsid w:val="009A07B3"/>
    <w:rsid w:val="009A0C19"/>
    <w:rsid w:val="009A0C6F"/>
    <w:rsid w:val="009A0D3B"/>
    <w:rsid w:val="009A0E3A"/>
    <w:rsid w:val="009A0EA1"/>
    <w:rsid w:val="009A0EA7"/>
    <w:rsid w:val="009A0F97"/>
    <w:rsid w:val="009A1287"/>
    <w:rsid w:val="009A1314"/>
    <w:rsid w:val="009A14EF"/>
    <w:rsid w:val="009A1618"/>
    <w:rsid w:val="009A1738"/>
    <w:rsid w:val="009A1A7E"/>
    <w:rsid w:val="009A29D9"/>
    <w:rsid w:val="009A2DF9"/>
    <w:rsid w:val="009A2E6B"/>
    <w:rsid w:val="009A31AC"/>
    <w:rsid w:val="009A31F1"/>
    <w:rsid w:val="009A333E"/>
    <w:rsid w:val="009A348C"/>
    <w:rsid w:val="009A389B"/>
    <w:rsid w:val="009A3A86"/>
    <w:rsid w:val="009A3BC1"/>
    <w:rsid w:val="009A3E78"/>
    <w:rsid w:val="009A414F"/>
    <w:rsid w:val="009A44D0"/>
    <w:rsid w:val="009A4668"/>
    <w:rsid w:val="009A4869"/>
    <w:rsid w:val="009A4965"/>
    <w:rsid w:val="009A4F78"/>
    <w:rsid w:val="009A51BA"/>
    <w:rsid w:val="009A55DD"/>
    <w:rsid w:val="009A5837"/>
    <w:rsid w:val="009A62AB"/>
    <w:rsid w:val="009A6472"/>
    <w:rsid w:val="009A66AF"/>
    <w:rsid w:val="009A690D"/>
    <w:rsid w:val="009A6A6B"/>
    <w:rsid w:val="009A74A6"/>
    <w:rsid w:val="009A7969"/>
    <w:rsid w:val="009A7F58"/>
    <w:rsid w:val="009A7FA2"/>
    <w:rsid w:val="009B0088"/>
    <w:rsid w:val="009B02B0"/>
    <w:rsid w:val="009B0DDF"/>
    <w:rsid w:val="009B107D"/>
    <w:rsid w:val="009B1291"/>
    <w:rsid w:val="009B12C8"/>
    <w:rsid w:val="009B12E5"/>
    <w:rsid w:val="009B1AEC"/>
    <w:rsid w:val="009B1E52"/>
    <w:rsid w:val="009B1EF9"/>
    <w:rsid w:val="009B1F63"/>
    <w:rsid w:val="009B26AC"/>
    <w:rsid w:val="009B2A64"/>
    <w:rsid w:val="009B2D2B"/>
    <w:rsid w:val="009B2F22"/>
    <w:rsid w:val="009B32B4"/>
    <w:rsid w:val="009B350D"/>
    <w:rsid w:val="009B37E2"/>
    <w:rsid w:val="009B3E26"/>
    <w:rsid w:val="009B40E6"/>
    <w:rsid w:val="009B4461"/>
    <w:rsid w:val="009B4519"/>
    <w:rsid w:val="009B4676"/>
    <w:rsid w:val="009B486F"/>
    <w:rsid w:val="009B4AF5"/>
    <w:rsid w:val="009B4B36"/>
    <w:rsid w:val="009B4BC3"/>
    <w:rsid w:val="009B4D4D"/>
    <w:rsid w:val="009B506B"/>
    <w:rsid w:val="009B54DB"/>
    <w:rsid w:val="009B567A"/>
    <w:rsid w:val="009B57EF"/>
    <w:rsid w:val="009B58CA"/>
    <w:rsid w:val="009B59F4"/>
    <w:rsid w:val="009B5AF3"/>
    <w:rsid w:val="009B5B85"/>
    <w:rsid w:val="009B5F52"/>
    <w:rsid w:val="009B617F"/>
    <w:rsid w:val="009B6C4C"/>
    <w:rsid w:val="009B6F59"/>
    <w:rsid w:val="009B7204"/>
    <w:rsid w:val="009B74F3"/>
    <w:rsid w:val="009B75CA"/>
    <w:rsid w:val="009B7AFC"/>
    <w:rsid w:val="009C0074"/>
    <w:rsid w:val="009C0564"/>
    <w:rsid w:val="009C15AE"/>
    <w:rsid w:val="009C15E6"/>
    <w:rsid w:val="009C1D3A"/>
    <w:rsid w:val="009C2175"/>
    <w:rsid w:val="009C22F6"/>
    <w:rsid w:val="009C2685"/>
    <w:rsid w:val="009C2934"/>
    <w:rsid w:val="009C2AF8"/>
    <w:rsid w:val="009C2ED6"/>
    <w:rsid w:val="009C316E"/>
    <w:rsid w:val="009C372F"/>
    <w:rsid w:val="009C37A3"/>
    <w:rsid w:val="009C39BC"/>
    <w:rsid w:val="009C3B5F"/>
    <w:rsid w:val="009C3E20"/>
    <w:rsid w:val="009C4048"/>
    <w:rsid w:val="009C456E"/>
    <w:rsid w:val="009C4A01"/>
    <w:rsid w:val="009C4BC2"/>
    <w:rsid w:val="009C4CAE"/>
    <w:rsid w:val="009C4D22"/>
    <w:rsid w:val="009C5103"/>
    <w:rsid w:val="009C53F9"/>
    <w:rsid w:val="009C5462"/>
    <w:rsid w:val="009C584F"/>
    <w:rsid w:val="009C5980"/>
    <w:rsid w:val="009C5A52"/>
    <w:rsid w:val="009C6006"/>
    <w:rsid w:val="009C66AE"/>
    <w:rsid w:val="009C68C6"/>
    <w:rsid w:val="009C6943"/>
    <w:rsid w:val="009C696B"/>
    <w:rsid w:val="009C6B86"/>
    <w:rsid w:val="009C6E1A"/>
    <w:rsid w:val="009C6E96"/>
    <w:rsid w:val="009C7320"/>
    <w:rsid w:val="009C7401"/>
    <w:rsid w:val="009C75CE"/>
    <w:rsid w:val="009C7896"/>
    <w:rsid w:val="009D00BD"/>
    <w:rsid w:val="009D0342"/>
    <w:rsid w:val="009D0487"/>
    <w:rsid w:val="009D0615"/>
    <w:rsid w:val="009D071A"/>
    <w:rsid w:val="009D0729"/>
    <w:rsid w:val="009D07BB"/>
    <w:rsid w:val="009D0E2E"/>
    <w:rsid w:val="009D0E52"/>
    <w:rsid w:val="009D0F62"/>
    <w:rsid w:val="009D0F66"/>
    <w:rsid w:val="009D12B2"/>
    <w:rsid w:val="009D1A06"/>
    <w:rsid w:val="009D1BA4"/>
    <w:rsid w:val="009D1C84"/>
    <w:rsid w:val="009D1FB2"/>
    <w:rsid w:val="009D21A5"/>
    <w:rsid w:val="009D22E4"/>
    <w:rsid w:val="009D22F6"/>
    <w:rsid w:val="009D22F7"/>
    <w:rsid w:val="009D2AAF"/>
    <w:rsid w:val="009D2B3E"/>
    <w:rsid w:val="009D319C"/>
    <w:rsid w:val="009D32E6"/>
    <w:rsid w:val="009D3B30"/>
    <w:rsid w:val="009D4964"/>
    <w:rsid w:val="009D5035"/>
    <w:rsid w:val="009D5098"/>
    <w:rsid w:val="009D50A2"/>
    <w:rsid w:val="009D50E3"/>
    <w:rsid w:val="009D511C"/>
    <w:rsid w:val="009D5524"/>
    <w:rsid w:val="009D5964"/>
    <w:rsid w:val="009D5BAB"/>
    <w:rsid w:val="009D5D5F"/>
    <w:rsid w:val="009D6439"/>
    <w:rsid w:val="009D6A0A"/>
    <w:rsid w:val="009D6BD6"/>
    <w:rsid w:val="009D7032"/>
    <w:rsid w:val="009D73C2"/>
    <w:rsid w:val="009D7768"/>
    <w:rsid w:val="009D77C5"/>
    <w:rsid w:val="009D798F"/>
    <w:rsid w:val="009D7FB4"/>
    <w:rsid w:val="009E005A"/>
    <w:rsid w:val="009E016F"/>
    <w:rsid w:val="009E058F"/>
    <w:rsid w:val="009E0A9E"/>
    <w:rsid w:val="009E186E"/>
    <w:rsid w:val="009E19A2"/>
    <w:rsid w:val="009E1D83"/>
    <w:rsid w:val="009E22CA"/>
    <w:rsid w:val="009E2B01"/>
    <w:rsid w:val="009E2B95"/>
    <w:rsid w:val="009E2DAB"/>
    <w:rsid w:val="009E3AFD"/>
    <w:rsid w:val="009E3CDD"/>
    <w:rsid w:val="009E41CA"/>
    <w:rsid w:val="009E430A"/>
    <w:rsid w:val="009E4413"/>
    <w:rsid w:val="009E4A97"/>
    <w:rsid w:val="009E4B16"/>
    <w:rsid w:val="009E4D80"/>
    <w:rsid w:val="009E54CB"/>
    <w:rsid w:val="009E57D0"/>
    <w:rsid w:val="009E58E0"/>
    <w:rsid w:val="009E5A72"/>
    <w:rsid w:val="009E5C60"/>
    <w:rsid w:val="009E61CB"/>
    <w:rsid w:val="009E62B7"/>
    <w:rsid w:val="009E634B"/>
    <w:rsid w:val="009E64DB"/>
    <w:rsid w:val="009E65B4"/>
    <w:rsid w:val="009E669C"/>
    <w:rsid w:val="009E6794"/>
    <w:rsid w:val="009E69C1"/>
    <w:rsid w:val="009E700D"/>
    <w:rsid w:val="009E7189"/>
    <w:rsid w:val="009E72C6"/>
    <w:rsid w:val="009E7661"/>
    <w:rsid w:val="009E7894"/>
    <w:rsid w:val="009E7B3C"/>
    <w:rsid w:val="009E7CEE"/>
    <w:rsid w:val="009E7E46"/>
    <w:rsid w:val="009E7EA9"/>
    <w:rsid w:val="009E7FC1"/>
    <w:rsid w:val="009F013D"/>
    <w:rsid w:val="009F01E1"/>
    <w:rsid w:val="009F0947"/>
    <w:rsid w:val="009F0B4D"/>
    <w:rsid w:val="009F0D22"/>
    <w:rsid w:val="009F0ECB"/>
    <w:rsid w:val="009F1096"/>
    <w:rsid w:val="009F10D5"/>
    <w:rsid w:val="009F1388"/>
    <w:rsid w:val="009F14AE"/>
    <w:rsid w:val="009F150E"/>
    <w:rsid w:val="009F17C9"/>
    <w:rsid w:val="009F1B11"/>
    <w:rsid w:val="009F1BF4"/>
    <w:rsid w:val="009F2318"/>
    <w:rsid w:val="009F2625"/>
    <w:rsid w:val="009F27AD"/>
    <w:rsid w:val="009F36CC"/>
    <w:rsid w:val="009F36D3"/>
    <w:rsid w:val="009F3FB5"/>
    <w:rsid w:val="009F485C"/>
    <w:rsid w:val="009F48F2"/>
    <w:rsid w:val="009F4CF3"/>
    <w:rsid w:val="009F4FCC"/>
    <w:rsid w:val="009F521F"/>
    <w:rsid w:val="009F53A9"/>
    <w:rsid w:val="009F553C"/>
    <w:rsid w:val="009F57C3"/>
    <w:rsid w:val="009F59F8"/>
    <w:rsid w:val="009F5CB0"/>
    <w:rsid w:val="009F5D0C"/>
    <w:rsid w:val="009F5E3F"/>
    <w:rsid w:val="009F6842"/>
    <w:rsid w:val="009F69BA"/>
    <w:rsid w:val="009F6D1E"/>
    <w:rsid w:val="009F719A"/>
    <w:rsid w:val="009F7206"/>
    <w:rsid w:val="009F72A2"/>
    <w:rsid w:val="009F75BF"/>
    <w:rsid w:val="009F75ED"/>
    <w:rsid w:val="009F76B3"/>
    <w:rsid w:val="00A0035F"/>
    <w:rsid w:val="00A00466"/>
    <w:rsid w:val="00A00467"/>
    <w:rsid w:val="00A0051A"/>
    <w:rsid w:val="00A005B0"/>
    <w:rsid w:val="00A00DE6"/>
    <w:rsid w:val="00A00EEA"/>
    <w:rsid w:val="00A01102"/>
    <w:rsid w:val="00A01448"/>
    <w:rsid w:val="00A018FC"/>
    <w:rsid w:val="00A01A09"/>
    <w:rsid w:val="00A01D8E"/>
    <w:rsid w:val="00A01F17"/>
    <w:rsid w:val="00A02061"/>
    <w:rsid w:val="00A022A5"/>
    <w:rsid w:val="00A025FB"/>
    <w:rsid w:val="00A02839"/>
    <w:rsid w:val="00A02D3B"/>
    <w:rsid w:val="00A02D6F"/>
    <w:rsid w:val="00A0314B"/>
    <w:rsid w:val="00A032D9"/>
    <w:rsid w:val="00A037FF"/>
    <w:rsid w:val="00A038F9"/>
    <w:rsid w:val="00A03961"/>
    <w:rsid w:val="00A03A22"/>
    <w:rsid w:val="00A03CDA"/>
    <w:rsid w:val="00A04634"/>
    <w:rsid w:val="00A050C1"/>
    <w:rsid w:val="00A05123"/>
    <w:rsid w:val="00A05265"/>
    <w:rsid w:val="00A05648"/>
    <w:rsid w:val="00A05737"/>
    <w:rsid w:val="00A06119"/>
    <w:rsid w:val="00A06199"/>
    <w:rsid w:val="00A065ED"/>
    <w:rsid w:val="00A0667A"/>
    <w:rsid w:val="00A0681C"/>
    <w:rsid w:val="00A069AF"/>
    <w:rsid w:val="00A07217"/>
    <w:rsid w:val="00A07286"/>
    <w:rsid w:val="00A07A48"/>
    <w:rsid w:val="00A07B38"/>
    <w:rsid w:val="00A108EE"/>
    <w:rsid w:val="00A10BB8"/>
    <w:rsid w:val="00A11361"/>
    <w:rsid w:val="00A11367"/>
    <w:rsid w:val="00A114F1"/>
    <w:rsid w:val="00A11B7F"/>
    <w:rsid w:val="00A11E5D"/>
    <w:rsid w:val="00A11F54"/>
    <w:rsid w:val="00A12028"/>
    <w:rsid w:val="00A126C1"/>
    <w:rsid w:val="00A127D7"/>
    <w:rsid w:val="00A1287B"/>
    <w:rsid w:val="00A12BAB"/>
    <w:rsid w:val="00A12D99"/>
    <w:rsid w:val="00A12F1F"/>
    <w:rsid w:val="00A137E4"/>
    <w:rsid w:val="00A13C8D"/>
    <w:rsid w:val="00A14224"/>
    <w:rsid w:val="00A14813"/>
    <w:rsid w:val="00A14A0F"/>
    <w:rsid w:val="00A15094"/>
    <w:rsid w:val="00A15157"/>
    <w:rsid w:val="00A152B7"/>
    <w:rsid w:val="00A152C5"/>
    <w:rsid w:val="00A1566A"/>
    <w:rsid w:val="00A156D3"/>
    <w:rsid w:val="00A15833"/>
    <w:rsid w:val="00A15C5E"/>
    <w:rsid w:val="00A15E57"/>
    <w:rsid w:val="00A165BF"/>
    <w:rsid w:val="00A16800"/>
    <w:rsid w:val="00A17001"/>
    <w:rsid w:val="00A17171"/>
    <w:rsid w:val="00A172E8"/>
    <w:rsid w:val="00A173AB"/>
    <w:rsid w:val="00A174FE"/>
    <w:rsid w:val="00A175CD"/>
    <w:rsid w:val="00A179FF"/>
    <w:rsid w:val="00A17FD1"/>
    <w:rsid w:val="00A20046"/>
    <w:rsid w:val="00A20706"/>
    <w:rsid w:val="00A208EA"/>
    <w:rsid w:val="00A2095A"/>
    <w:rsid w:val="00A209DE"/>
    <w:rsid w:val="00A20C6F"/>
    <w:rsid w:val="00A21167"/>
    <w:rsid w:val="00A2140F"/>
    <w:rsid w:val="00A2182B"/>
    <w:rsid w:val="00A218CD"/>
    <w:rsid w:val="00A2191D"/>
    <w:rsid w:val="00A21A36"/>
    <w:rsid w:val="00A22794"/>
    <w:rsid w:val="00A22939"/>
    <w:rsid w:val="00A229FF"/>
    <w:rsid w:val="00A22ADC"/>
    <w:rsid w:val="00A22D83"/>
    <w:rsid w:val="00A23131"/>
    <w:rsid w:val="00A23285"/>
    <w:rsid w:val="00A237A2"/>
    <w:rsid w:val="00A23952"/>
    <w:rsid w:val="00A2444C"/>
    <w:rsid w:val="00A24833"/>
    <w:rsid w:val="00A248A0"/>
    <w:rsid w:val="00A24C05"/>
    <w:rsid w:val="00A24EB4"/>
    <w:rsid w:val="00A25102"/>
    <w:rsid w:val="00A25294"/>
    <w:rsid w:val="00A254EE"/>
    <w:rsid w:val="00A25516"/>
    <w:rsid w:val="00A25A94"/>
    <w:rsid w:val="00A25BE7"/>
    <w:rsid w:val="00A26260"/>
    <w:rsid w:val="00A26316"/>
    <w:rsid w:val="00A26549"/>
    <w:rsid w:val="00A26F64"/>
    <w:rsid w:val="00A26FD6"/>
    <w:rsid w:val="00A27008"/>
    <w:rsid w:val="00A27235"/>
    <w:rsid w:val="00A2743B"/>
    <w:rsid w:val="00A27620"/>
    <w:rsid w:val="00A27850"/>
    <w:rsid w:val="00A27B7A"/>
    <w:rsid w:val="00A27C97"/>
    <w:rsid w:val="00A27CDF"/>
    <w:rsid w:val="00A301CB"/>
    <w:rsid w:val="00A30349"/>
    <w:rsid w:val="00A304E2"/>
    <w:rsid w:val="00A3098E"/>
    <w:rsid w:val="00A309C6"/>
    <w:rsid w:val="00A30A5E"/>
    <w:rsid w:val="00A30D13"/>
    <w:rsid w:val="00A310FC"/>
    <w:rsid w:val="00A31142"/>
    <w:rsid w:val="00A319D0"/>
    <w:rsid w:val="00A31AF0"/>
    <w:rsid w:val="00A32316"/>
    <w:rsid w:val="00A32774"/>
    <w:rsid w:val="00A33172"/>
    <w:rsid w:val="00A33316"/>
    <w:rsid w:val="00A333C1"/>
    <w:rsid w:val="00A3349A"/>
    <w:rsid w:val="00A335AB"/>
    <w:rsid w:val="00A3360A"/>
    <w:rsid w:val="00A33FC1"/>
    <w:rsid w:val="00A34041"/>
    <w:rsid w:val="00A3432B"/>
    <w:rsid w:val="00A3466B"/>
    <w:rsid w:val="00A346BA"/>
    <w:rsid w:val="00A34757"/>
    <w:rsid w:val="00A34BD1"/>
    <w:rsid w:val="00A34C67"/>
    <w:rsid w:val="00A34D62"/>
    <w:rsid w:val="00A350B6"/>
    <w:rsid w:val="00A35552"/>
    <w:rsid w:val="00A35689"/>
    <w:rsid w:val="00A3588E"/>
    <w:rsid w:val="00A3596F"/>
    <w:rsid w:val="00A35ACC"/>
    <w:rsid w:val="00A35B4A"/>
    <w:rsid w:val="00A35BBE"/>
    <w:rsid w:val="00A35DAC"/>
    <w:rsid w:val="00A35FFC"/>
    <w:rsid w:val="00A3611D"/>
    <w:rsid w:val="00A36140"/>
    <w:rsid w:val="00A36339"/>
    <w:rsid w:val="00A36479"/>
    <w:rsid w:val="00A365CE"/>
    <w:rsid w:val="00A366E4"/>
    <w:rsid w:val="00A368B4"/>
    <w:rsid w:val="00A36CF4"/>
    <w:rsid w:val="00A375A3"/>
    <w:rsid w:val="00A377C4"/>
    <w:rsid w:val="00A377F2"/>
    <w:rsid w:val="00A37A84"/>
    <w:rsid w:val="00A40079"/>
    <w:rsid w:val="00A402E9"/>
    <w:rsid w:val="00A40607"/>
    <w:rsid w:val="00A407A1"/>
    <w:rsid w:val="00A40A3B"/>
    <w:rsid w:val="00A40AAC"/>
    <w:rsid w:val="00A40D80"/>
    <w:rsid w:val="00A40F9F"/>
    <w:rsid w:val="00A40FDC"/>
    <w:rsid w:val="00A4158E"/>
    <w:rsid w:val="00A41987"/>
    <w:rsid w:val="00A41D64"/>
    <w:rsid w:val="00A422A7"/>
    <w:rsid w:val="00A42358"/>
    <w:rsid w:val="00A42457"/>
    <w:rsid w:val="00A42540"/>
    <w:rsid w:val="00A42861"/>
    <w:rsid w:val="00A42C47"/>
    <w:rsid w:val="00A43644"/>
    <w:rsid w:val="00A4376F"/>
    <w:rsid w:val="00A4398F"/>
    <w:rsid w:val="00A439B5"/>
    <w:rsid w:val="00A43A94"/>
    <w:rsid w:val="00A43D47"/>
    <w:rsid w:val="00A43F1F"/>
    <w:rsid w:val="00A43F37"/>
    <w:rsid w:val="00A43F77"/>
    <w:rsid w:val="00A440ED"/>
    <w:rsid w:val="00A4466F"/>
    <w:rsid w:val="00A449E1"/>
    <w:rsid w:val="00A44C89"/>
    <w:rsid w:val="00A450EC"/>
    <w:rsid w:val="00A450F7"/>
    <w:rsid w:val="00A4549F"/>
    <w:rsid w:val="00A45798"/>
    <w:rsid w:val="00A45847"/>
    <w:rsid w:val="00A45B9B"/>
    <w:rsid w:val="00A45C69"/>
    <w:rsid w:val="00A45DCA"/>
    <w:rsid w:val="00A45F1C"/>
    <w:rsid w:val="00A462FE"/>
    <w:rsid w:val="00A46389"/>
    <w:rsid w:val="00A4656C"/>
    <w:rsid w:val="00A46639"/>
    <w:rsid w:val="00A46B68"/>
    <w:rsid w:val="00A47003"/>
    <w:rsid w:val="00A4700A"/>
    <w:rsid w:val="00A47131"/>
    <w:rsid w:val="00A47154"/>
    <w:rsid w:val="00A472F1"/>
    <w:rsid w:val="00A4757A"/>
    <w:rsid w:val="00A47588"/>
    <w:rsid w:val="00A478F0"/>
    <w:rsid w:val="00A47AB7"/>
    <w:rsid w:val="00A47EBB"/>
    <w:rsid w:val="00A501C9"/>
    <w:rsid w:val="00A502B7"/>
    <w:rsid w:val="00A50506"/>
    <w:rsid w:val="00A509EB"/>
    <w:rsid w:val="00A50AE6"/>
    <w:rsid w:val="00A50C65"/>
    <w:rsid w:val="00A50CCA"/>
    <w:rsid w:val="00A50DE3"/>
    <w:rsid w:val="00A516B5"/>
    <w:rsid w:val="00A517BC"/>
    <w:rsid w:val="00A51CF9"/>
    <w:rsid w:val="00A51E9B"/>
    <w:rsid w:val="00A521BB"/>
    <w:rsid w:val="00A5226E"/>
    <w:rsid w:val="00A52BF5"/>
    <w:rsid w:val="00A534ED"/>
    <w:rsid w:val="00A539E4"/>
    <w:rsid w:val="00A53AB9"/>
    <w:rsid w:val="00A53EF5"/>
    <w:rsid w:val="00A53F55"/>
    <w:rsid w:val="00A5417B"/>
    <w:rsid w:val="00A541E0"/>
    <w:rsid w:val="00A54599"/>
    <w:rsid w:val="00A5462D"/>
    <w:rsid w:val="00A54794"/>
    <w:rsid w:val="00A54B82"/>
    <w:rsid w:val="00A54B87"/>
    <w:rsid w:val="00A54E4B"/>
    <w:rsid w:val="00A550B0"/>
    <w:rsid w:val="00A550D4"/>
    <w:rsid w:val="00A55331"/>
    <w:rsid w:val="00A5549C"/>
    <w:rsid w:val="00A556C6"/>
    <w:rsid w:val="00A559B3"/>
    <w:rsid w:val="00A55EEE"/>
    <w:rsid w:val="00A56104"/>
    <w:rsid w:val="00A56185"/>
    <w:rsid w:val="00A56332"/>
    <w:rsid w:val="00A565D6"/>
    <w:rsid w:val="00A565E0"/>
    <w:rsid w:val="00A56773"/>
    <w:rsid w:val="00A56899"/>
    <w:rsid w:val="00A569D4"/>
    <w:rsid w:val="00A56B9A"/>
    <w:rsid w:val="00A56C33"/>
    <w:rsid w:val="00A56C7C"/>
    <w:rsid w:val="00A56EB8"/>
    <w:rsid w:val="00A56FC9"/>
    <w:rsid w:val="00A57114"/>
    <w:rsid w:val="00A57279"/>
    <w:rsid w:val="00A573F8"/>
    <w:rsid w:val="00A57665"/>
    <w:rsid w:val="00A57AB3"/>
    <w:rsid w:val="00A57AE2"/>
    <w:rsid w:val="00A57AEC"/>
    <w:rsid w:val="00A57DED"/>
    <w:rsid w:val="00A57DF6"/>
    <w:rsid w:val="00A57F1A"/>
    <w:rsid w:val="00A60163"/>
    <w:rsid w:val="00A601A1"/>
    <w:rsid w:val="00A601B7"/>
    <w:rsid w:val="00A6038D"/>
    <w:rsid w:val="00A60CF0"/>
    <w:rsid w:val="00A60D9C"/>
    <w:rsid w:val="00A60E67"/>
    <w:rsid w:val="00A60F9A"/>
    <w:rsid w:val="00A613BE"/>
    <w:rsid w:val="00A61429"/>
    <w:rsid w:val="00A6146A"/>
    <w:rsid w:val="00A61514"/>
    <w:rsid w:val="00A61645"/>
    <w:rsid w:val="00A61A0E"/>
    <w:rsid w:val="00A61A77"/>
    <w:rsid w:val="00A61A78"/>
    <w:rsid w:val="00A61D5D"/>
    <w:rsid w:val="00A61E37"/>
    <w:rsid w:val="00A62080"/>
    <w:rsid w:val="00A6226D"/>
    <w:rsid w:val="00A62340"/>
    <w:rsid w:val="00A627DD"/>
    <w:rsid w:val="00A62A20"/>
    <w:rsid w:val="00A62B8D"/>
    <w:rsid w:val="00A62F61"/>
    <w:rsid w:val="00A630A2"/>
    <w:rsid w:val="00A631A2"/>
    <w:rsid w:val="00A631C5"/>
    <w:rsid w:val="00A632B8"/>
    <w:rsid w:val="00A634E2"/>
    <w:rsid w:val="00A63748"/>
    <w:rsid w:val="00A63BF3"/>
    <w:rsid w:val="00A63F9F"/>
    <w:rsid w:val="00A640E3"/>
    <w:rsid w:val="00A64583"/>
    <w:rsid w:val="00A645D3"/>
    <w:rsid w:val="00A64942"/>
    <w:rsid w:val="00A649E2"/>
    <w:rsid w:val="00A64B8B"/>
    <w:rsid w:val="00A64C88"/>
    <w:rsid w:val="00A64D1B"/>
    <w:rsid w:val="00A65162"/>
    <w:rsid w:val="00A65487"/>
    <w:rsid w:val="00A65894"/>
    <w:rsid w:val="00A65911"/>
    <w:rsid w:val="00A659C0"/>
    <w:rsid w:val="00A65A57"/>
    <w:rsid w:val="00A66142"/>
    <w:rsid w:val="00A6643C"/>
    <w:rsid w:val="00A666C4"/>
    <w:rsid w:val="00A669E8"/>
    <w:rsid w:val="00A66AE1"/>
    <w:rsid w:val="00A66B9D"/>
    <w:rsid w:val="00A66C73"/>
    <w:rsid w:val="00A66DB4"/>
    <w:rsid w:val="00A66F11"/>
    <w:rsid w:val="00A67102"/>
    <w:rsid w:val="00A67544"/>
    <w:rsid w:val="00A67641"/>
    <w:rsid w:val="00A67A44"/>
    <w:rsid w:val="00A7025E"/>
    <w:rsid w:val="00A703FC"/>
    <w:rsid w:val="00A70469"/>
    <w:rsid w:val="00A7075B"/>
    <w:rsid w:val="00A70AC2"/>
    <w:rsid w:val="00A70B0D"/>
    <w:rsid w:val="00A70FA8"/>
    <w:rsid w:val="00A71CE6"/>
    <w:rsid w:val="00A71D23"/>
    <w:rsid w:val="00A71FBC"/>
    <w:rsid w:val="00A721BD"/>
    <w:rsid w:val="00A72465"/>
    <w:rsid w:val="00A72953"/>
    <w:rsid w:val="00A72956"/>
    <w:rsid w:val="00A72B89"/>
    <w:rsid w:val="00A72B9F"/>
    <w:rsid w:val="00A7333A"/>
    <w:rsid w:val="00A73457"/>
    <w:rsid w:val="00A73D0D"/>
    <w:rsid w:val="00A7443C"/>
    <w:rsid w:val="00A74A92"/>
    <w:rsid w:val="00A74FFD"/>
    <w:rsid w:val="00A75127"/>
    <w:rsid w:val="00A7541E"/>
    <w:rsid w:val="00A754CA"/>
    <w:rsid w:val="00A7569D"/>
    <w:rsid w:val="00A75BB8"/>
    <w:rsid w:val="00A75CC1"/>
    <w:rsid w:val="00A75CE7"/>
    <w:rsid w:val="00A75E88"/>
    <w:rsid w:val="00A75F07"/>
    <w:rsid w:val="00A76213"/>
    <w:rsid w:val="00A76381"/>
    <w:rsid w:val="00A80166"/>
    <w:rsid w:val="00A8056E"/>
    <w:rsid w:val="00A80751"/>
    <w:rsid w:val="00A80FD0"/>
    <w:rsid w:val="00A81234"/>
    <w:rsid w:val="00A8164A"/>
    <w:rsid w:val="00A817E5"/>
    <w:rsid w:val="00A818EC"/>
    <w:rsid w:val="00A81D3C"/>
    <w:rsid w:val="00A81F9D"/>
    <w:rsid w:val="00A8233F"/>
    <w:rsid w:val="00A82583"/>
    <w:rsid w:val="00A82D58"/>
    <w:rsid w:val="00A82E4F"/>
    <w:rsid w:val="00A82EAB"/>
    <w:rsid w:val="00A82FDE"/>
    <w:rsid w:val="00A8302D"/>
    <w:rsid w:val="00A83050"/>
    <w:rsid w:val="00A8399D"/>
    <w:rsid w:val="00A83CF6"/>
    <w:rsid w:val="00A83DF0"/>
    <w:rsid w:val="00A83E3D"/>
    <w:rsid w:val="00A84281"/>
    <w:rsid w:val="00A842BA"/>
    <w:rsid w:val="00A84318"/>
    <w:rsid w:val="00A843F2"/>
    <w:rsid w:val="00A8443A"/>
    <w:rsid w:val="00A84694"/>
    <w:rsid w:val="00A84722"/>
    <w:rsid w:val="00A8479C"/>
    <w:rsid w:val="00A84995"/>
    <w:rsid w:val="00A84CDB"/>
    <w:rsid w:val="00A85051"/>
    <w:rsid w:val="00A85564"/>
    <w:rsid w:val="00A8557B"/>
    <w:rsid w:val="00A85703"/>
    <w:rsid w:val="00A85931"/>
    <w:rsid w:val="00A85A05"/>
    <w:rsid w:val="00A85AA5"/>
    <w:rsid w:val="00A85BC2"/>
    <w:rsid w:val="00A860A4"/>
    <w:rsid w:val="00A863EE"/>
    <w:rsid w:val="00A8661A"/>
    <w:rsid w:val="00A86BBF"/>
    <w:rsid w:val="00A86D63"/>
    <w:rsid w:val="00A871BF"/>
    <w:rsid w:val="00A87587"/>
    <w:rsid w:val="00A87797"/>
    <w:rsid w:val="00A8780B"/>
    <w:rsid w:val="00A878F8"/>
    <w:rsid w:val="00A87B42"/>
    <w:rsid w:val="00A87CD9"/>
    <w:rsid w:val="00A9010F"/>
    <w:rsid w:val="00A90CAC"/>
    <w:rsid w:val="00A90E72"/>
    <w:rsid w:val="00A91048"/>
    <w:rsid w:val="00A9195D"/>
    <w:rsid w:val="00A91B14"/>
    <w:rsid w:val="00A92157"/>
    <w:rsid w:val="00A922A2"/>
    <w:rsid w:val="00A924A7"/>
    <w:rsid w:val="00A925D3"/>
    <w:rsid w:val="00A9270A"/>
    <w:rsid w:val="00A9278E"/>
    <w:rsid w:val="00A92ECF"/>
    <w:rsid w:val="00A9306B"/>
    <w:rsid w:val="00A930EE"/>
    <w:rsid w:val="00A93114"/>
    <w:rsid w:val="00A9327B"/>
    <w:rsid w:val="00A93748"/>
    <w:rsid w:val="00A93ACA"/>
    <w:rsid w:val="00A93B2D"/>
    <w:rsid w:val="00A93B69"/>
    <w:rsid w:val="00A93FD6"/>
    <w:rsid w:val="00A941CE"/>
    <w:rsid w:val="00A942D4"/>
    <w:rsid w:val="00A94BCF"/>
    <w:rsid w:val="00A94D43"/>
    <w:rsid w:val="00A94E61"/>
    <w:rsid w:val="00A95850"/>
    <w:rsid w:val="00A9586E"/>
    <w:rsid w:val="00A95B03"/>
    <w:rsid w:val="00A95DFA"/>
    <w:rsid w:val="00A96158"/>
    <w:rsid w:val="00A963C7"/>
    <w:rsid w:val="00A96555"/>
    <w:rsid w:val="00A965B0"/>
    <w:rsid w:val="00A965E7"/>
    <w:rsid w:val="00A96B33"/>
    <w:rsid w:val="00A96E83"/>
    <w:rsid w:val="00A97094"/>
    <w:rsid w:val="00A971BF"/>
    <w:rsid w:val="00A9754C"/>
    <w:rsid w:val="00A97573"/>
    <w:rsid w:val="00A975AD"/>
    <w:rsid w:val="00A97A3B"/>
    <w:rsid w:val="00A97F2D"/>
    <w:rsid w:val="00AA012F"/>
    <w:rsid w:val="00AA0173"/>
    <w:rsid w:val="00AA0345"/>
    <w:rsid w:val="00AA0A92"/>
    <w:rsid w:val="00AA137C"/>
    <w:rsid w:val="00AA1626"/>
    <w:rsid w:val="00AA1C25"/>
    <w:rsid w:val="00AA1C98"/>
    <w:rsid w:val="00AA1F3B"/>
    <w:rsid w:val="00AA2442"/>
    <w:rsid w:val="00AA32D0"/>
    <w:rsid w:val="00AA3488"/>
    <w:rsid w:val="00AA3A0F"/>
    <w:rsid w:val="00AA3AB0"/>
    <w:rsid w:val="00AA3AFB"/>
    <w:rsid w:val="00AA3DB7"/>
    <w:rsid w:val="00AA4601"/>
    <w:rsid w:val="00AA46AB"/>
    <w:rsid w:val="00AA4808"/>
    <w:rsid w:val="00AA495A"/>
    <w:rsid w:val="00AA4C97"/>
    <w:rsid w:val="00AA4F92"/>
    <w:rsid w:val="00AA51F5"/>
    <w:rsid w:val="00AA54EF"/>
    <w:rsid w:val="00AA5936"/>
    <w:rsid w:val="00AA59FE"/>
    <w:rsid w:val="00AA5A56"/>
    <w:rsid w:val="00AA5BF8"/>
    <w:rsid w:val="00AA5E3B"/>
    <w:rsid w:val="00AA6011"/>
    <w:rsid w:val="00AA68B4"/>
    <w:rsid w:val="00AA69DC"/>
    <w:rsid w:val="00AA6B4F"/>
    <w:rsid w:val="00AA6F4B"/>
    <w:rsid w:val="00AA7107"/>
    <w:rsid w:val="00AA7661"/>
    <w:rsid w:val="00AA7CCA"/>
    <w:rsid w:val="00AA7CD0"/>
    <w:rsid w:val="00AB0543"/>
    <w:rsid w:val="00AB07F3"/>
    <w:rsid w:val="00AB0AC9"/>
    <w:rsid w:val="00AB0FD3"/>
    <w:rsid w:val="00AB133D"/>
    <w:rsid w:val="00AB1488"/>
    <w:rsid w:val="00AB14D8"/>
    <w:rsid w:val="00AB185A"/>
    <w:rsid w:val="00AB18AC"/>
    <w:rsid w:val="00AB1BA7"/>
    <w:rsid w:val="00AB1E04"/>
    <w:rsid w:val="00AB26BA"/>
    <w:rsid w:val="00AB28FF"/>
    <w:rsid w:val="00AB294B"/>
    <w:rsid w:val="00AB2A74"/>
    <w:rsid w:val="00AB2F73"/>
    <w:rsid w:val="00AB3113"/>
    <w:rsid w:val="00AB3348"/>
    <w:rsid w:val="00AB3472"/>
    <w:rsid w:val="00AB348A"/>
    <w:rsid w:val="00AB3627"/>
    <w:rsid w:val="00AB38FB"/>
    <w:rsid w:val="00AB3EDF"/>
    <w:rsid w:val="00AB3F38"/>
    <w:rsid w:val="00AB43EC"/>
    <w:rsid w:val="00AB4646"/>
    <w:rsid w:val="00AB4793"/>
    <w:rsid w:val="00AB4B38"/>
    <w:rsid w:val="00AB4BF4"/>
    <w:rsid w:val="00AB4E0A"/>
    <w:rsid w:val="00AB57F3"/>
    <w:rsid w:val="00AB5ADF"/>
    <w:rsid w:val="00AB5E57"/>
    <w:rsid w:val="00AB632D"/>
    <w:rsid w:val="00AB6425"/>
    <w:rsid w:val="00AB66C6"/>
    <w:rsid w:val="00AB67B4"/>
    <w:rsid w:val="00AB692A"/>
    <w:rsid w:val="00AB6C65"/>
    <w:rsid w:val="00AB6FF9"/>
    <w:rsid w:val="00AB7053"/>
    <w:rsid w:val="00AB725F"/>
    <w:rsid w:val="00AB7C69"/>
    <w:rsid w:val="00AC01C9"/>
    <w:rsid w:val="00AC03D9"/>
    <w:rsid w:val="00AC0481"/>
    <w:rsid w:val="00AC05E5"/>
    <w:rsid w:val="00AC0705"/>
    <w:rsid w:val="00AC0864"/>
    <w:rsid w:val="00AC0C36"/>
    <w:rsid w:val="00AC0F72"/>
    <w:rsid w:val="00AC109B"/>
    <w:rsid w:val="00AC1472"/>
    <w:rsid w:val="00AC1533"/>
    <w:rsid w:val="00AC15DA"/>
    <w:rsid w:val="00AC1911"/>
    <w:rsid w:val="00AC1B3C"/>
    <w:rsid w:val="00AC1EAB"/>
    <w:rsid w:val="00AC2510"/>
    <w:rsid w:val="00AC261E"/>
    <w:rsid w:val="00AC27EA"/>
    <w:rsid w:val="00AC289A"/>
    <w:rsid w:val="00AC2ADE"/>
    <w:rsid w:val="00AC2C0D"/>
    <w:rsid w:val="00AC2CF2"/>
    <w:rsid w:val="00AC2F83"/>
    <w:rsid w:val="00AC3305"/>
    <w:rsid w:val="00AC3DFC"/>
    <w:rsid w:val="00AC43C6"/>
    <w:rsid w:val="00AC43D5"/>
    <w:rsid w:val="00AC45AE"/>
    <w:rsid w:val="00AC47E2"/>
    <w:rsid w:val="00AC49A7"/>
    <w:rsid w:val="00AC4C93"/>
    <w:rsid w:val="00AC4EB3"/>
    <w:rsid w:val="00AC4FBF"/>
    <w:rsid w:val="00AC509D"/>
    <w:rsid w:val="00AC5F33"/>
    <w:rsid w:val="00AC6496"/>
    <w:rsid w:val="00AC6519"/>
    <w:rsid w:val="00AC6CCE"/>
    <w:rsid w:val="00AC71A6"/>
    <w:rsid w:val="00AC74B0"/>
    <w:rsid w:val="00AC74DA"/>
    <w:rsid w:val="00AC7A2B"/>
    <w:rsid w:val="00AC7C25"/>
    <w:rsid w:val="00AC7CC2"/>
    <w:rsid w:val="00AD01DD"/>
    <w:rsid w:val="00AD0A51"/>
    <w:rsid w:val="00AD0AB8"/>
    <w:rsid w:val="00AD0B37"/>
    <w:rsid w:val="00AD0DB2"/>
    <w:rsid w:val="00AD1029"/>
    <w:rsid w:val="00AD11F7"/>
    <w:rsid w:val="00AD18DE"/>
    <w:rsid w:val="00AD1DB5"/>
    <w:rsid w:val="00AD1DB7"/>
    <w:rsid w:val="00AD1F26"/>
    <w:rsid w:val="00AD20B1"/>
    <w:rsid w:val="00AD23A6"/>
    <w:rsid w:val="00AD242B"/>
    <w:rsid w:val="00AD266D"/>
    <w:rsid w:val="00AD2852"/>
    <w:rsid w:val="00AD379E"/>
    <w:rsid w:val="00AD3976"/>
    <w:rsid w:val="00AD40D3"/>
    <w:rsid w:val="00AD455C"/>
    <w:rsid w:val="00AD4B6D"/>
    <w:rsid w:val="00AD4BFF"/>
    <w:rsid w:val="00AD4D2A"/>
    <w:rsid w:val="00AD4FCB"/>
    <w:rsid w:val="00AD50E1"/>
    <w:rsid w:val="00AD5147"/>
    <w:rsid w:val="00AD5176"/>
    <w:rsid w:val="00AD542F"/>
    <w:rsid w:val="00AD5B74"/>
    <w:rsid w:val="00AD5C3E"/>
    <w:rsid w:val="00AD6007"/>
    <w:rsid w:val="00AD60AF"/>
    <w:rsid w:val="00AD6A7C"/>
    <w:rsid w:val="00AD6CAB"/>
    <w:rsid w:val="00AD7305"/>
    <w:rsid w:val="00AD7795"/>
    <w:rsid w:val="00AD7E64"/>
    <w:rsid w:val="00AD7F38"/>
    <w:rsid w:val="00AE0633"/>
    <w:rsid w:val="00AE07BE"/>
    <w:rsid w:val="00AE0A18"/>
    <w:rsid w:val="00AE0C56"/>
    <w:rsid w:val="00AE125E"/>
    <w:rsid w:val="00AE149E"/>
    <w:rsid w:val="00AE14C9"/>
    <w:rsid w:val="00AE1640"/>
    <w:rsid w:val="00AE168B"/>
    <w:rsid w:val="00AE16E4"/>
    <w:rsid w:val="00AE17B1"/>
    <w:rsid w:val="00AE1878"/>
    <w:rsid w:val="00AE197B"/>
    <w:rsid w:val="00AE1C2B"/>
    <w:rsid w:val="00AE1C41"/>
    <w:rsid w:val="00AE22F2"/>
    <w:rsid w:val="00AE271A"/>
    <w:rsid w:val="00AE29FC"/>
    <w:rsid w:val="00AE2F3F"/>
    <w:rsid w:val="00AE3331"/>
    <w:rsid w:val="00AE334D"/>
    <w:rsid w:val="00AE3518"/>
    <w:rsid w:val="00AE3771"/>
    <w:rsid w:val="00AE3A0D"/>
    <w:rsid w:val="00AE3A94"/>
    <w:rsid w:val="00AE3B4E"/>
    <w:rsid w:val="00AE3B65"/>
    <w:rsid w:val="00AE4218"/>
    <w:rsid w:val="00AE43F7"/>
    <w:rsid w:val="00AE443D"/>
    <w:rsid w:val="00AE4A37"/>
    <w:rsid w:val="00AE4AC0"/>
    <w:rsid w:val="00AE51F9"/>
    <w:rsid w:val="00AE536F"/>
    <w:rsid w:val="00AE53BC"/>
    <w:rsid w:val="00AE5963"/>
    <w:rsid w:val="00AE59EC"/>
    <w:rsid w:val="00AE5A88"/>
    <w:rsid w:val="00AE5EC6"/>
    <w:rsid w:val="00AE67B3"/>
    <w:rsid w:val="00AE6868"/>
    <w:rsid w:val="00AE6AD0"/>
    <w:rsid w:val="00AE6E1E"/>
    <w:rsid w:val="00AE706A"/>
    <w:rsid w:val="00AE7153"/>
    <w:rsid w:val="00AE7864"/>
    <w:rsid w:val="00AE7949"/>
    <w:rsid w:val="00AE7F32"/>
    <w:rsid w:val="00AE7F3C"/>
    <w:rsid w:val="00AE7F88"/>
    <w:rsid w:val="00AF0535"/>
    <w:rsid w:val="00AF0A0D"/>
    <w:rsid w:val="00AF0BA7"/>
    <w:rsid w:val="00AF1132"/>
    <w:rsid w:val="00AF11A4"/>
    <w:rsid w:val="00AF15D2"/>
    <w:rsid w:val="00AF1755"/>
    <w:rsid w:val="00AF1E9C"/>
    <w:rsid w:val="00AF212C"/>
    <w:rsid w:val="00AF23AC"/>
    <w:rsid w:val="00AF25D5"/>
    <w:rsid w:val="00AF2915"/>
    <w:rsid w:val="00AF2A41"/>
    <w:rsid w:val="00AF2E0F"/>
    <w:rsid w:val="00AF2E3B"/>
    <w:rsid w:val="00AF301D"/>
    <w:rsid w:val="00AF3199"/>
    <w:rsid w:val="00AF3579"/>
    <w:rsid w:val="00AF3669"/>
    <w:rsid w:val="00AF3764"/>
    <w:rsid w:val="00AF3A22"/>
    <w:rsid w:val="00AF3DBB"/>
    <w:rsid w:val="00AF42A3"/>
    <w:rsid w:val="00AF463B"/>
    <w:rsid w:val="00AF4EA8"/>
    <w:rsid w:val="00AF5194"/>
    <w:rsid w:val="00AF521A"/>
    <w:rsid w:val="00AF53EF"/>
    <w:rsid w:val="00AF5656"/>
    <w:rsid w:val="00AF591A"/>
    <w:rsid w:val="00AF593B"/>
    <w:rsid w:val="00AF5A1E"/>
    <w:rsid w:val="00AF5E4B"/>
    <w:rsid w:val="00AF638B"/>
    <w:rsid w:val="00AF6427"/>
    <w:rsid w:val="00AF674E"/>
    <w:rsid w:val="00AF694C"/>
    <w:rsid w:val="00AF6DFF"/>
    <w:rsid w:val="00AF6E15"/>
    <w:rsid w:val="00AF70A4"/>
    <w:rsid w:val="00AF7240"/>
    <w:rsid w:val="00AF7282"/>
    <w:rsid w:val="00AF739F"/>
    <w:rsid w:val="00AF73C3"/>
    <w:rsid w:val="00AF73CE"/>
    <w:rsid w:val="00AF73F5"/>
    <w:rsid w:val="00AF7662"/>
    <w:rsid w:val="00AF780E"/>
    <w:rsid w:val="00AF795C"/>
    <w:rsid w:val="00AF7AF4"/>
    <w:rsid w:val="00AF7CD7"/>
    <w:rsid w:val="00B00115"/>
    <w:rsid w:val="00B00752"/>
    <w:rsid w:val="00B0096C"/>
    <w:rsid w:val="00B00AC9"/>
    <w:rsid w:val="00B01218"/>
    <w:rsid w:val="00B01433"/>
    <w:rsid w:val="00B01D8F"/>
    <w:rsid w:val="00B026C1"/>
    <w:rsid w:val="00B02833"/>
    <w:rsid w:val="00B02B9C"/>
    <w:rsid w:val="00B034BE"/>
    <w:rsid w:val="00B0353B"/>
    <w:rsid w:val="00B0358F"/>
    <w:rsid w:val="00B03B57"/>
    <w:rsid w:val="00B03B7C"/>
    <w:rsid w:val="00B03CFB"/>
    <w:rsid w:val="00B03F37"/>
    <w:rsid w:val="00B040B2"/>
    <w:rsid w:val="00B04469"/>
    <w:rsid w:val="00B04470"/>
    <w:rsid w:val="00B04A35"/>
    <w:rsid w:val="00B04E55"/>
    <w:rsid w:val="00B04EF2"/>
    <w:rsid w:val="00B051D5"/>
    <w:rsid w:val="00B05291"/>
    <w:rsid w:val="00B05574"/>
    <w:rsid w:val="00B05ABE"/>
    <w:rsid w:val="00B05C15"/>
    <w:rsid w:val="00B05E39"/>
    <w:rsid w:val="00B05EB3"/>
    <w:rsid w:val="00B06096"/>
    <w:rsid w:val="00B06105"/>
    <w:rsid w:val="00B06260"/>
    <w:rsid w:val="00B06C88"/>
    <w:rsid w:val="00B06CFE"/>
    <w:rsid w:val="00B06EEB"/>
    <w:rsid w:val="00B070CB"/>
    <w:rsid w:val="00B0771E"/>
    <w:rsid w:val="00B0791B"/>
    <w:rsid w:val="00B07990"/>
    <w:rsid w:val="00B10558"/>
    <w:rsid w:val="00B10A8E"/>
    <w:rsid w:val="00B10B36"/>
    <w:rsid w:val="00B10E55"/>
    <w:rsid w:val="00B113DD"/>
    <w:rsid w:val="00B115B7"/>
    <w:rsid w:val="00B11DF8"/>
    <w:rsid w:val="00B125DC"/>
    <w:rsid w:val="00B126D0"/>
    <w:rsid w:val="00B12761"/>
    <w:rsid w:val="00B13771"/>
    <w:rsid w:val="00B13800"/>
    <w:rsid w:val="00B13868"/>
    <w:rsid w:val="00B13EAB"/>
    <w:rsid w:val="00B140EA"/>
    <w:rsid w:val="00B14195"/>
    <w:rsid w:val="00B14787"/>
    <w:rsid w:val="00B14A36"/>
    <w:rsid w:val="00B152CB"/>
    <w:rsid w:val="00B15630"/>
    <w:rsid w:val="00B156A9"/>
    <w:rsid w:val="00B15C93"/>
    <w:rsid w:val="00B15F0D"/>
    <w:rsid w:val="00B15F83"/>
    <w:rsid w:val="00B160FF"/>
    <w:rsid w:val="00B161D0"/>
    <w:rsid w:val="00B16322"/>
    <w:rsid w:val="00B164C9"/>
    <w:rsid w:val="00B1662E"/>
    <w:rsid w:val="00B16750"/>
    <w:rsid w:val="00B168EE"/>
    <w:rsid w:val="00B176E7"/>
    <w:rsid w:val="00B179C0"/>
    <w:rsid w:val="00B17A1A"/>
    <w:rsid w:val="00B17AD8"/>
    <w:rsid w:val="00B209A1"/>
    <w:rsid w:val="00B20CD2"/>
    <w:rsid w:val="00B20F25"/>
    <w:rsid w:val="00B21B6A"/>
    <w:rsid w:val="00B22633"/>
    <w:rsid w:val="00B228D8"/>
    <w:rsid w:val="00B22923"/>
    <w:rsid w:val="00B22B6D"/>
    <w:rsid w:val="00B22C0D"/>
    <w:rsid w:val="00B23338"/>
    <w:rsid w:val="00B23361"/>
    <w:rsid w:val="00B238E3"/>
    <w:rsid w:val="00B238F3"/>
    <w:rsid w:val="00B23AF4"/>
    <w:rsid w:val="00B23C15"/>
    <w:rsid w:val="00B2452A"/>
    <w:rsid w:val="00B24CC9"/>
    <w:rsid w:val="00B253C4"/>
    <w:rsid w:val="00B2575D"/>
    <w:rsid w:val="00B25762"/>
    <w:rsid w:val="00B25969"/>
    <w:rsid w:val="00B25B40"/>
    <w:rsid w:val="00B25DFF"/>
    <w:rsid w:val="00B25F57"/>
    <w:rsid w:val="00B25FDE"/>
    <w:rsid w:val="00B26576"/>
    <w:rsid w:val="00B2678A"/>
    <w:rsid w:val="00B267FE"/>
    <w:rsid w:val="00B268C2"/>
    <w:rsid w:val="00B26AB0"/>
    <w:rsid w:val="00B26AD2"/>
    <w:rsid w:val="00B26C11"/>
    <w:rsid w:val="00B26CA2"/>
    <w:rsid w:val="00B26FED"/>
    <w:rsid w:val="00B27166"/>
    <w:rsid w:val="00B2721E"/>
    <w:rsid w:val="00B275AC"/>
    <w:rsid w:val="00B277D7"/>
    <w:rsid w:val="00B278C4"/>
    <w:rsid w:val="00B30393"/>
    <w:rsid w:val="00B30560"/>
    <w:rsid w:val="00B30B4E"/>
    <w:rsid w:val="00B30CA8"/>
    <w:rsid w:val="00B31246"/>
    <w:rsid w:val="00B31A9B"/>
    <w:rsid w:val="00B31FCA"/>
    <w:rsid w:val="00B32202"/>
    <w:rsid w:val="00B326FF"/>
    <w:rsid w:val="00B32C87"/>
    <w:rsid w:val="00B3362F"/>
    <w:rsid w:val="00B33851"/>
    <w:rsid w:val="00B338DC"/>
    <w:rsid w:val="00B33D38"/>
    <w:rsid w:val="00B33E7E"/>
    <w:rsid w:val="00B340AA"/>
    <w:rsid w:val="00B34A9F"/>
    <w:rsid w:val="00B34ACA"/>
    <w:rsid w:val="00B34B80"/>
    <w:rsid w:val="00B34D5D"/>
    <w:rsid w:val="00B353B6"/>
    <w:rsid w:val="00B355BC"/>
    <w:rsid w:val="00B355E9"/>
    <w:rsid w:val="00B3572C"/>
    <w:rsid w:val="00B358A7"/>
    <w:rsid w:val="00B35CDA"/>
    <w:rsid w:val="00B36273"/>
    <w:rsid w:val="00B3661B"/>
    <w:rsid w:val="00B36654"/>
    <w:rsid w:val="00B3676C"/>
    <w:rsid w:val="00B367C5"/>
    <w:rsid w:val="00B36C28"/>
    <w:rsid w:val="00B36F97"/>
    <w:rsid w:val="00B37981"/>
    <w:rsid w:val="00B37D97"/>
    <w:rsid w:val="00B37F15"/>
    <w:rsid w:val="00B37F2E"/>
    <w:rsid w:val="00B40150"/>
    <w:rsid w:val="00B411BD"/>
    <w:rsid w:val="00B4135E"/>
    <w:rsid w:val="00B41371"/>
    <w:rsid w:val="00B41559"/>
    <w:rsid w:val="00B41885"/>
    <w:rsid w:val="00B418E8"/>
    <w:rsid w:val="00B41BAA"/>
    <w:rsid w:val="00B42285"/>
    <w:rsid w:val="00B4252A"/>
    <w:rsid w:val="00B4274B"/>
    <w:rsid w:val="00B42DA8"/>
    <w:rsid w:val="00B42E08"/>
    <w:rsid w:val="00B42E88"/>
    <w:rsid w:val="00B4302B"/>
    <w:rsid w:val="00B433AB"/>
    <w:rsid w:val="00B435B1"/>
    <w:rsid w:val="00B4367F"/>
    <w:rsid w:val="00B4389E"/>
    <w:rsid w:val="00B438BA"/>
    <w:rsid w:val="00B43E12"/>
    <w:rsid w:val="00B449E3"/>
    <w:rsid w:val="00B44CE1"/>
    <w:rsid w:val="00B44F99"/>
    <w:rsid w:val="00B45483"/>
    <w:rsid w:val="00B454DF"/>
    <w:rsid w:val="00B45701"/>
    <w:rsid w:val="00B4580E"/>
    <w:rsid w:val="00B45876"/>
    <w:rsid w:val="00B45927"/>
    <w:rsid w:val="00B45E9A"/>
    <w:rsid w:val="00B462A3"/>
    <w:rsid w:val="00B46682"/>
    <w:rsid w:val="00B468B6"/>
    <w:rsid w:val="00B46D80"/>
    <w:rsid w:val="00B46D99"/>
    <w:rsid w:val="00B46EB3"/>
    <w:rsid w:val="00B4701B"/>
    <w:rsid w:val="00B470F7"/>
    <w:rsid w:val="00B47136"/>
    <w:rsid w:val="00B476D1"/>
    <w:rsid w:val="00B476DD"/>
    <w:rsid w:val="00B4783B"/>
    <w:rsid w:val="00B47EB1"/>
    <w:rsid w:val="00B47F50"/>
    <w:rsid w:val="00B47F64"/>
    <w:rsid w:val="00B50072"/>
    <w:rsid w:val="00B50399"/>
    <w:rsid w:val="00B50585"/>
    <w:rsid w:val="00B50610"/>
    <w:rsid w:val="00B506C0"/>
    <w:rsid w:val="00B506E9"/>
    <w:rsid w:val="00B5074C"/>
    <w:rsid w:val="00B5093A"/>
    <w:rsid w:val="00B50BD8"/>
    <w:rsid w:val="00B51542"/>
    <w:rsid w:val="00B51757"/>
    <w:rsid w:val="00B51C2F"/>
    <w:rsid w:val="00B51D1D"/>
    <w:rsid w:val="00B51DC1"/>
    <w:rsid w:val="00B522B3"/>
    <w:rsid w:val="00B52323"/>
    <w:rsid w:val="00B5234B"/>
    <w:rsid w:val="00B52567"/>
    <w:rsid w:val="00B52CF8"/>
    <w:rsid w:val="00B5310E"/>
    <w:rsid w:val="00B53685"/>
    <w:rsid w:val="00B5372D"/>
    <w:rsid w:val="00B53A54"/>
    <w:rsid w:val="00B53BFD"/>
    <w:rsid w:val="00B53C1B"/>
    <w:rsid w:val="00B53C93"/>
    <w:rsid w:val="00B54179"/>
    <w:rsid w:val="00B549A4"/>
    <w:rsid w:val="00B54AB7"/>
    <w:rsid w:val="00B54ACC"/>
    <w:rsid w:val="00B54DCB"/>
    <w:rsid w:val="00B5509E"/>
    <w:rsid w:val="00B55935"/>
    <w:rsid w:val="00B55AC2"/>
    <w:rsid w:val="00B55CE8"/>
    <w:rsid w:val="00B55F34"/>
    <w:rsid w:val="00B560C9"/>
    <w:rsid w:val="00B562ED"/>
    <w:rsid w:val="00B56533"/>
    <w:rsid w:val="00B56586"/>
    <w:rsid w:val="00B5681C"/>
    <w:rsid w:val="00B56CFC"/>
    <w:rsid w:val="00B56F67"/>
    <w:rsid w:val="00B57589"/>
    <w:rsid w:val="00B57777"/>
    <w:rsid w:val="00B57A17"/>
    <w:rsid w:val="00B57B2A"/>
    <w:rsid w:val="00B60570"/>
    <w:rsid w:val="00B60C57"/>
    <w:rsid w:val="00B612A8"/>
    <w:rsid w:val="00B6140E"/>
    <w:rsid w:val="00B614D0"/>
    <w:rsid w:val="00B61BE2"/>
    <w:rsid w:val="00B61CD8"/>
    <w:rsid w:val="00B61D66"/>
    <w:rsid w:val="00B62084"/>
    <w:rsid w:val="00B6213D"/>
    <w:rsid w:val="00B621BD"/>
    <w:rsid w:val="00B6266F"/>
    <w:rsid w:val="00B6279B"/>
    <w:rsid w:val="00B6285D"/>
    <w:rsid w:val="00B62E0B"/>
    <w:rsid w:val="00B62E8B"/>
    <w:rsid w:val="00B634ED"/>
    <w:rsid w:val="00B63759"/>
    <w:rsid w:val="00B639D5"/>
    <w:rsid w:val="00B63AA1"/>
    <w:rsid w:val="00B63C32"/>
    <w:rsid w:val="00B641ED"/>
    <w:rsid w:val="00B6431C"/>
    <w:rsid w:val="00B64434"/>
    <w:rsid w:val="00B64D1C"/>
    <w:rsid w:val="00B64D48"/>
    <w:rsid w:val="00B659FF"/>
    <w:rsid w:val="00B65AE0"/>
    <w:rsid w:val="00B66039"/>
    <w:rsid w:val="00B661E7"/>
    <w:rsid w:val="00B663BD"/>
    <w:rsid w:val="00B6653F"/>
    <w:rsid w:val="00B6676E"/>
    <w:rsid w:val="00B66863"/>
    <w:rsid w:val="00B67B09"/>
    <w:rsid w:val="00B67C87"/>
    <w:rsid w:val="00B67EC3"/>
    <w:rsid w:val="00B7028D"/>
    <w:rsid w:val="00B70717"/>
    <w:rsid w:val="00B708B5"/>
    <w:rsid w:val="00B708E1"/>
    <w:rsid w:val="00B70964"/>
    <w:rsid w:val="00B70A0C"/>
    <w:rsid w:val="00B70D1B"/>
    <w:rsid w:val="00B70D96"/>
    <w:rsid w:val="00B711CE"/>
    <w:rsid w:val="00B712F6"/>
    <w:rsid w:val="00B719EB"/>
    <w:rsid w:val="00B71DC8"/>
    <w:rsid w:val="00B71EBA"/>
    <w:rsid w:val="00B72772"/>
    <w:rsid w:val="00B72985"/>
    <w:rsid w:val="00B73648"/>
    <w:rsid w:val="00B7399F"/>
    <w:rsid w:val="00B73E0F"/>
    <w:rsid w:val="00B746C6"/>
    <w:rsid w:val="00B7478F"/>
    <w:rsid w:val="00B74F46"/>
    <w:rsid w:val="00B759E8"/>
    <w:rsid w:val="00B75CEB"/>
    <w:rsid w:val="00B75DB1"/>
    <w:rsid w:val="00B75F8E"/>
    <w:rsid w:val="00B7604C"/>
    <w:rsid w:val="00B7622C"/>
    <w:rsid w:val="00B76463"/>
    <w:rsid w:val="00B7652C"/>
    <w:rsid w:val="00B766BF"/>
    <w:rsid w:val="00B76936"/>
    <w:rsid w:val="00B76B59"/>
    <w:rsid w:val="00B76BAC"/>
    <w:rsid w:val="00B76D59"/>
    <w:rsid w:val="00B76D63"/>
    <w:rsid w:val="00B76FA6"/>
    <w:rsid w:val="00B7783A"/>
    <w:rsid w:val="00B77896"/>
    <w:rsid w:val="00B779E3"/>
    <w:rsid w:val="00B77A3B"/>
    <w:rsid w:val="00B80026"/>
    <w:rsid w:val="00B80093"/>
    <w:rsid w:val="00B803A0"/>
    <w:rsid w:val="00B80910"/>
    <w:rsid w:val="00B80B9E"/>
    <w:rsid w:val="00B80F0B"/>
    <w:rsid w:val="00B8125B"/>
    <w:rsid w:val="00B812F4"/>
    <w:rsid w:val="00B81502"/>
    <w:rsid w:val="00B817F6"/>
    <w:rsid w:val="00B81833"/>
    <w:rsid w:val="00B818F4"/>
    <w:rsid w:val="00B81A00"/>
    <w:rsid w:val="00B81BC9"/>
    <w:rsid w:val="00B8222F"/>
    <w:rsid w:val="00B825FA"/>
    <w:rsid w:val="00B82615"/>
    <w:rsid w:val="00B82635"/>
    <w:rsid w:val="00B8280F"/>
    <w:rsid w:val="00B828A1"/>
    <w:rsid w:val="00B828FC"/>
    <w:rsid w:val="00B83444"/>
    <w:rsid w:val="00B836ED"/>
    <w:rsid w:val="00B838EC"/>
    <w:rsid w:val="00B8399A"/>
    <w:rsid w:val="00B83AEB"/>
    <w:rsid w:val="00B83D1C"/>
    <w:rsid w:val="00B84042"/>
    <w:rsid w:val="00B84CFD"/>
    <w:rsid w:val="00B850DD"/>
    <w:rsid w:val="00B853BE"/>
    <w:rsid w:val="00B85716"/>
    <w:rsid w:val="00B85859"/>
    <w:rsid w:val="00B85DDE"/>
    <w:rsid w:val="00B85EA7"/>
    <w:rsid w:val="00B8616D"/>
    <w:rsid w:val="00B86476"/>
    <w:rsid w:val="00B8683D"/>
    <w:rsid w:val="00B86955"/>
    <w:rsid w:val="00B86A3D"/>
    <w:rsid w:val="00B86CC8"/>
    <w:rsid w:val="00B87398"/>
    <w:rsid w:val="00B875C7"/>
    <w:rsid w:val="00B876D4"/>
    <w:rsid w:val="00B879F6"/>
    <w:rsid w:val="00B87B54"/>
    <w:rsid w:val="00B87F00"/>
    <w:rsid w:val="00B90162"/>
    <w:rsid w:val="00B90305"/>
    <w:rsid w:val="00B90D10"/>
    <w:rsid w:val="00B90DB6"/>
    <w:rsid w:val="00B90FBF"/>
    <w:rsid w:val="00B90FE5"/>
    <w:rsid w:val="00B91326"/>
    <w:rsid w:val="00B91884"/>
    <w:rsid w:val="00B919AD"/>
    <w:rsid w:val="00B91A2B"/>
    <w:rsid w:val="00B91B14"/>
    <w:rsid w:val="00B927D3"/>
    <w:rsid w:val="00B927FC"/>
    <w:rsid w:val="00B92BC8"/>
    <w:rsid w:val="00B92D19"/>
    <w:rsid w:val="00B93204"/>
    <w:rsid w:val="00B93301"/>
    <w:rsid w:val="00B938F1"/>
    <w:rsid w:val="00B93A1C"/>
    <w:rsid w:val="00B94751"/>
    <w:rsid w:val="00B94A65"/>
    <w:rsid w:val="00B94AFF"/>
    <w:rsid w:val="00B94CEF"/>
    <w:rsid w:val="00B94E17"/>
    <w:rsid w:val="00B94F06"/>
    <w:rsid w:val="00B95004"/>
    <w:rsid w:val="00B952F5"/>
    <w:rsid w:val="00B957FE"/>
    <w:rsid w:val="00B95AFB"/>
    <w:rsid w:val="00B95DB1"/>
    <w:rsid w:val="00B95EEB"/>
    <w:rsid w:val="00B95F02"/>
    <w:rsid w:val="00B96195"/>
    <w:rsid w:val="00B963E5"/>
    <w:rsid w:val="00B965AE"/>
    <w:rsid w:val="00B96BEF"/>
    <w:rsid w:val="00B96FC0"/>
    <w:rsid w:val="00B97260"/>
    <w:rsid w:val="00B97732"/>
    <w:rsid w:val="00B97A69"/>
    <w:rsid w:val="00B97DBD"/>
    <w:rsid w:val="00BA05CB"/>
    <w:rsid w:val="00BA0632"/>
    <w:rsid w:val="00BA09D9"/>
    <w:rsid w:val="00BA0AAA"/>
    <w:rsid w:val="00BA0DFB"/>
    <w:rsid w:val="00BA0E1B"/>
    <w:rsid w:val="00BA0F6E"/>
    <w:rsid w:val="00BA10D4"/>
    <w:rsid w:val="00BA111C"/>
    <w:rsid w:val="00BA126E"/>
    <w:rsid w:val="00BA16D1"/>
    <w:rsid w:val="00BA18C4"/>
    <w:rsid w:val="00BA1B63"/>
    <w:rsid w:val="00BA1EB0"/>
    <w:rsid w:val="00BA1FED"/>
    <w:rsid w:val="00BA2024"/>
    <w:rsid w:val="00BA284E"/>
    <w:rsid w:val="00BA2AF9"/>
    <w:rsid w:val="00BA2DEB"/>
    <w:rsid w:val="00BA2FEF"/>
    <w:rsid w:val="00BA32E7"/>
    <w:rsid w:val="00BA3348"/>
    <w:rsid w:val="00BA34DF"/>
    <w:rsid w:val="00BA39D0"/>
    <w:rsid w:val="00BA45C1"/>
    <w:rsid w:val="00BA47F1"/>
    <w:rsid w:val="00BA4923"/>
    <w:rsid w:val="00BA5307"/>
    <w:rsid w:val="00BA5695"/>
    <w:rsid w:val="00BA5767"/>
    <w:rsid w:val="00BA57A9"/>
    <w:rsid w:val="00BA581B"/>
    <w:rsid w:val="00BA6010"/>
    <w:rsid w:val="00BA60C0"/>
    <w:rsid w:val="00BA6311"/>
    <w:rsid w:val="00BA639D"/>
    <w:rsid w:val="00BA63C1"/>
    <w:rsid w:val="00BA641B"/>
    <w:rsid w:val="00BA66AB"/>
    <w:rsid w:val="00BA6A16"/>
    <w:rsid w:val="00BA6AF8"/>
    <w:rsid w:val="00BA6E2B"/>
    <w:rsid w:val="00BA6F88"/>
    <w:rsid w:val="00BA79BF"/>
    <w:rsid w:val="00BA7D29"/>
    <w:rsid w:val="00BA7E95"/>
    <w:rsid w:val="00BA7F0F"/>
    <w:rsid w:val="00BB0727"/>
    <w:rsid w:val="00BB0FD4"/>
    <w:rsid w:val="00BB13AF"/>
    <w:rsid w:val="00BB143D"/>
    <w:rsid w:val="00BB152E"/>
    <w:rsid w:val="00BB1548"/>
    <w:rsid w:val="00BB1884"/>
    <w:rsid w:val="00BB1979"/>
    <w:rsid w:val="00BB1A8A"/>
    <w:rsid w:val="00BB1B64"/>
    <w:rsid w:val="00BB1CE7"/>
    <w:rsid w:val="00BB23C7"/>
    <w:rsid w:val="00BB23DE"/>
    <w:rsid w:val="00BB2774"/>
    <w:rsid w:val="00BB2E29"/>
    <w:rsid w:val="00BB2EFB"/>
    <w:rsid w:val="00BB2FD3"/>
    <w:rsid w:val="00BB2FDF"/>
    <w:rsid w:val="00BB2FFF"/>
    <w:rsid w:val="00BB3B68"/>
    <w:rsid w:val="00BB3B93"/>
    <w:rsid w:val="00BB3DBF"/>
    <w:rsid w:val="00BB3F66"/>
    <w:rsid w:val="00BB42E7"/>
    <w:rsid w:val="00BB48D6"/>
    <w:rsid w:val="00BB48FE"/>
    <w:rsid w:val="00BB4B31"/>
    <w:rsid w:val="00BB4B60"/>
    <w:rsid w:val="00BB4BC0"/>
    <w:rsid w:val="00BB4C26"/>
    <w:rsid w:val="00BB50D6"/>
    <w:rsid w:val="00BB5214"/>
    <w:rsid w:val="00BB53CC"/>
    <w:rsid w:val="00BB559A"/>
    <w:rsid w:val="00BB5760"/>
    <w:rsid w:val="00BB5FCB"/>
    <w:rsid w:val="00BB5FD0"/>
    <w:rsid w:val="00BB604B"/>
    <w:rsid w:val="00BB6DC8"/>
    <w:rsid w:val="00BB6DFD"/>
    <w:rsid w:val="00BB6E0D"/>
    <w:rsid w:val="00BB7C69"/>
    <w:rsid w:val="00BB7CF3"/>
    <w:rsid w:val="00BC00EC"/>
    <w:rsid w:val="00BC01B9"/>
    <w:rsid w:val="00BC08C5"/>
    <w:rsid w:val="00BC0D78"/>
    <w:rsid w:val="00BC0D8C"/>
    <w:rsid w:val="00BC12FB"/>
    <w:rsid w:val="00BC1362"/>
    <w:rsid w:val="00BC1C3C"/>
    <w:rsid w:val="00BC1EE7"/>
    <w:rsid w:val="00BC20B9"/>
    <w:rsid w:val="00BC248F"/>
    <w:rsid w:val="00BC264D"/>
    <w:rsid w:val="00BC2725"/>
    <w:rsid w:val="00BC28D9"/>
    <w:rsid w:val="00BC2930"/>
    <w:rsid w:val="00BC2EC0"/>
    <w:rsid w:val="00BC307F"/>
    <w:rsid w:val="00BC3159"/>
    <w:rsid w:val="00BC3257"/>
    <w:rsid w:val="00BC34BB"/>
    <w:rsid w:val="00BC35AA"/>
    <w:rsid w:val="00BC39DB"/>
    <w:rsid w:val="00BC3A32"/>
    <w:rsid w:val="00BC3CB0"/>
    <w:rsid w:val="00BC3D75"/>
    <w:rsid w:val="00BC3F51"/>
    <w:rsid w:val="00BC419C"/>
    <w:rsid w:val="00BC43C5"/>
    <w:rsid w:val="00BC45A8"/>
    <w:rsid w:val="00BC46EF"/>
    <w:rsid w:val="00BC4C8E"/>
    <w:rsid w:val="00BC4DAC"/>
    <w:rsid w:val="00BC5166"/>
    <w:rsid w:val="00BC563F"/>
    <w:rsid w:val="00BC57D0"/>
    <w:rsid w:val="00BC5D90"/>
    <w:rsid w:val="00BC63F2"/>
    <w:rsid w:val="00BC6546"/>
    <w:rsid w:val="00BC6B13"/>
    <w:rsid w:val="00BC6B4A"/>
    <w:rsid w:val="00BC6FD6"/>
    <w:rsid w:val="00BC73B2"/>
    <w:rsid w:val="00BC7494"/>
    <w:rsid w:val="00BC74CC"/>
    <w:rsid w:val="00BC79A1"/>
    <w:rsid w:val="00BC7FEC"/>
    <w:rsid w:val="00BD008E"/>
    <w:rsid w:val="00BD01EA"/>
    <w:rsid w:val="00BD0506"/>
    <w:rsid w:val="00BD081A"/>
    <w:rsid w:val="00BD0C9F"/>
    <w:rsid w:val="00BD15E8"/>
    <w:rsid w:val="00BD1C5B"/>
    <w:rsid w:val="00BD2783"/>
    <w:rsid w:val="00BD29C2"/>
    <w:rsid w:val="00BD2F3B"/>
    <w:rsid w:val="00BD30BD"/>
    <w:rsid w:val="00BD3372"/>
    <w:rsid w:val="00BD353D"/>
    <w:rsid w:val="00BD35F0"/>
    <w:rsid w:val="00BD3B4F"/>
    <w:rsid w:val="00BD3E6E"/>
    <w:rsid w:val="00BD42DA"/>
    <w:rsid w:val="00BD4633"/>
    <w:rsid w:val="00BD4806"/>
    <w:rsid w:val="00BD4842"/>
    <w:rsid w:val="00BD4C49"/>
    <w:rsid w:val="00BD4DF6"/>
    <w:rsid w:val="00BD50AA"/>
    <w:rsid w:val="00BD5135"/>
    <w:rsid w:val="00BD52BC"/>
    <w:rsid w:val="00BD5337"/>
    <w:rsid w:val="00BD5603"/>
    <w:rsid w:val="00BD5818"/>
    <w:rsid w:val="00BD5B1F"/>
    <w:rsid w:val="00BD5D41"/>
    <w:rsid w:val="00BD6625"/>
    <w:rsid w:val="00BD6CA1"/>
    <w:rsid w:val="00BD6D02"/>
    <w:rsid w:val="00BD6F31"/>
    <w:rsid w:val="00BD706F"/>
    <w:rsid w:val="00BD71E2"/>
    <w:rsid w:val="00BD722C"/>
    <w:rsid w:val="00BD7291"/>
    <w:rsid w:val="00BD733A"/>
    <w:rsid w:val="00BD7612"/>
    <w:rsid w:val="00BD7CA1"/>
    <w:rsid w:val="00BD7D97"/>
    <w:rsid w:val="00BD7EA3"/>
    <w:rsid w:val="00BD7FE2"/>
    <w:rsid w:val="00BE006C"/>
    <w:rsid w:val="00BE019C"/>
    <w:rsid w:val="00BE0444"/>
    <w:rsid w:val="00BE078B"/>
    <w:rsid w:val="00BE07C4"/>
    <w:rsid w:val="00BE0B19"/>
    <w:rsid w:val="00BE0DD8"/>
    <w:rsid w:val="00BE1404"/>
    <w:rsid w:val="00BE1714"/>
    <w:rsid w:val="00BE1D82"/>
    <w:rsid w:val="00BE1E94"/>
    <w:rsid w:val="00BE1EE4"/>
    <w:rsid w:val="00BE1F8B"/>
    <w:rsid w:val="00BE2200"/>
    <w:rsid w:val="00BE2956"/>
    <w:rsid w:val="00BE2B4F"/>
    <w:rsid w:val="00BE2F39"/>
    <w:rsid w:val="00BE332D"/>
    <w:rsid w:val="00BE36C6"/>
    <w:rsid w:val="00BE3CF1"/>
    <w:rsid w:val="00BE3E65"/>
    <w:rsid w:val="00BE462C"/>
    <w:rsid w:val="00BE4B20"/>
    <w:rsid w:val="00BE4F9D"/>
    <w:rsid w:val="00BE4FF1"/>
    <w:rsid w:val="00BE59B2"/>
    <w:rsid w:val="00BE5B84"/>
    <w:rsid w:val="00BE5D2C"/>
    <w:rsid w:val="00BE5FC4"/>
    <w:rsid w:val="00BE68D3"/>
    <w:rsid w:val="00BE6F49"/>
    <w:rsid w:val="00BE6FA8"/>
    <w:rsid w:val="00BE765E"/>
    <w:rsid w:val="00BE7697"/>
    <w:rsid w:val="00BE7860"/>
    <w:rsid w:val="00BE7875"/>
    <w:rsid w:val="00BE7A37"/>
    <w:rsid w:val="00BE7BC2"/>
    <w:rsid w:val="00BE7C4D"/>
    <w:rsid w:val="00BE7F6A"/>
    <w:rsid w:val="00BF0274"/>
    <w:rsid w:val="00BF027F"/>
    <w:rsid w:val="00BF037D"/>
    <w:rsid w:val="00BF04DF"/>
    <w:rsid w:val="00BF06B5"/>
    <w:rsid w:val="00BF08C4"/>
    <w:rsid w:val="00BF0998"/>
    <w:rsid w:val="00BF0BAF"/>
    <w:rsid w:val="00BF0BE3"/>
    <w:rsid w:val="00BF176C"/>
    <w:rsid w:val="00BF19CE"/>
    <w:rsid w:val="00BF1CB2"/>
    <w:rsid w:val="00BF2255"/>
    <w:rsid w:val="00BF230C"/>
    <w:rsid w:val="00BF2B6F"/>
    <w:rsid w:val="00BF2BEF"/>
    <w:rsid w:val="00BF2C89"/>
    <w:rsid w:val="00BF3392"/>
    <w:rsid w:val="00BF351A"/>
    <w:rsid w:val="00BF3528"/>
    <w:rsid w:val="00BF3914"/>
    <w:rsid w:val="00BF3A6A"/>
    <w:rsid w:val="00BF3DBA"/>
    <w:rsid w:val="00BF3EF3"/>
    <w:rsid w:val="00BF3FB5"/>
    <w:rsid w:val="00BF3FDB"/>
    <w:rsid w:val="00BF415C"/>
    <w:rsid w:val="00BF45F0"/>
    <w:rsid w:val="00BF491C"/>
    <w:rsid w:val="00BF49B1"/>
    <w:rsid w:val="00BF4A26"/>
    <w:rsid w:val="00BF51A6"/>
    <w:rsid w:val="00BF5547"/>
    <w:rsid w:val="00BF5552"/>
    <w:rsid w:val="00BF5EDF"/>
    <w:rsid w:val="00BF6207"/>
    <w:rsid w:val="00BF67CD"/>
    <w:rsid w:val="00BF6A20"/>
    <w:rsid w:val="00BF6BCD"/>
    <w:rsid w:val="00BF7304"/>
    <w:rsid w:val="00BF7325"/>
    <w:rsid w:val="00BF73F2"/>
    <w:rsid w:val="00BF746E"/>
    <w:rsid w:val="00BF7653"/>
    <w:rsid w:val="00C005B6"/>
    <w:rsid w:val="00C00957"/>
    <w:rsid w:val="00C00ADF"/>
    <w:rsid w:val="00C00D5E"/>
    <w:rsid w:val="00C00E6B"/>
    <w:rsid w:val="00C00F6F"/>
    <w:rsid w:val="00C014A5"/>
    <w:rsid w:val="00C01671"/>
    <w:rsid w:val="00C017F2"/>
    <w:rsid w:val="00C0196B"/>
    <w:rsid w:val="00C01B24"/>
    <w:rsid w:val="00C0216A"/>
    <w:rsid w:val="00C02419"/>
    <w:rsid w:val="00C02643"/>
    <w:rsid w:val="00C02766"/>
    <w:rsid w:val="00C029E1"/>
    <w:rsid w:val="00C02CB7"/>
    <w:rsid w:val="00C02F12"/>
    <w:rsid w:val="00C0373A"/>
    <w:rsid w:val="00C03B47"/>
    <w:rsid w:val="00C03EE8"/>
    <w:rsid w:val="00C03F61"/>
    <w:rsid w:val="00C046C4"/>
    <w:rsid w:val="00C04AF7"/>
    <w:rsid w:val="00C05116"/>
    <w:rsid w:val="00C051CB"/>
    <w:rsid w:val="00C05334"/>
    <w:rsid w:val="00C05506"/>
    <w:rsid w:val="00C05BEC"/>
    <w:rsid w:val="00C060F1"/>
    <w:rsid w:val="00C06127"/>
    <w:rsid w:val="00C0627F"/>
    <w:rsid w:val="00C0631B"/>
    <w:rsid w:val="00C0647C"/>
    <w:rsid w:val="00C06E67"/>
    <w:rsid w:val="00C06E7D"/>
    <w:rsid w:val="00C07118"/>
    <w:rsid w:val="00C07260"/>
    <w:rsid w:val="00C07291"/>
    <w:rsid w:val="00C07AF5"/>
    <w:rsid w:val="00C07C90"/>
    <w:rsid w:val="00C07D9F"/>
    <w:rsid w:val="00C07FF4"/>
    <w:rsid w:val="00C102B0"/>
    <w:rsid w:val="00C10419"/>
    <w:rsid w:val="00C10504"/>
    <w:rsid w:val="00C10815"/>
    <w:rsid w:val="00C10BE9"/>
    <w:rsid w:val="00C10F8C"/>
    <w:rsid w:val="00C1103E"/>
    <w:rsid w:val="00C1107C"/>
    <w:rsid w:val="00C1112B"/>
    <w:rsid w:val="00C11485"/>
    <w:rsid w:val="00C11A88"/>
    <w:rsid w:val="00C11B14"/>
    <w:rsid w:val="00C11BCF"/>
    <w:rsid w:val="00C12012"/>
    <w:rsid w:val="00C12317"/>
    <w:rsid w:val="00C123A8"/>
    <w:rsid w:val="00C12834"/>
    <w:rsid w:val="00C12874"/>
    <w:rsid w:val="00C12A63"/>
    <w:rsid w:val="00C12BA9"/>
    <w:rsid w:val="00C12BC1"/>
    <w:rsid w:val="00C12E95"/>
    <w:rsid w:val="00C12EFE"/>
    <w:rsid w:val="00C13041"/>
    <w:rsid w:val="00C139C1"/>
    <w:rsid w:val="00C13A4D"/>
    <w:rsid w:val="00C13BDA"/>
    <w:rsid w:val="00C13DDB"/>
    <w:rsid w:val="00C13FFD"/>
    <w:rsid w:val="00C14632"/>
    <w:rsid w:val="00C1495E"/>
    <w:rsid w:val="00C15F40"/>
    <w:rsid w:val="00C160C3"/>
    <w:rsid w:val="00C16475"/>
    <w:rsid w:val="00C169D5"/>
    <w:rsid w:val="00C16BB6"/>
    <w:rsid w:val="00C16C30"/>
    <w:rsid w:val="00C16E29"/>
    <w:rsid w:val="00C171F2"/>
    <w:rsid w:val="00C171F9"/>
    <w:rsid w:val="00C17389"/>
    <w:rsid w:val="00C17877"/>
    <w:rsid w:val="00C17BEF"/>
    <w:rsid w:val="00C202AE"/>
    <w:rsid w:val="00C20588"/>
    <w:rsid w:val="00C2099D"/>
    <w:rsid w:val="00C20A00"/>
    <w:rsid w:val="00C21036"/>
    <w:rsid w:val="00C211BC"/>
    <w:rsid w:val="00C2145A"/>
    <w:rsid w:val="00C214C4"/>
    <w:rsid w:val="00C21673"/>
    <w:rsid w:val="00C2178A"/>
    <w:rsid w:val="00C21A22"/>
    <w:rsid w:val="00C21BF3"/>
    <w:rsid w:val="00C21C7A"/>
    <w:rsid w:val="00C220B4"/>
    <w:rsid w:val="00C224CA"/>
    <w:rsid w:val="00C22E85"/>
    <w:rsid w:val="00C23130"/>
    <w:rsid w:val="00C232D4"/>
    <w:rsid w:val="00C23614"/>
    <w:rsid w:val="00C23660"/>
    <w:rsid w:val="00C238C0"/>
    <w:rsid w:val="00C24679"/>
    <w:rsid w:val="00C24D59"/>
    <w:rsid w:val="00C24E19"/>
    <w:rsid w:val="00C24E2A"/>
    <w:rsid w:val="00C2508F"/>
    <w:rsid w:val="00C25415"/>
    <w:rsid w:val="00C255A5"/>
    <w:rsid w:val="00C2584B"/>
    <w:rsid w:val="00C25942"/>
    <w:rsid w:val="00C259F4"/>
    <w:rsid w:val="00C25ADC"/>
    <w:rsid w:val="00C25C58"/>
    <w:rsid w:val="00C25DD9"/>
    <w:rsid w:val="00C2610B"/>
    <w:rsid w:val="00C26355"/>
    <w:rsid w:val="00C26468"/>
    <w:rsid w:val="00C2663F"/>
    <w:rsid w:val="00C269C3"/>
    <w:rsid w:val="00C26B4D"/>
    <w:rsid w:val="00C26DB8"/>
    <w:rsid w:val="00C26F3E"/>
    <w:rsid w:val="00C26F42"/>
    <w:rsid w:val="00C270B8"/>
    <w:rsid w:val="00C27378"/>
    <w:rsid w:val="00C27524"/>
    <w:rsid w:val="00C2759E"/>
    <w:rsid w:val="00C2799C"/>
    <w:rsid w:val="00C27AB4"/>
    <w:rsid w:val="00C27EA6"/>
    <w:rsid w:val="00C300CF"/>
    <w:rsid w:val="00C303C8"/>
    <w:rsid w:val="00C3066D"/>
    <w:rsid w:val="00C30989"/>
    <w:rsid w:val="00C30C42"/>
    <w:rsid w:val="00C3139A"/>
    <w:rsid w:val="00C314ED"/>
    <w:rsid w:val="00C31A8B"/>
    <w:rsid w:val="00C32C15"/>
    <w:rsid w:val="00C32E7F"/>
    <w:rsid w:val="00C33419"/>
    <w:rsid w:val="00C334AB"/>
    <w:rsid w:val="00C335CF"/>
    <w:rsid w:val="00C33788"/>
    <w:rsid w:val="00C3386D"/>
    <w:rsid w:val="00C338DD"/>
    <w:rsid w:val="00C33C60"/>
    <w:rsid w:val="00C33D17"/>
    <w:rsid w:val="00C3400F"/>
    <w:rsid w:val="00C3407E"/>
    <w:rsid w:val="00C34520"/>
    <w:rsid w:val="00C34775"/>
    <w:rsid w:val="00C34AF8"/>
    <w:rsid w:val="00C34B64"/>
    <w:rsid w:val="00C34C36"/>
    <w:rsid w:val="00C34D66"/>
    <w:rsid w:val="00C34E55"/>
    <w:rsid w:val="00C34E96"/>
    <w:rsid w:val="00C34EEF"/>
    <w:rsid w:val="00C35153"/>
    <w:rsid w:val="00C351AB"/>
    <w:rsid w:val="00C352B3"/>
    <w:rsid w:val="00C35606"/>
    <w:rsid w:val="00C3575B"/>
    <w:rsid w:val="00C35793"/>
    <w:rsid w:val="00C35F8E"/>
    <w:rsid w:val="00C364EC"/>
    <w:rsid w:val="00C3654C"/>
    <w:rsid w:val="00C3666F"/>
    <w:rsid w:val="00C36761"/>
    <w:rsid w:val="00C36814"/>
    <w:rsid w:val="00C36BF5"/>
    <w:rsid w:val="00C36DBC"/>
    <w:rsid w:val="00C37100"/>
    <w:rsid w:val="00C374D2"/>
    <w:rsid w:val="00C375DC"/>
    <w:rsid w:val="00C375FD"/>
    <w:rsid w:val="00C376BA"/>
    <w:rsid w:val="00C37B39"/>
    <w:rsid w:val="00C37E7F"/>
    <w:rsid w:val="00C37EB1"/>
    <w:rsid w:val="00C37FDF"/>
    <w:rsid w:val="00C401E8"/>
    <w:rsid w:val="00C402DA"/>
    <w:rsid w:val="00C40373"/>
    <w:rsid w:val="00C4082D"/>
    <w:rsid w:val="00C40AE6"/>
    <w:rsid w:val="00C40D6E"/>
    <w:rsid w:val="00C40F48"/>
    <w:rsid w:val="00C41004"/>
    <w:rsid w:val="00C411AF"/>
    <w:rsid w:val="00C4138D"/>
    <w:rsid w:val="00C41406"/>
    <w:rsid w:val="00C41832"/>
    <w:rsid w:val="00C41C6F"/>
    <w:rsid w:val="00C41E3A"/>
    <w:rsid w:val="00C41FF6"/>
    <w:rsid w:val="00C422D4"/>
    <w:rsid w:val="00C42383"/>
    <w:rsid w:val="00C4242D"/>
    <w:rsid w:val="00C425C1"/>
    <w:rsid w:val="00C426AE"/>
    <w:rsid w:val="00C4285B"/>
    <w:rsid w:val="00C42BBD"/>
    <w:rsid w:val="00C42D49"/>
    <w:rsid w:val="00C42FA6"/>
    <w:rsid w:val="00C4304C"/>
    <w:rsid w:val="00C432C4"/>
    <w:rsid w:val="00C43315"/>
    <w:rsid w:val="00C4354B"/>
    <w:rsid w:val="00C437AB"/>
    <w:rsid w:val="00C43CF8"/>
    <w:rsid w:val="00C43F23"/>
    <w:rsid w:val="00C43F31"/>
    <w:rsid w:val="00C44036"/>
    <w:rsid w:val="00C4426F"/>
    <w:rsid w:val="00C444BF"/>
    <w:rsid w:val="00C446ED"/>
    <w:rsid w:val="00C44B1E"/>
    <w:rsid w:val="00C44C85"/>
    <w:rsid w:val="00C44D01"/>
    <w:rsid w:val="00C44EFE"/>
    <w:rsid w:val="00C450BD"/>
    <w:rsid w:val="00C450D5"/>
    <w:rsid w:val="00C452F5"/>
    <w:rsid w:val="00C46555"/>
    <w:rsid w:val="00C467A1"/>
    <w:rsid w:val="00C467D6"/>
    <w:rsid w:val="00C467F3"/>
    <w:rsid w:val="00C4685C"/>
    <w:rsid w:val="00C46A7D"/>
    <w:rsid w:val="00C46B15"/>
    <w:rsid w:val="00C46F7D"/>
    <w:rsid w:val="00C47076"/>
    <w:rsid w:val="00C47274"/>
    <w:rsid w:val="00C473C2"/>
    <w:rsid w:val="00C4755B"/>
    <w:rsid w:val="00C47628"/>
    <w:rsid w:val="00C4765F"/>
    <w:rsid w:val="00C476BC"/>
    <w:rsid w:val="00C47705"/>
    <w:rsid w:val="00C479B5"/>
    <w:rsid w:val="00C47B12"/>
    <w:rsid w:val="00C47FF0"/>
    <w:rsid w:val="00C500F8"/>
    <w:rsid w:val="00C50169"/>
    <w:rsid w:val="00C501F9"/>
    <w:rsid w:val="00C50242"/>
    <w:rsid w:val="00C5034D"/>
    <w:rsid w:val="00C5050E"/>
    <w:rsid w:val="00C50AEE"/>
    <w:rsid w:val="00C50E99"/>
    <w:rsid w:val="00C50F8F"/>
    <w:rsid w:val="00C51143"/>
    <w:rsid w:val="00C51635"/>
    <w:rsid w:val="00C518D6"/>
    <w:rsid w:val="00C51BD5"/>
    <w:rsid w:val="00C52287"/>
    <w:rsid w:val="00C52522"/>
    <w:rsid w:val="00C52744"/>
    <w:rsid w:val="00C52965"/>
    <w:rsid w:val="00C52972"/>
    <w:rsid w:val="00C5298E"/>
    <w:rsid w:val="00C52DED"/>
    <w:rsid w:val="00C52EE2"/>
    <w:rsid w:val="00C52EE9"/>
    <w:rsid w:val="00C532DD"/>
    <w:rsid w:val="00C53318"/>
    <w:rsid w:val="00C5345B"/>
    <w:rsid w:val="00C53EB3"/>
    <w:rsid w:val="00C53F17"/>
    <w:rsid w:val="00C54038"/>
    <w:rsid w:val="00C54263"/>
    <w:rsid w:val="00C542D4"/>
    <w:rsid w:val="00C546A6"/>
    <w:rsid w:val="00C548AF"/>
    <w:rsid w:val="00C54D2C"/>
    <w:rsid w:val="00C54D71"/>
    <w:rsid w:val="00C5501C"/>
    <w:rsid w:val="00C552FB"/>
    <w:rsid w:val="00C55594"/>
    <w:rsid w:val="00C558A5"/>
    <w:rsid w:val="00C55CAE"/>
    <w:rsid w:val="00C55FB5"/>
    <w:rsid w:val="00C563F5"/>
    <w:rsid w:val="00C56456"/>
    <w:rsid w:val="00C5651B"/>
    <w:rsid w:val="00C56D09"/>
    <w:rsid w:val="00C56FA8"/>
    <w:rsid w:val="00C570F7"/>
    <w:rsid w:val="00C57314"/>
    <w:rsid w:val="00C57638"/>
    <w:rsid w:val="00C57978"/>
    <w:rsid w:val="00C57D55"/>
    <w:rsid w:val="00C600F6"/>
    <w:rsid w:val="00C602E3"/>
    <w:rsid w:val="00C602F1"/>
    <w:rsid w:val="00C60685"/>
    <w:rsid w:val="00C6085D"/>
    <w:rsid w:val="00C609CA"/>
    <w:rsid w:val="00C60B99"/>
    <w:rsid w:val="00C6143A"/>
    <w:rsid w:val="00C6151B"/>
    <w:rsid w:val="00C61F1C"/>
    <w:rsid w:val="00C61F78"/>
    <w:rsid w:val="00C62267"/>
    <w:rsid w:val="00C623E4"/>
    <w:rsid w:val="00C6257F"/>
    <w:rsid w:val="00C629B8"/>
    <w:rsid w:val="00C62A48"/>
    <w:rsid w:val="00C62CD5"/>
    <w:rsid w:val="00C62F17"/>
    <w:rsid w:val="00C62F27"/>
    <w:rsid w:val="00C6310F"/>
    <w:rsid w:val="00C6365B"/>
    <w:rsid w:val="00C636E6"/>
    <w:rsid w:val="00C639D6"/>
    <w:rsid w:val="00C63F8E"/>
    <w:rsid w:val="00C645F5"/>
    <w:rsid w:val="00C647FB"/>
    <w:rsid w:val="00C649D4"/>
    <w:rsid w:val="00C64F2A"/>
    <w:rsid w:val="00C653B3"/>
    <w:rsid w:val="00C654E0"/>
    <w:rsid w:val="00C65C0B"/>
    <w:rsid w:val="00C661EE"/>
    <w:rsid w:val="00C666EA"/>
    <w:rsid w:val="00C66A26"/>
    <w:rsid w:val="00C66B7A"/>
    <w:rsid w:val="00C66CDF"/>
    <w:rsid w:val="00C66DFA"/>
    <w:rsid w:val="00C6714F"/>
    <w:rsid w:val="00C6755D"/>
    <w:rsid w:val="00C679A7"/>
    <w:rsid w:val="00C67D35"/>
    <w:rsid w:val="00C67EAB"/>
    <w:rsid w:val="00C67FED"/>
    <w:rsid w:val="00C70110"/>
    <w:rsid w:val="00C701C2"/>
    <w:rsid w:val="00C706B6"/>
    <w:rsid w:val="00C70827"/>
    <w:rsid w:val="00C70A9B"/>
    <w:rsid w:val="00C70DFF"/>
    <w:rsid w:val="00C70E07"/>
    <w:rsid w:val="00C71CC8"/>
    <w:rsid w:val="00C71FE6"/>
    <w:rsid w:val="00C72546"/>
    <w:rsid w:val="00C72827"/>
    <w:rsid w:val="00C72F0D"/>
    <w:rsid w:val="00C73418"/>
    <w:rsid w:val="00C73798"/>
    <w:rsid w:val="00C739B7"/>
    <w:rsid w:val="00C73E1E"/>
    <w:rsid w:val="00C73E68"/>
    <w:rsid w:val="00C74253"/>
    <w:rsid w:val="00C743AC"/>
    <w:rsid w:val="00C747CC"/>
    <w:rsid w:val="00C747F8"/>
    <w:rsid w:val="00C74D97"/>
    <w:rsid w:val="00C751A0"/>
    <w:rsid w:val="00C7528D"/>
    <w:rsid w:val="00C75593"/>
    <w:rsid w:val="00C75863"/>
    <w:rsid w:val="00C75A41"/>
    <w:rsid w:val="00C75A6B"/>
    <w:rsid w:val="00C75E2E"/>
    <w:rsid w:val="00C763B6"/>
    <w:rsid w:val="00C7644B"/>
    <w:rsid w:val="00C7644F"/>
    <w:rsid w:val="00C76842"/>
    <w:rsid w:val="00C768F6"/>
    <w:rsid w:val="00C7696D"/>
    <w:rsid w:val="00C76988"/>
    <w:rsid w:val="00C76AF1"/>
    <w:rsid w:val="00C76C1A"/>
    <w:rsid w:val="00C77024"/>
    <w:rsid w:val="00C77322"/>
    <w:rsid w:val="00C7754E"/>
    <w:rsid w:val="00C77A26"/>
    <w:rsid w:val="00C80073"/>
    <w:rsid w:val="00C801D6"/>
    <w:rsid w:val="00C80284"/>
    <w:rsid w:val="00C805E3"/>
    <w:rsid w:val="00C80A85"/>
    <w:rsid w:val="00C80D81"/>
    <w:rsid w:val="00C80DEA"/>
    <w:rsid w:val="00C815F9"/>
    <w:rsid w:val="00C81F02"/>
    <w:rsid w:val="00C822A1"/>
    <w:rsid w:val="00C82392"/>
    <w:rsid w:val="00C823ED"/>
    <w:rsid w:val="00C824A6"/>
    <w:rsid w:val="00C82A59"/>
    <w:rsid w:val="00C83272"/>
    <w:rsid w:val="00C832DC"/>
    <w:rsid w:val="00C83336"/>
    <w:rsid w:val="00C833A9"/>
    <w:rsid w:val="00C834B4"/>
    <w:rsid w:val="00C8377F"/>
    <w:rsid w:val="00C8416A"/>
    <w:rsid w:val="00C841DE"/>
    <w:rsid w:val="00C843AD"/>
    <w:rsid w:val="00C8441C"/>
    <w:rsid w:val="00C846DE"/>
    <w:rsid w:val="00C84EA6"/>
    <w:rsid w:val="00C8530B"/>
    <w:rsid w:val="00C8535E"/>
    <w:rsid w:val="00C8600B"/>
    <w:rsid w:val="00C86018"/>
    <w:rsid w:val="00C86144"/>
    <w:rsid w:val="00C862A5"/>
    <w:rsid w:val="00C8646D"/>
    <w:rsid w:val="00C869B7"/>
    <w:rsid w:val="00C86AFC"/>
    <w:rsid w:val="00C86C20"/>
    <w:rsid w:val="00C86CE8"/>
    <w:rsid w:val="00C870C5"/>
    <w:rsid w:val="00C8739B"/>
    <w:rsid w:val="00C873A4"/>
    <w:rsid w:val="00C873E4"/>
    <w:rsid w:val="00C8756A"/>
    <w:rsid w:val="00C87787"/>
    <w:rsid w:val="00C879C5"/>
    <w:rsid w:val="00C87E67"/>
    <w:rsid w:val="00C9008C"/>
    <w:rsid w:val="00C907F5"/>
    <w:rsid w:val="00C90802"/>
    <w:rsid w:val="00C9096F"/>
    <w:rsid w:val="00C90980"/>
    <w:rsid w:val="00C90985"/>
    <w:rsid w:val="00C90B4A"/>
    <w:rsid w:val="00C90DE4"/>
    <w:rsid w:val="00C9154F"/>
    <w:rsid w:val="00C9163C"/>
    <w:rsid w:val="00C91B7A"/>
    <w:rsid w:val="00C91BEE"/>
    <w:rsid w:val="00C91DB9"/>
    <w:rsid w:val="00C91DE3"/>
    <w:rsid w:val="00C9240E"/>
    <w:rsid w:val="00C927E2"/>
    <w:rsid w:val="00C92C7F"/>
    <w:rsid w:val="00C92DEE"/>
    <w:rsid w:val="00C9369D"/>
    <w:rsid w:val="00C9385D"/>
    <w:rsid w:val="00C939B4"/>
    <w:rsid w:val="00C93A7A"/>
    <w:rsid w:val="00C93D88"/>
    <w:rsid w:val="00C93D96"/>
    <w:rsid w:val="00C942B0"/>
    <w:rsid w:val="00C94469"/>
    <w:rsid w:val="00C944FA"/>
    <w:rsid w:val="00C94643"/>
    <w:rsid w:val="00C949A3"/>
    <w:rsid w:val="00C94B3E"/>
    <w:rsid w:val="00C94BB2"/>
    <w:rsid w:val="00C94BBE"/>
    <w:rsid w:val="00C94E75"/>
    <w:rsid w:val="00C95492"/>
    <w:rsid w:val="00C95581"/>
    <w:rsid w:val="00C9569C"/>
    <w:rsid w:val="00C95854"/>
    <w:rsid w:val="00C95A94"/>
    <w:rsid w:val="00C95EFF"/>
    <w:rsid w:val="00C96B9B"/>
    <w:rsid w:val="00C96E6F"/>
    <w:rsid w:val="00C96E70"/>
    <w:rsid w:val="00C97291"/>
    <w:rsid w:val="00C976AE"/>
    <w:rsid w:val="00C976FB"/>
    <w:rsid w:val="00C9783E"/>
    <w:rsid w:val="00C97872"/>
    <w:rsid w:val="00C979AA"/>
    <w:rsid w:val="00C97A64"/>
    <w:rsid w:val="00C97F20"/>
    <w:rsid w:val="00CA002C"/>
    <w:rsid w:val="00CA0235"/>
    <w:rsid w:val="00CA0449"/>
    <w:rsid w:val="00CA0532"/>
    <w:rsid w:val="00CA073B"/>
    <w:rsid w:val="00CA079B"/>
    <w:rsid w:val="00CA0897"/>
    <w:rsid w:val="00CA0ABF"/>
    <w:rsid w:val="00CA0DCD"/>
    <w:rsid w:val="00CA1CDB"/>
    <w:rsid w:val="00CA1EA4"/>
    <w:rsid w:val="00CA2102"/>
    <w:rsid w:val="00CA218D"/>
    <w:rsid w:val="00CA2241"/>
    <w:rsid w:val="00CA22BD"/>
    <w:rsid w:val="00CA242A"/>
    <w:rsid w:val="00CA2549"/>
    <w:rsid w:val="00CA2A73"/>
    <w:rsid w:val="00CA2A96"/>
    <w:rsid w:val="00CA2DD7"/>
    <w:rsid w:val="00CA359F"/>
    <w:rsid w:val="00CA3BA0"/>
    <w:rsid w:val="00CA3CDD"/>
    <w:rsid w:val="00CA403B"/>
    <w:rsid w:val="00CA467C"/>
    <w:rsid w:val="00CA478A"/>
    <w:rsid w:val="00CA4BAB"/>
    <w:rsid w:val="00CA505A"/>
    <w:rsid w:val="00CA5523"/>
    <w:rsid w:val="00CA5646"/>
    <w:rsid w:val="00CA59DD"/>
    <w:rsid w:val="00CA5B6F"/>
    <w:rsid w:val="00CA5DAF"/>
    <w:rsid w:val="00CA5F8C"/>
    <w:rsid w:val="00CA5FDE"/>
    <w:rsid w:val="00CA6034"/>
    <w:rsid w:val="00CA628D"/>
    <w:rsid w:val="00CA64C9"/>
    <w:rsid w:val="00CA66F3"/>
    <w:rsid w:val="00CA6B16"/>
    <w:rsid w:val="00CA7015"/>
    <w:rsid w:val="00CA70A7"/>
    <w:rsid w:val="00CA72AE"/>
    <w:rsid w:val="00CA7AD5"/>
    <w:rsid w:val="00CB008E"/>
    <w:rsid w:val="00CB01FA"/>
    <w:rsid w:val="00CB04C9"/>
    <w:rsid w:val="00CB0737"/>
    <w:rsid w:val="00CB097A"/>
    <w:rsid w:val="00CB0CE2"/>
    <w:rsid w:val="00CB0EDD"/>
    <w:rsid w:val="00CB0F2F"/>
    <w:rsid w:val="00CB121D"/>
    <w:rsid w:val="00CB1B58"/>
    <w:rsid w:val="00CB2329"/>
    <w:rsid w:val="00CB2594"/>
    <w:rsid w:val="00CB26EC"/>
    <w:rsid w:val="00CB2D2A"/>
    <w:rsid w:val="00CB32FF"/>
    <w:rsid w:val="00CB3964"/>
    <w:rsid w:val="00CB39AA"/>
    <w:rsid w:val="00CB39BA"/>
    <w:rsid w:val="00CB3A4F"/>
    <w:rsid w:val="00CB3AC6"/>
    <w:rsid w:val="00CB3C07"/>
    <w:rsid w:val="00CB3DDD"/>
    <w:rsid w:val="00CB4352"/>
    <w:rsid w:val="00CB4649"/>
    <w:rsid w:val="00CB4CA8"/>
    <w:rsid w:val="00CB4DEB"/>
    <w:rsid w:val="00CB4FCB"/>
    <w:rsid w:val="00CB5050"/>
    <w:rsid w:val="00CB50A5"/>
    <w:rsid w:val="00CB50E0"/>
    <w:rsid w:val="00CB51F1"/>
    <w:rsid w:val="00CB52F2"/>
    <w:rsid w:val="00CB55C4"/>
    <w:rsid w:val="00CB579B"/>
    <w:rsid w:val="00CB5B1E"/>
    <w:rsid w:val="00CB5D5C"/>
    <w:rsid w:val="00CB5F42"/>
    <w:rsid w:val="00CB5FD3"/>
    <w:rsid w:val="00CB5FF5"/>
    <w:rsid w:val="00CB615E"/>
    <w:rsid w:val="00CB61D7"/>
    <w:rsid w:val="00CB634F"/>
    <w:rsid w:val="00CB6710"/>
    <w:rsid w:val="00CB6745"/>
    <w:rsid w:val="00CB6812"/>
    <w:rsid w:val="00CB6FD1"/>
    <w:rsid w:val="00CB7365"/>
    <w:rsid w:val="00CB74FE"/>
    <w:rsid w:val="00CB787A"/>
    <w:rsid w:val="00CB794D"/>
    <w:rsid w:val="00CC03C1"/>
    <w:rsid w:val="00CC03C7"/>
    <w:rsid w:val="00CC06B2"/>
    <w:rsid w:val="00CC0BA4"/>
    <w:rsid w:val="00CC0BEF"/>
    <w:rsid w:val="00CC0C4A"/>
    <w:rsid w:val="00CC1076"/>
    <w:rsid w:val="00CC10E4"/>
    <w:rsid w:val="00CC17F0"/>
    <w:rsid w:val="00CC1853"/>
    <w:rsid w:val="00CC1874"/>
    <w:rsid w:val="00CC1C69"/>
    <w:rsid w:val="00CC1FAE"/>
    <w:rsid w:val="00CC2312"/>
    <w:rsid w:val="00CC258A"/>
    <w:rsid w:val="00CC2700"/>
    <w:rsid w:val="00CC2DCD"/>
    <w:rsid w:val="00CC2DED"/>
    <w:rsid w:val="00CC3523"/>
    <w:rsid w:val="00CC3A23"/>
    <w:rsid w:val="00CC4460"/>
    <w:rsid w:val="00CC46C3"/>
    <w:rsid w:val="00CC487F"/>
    <w:rsid w:val="00CC4E1C"/>
    <w:rsid w:val="00CC4E9C"/>
    <w:rsid w:val="00CC51C6"/>
    <w:rsid w:val="00CC5551"/>
    <w:rsid w:val="00CC5A80"/>
    <w:rsid w:val="00CC5C61"/>
    <w:rsid w:val="00CC5D78"/>
    <w:rsid w:val="00CC615B"/>
    <w:rsid w:val="00CC61A6"/>
    <w:rsid w:val="00CC62D0"/>
    <w:rsid w:val="00CC677B"/>
    <w:rsid w:val="00CC6A1E"/>
    <w:rsid w:val="00CC6C3F"/>
    <w:rsid w:val="00CC6DEB"/>
    <w:rsid w:val="00CC737C"/>
    <w:rsid w:val="00CC73B5"/>
    <w:rsid w:val="00CC747A"/>
    <w:rsid w:val="00CC751B"/>
    <w:rsid w:val="00CC7905"/>
    <w:rsid w:val="00CC7B21"/>
    <w:rsid w:val="00CD0070"/>
    <w:rsid w:val="00CD0321"/>
    <w:rsid w:val="00CD04B6"/>
    <w:rsid w:val="00CD0672"/>
    <w:rsid w:val="00CD0809"/>
    <w:rsid w:val="00CD087D"/>
    <w:rsid w:val="00CD0934"/>
    <w:rsid w:val="00CD0F5D"/>
    <w:rsid w:val="00CD1580"/>
    <w:rsid w:val="00CD1AB1"/>
    <w:rsid w:val="00CD1BCB"/>
    <w:rsid w:val="00CD1C0B"/>
    <w:rsid w:val="00CD1C73"/>
    <w:rsid w:val="00CD1DB5"/>
    <w:rsid w:val="00CD1F09"/>
    <w:rsid w:val="00CD2390"/>
    <w:rsid w:val="00CD239A"/>
    <w:rsid w:val="00CD2505"/>
    <w:rsid w:val="00CD3317"/>
    <w:rsid w:val="00CD36B3"/>
    <w:rsid w:val="00CD3BD3"/>
    <w:rsid w:val="00CD3CDA"/>
    <w:rsid w:val="00CD3FF4"/>
    <w:rsid w:val="00CD4444"/>
    <w:rsid w:val="00CD4479"/>
    <w:rsid w:val="00CD45C6"/>
    <w:rsid w:val="00CD49BB"/>
    <w:rsid w:val="00CD49E8"/>
    <w:rsid w:val="00CD4D94"/>
    <w:rsid w:val="00CD5512"/>
    <w:rsid w:val="00CD64CD"/>
    <w:rsid w:val="00CD6B08"/>
    <w:rsid w:val="00CD6B0C"/>
    <w:rsid w:val="00CD6E3D"/>
    <w:rsid w:val="00CD71AB"/>
    <w:rsid w:val="00CD75FC"/>
    <w:rsid w:val="00CD7D52"/>
    <w:rsid w:val="00CD7D91"/>
    <w:rsid w:val="00CE0044"/>
    <w:rsid w:val="00CE0109"/>
    <w:rsid w:val="00CE0420"/>
    <w:rsid w:val="00CE07A4"/>
    <w:rsid w:val="00CE1330"/>
    <w:rsid w:val="00CE137F"/>
    <w:rsid w:val="00CE13A2"/>
    <w:rsid w:val="00CE1515"/>
    <w:rsid w:val="00CE1656"/>
    <w:rsid w:val="00CE1677"/>
    <w:rsid w:val="00CE1E6F"/>
    <w:rsid w:val="00CE1F92"/>
    <w:rsid w:val="00CE1FC5"/>
    <w:rsid w:val="00CE1FD4"/>
    <w:rsid w:val="00CE2021"/>
    <w:rsid w:val="00CE2A2A"/>
    <w:rsid w:val="00CE362B"/>
    <w:rsid w:val="00CE3F18"/>
    <w:rsid w:val="00CE46E5"/>
    <w:rsid w:val="00CE485A"/>
    <w:rsid w:val="00CE4A95"/>
    <w:rsid w:val="00CE517C"/>
    <w:rsid w:val="00CE5279"/>
    <w:rsid w:val="00CE57DE"/>
    <w:rsid w:val="00CE5A78"/>
    <w:rsid w:val="00CE5CD1"/>
    <w:rsid w:val="00CE605F"/>
    <w:rsid w:val="00CE6673"/>
    <w:rsid w:val="00CE68B2"/>
    <w:rsid w:val="00CE6C34"/>
    <w:rsid w:val="00CE6DA2"/>
    <w:rsid w:val="00CE6E28"/>
    <w:rsid w:val="00CE6F60"/>
    <w:rsid w:val="00CE70F4"/>
    <w:rsid w:val="00CE71DB"/>
    <w:rsid w:val="00CE7729"/>
    <w:rsid w:val="00CE78AE"/>
    <w:rsid w:val="00CE7AAB"/>
    <w:rsid w:val="00CE7B9C"/>
    <w:rsid w:val="00CE7E62"/>
    <w:rsid w:val="00CE7F7B"/>
    <w:rsid w:val="00CF0002"/>
    <w:rsid w:val="00CF0ABE"/>
    <w:rsid w:val="00CF0B57"/>
    <w:rsid w:val="00CF0C2E"/>
    <w:rsid w:val="00CF0D90"/>
    <w:rsid w:val="00CF0E13"/>
    <w:rsid w:val="00CF11C6"/>
    <w:rsid w:val="00CF19DA"/>
    <w:rsid w:val="00CF1BCE"/>
    <w:rsid w:val="00CF1C2A"/>
    <w:rsid w:val="00CF1C7F"/>
    <w:rsid w:val="00CF1CC0"/>
    <w:rsid w:val="00CF1D7A"/>
    <w:rsid w:val="00CF224C"/>
    <w:rsid w:val="00CF2256"/>
    <w:rsid w:val="00CF24D1"/>
    <w:rsid w:val="00CF24F8"/>
    <w:rsid w:val="00CF25C5"/>
    <w:rsid w:val="00CF2653"/>
    <w:rsid w:val="00CF2676"/>
    <w:rsid w:val="00CF27DF"/>
    <w:rsid w:val="00CF2B94"/>
    <w:rsid w:val="00CF2F04"/>
    <w:rsid w:val="00CF2F05"/>
    <w:rsid w:val="00CF2F0D"/>
    <w:rsid w:val="00CF356E"/>
    <w:rsid w:val="00CF3897"/>
    <w:rsid w:val="00CF391E"/>
    <w:rsid w:val="00CF3B1A"/>
    <w:rsid w:val="00CF3EAD"/>
    <w:rsid w:val="00CF4000"/>
    <w:rsid w:val="00CF4247"/>
    <w:rsid w:val="00CF432F"/>
    <w:rsid w:val="00CF49B8"/>
    <w:rsid w:val="00CF4D61"/>
    <w:rsid w:val="00CF4DC7"/>
    <w:rsid w:val="00CF4E63"/>
    <w:rsid w:val="00CF4ECB"/>
    <w:rsid w:val="00CF5263"/>
    <w:rsid w:val="00CF5396"/>
    <w:rsid w:val="00CF5556"/>
    <w:rsid w:val="00CF5905"/>
    <w:rsid w:val="00CF5974"/>
    <w:rsid w:val="00CF5D76"/>
    <w:rsid w:val="00CF5F69"/>
    <w:rsid w:val="00CF60B5"/>
    <w:rsid w:val="00CF6A7F"/>
    <w:rsid w:val="00CF6A89"/>
    <w:rsid w:val="00CF6B02"/>
    <w:rsid w:val="00CF7059"/>
    <w:rsid w:val="00CF70E3"/>
    <w:rsid w:val="00CF7384"/>
    <w:rsid w:val="00CF7899"/>
    <w:rsid w:val="00CF7AD4"/>
    <w:rsid w:val="00D0043F"/>
    <w:rsid w:val="00D004FA"/>
    <w:rsid w:val="00D00524"/>
    <w:rsid w:val="00D00743"/>
    <w:rsid w:val="00D009D7"/>
    <w:rsid w:val="00D00A17"/>
    <w:rsid w:val="00D010DB"/>
    <w:rsid w:val="00D0127A"/>
    <w:rsid w:val="00D01570"/>
    <w:rsid w:val="00D01B21"/>
    <w:rsid w:val="00D01CD9"/>
    <w:rsid w:val="00D01E29"/>
    <w:rsid w:val="00D01E2F"/>
    <w:rsid w:val="00D01FF8"/>
    <w:rsid w:val="00D02083"/>
    <w:rsid w:val="00D0227B"/>
    <w:rsid w:val="00D02467"/>
    <w:rsid w:val="00D0268D"/>
    <w:rsid w:val="00D026E8"/>
    <w:rsid w:val="00D02886"/>
    <w:rsid w:val="00D02984"/>
    <w:rsid w:val="00D02C53"/>
    <w:rsid w:val="00D03102"/>
    <w:rsid w:val="00D031D7"/>
    <w:rsid w:val="00D0339B"/>
    <w:rsid w:val="00D03684"/>
    <w:rsid w:val="00D03727"/>
    <w:rsid w:val="00D0378A"/>
    <w:rsid w:val="00D03AF8"/>
    <w:rsid w:val="00D043BA"/>
    <w:rsid w:val="00D04C1B"/>
    <w:rsid w:val="00D04E9D"/>
    <w:rsid w:val="00D0511A"/>
    <w:rsid w:val="00D05132"/>
    <w:rsid w:val="00D052EC"/>
    <w:rsid w:val="00D05307"/>
    <w:rsid w:val="00D054C5"/>
    <w:rsid w:val="00D05604"/>
    <w:rsid w:val="00D0575A"/>
    <w:rsid w:val="00D05BC2"/>
    <w:rsid w:val="00D05C63"/>
    <w:rsid w:val="00D05EA9"/>
    <w:rsid w:val="00D0667C"/>
    <w:rsid w:val="00D0674A"/>
    <w:rsid w:val="00D0692C"/>
    <w:rsid w:val="00D06A19"/>
    <w:rsid w:val="00D071F8"/>
    <w:rsid w:val="00D07252"/>
    <w:rsid w:val="00D074F4"/>
    <w:rsid w:val="00D07557"/>
    <w:rsid w:val="00D07727"/>
    <w:rsid w:val="00D07B3B"/>
    <w:rsid w:val="00D07CE1"/>
    <w:rsid w:val="00D07D46"/>
    <w:rsid w:val="00D1026A"/>
    <w:rsid w:val="00D1037E"/>
    <w:rsid w:val="00D10398"/>
    <w:rsid w:val="00D107CF"/>
    <w:rsid w:val="00D10DB1"/>
    <w:rsid w:val="00D10E89"/>
    <w:rsid w:val="00D11367"/>
    <w:rsid w:val="00D11918"/>
    <w:rsid w:val="00D11B0B"/>
    <w:rsid w:val="00D11D6B"/>
    <w:rsid w:val="00D12293"/>
    <w:rsid w:val="00D122C0"/>
    <w:rsid w:val="00D130A0"/>
    <w:rsid w:val="00D133FB"/>
    <w:rsid w:val="00D13880"/>
    <w:rsid w:val="00D14236"/>
    <w:rsid w:val="00D1452D"/>
    <w:rsid w:val="00D14553"/>
    <w:rsid w:val="00D14DB1"/>
    <w:rsid w:val="00D14E69"/>
    <w:rsid w:val="00D15182"/>
    <w:rsid w:val="00D1532A"/>
    <w:rsid w:val="00D1547B"/>
    <w:rsid w:val="00D15484"/>
    <w:rsid w:val="00D1596F"/>
    <w:rsid w:val="00D159F1"/>
    <w:rsid w:val="00D15A23"/>
    <w:rsid w:val="00D15DED"/>
    <w:rsid w:val="00D15EA4"/>
    <w:rsid w:val="00D15F43"/>
    <w:rsid w:val="00D160BA"/>
    <w:rsid w:val="00D16AB3"/>
    <w:rsid w:val="00D16B9D"/>
    <w:rsid w:val="00D16E64"/>
    <w:rsid w:val="00D16E87"/>
    <w:rsid w:val="00D16EE3"/>
    <w:rsid w:val="00D16FAF"/>
    <w:rsid w:val="00D175BE"/>
    <w:rsid w:val="00D17B76"/>
    <w:rsid w:val="00D17C3E"/>
    <w:rsid w:val="00D17F4C"/>
    <w:rsid w:val="00D204D3"/>
    <w:rsid w:val="00D20519"/>
    <w:rsid w:val="00D20B8B"/>
    <w:rsid w:val="00D211E3"/>
    <w:rsid w:val="00D21226"/>
    <w:rsid w:val="00D21612"/>
    <w:rsid w:val="00D2162C"/>
    <w:rsid w:val="00D2174E"/>
    <w:rsid w:val="00D2181A"/>
    <w:rsid w:val="00D21A3C"/>
    <w:rsid w:val="00D21A9A"/>
    <w:rsid w:val="00D21AA1"/>
    <w:rsid w:val="00D21C86"/>
    <w:rsid w:val="00D21C8E"/>
    <w:rsid w:val="00D21F74"/>
    <w:rsid w:val="00D2207A"/>
    <w:rsid w:val="00D220CF"/>
    <w:rsid w:val="00D2213A"/>
    <w:rsid w:val="00D22A20"/>
    <w:rsid w:val="00D22C4D"/>
    <w:rsid w:val="00D23298"/>
    <w:rsid w:val="00D233F1"/>
    <w:rsid w:val="00D237CD"/>
    <w:rsid w:val="00D239B1"/>
    <w:rsid w:val="00D23A78"/>
    <w:rsid w:val="00D23F99"/>
    <w:rsid w:val="00D23FFE"/>
    <w:rsid w:val="00D24064"/>
    <w:rsid w:val="00D246A3"/>
    <w:rsid w:val="00D246E5"/>
    <w:rsid w:val="00D24ED2"/>
    <w:rsid w:val="00D256A7"/>
    <w:rsid w:val="00D256B8"/>
    <w:rsid w:val="00D256F8"/>
    <w:rsid w:val="00D25846"/>
    <w:rsid w:val="00D25BA1"/>
    <w:rsid w:val="00D25DCB"/>
    <w:rsid w:val="00D25E5C"/>
    <w:rsid w:val="00D26307"/>
    <w:rsid w:val="00D2650C"/>
    <w:rsid w:val="00D26853"/>
    <w:rsid w:val="00D2685C"/>
    <w:rsid w:val="00D26A3B"/>
    <w:rsid w:val="00D26D09"/>
    <w:rsid w:val="00D27010"/>
    <w:rsid w:val="00D27379"/>
    <w:rsid w:val="00D27BBF"/>
    <w:rsid w:val="00D27E09"/>
    <w:rsid w:val="00D3005B"/>
    <w:rsid w:val="00D30158"/>
    <w:rsid w:val="00D302FD"/>
    <w:rsid w:val="00D3038A"/>
    <w:rsid w:val="00D305B7"/>
    <w:rsid w:val="00D30759"/>
    <w:rsid w:val="00D3098D"/>
    <w:rsid w:val="00D30D75"/>
    <w:rsid w:val="00D311B7"/>
    <w:rsid w:val="00D3184B"/>
    <w:rsid w:val="00D31936"/>
    <w:rsid w:val="00D31A02"/>
    <w:rsid w:val="00D31B66"/>
    <w:rsid w:val="00D31CFF"/>
    <w:rsid w:val="00D31F0D"/>
    <w:rsid w:val="00D320F4"/>
    <w:rsid w:val="00D32169"/>
    <w:rsid w:val="00D321ED"/>
    <w:rsid w:val="00D3271E"/>
    <w:rsid w:val="00D3281B"/>
    <w:rsid w:val="00D329B9"/>
    <w:rsid w:val="00D32FE2"/>
    <w:rsid w:val="00D3323C"/>
    <w:rsid w:val="00D33456"/>
    <w:rsid w:val="00D33491"/>
    <w:rsid w:val="00D336EE"/>
    <w:rsid w:val="00D3388F"/>
    <w:rsid w:val="00D3396F"/>
    <w:rsid w:val="00D33D26"/>
    <w:rsid w:val="00D33D4D"/>
    <w:rsid w:val="00D33DCB"/>
    <w:rsid w:val="00D3402E"/>
    <w:rsid w:val="00D3432F"/>
    <w:rsid w:val="00D3446E"/>
    <w:rsid w:val="00D34828"/>
    <w:rsid w:val="00D34982"/>
    <w:rsid w:val="00D34A0B"/>
    <w:rsid w:val="00D34DC0"/>
    <w:rsid w:val="00D34E2C"/>
    <w:rsid w:val="00D35191"/>
    <w:rsid w:val="00D356A0"/>
    <w:rsid w:val="00D356AF"/>
    <w:rsid w:val="00D3578F"/>
    <w:rsid w:val="00D35950"/>
    <w:rsid w:val="00D359AF"/>
    <w:rsid w:val="00D36234"/>
    <w:rsid w:val="00D36371"/>
    <w:rsid w:val="00D366E8"/>
    <w:rsid w:val="00D36C49"/>
    <w:rsid w:val="00D36EEA"/>
    <w:rsid w:val="00D36EEC"/>
    <w:rsid w:val="00D37401"/>
    <w:rsid w:val="00D3752E"/>
    <w:rsid w:val="00D378DD"/>
    <w:rsid w:val="00D37995"/>
    <w:rsid w:val="00D37FEC"/>
    <w:rsid w:val="00D4055B"/>
    <w:rsid w:val="00D40663"/>
    <w:rsid w:val="00D4094B"/>
    <w:rsid w:val="00D40C09"/>
    <w:rsid w:val="00D40D10"/>
    <w:rsid w:val="00D41272"/>
    <w:rsid w:val="00D4138B"/>
    <w:rsid w:val="00D413CA"/>
    <w:rsid w:val="00D417AE"/>
    <w:rsid w:val="00D41830"/>
    <w:rsid w:val="00D418FE"/>
    <w:rsid w:val="00D41BC1"/>
    <w:rsid w:val="00D41E3C"/>
    <w:rsid w:val="00D41E6D"/>
    <w:rsid w:val="00D4207C"/>
    <w:rsid w:val="00D421B7"/>
    <w:rsid w:val="00D424AB"/>
    <w:rsid w:val="00D42895"/>
    <w:rsid w:val="00D42DCF"/>
    <w:rsid w:val="00D42F41"/>
    <w:rsid w:val="00D4334E"/>
    <w:rsid w:val="00D437D8"/>
    <w:rsid w:val="00D43A5B"/>
    <w:rsid w:val="00D43E3C"/>
    <w:rsid w:val="00D4402A"/>
    <w:rsid w:val="00D441FB"/>
    <w:rsid w:val="00D44353"/>
    <w:rsid w:val="00D4462A"/>
    <w:rsid w:val="00D446AA"/>
    <w:rsid w:val="00D446AE"/>
    <w:rsid w:val="00D44805"/>
    <w:rsid w:val="00D44994"/>
    <w:rsid w:val="00D45AE0"/>
    <w:rsid w:val="00D45C42"/>
    <w:rsid w:val="00D45DCB"/>
    <w:rsid w:val="00D45DF3"/>
    <w:rsid w:val="00D46174"/>
    <w:rsid w:val="00D46195"/>
    <w:rsid w:val="00D46436"/>
    <w:rsid w:val="00D4679A"/>
    <w:rsid w:val="00D469D5"/>
    <w:rsid w:val="00D46D43"/>
    <w:rsid w:val="00D475B4"/>
    <w:rsid w:val="00D47DD0"/>
    <w:rsid w:val="00D5010A"/>
    <w:rsid w:val="00D50183"/>
    <w:rsid w:val="00D50643"/>
    <w:rsid w:val="00D507F8"/>
    <w:rsid w:val="00D50AE8"/>
    <w:rsid w:val="00D50B74"/>
    <w:rsid w:val="00D50CA9"/>
    <w:rsid w:val="00D51523"/>
    <w:rsid w:val="00D5186E"/>
    <w:rsid w:val="00D51C28"/>
    <w:rsid w:val="00D51D12"/>
    <w:rsid w:val="00D52071"/>
    <w:rsid w:val="00D52308"/>
    <w:rsid w:val="00D523ED"/>
    <w:rsid w:val="00D52731"/>
    <w:rsid w:val="00D52A44"/>
    <w:rsid w:val="00D53047"/>
    <w:rsid w:val="00D53233"/>
    <w:rsid w:val="00D532BB"/>
    <w:rsid w:val="00D535BC"/>
    <w:rsid w:val="00D5362B"/>
    <w:rsid w:val="00D53898"/>
    <w:rsid w:val="00D53BBE"/>
    <w:rsid w:val="00D53FB4"/>
    <w:rsid w:val="00D5404B"/>
    <w:rsid w:val="00D54140"/>
    <w:rsid w:val="00D542BB"/>
    <w:rsid w:val="00D5499B"/>
    <w:rsid w:val="00D54A6D"/>
    <w:rsid w:val="00D54C5C"/>
    <w:rsid w:val="00D54E95"/>
    <w:rsid w:val="00D55072"/>
    <w:rsid w:val="00D551B5"/>
    <w:rsid w:val="00D551BD"/>
    <w:rsid w:val="00D552A6"/>
    <w:rsid w:val="00D5532C"/>
    <w:rsid w:val="00D55908"/>
    <w:rsid w:val="00D55BA5"/>
    <w:rsid w:val="00D55DA8"/>
    <w:rsid w:val="00D55DBC"/>
    <w:rsid w:val="00D55E7B"/>
    <w:rsid w:val="00D55F98"/>
    <w:rsid w:val="00D568BB"/>
    <w:rsid w:val="00D56DB2"/>
    <w:rsid w:val="00D5706D"/>
    <w:rsid w:val="00D5747F"/>
    <w:rsid w:val="00D57495"/>
    <w:rsid w:val="00D574C3"/>
    <w:rsid w:val="00D574DC"/>
    <w:rsid w:val="00D574FA"/>
    <w:rsid w:val="00D578C1"/>
    <w:rsid w:val="00D57EF2"/>
    <w:rsid w:val="00D6045D"/>
    <w:rsid w:val="00D60B66"/>
    <w:rsid w:val="00D60C8D"/>
    <w:rsid w:val="00D61374"/>
    <w:rsid w:val="00D6168A"/>
    <w:rsid w:val="00D616A5"/>
    <w:rsid w:val="00D61DCC"/>
    <w:rsid w:val="00D61FF0"/>
    <w:rsid w:val="00D6211D"/>
    <w:rsid w:val="00D6283C"/>
    <w:rsid w:val="00D62A8C"/>
    <w:rsid w:val="00D62AC6"/>
    <w:rsid w:val="00D62C97"/>
    <w:rsid w:val="00D62CD1"/>
    <w:rsid w:val="00D62EA8"/>
    <w:rsid w:val="00D62F91"/>
    <w:rsid w:val="00D63075"/>
    <w:rsid w:val="00D631D8"/>
    <w:rsid w:val="00D63517"/>
    <w:rsid w:val="00D637C2"/>
    <w:rsid w:val="00D63862"/>
    <w:rsid w:val="00D63B75"/>
    <w:rsid w:val="00D6401C"/>
    <w:rsid w:val="00D641A3"/>
    <w:rsid w:val="00D64429"/>
    <w:rsid w:val="00D64496"/>
    <w:rsid w:val="00D644C8"/>
    <w:rsid w:val="00D645CD"/>
    <w:rsid w:val="00D64635"/>
    <w:rsid w:val="00D6495A"/>
    <w:rsid w:val="00D64B65"/>
    <w:rsid w:val="00D64B8C"/>
    <w:rsid w:val="00D64E49"/>
    <w:rsid w:val="00D64F65"/>
    <w:rsid w:val="00D65085"/>
    <w:rsid w:val="00D65298"/>
    <w:rsid w:val="00D659B1"/>
    <w:rsid w:val="00D65B29"/>
    <w:rsid w:val="00D66103"/>
    <w:rsid w:val="00D66195"/>
    <w:rsid w:val="00D66251"/>
    <w:rsid w:val="00D66830"/>
    <w:rsid w:val="00D66E18"/>
    <w:rsid w:val="00D671FE"/>
    <w:rsid w:val="00D6734D"/>
    <w:rsid w:val="00D6738D"/>
    <w:rsid w:val="00D679CF"/>
    <w:rsid w:val="00D679D3"/>
    <w:rsid w:val="00D67B3E"/>
    <w:rsid w:val="00D67D80"/>
    <w:rsid w:val="00D701F2"/>
    <w:rsid w:val="00D70367"/>
    <w:rsid w:val="00D7053C"/>
    <w:rsid w:val="00D70916"/>
    <w:rsid w:val="00D709F8"/>
    <w:rsid w:val="00D70B2A"/>
    <w:rsid w:val="00D70CC0"/>
    <w:rsid w:val="00D7103F"/>
    <w:rsid w:val="00D71343"/>
    <w:rsid w:val="00D71BC1"/>
    <w:rsid w:val="00D71D40"/>
    <w:rsid w:val="00D72075"/>
    <w:rsid w:val="00D722EE"/>
    <w:rsid w:val="00D72838"/>
    <w:rsid w:val="00D72EB0"/>
    <w:rsid w:val="00D72EB7"/>
    <w:rsid w:val="00D72EFA"/>
    <w:rsid w:val="00D72FD9"/>
    <w:rsid w:val="00D7336F"/>
    <w:rsid w:val="00D7356F"/>
    <w:rsid w:val="00D73587"/>
    <w:rsid w:val="00D73EBB"/>
    <w:rsid w:val="00D74010"/>
    <w:rsid w:val="00D74711"/>
    <w:rsid w:val="00D7482B"/>
    <w:rsid w:val="00D748AF"/>
    <w:rsid w:val="00D751FB"/>
    <w:rsid w:val="00D7536D"/>
    <w:rsid w:val="00D754D6"/>
    <w:rsid w:val="00D757C1"/>
    <w:rsid w:val="00D75C33"/>
    <w:rsid w:val="00D75D32"/>
    <w:rsid w:val="00D760E2"/>
    <w:rsid w:val="00D761AA"/>
    <w:rsid w:val="00D764D3"/>
    <w:rsid w:val="00D76698"/>
    <w:rsid w:val="00D76847"/>
    <w:rsid w:val="00D76AED"/>
    <w:rsid w:val="00D76BA4"/>
    <w:rsid w:val="00D76FAE"/>
    <w:rsid w:val="00D77763"/>
    <w:rsid w:val="00D777D7"/>
    <w:rsid w:val="00D77849"/>
    <w:rsid w:val="00D77A97"/>
    <w:rsid w:val="00D77E20"/>
    <w:rsid w:val="00D803E3"/>
    <w:rsid w:val="00D80AB8"/>
    <w:rsid w:val="00D80C8D"/>
    <w:rsid w:val="00D80C8F"/>
    <w:rsid w:val="00D80FC2"/>
    <w:rsid w:val="00D810A0"/>
    <w:rsid w:val="00D8124A"/>
    <w:rsid w:val="00D8153E"/>
    <w:rsid w:val="00D81666"/>
    <w:rsid w:val="00D81792"/>
    <w:rsid w:val="00D817DA"/>
    <w:rsid w:val="00D819B1"/>
    <w:rsid w:val="00D81B86"/>
    <w:rsid w:val="00D81E05"/>
    <w:rsid w:val="00D82052"/>
    <w:rsid w:val="00D822FA"/>
    <w:rsid w:val="00D82494"/>
    <w:rsid w:val="00D82663"/>
    <w:rsid w:val="00D82AE9"/>
    <w:rsid w:val="00D82B77"/>
    <w:rsid w:val="00D830D2"/>
    <w:rsid w:val="00D832FC"/>
    <w:rsid w:val="00D8344A"/>
    <w:rsid w:val="00D83630"/>
    <w:rsid w:val="00D8394B"/>
    <w:rsid w:val="00D83AE9"/>
    <w:rsid w:val="00D84814"/>
    <w:rsid w:val="00D84936"/>
    <w:rsid w:val="00D84BA5"/>
    <w:rsid w:val="00D85128"/>
    <w:rsid w:val="00D854B6"/>
    <w:rsid w:val="00D85529"/>
    <w:rsid w:val="00D857B8"/>
    <w:rsid w:val="00D85AA8"/>
    <w:rsid w:val="00D85B5D"/>
    <w:rsid w:val="00D85C78"/>
    <w:rsid w:val="00D85E14"/>
    <w:rsid w:val="00D8711C"/>
    <w:rsid w:val="00D87175"/>
    <w:rsid w:val="00D8790D"/>
    <w:rsid w:val="00D87A2A"/>
    <w:rsid w:val="00D87ABF"/>
    <w:rsid w:val="00D87F7B"/>
    <w:rsid w:val="00D9003F"/>
    <w:rsid w:val="00D90AF3"/>
    <w:rsid w:val="00D90BF5"/>
    <w:rsid w:val="00D90CD3"/>
    <w:rsid w:val="00D91184"/>
    <w:rsid w:val="00D91201"/>
    <w:rsid w:val="00D919E6"/>
    <w:rsid w:val="00D91BE1"/>
    <w:rsid w:val="00D92172"/>
    <w:rsid w:val="00D92A44"/>
    <w:rsid w:val="00D92C29"/>
    <w:rsid w:val="00D92CAA"/>
    <w:rsid w:val="00D92FFA"/>
    <w:rsid w:val="00D93015"/>
    <w:rsid w:val="00D931AC"/>
    <w:rsid w:val="00D93238"/>
    <w:rsid w:val="00D932C2"/>
    <w:rsid w:val="00D9344E"/>
    <w:rsid w:val="00D9349C"/>
    <w:rsid w:val="00D9355E"/>
    <w:rsid w:val="00D936E2"/>
    <w:rsid w:val="00D93A21"/>
    <w:rsid w:val="00D93E6B"/>
    <w:rsid w:val="00D93EB6"/>
    <w:rsid w:val="00D9425A"/>
    <w:rsid w:val="00D94498"/>
    <w:rsid w:val="00D948D5"/>
    <w:rsid w:val="00D949F3"/>
    <w:rsid w:val="00D94DA6"/>
    <w:rsid w:val="00D94ED3"/>
    <w:rsid w:val="00D94F98"/>
    <w:rsid w:val="00D95104"/>
    <w:rsid w:val="00D95142"/>
    <w:rsid w:val="00D9549A"/>
    <w:rsid w:val="00D95600"/>
    <w:rsid w:val="00D957AE"/>
    <w:rsid w:val="00D95848"/>
    <w:rsid w:val="00D95D4C"/>
    <w:rsid w:val="00D96024"/>
    <w:rsid w:val="00D9618B"/>
    <w:rsid w:val="00D96273"/>
    <w:rsid w:val="00D9644F"/>
    <w:rsid w:val="00D9648C"/>
    <w:rsid w:val="00D9683C"/>
    <w:rsid w:val="00D968F8"/>
    <w:rsid w:val="00D9695D"/>
    <w:rsid w:val="00D96E33"/>
    <w:rsid w:val="00D96FA5"/>
    <w:rsid w:val="00D97083"/>
    <w:rsid w:val="00D97099"/>
    <w:rsid w:val="00D972D0"/>
    <w:rsid w:val="00D9763B"/>
    <w:rsid w:val="00D97884"/>
    <w:rsid w:val="00D97C1A"/>
    <w:rsid w:val="00DA0561"/>
    <w:rsid w:val="00DA0A7F"/>
    <w:rsid w:val="00DA14AB"/>
    <w:rsid w:val="00DA1A91"/>
    <w:rsid w:val="00DA1AC6"/>
    <w:rsid w:val="00DA1B47"/>
    <w:rsid w:val="00DA1C19"/>
    <w:rsid w:val="00DA1C31"/>
    <w:rsid w:val="00DA1D26"/>
    <w:rsid w:val="00DA1DB0"/>
    <w:rsid w:val="00DA1F0D"/>
    <w:rsid w:val="00DA1FB5"/>
    <w:rsid w:val="00DA20BC"/>
    <w:rsid w:val="00DA23FD"/>
    <w:rsid w:val="00DA2ED7"/>
    <w:rsid w:val="00DA3676"/>
    <w:rsid w:val="00DA3860"/>
    <w:rsid w:val="00DA3A02"/>
    <w:rsid w:val="00DA3E7A"/>
    <w:rsid w:val="00DA3F83"/>
    <w:rsid w:val="00DA430C"/>
    <w:rsid w:val="00DA43FC"/>
    <w:rsid w:val="00DA4482"/>
    <w:rsid w:val="00DA449E"/>
    <w:rsid w:val="00DA4633"/>
    <w:rsid w:val="00DA4A1A"/>
    <w:rsid w:val="00DA5216"/>
    <w:rsid w:val="00DA54F5"/>
    <w:rsid w:val="00DA5583"/>
    <w:rsid w:val="00DA55E5"/>
    <w:rsid w:val="00DA5A87"/>
    <w:rsid w:val="00DA5F2F"/>
    <w:rsid w:val="00DA5F68"/>
    <w:rsid w:val="00DA615D"/>
    <w:rsid w:val="00DA6226"/>
    <w:rsid w:val="00DA629B"/>
    <w:rsid w:val="00DA6598"/>
    <w:rsid w:val="00DA65E5"/>
    <w:rsid w:val="00DA6935"/>
    <w:rsid w:val="00DA6A5D"/>
    <w:rsid w:val="00DA6A8A"/>
    <w:rsid w:val="00DA6BCB"/>
    <w:rsid w:val="00DA6C0F"/>
    <w:rsid w:val="00DA6D83"/>
    <w:rsid w:val="00DA702F"/>
    <w:rsid w:val="00DA7870"/>
    <w:rsid w:val="00DA79FD"/>
    <w:rsid w:val="00DA7A5C"/>
    <w:rsid w:val="00DA7F8A"/>
    <w:rsid w:val="00DB0022"/>
    <w:rsid w:val="00DB0176"/>
    <w:rsid w:val="00DB02AE"/>
    <w:rsid w:val="00DB038E"/>
    <w:rsid w:val="00DB0404"/>
    <w:rsid w:val="00DB0651"/>
    <w:rsid w:val="00DB071D"/>
    <w:rsid w:val="00DB07EC"/>
    <w:rsid w:val="00DB0BD8"/>
    <w:rsid w:val="00DB0D88"/>
    <w:rsid w:val="00DB0FED"/>
    <w:rsid w:val="00DB0FFC"/>
    <w:rsid w:val="00DB1189"/>
    <w:rsid w:val="00DB11F8"/>
    <w:rsid w:val="00DB177A"/>
    <w:rsid w:val="00DB18D5"/>
    <w:rsid w:val="00DB18F8"/>
    <w:rsid w:val="00DB1B8C"/>
    <w:rsid w:val="00DB1E08"/>
    <w:rsid w:val="00DB1F2A"/>
    <w:rsid w:val="00DB1FB2"/>
    <w:rsid w:val="00DB20C7"/>
    <w:rsid w:val="00DB21A9"/>
    <w:rsid w:val="00DB22DC"/>
    <w:rsid w:val="00DB2311"/>
    <w:rsid w:val="00DB2338"/>
    <w:rsid w:val="00DB2363"/>
    <w:rsid w:val="00DB251B"/>
    <w:rsid w:val="00DB25FA"/>
    <w:rsid w:val="00DB2663"/>
    <w:rsid w:val="00DB2839"/>
    <w:rsid w:val="00DB2927"/>
    <w:rsid w:val="00DB297F"/>
    <w:rsid w:val="00DB29FE"/>
    <w:rsid w:val="00DB2AB5"/>
    <w:rsid w:val="00DB2ACD"/>
    <w:rsid w:val="00DB2C58"/>
    <w:rsid w:val="00DB2CF7"/>
    <w:rsid w:val="00DB2DFB"/>
    <w:rsid w:val="00DB2FF9"/>
    <w:rsid w:val="00DB3153"/>
    <w:rsid w:val="00DB317A"/>
    <w:rsid w:val="00DB3596"/>
    <w:rsid w:val="00DB3B82"/>
    <w:rsid w:val="00DB3EF7"/>
    <w:rsid w:val="00DB485D"/>
    <w:rsid w:val="00DB4B2A"/>
    <w:rsid w:val="00DB4D3C"/>
    <w:rsid w:val="00DB5473"/>
    <w:rsid w:val="00DB56CF"/>
    <w:rsid w:val="00DB573E"/>
    <w:rsid w:val="00DB5A22"/>
    <w:rsid w:val="00DB5ADF"/>
    <w:rsid w:val="00DB5DED"/>
    <w:rsid w:val="00DB63D0"/>
    <w:rsid w:val="00DB67F4"/>
    <w:rsid w:val="00DB684C"/>
    <w:rsid w:val="00DB691A"/>
    <w:rsid w:val="00DB6A7F"/>
    <w:rsid w:val="00DB6B27"/>
    <w:rsid w:val="00DB6C80"/>
    <w:rsid w:val="00DB7E38"/>
    <w:rsid w:val="00DC048A"/>
    <w:rsid w:val="00DC04AC"/>
    <w:rsid w:val="00DC099A"/>
    <w:rsid w:val="00DC0A2C"/>
    <w:rsid w:val="00DC0CED"/>
    <w:rsid w:val="00DC0D02"/>
    <w:rsid w:val="00DC0F79"/>
    <w:rsid w:val="00DC0FDC"/>
    <w:rsid w:val="00DC1050"/>
    <w:rsid w:val="00DC1260"/>
    <w:rsid w:val="00DC1327"/>
    <w:rsid w:val="00DC1350"/>
    <w:rsid w:val="00DC18FB"/>
    <w:rsid w:val="00DC22CE"/>
    <w:rsid w:val="00DC25A6"/>
    <w:rsid w:val="00DC285F"/>
    <w:rsid w:val="00DC2D61"/>
    <w:rsid w:val="00DC2E29"/>
    <w:rsid w:val="00DC3237"/>
    <w:rsid w:val="00DC3480"/>
    <w:rsid w:val="00DC362D"/>
    <w:rsid w:val="00DC3811"/>
    <w:rsid w:val="00DC3D82"/>
    <w:rsid w:val="00DC3D93"/>
    <w:rsid w:val="00DC41A4"/>
    <w:rsid w:val="00DC461A"/>
    <w:rsid w:val="00DC4948"/>
    <w:rsid w:val="00DC4FEA"/>
    <w:rsid w:val="00DC50CF"/>
    <w:rsid w:val="00DC5672"/>
    <w:rsid w:val="00DC5834"/>
    <w:rsid w:val="00DC5AD4"/>
    <w:rsid w:val="00DC5CC9"/>
    <w:rsid w:val="00DC60A2"/>
    <w:rsid w:val="00DC6290"/>
    <w:rsid w:val="00DC6600"/>
    <w:rsid w:val="00DC67BD"/>
    <w:rsid w:val="00DC6924"/>
    <w:rsid w:val="00DC6F3C"/>
    <w:rsid w:val="00DC71C8"/>
    <w:rsid w:val="00DC71F2"/>
    <w:rsid w:val="00DC7388"/>
    <w:rsid w:val="00DC78B2"/>
    <w:rsid w:val="00DC796E"/>
    <w:rsid w:val="00DD00D5"/>
    <w:rsid w:val="00DD040A"/>
    <w:rsid w:val="00DD0B2C"/>
    <w:rsid w:val="00DD0C70"/>
    <w:rsid w:val="00DD0CDC"/>
    <w:rsid w:val="00DD0D4A"/>
    <w:rsid w:val="00DD12C9"/>
    <w:rsid w:val="00DD1565"/>
    <w:rsid w:val="00DD1B6A"/>
    <w:rsid w:val="00DD1FDC"/>
    <w:rsid w:val="00DD2025"/>
    <w:rsid w:val="00DD2164"/>
    <w:rsid w:val="00DD22EA"/>
    <w:rsid w:val="00DD23A0"/>
    <w:rsid w:val="00DD23FE"/>
    <w:rsid w:val="00DD25BD"/>
    <w:rsid w:val="00DD2695"/>
    <w:rsid w:val="00DD26AC"/>
    <w:rsid w:val="00DD2AD5"/>
    <w:rsid w:val="00DD2BE8"/>
    <w:rsid w:val="00DD2E15"/>
    <w:rsid w:val="00DD2EFB"/>
    <w:rsid w:val="00DD3184"/>
    <w:rsid w:val="00DD3EF5"/>
    <w:rsid w:val="00DD40CB"/>
    <w:rsid w:val="00DD413D"/>
    <w:rsid w:val="00DD4870"/>
    <w:rsid w:val="00DD48C1"/>
    <w:rsid w:val="00DD4A6E"/>
    <w:rsid w:val="00DD4EFF"/>
    <w:rsid w:val="00DD532E"/>
    <w:rsid w:val="00DD53FA"/>
    <w:rsid w:val="00DD559D"/>
    <w:rsid w:val="00DD58C2"/>
    <w:rsid w:val="00DD5B4A"/>
    <w:rsid w:val="00DD5F08"/>
    <w:rsid w:val="00DD5F42"/>
    <w:rsid w:val="00DD6053"/>
    <w:rsid w:val="00DD617B"/>
    <w:rsid w:val="00DD6364"/>
    <w:rsid w:val="00DD6470"/>
    <w:rsid w:val="00DD64D9"/>
    <w:rsid w:val="00DD6694"/>
    <w:rsid w:val="00DD66F4"/>
    <w:rsid w:val="00DD6CF3"/>
    <w:rsid w:val="00DD6EB5"/>
    <w:rsid w:val="00DD6EED"/>
    <w:rsid w:val="00DD7027"/>
    <w:rsid w:val="00DD70C0"/>
    <w:rsid w:val="00DD7215"/>
    <w:rsid w:val="00DD72CF"/>
    <w:rsid w:val="00DE05DB"/>
    <w:rsid w:val="00DE09F7"/>
    <w:rsid w:val="00DE0BC4"/>
    <w:rsid w:val="00DE0D01"/>
    <w:rsid w:val="00DE0DC3"/>
    <w:rsid w:val="00DE0E59"/>
    <w:rsid w:val="00DE0F66"/>
    <w:rsid w:val="00DE0F6C"/>
    <w:rsid w:val="00DE1BB0"/>
    <w:rsid w:val="00DE1C69"/>
    <w:rsid w:val="00DE219B"/>
    <w:rsid w:val="00DE21C0"/>
    <w:rsid w:val="00DE2905"/>
    <w:rsid w:val="00DE2CB6"/>
    <w:rsid w:val="00DE2E49"/>
    <w:rsid w:val="00DE2E7D"/>
    <w:rsid w:val="00DE31CC"/>
    <w:rsid w:val="00DE34C9"/>
    <w:rsid w:val="00DE3D47"/>
    <w:rsid w:val="00DE3D70"/>
    <w:rsid w:val="00DE3E67"/>
    <w:rsid w:val="00DE401B"/>
    <w:rsid w:val="00DE415B"/>
    <w:rsid w:val="00DE4638"/>
    <w:rsid w:val="00DE471E"/>
    <w:rsid w:val="00DE4810"/>
    <w:rsid w:val="00DE4F4E"/>
    <w:rsid w:val="00DE52E3"/>
    <w:rsid w:val="00DE58AA"/>
    <w:rsid w:val="00DE5D0F"/>
    <w:rsid w:val="00DE5D32"/>
    <w:rsid w:val="00DE6167"/>
    <w:rsid w:val="00DE66BA"/>
    <w:rsid w:val="00DE67A0"/>
    <w:rsid w:val="00DE6C1C"/>
    <w:rsid w:val="00DE7202"/>
    <w:rsid w:val="00DE750E"/>
    <w:rsid w:val="00DE7C00"/>
    <w:rsid w:val="00DE7E77"/>
    <w:rsid w:val="00DF00C6"/>
    <w:rsid w:val="00DF03E9"/>
    <w:rsid w:val="00DF03ED"/>
    <w:rsid w:val="00DF03FC"/>
    <w:rsid w:val="00DF04EE"/>
    <w:rsid w:val="00DF05D3"/>
    <w:rsid w:val="00DF0604"/>
    <w:rsid w:val="00DF0B3A"/>
    <w:rsid w:val="00DF0BB6"/>
    <w:rsid w:val="00DF0BF4"/>
    <w:rsid w:val="00DF0E95"/>
    <w:rsid w:val="00DF179D"/>
    <w:rsid w:val="00DF1BEB"/>
    <w:rsid w:val="00DF1C3C"/>
    <w:rsid w:val="00DF1E9C"/>
    <w:rsid w:val="00DF2D4A"/>
    <w:rsid w:val="00DF2F1A"/>
    <w:rsid w:val="00DF386F"/>
    <w:rsid w:val="00DF3D8E"/>
    <w:rsid w:val="00DF41F5"/>
    <w:rsid w:val="00DF4381"/>
    <w:rsid w:val="00DF4572"/>
    <w:rsid w:val="00DF4658"/>
    <w:rsid w:val="00DF4717"/>
    <w:rsid w:val="00DF47EC"/>
    <w:rsid w:val="00DF4AB5"/>
    <w:rsid w:val="00DF530E"/>
    <w:rsid w:val="00DF5502"/>
    <w:rsid w:val="00DF5547"/>
    <w:rsid w:val="00DF57AC"/>
    <w:rsid w:val="00DF5833"/>
    <w:rsid w:val="00DF59F7"/>
    <w:rsid w:val="00DF5CBD"/>
    <w:rsid w:val="00DF5CE2"/>
    <w:rsid w:val="00DF5D78"/>
    <w:rsid w:val="00DF6297"/>
    <w:rsid w:val="00DF6394"/>
    <w:rsid w:val="00DF64AC"/>
    <w:rsid w:val="00DF6C8B"/>
    <w:rsid w:val="00DF6F17"/>
    <w:rsid w:val="00DF744C"/>
    <w:rsid w:val="00DF76E9"/>
    <w:rsid w:val="00DF77BB"/>
    <w:rsid w:val="00DF78FA"/>
    <w:rsid w:val="00DF7DF3"/>
    <w:rsid w:val="00DF7F76"/>
    <w:rsid w:val="00E001FE"/>
    <w:rsid w:val="00E002F1"/>
    <w:rsid w:val="00E00549"/>
    <w:rsid w:val="00E0077B"/>
    <w:rsid w:val="00E0082C"/>
    <w:rsid w:val="00E00A8E"/>
    <w:rsid w:val="00E00CDD"/>
    <w:rsid w:val="00E011D1"/>
    <w:rsid w:val="00E01DAA"/>
    <w:rsid w:val="00E01E69"/>
    <w:rsid w:val="00E02210"/>
    <w:rsid w:val="00E023E5"/>
    <w:rsid w:val="00E02432"/>
    <w:rsid w:val="00E025CA"/>
    <w:rsid w:val="00E02AF0"/>
    <w:rsid w:val="00E02B9E"/>
    <w:rsid w:val="00E02C19"/>
    <w:rsid w:val="00E031F6"/>
    <w:rsid w:val="00E03325"/>
    <w:rsid w:val="00E03472"/>
    <w:rsid w:val="00E03DFE"/>
    <w:rsid w:val="00E04022"/>
    <w:rsid w:val="00E04311"/>
    <w:rsid w:val="00E0433A"/>
    <w:rsid w:val="00E0446A"/>
    <w:rsid w:val="00E045D2"/>
    <w:rsid w:val="00E045F0"/>
    <w:rsid w:val="00E04624"/>
    <w:rsid w:val="00E049AC"/>
    <w:rsid w:val="00E04DDA"/>
    <w:rsid w:val="00E04DED"/>
    <w:rsid w:val="00E04EEC"/>
    <w:rsid w:val="00E0545D"/>
    <w:rsid w:val="00E0560D"/>
    <w:rsid w:val="00E05825"/>
    <w:rsid w:val="00E06052"/>
    <w:rsid w:val="00E060EF"/>
    <w:rsid w:val="00E0630D"/>
    <w:rsid w:val="00E065A9"/>
    <w:rsid w:val="00E066E6"/>
    <w:rsid w:val="00E069B4"/>
    <w:rsid w:val="00E06AE4"/>
    <w:rsid w:val="00E06C70"/>
    <w:rsid w:val="00E06D43"/>
    <w:rsid w:val="00E06EF0"/>
    <w:rsid w:val="00E07091"/>
    <w:rsid w:val="00E0721F"/>
    <w:rsid w:val="00E0728F"/>
    <w:rsid w:val="00E0755C"/>
    <w:rsid w:val="00E075A0"/>
    <w:rsid w:val="00E0767B"/>
    <w:rsid w:val="00E076A2"/>
    <w:rsid w:val="00E078D4"/>
    <w:rsid w:val="00E07C57"/>
    <w:rsid w:val="00E07CED"/>
    <w:rsid w:val="00E07FE2"/>
    <w:rsid w:val="00E10099"/>
    <w:rsid w:val="00E1019A"/>
    <w:rsid w:val="00E10733"/>
    <w:rsid w:val="00E1085C"/>
    <w:rsid w:val="00E10DFA"/>
    <w:rsid w:val="00E10F03"/>
    <w:rsid w:val="00E10FA5"/>
    <w:rsid w:val="00E113E6"/>
    <w:rsid w:val="00E11970"/>
    <w:rsid w:val="00E11A18"/>
    <w:rsid w:val="00E11D03"/>
    <w:rsid w:val="00E11FC2"/>
    <w:rsid w:val="00E12235"/>
    <w:rsid w:val="00E12E22"/>
    <w:rsid w:val="00E134B7"/>
    <w:rsid w:val="00E138AC"/>
    <w:rsid w:val="00E13DB6"/>
    <w:rsid w:val="00E13E0C"/>
    <w:rsid w:val="00E13FA5"/>
    <w:rsid w:val="00E1456A"/>
    <w:rsid w:val="00E14665"/>
    <w:rsid w:val="00E146EB"/>
    <w:rsid w:val="00E14A2F"/>
    <w:rsid w:val="00E14A7E"/>
    <w:rsid w:val="00E14E94"/>
    <w:rsid w:val="00E1503A"/>
    <w:rsid w:val="00E15108"/>
    <w:rsid w:val="00E151E1"/>
    <w:rsid w:val="00E15ABC"/>
    <w:rsid w:val="00E16946"/>
    <w:rsid w:val="00E16B10"/>
    <w:rsid w:val="00E17619"/>
    <w:rsid w:val="00E17805"/>
    <w:rsid w:val="00E17E3A"/>
    <w:rsid w:val="00E17FEC"/>
    <w:rsid w:val="00E20097"/>
    <w:rsid w:val="00E202B0"/>
    <w:rsid w:val="00E2032F"/>
    <w:rsid w:val="00E206F8"/>
    <w:rsid w:val="00E209A4"/>
    <w:rsid w:val="00E20F79"/>
    <w:rsid w:val="00E21151"/>
    <w:rsid w:val="00E211EA"/>
    <w:rsid w:val="00E21277"/>
    <w:rsid w:val="00E21278"/>
    <w:rsid w:val="00E21573"/>
    <w:rsid w:val="00E218CC"/>
    <w:rsid w:val="00E228B4"/>
    <w:rsid w:val="00E22CCD"/>
    <w:rsid w:val="00E22D67"/>
    <w:rsid w:val="00E22EFF"/>
    <w:rsid w:val="00E22F4C"/>
    <w:rsid w:val="00E2337B"/>
    <w:rsid w:val="00E234CE"/>
    <w:rsid w:val="00E235C5"/>
    <w:rsid w:val="00E23924"/>
    <w:rsid w:val="00E23A11"/>
    <w:rsid w:val="00E23E42"/>
    <w:rsid w:val="00E23FB7"/>
    <w:rsid w:val="00E24640"/>
    <w:rsid w:val="00E24703"/>
    <w:rsid w:val="00E247AF"/>
    <w:rsid w:val="00E24A27"/>
    <w:rsid w:val="00E25425"/>
    <w:rsid w:val="00E2555B"/>
    <w:rsid w:val="00E25647"/>
    <w:rsid w:val="00E257D1"/>
    <w:rsid w:val="00E2588F"/>
    <w:rsid w:val="00E25D35"/>
    <w:rsid w:val="00E25F89"/>
    <w:rsid w:val="00E260D5"/>
    <w:rsid w:val="00E261BC"/>
    <w:rsid w:val="00E26268"/>
    <w:rsid w:val="00E26466"/>
    <w:rsid w:val="00E265B3"/>
    <w:rsid w:val="00E267E6"/>
    <w:rsid w:val="00E2692E"/>
    <w:rsid w:val="00E26C5A"/>
    <w:rsid w:val="00E27D6A"/>
    <w:rsid w:val="00E27DB4"/>
    <w:rsid w:val="00E27FCD"/>
    <w:rsid w:val="00E30249"/>
    <w:rsid w:val="00E303C3"/>
    <w:rsid w:val="00E30DFC"/>
    <w:rsid w:val="00E30F13"/>
    <w:rsid w:val="00E30F44"/>
    <w:rsid w:val="00E30F9B"/>
    <w:rsid w:val="00E30FA3"/>
    <w:rsid w:val="00E31448"/>
    <w:rsid w:val="00E31F74"/>
    <w:rsid w:val="00E323D3"/>
    <w:rsid w:val="00E32632"/>
    <w:rsid w:val="00E32A1E"/>
    <w:rsid w:val="00E32AA0"/>
    <w:rsid w:val="00E32C39"/>
    <w:rsid w:val="00E32D62"/>
    <w:rsid w:val="00E339DC"/>
    <w:rsid w:val="00E33E15"/>
    <w:rsid w:val="00E33E60"/>
    <w:rsid w:val="00E33E81"/>
    <w:rsid w:val="00E34295"/>
    <w:rsid w:val="00E3434D"/>
    <w:rsid w:val="00E34436"/>
    <w:rsid w:val="00E34EFC"/>
    <w:rsid w:val="00E355A5"/>
    <w:rsid w:val="00E361B8"/>
    <w:rsid w:val="00E3640B"/>
    <w:rsid w:val="00E36521"/>
    <w:rsid w:val="00E3675F"/>
    <w:rsid w:val="00E368FC"/>
    <w:rsid w:val="00E3691D"/>
    <w:rsid w:val="00E36A1B"/>
    <w:rsid w:val="00E36D17"/>
    <w:rsid w:val="00E36D1C"/>
    <w:rsid w:val="00E36D90"/>
    <w:rsid w:val="00E371C8"/>
    <w:rsid w:val="00E37363"/>
    <w:rsid w:val="00E37450"/>
    <w:rsid w:val="00E374CC"/>
    <w:rsid w:val="00E37680"/>
    <w:rsid w:val="00E37923"/>
    <w:rsid w:val="00E3794B"/>
    <w:rsid w:val="00E37994"/>
    <w:rsid w:val="00E37AC8"/>
    <w:rsid w:val="00E37B76"/>
    <w:rsid w:val="00E4037C"/>
    <w:rsid w:val="00E4070C"/>
    <w:rsid w:val="00E40C8A"/>
    <w:rsid w:val="00E413C1"/>
    <w:rsid w:val="00E418CC"/>
    <w:rsid w:val="00E41AAD"/>
    <w:rsid w:val="00E41D2B"/>
    <w:rsid w:val="00E4219F"/>
    <w:rsid w:val="00E42208"/>
    <w:rsid w:val="00E42612"/>
    <w:rsid w:val="00E426FA"/>
    <w:rsid w:val="00E429CB"/>
    <w:rsid w:val="00E429ED"/>
    <w:rsid w:val="00E42AE0"/>
    <w:rsid w:val="00E42B75"/>
    <w:rsid w:val="00E42BBA"/>
    <w:rsid w:val="00E43084"/>
    <w:rsid w:val="00E435EC"/>
    <w:rsid w:val="00E43DB5"/>
    <w:rsid w:val="00E43F37"/>
    <w:rsid w:val="00E44079"/>
    <w:rsid w:val="00E44215"/>
    <w:rsid w:val="00E4431B"/>
    <w:rsid w:val="00E44518"/>
    <w:rsid w:val="00E445B6"/>
    <w:rsid w:val="00E44A8B"/>
    <w:rsid w:val="00E44BB6"/>
    <w:rsid w:val="00E450ED"/>
    <w:rsid w:val="00E4522F"/>
    <w:rsid w:val="00E45341"/>
    <w:rsid w:val="00E453B1"/>
    <w:rsid w:val="00E453CB"/>
    <w:rsid w:val="00E45545"/>
    <w:rsid w:val="00E458FD"/>
    <w:rsid w:val="00E45CB0"/>
    <w:rsid w:val="00E45D86"/>
    <w:rsid w:val="00E45E71"/>
    <w:rsid w:val="00E45FF0"/>
    <w:rsid w:val="00E45FFA"/>
    <w:rsid w:val="00E4605F"/>
    <w:rsid w:val="00E462D1"/>
    <w:rsid w:val="00E46541"/>
    <w:rsid w:val="00E46BB0"/>
    <w:rsid w:val="00E46CFF"/>
    <w:rsid w:val="00E47188"/>
    <w:rsid w:val="00E4744F"/>
    <w:rsid w:val="00E4791B"/>
    <w:rsid w:val="00E47AE2"/>
    <w:rsid w:val="00E47E31"/>
    <w:rsid w:val="00E47EBA"/>
    <w:rsid w:val="00E500BC"/>
    <w:rsid w:val="00E50599"/>
    <w:rsid w:val="00E507F0"/>
    <w:rsid w:val="00E50AC6"/>
    <w:rsid w:val="00E51031"/>
    <w:rsid w:val="00E51B74"/>
    <w:rsid w:val="00E51C05"/>
    <w:rsid w:val="00E51DDD"/>
    <w:rsid w:val="00E51E2D"/>
    <w:rsid w:val="00E51FDD"/>
    <w:rsid w:val="00E521A9"/>
    <w:rsid w:val="00E52435"/>
    <w:rsid w:val="00E52439"/>
    <w:rsid w:val="00E524DC"/>
    <w:rsid w:val="00E52501"/>
    <w:rsid w:val="00E525A7"/>
    <w:rsid w:val="00E52E09"/>
    <w:rsid w:val="00E52FDA"/>
    <w:rsid w:val="00E53122"/>
    <w:rsid w:val="00E5332D"/>
    <w:rsid w:val="00E5351B"/>
    <w:rsid w:val="00E53FA9"/>
    <w:rsid w:val="00E5414C"/>
    <w:rsid w:val="00E5421D"/>
    <w:rsid w:val="00E5447C"/>
    <w:rsid w:val="00E545E6"/>
    <w:rsid w:val="00E5460E"/>
    <w:rsid w:val="00E547B3"/>
    <w:rsid w:val="00E548C0"/>
    <w:rsid w:val="00E549BB"/>
    <w:rsid w:val="00E54F55"/>
    <w:rsid w:val="00E55079"/>
    <w:rsid w:val="00E5547B"/>
    <w:rsid w:val="00E55837"/>
    <w:rsid w:val="00E5587A"/>
    <w:rsid w:val="00E558C2"/>
    <w:rsid w:val="00E55CE7"/>
    <w:rsid w:val="00E56110"/>
    <w:rsid w:val="00E56468"/>
    <w:rsid w:val="00E565F4"/>
    <w:rsid w:val="00E56976"/>
    <w:rsid w:val="00E56BBA"/>
    <w:rsid w:val="00E56DEA"/>
    <w:rsid w:val="00E56F04"/>
    <w:rsid w:val="00E5722D"/>
    <w:rsid w:val="00E5733D"/>
    <w:rsid w:val="00E57651"/>
    <w:rsid w:val="00E57B8D"/>
    <w:rsid w:val="00E57DB6"/>
    <w:rsid w:val="00E6055B"/>
    <w:rsid w:val="00E60A33"/>
    <w:rsid w:val="00E60E66"/>
    <w:rsid w:val="00E60F32"/>
    <w:rsid w:val="00E617CE"/>
    <w:rsid w:val="00E61AC3"/>
    <w:rsid w:val="00E61BCE"/>
    <w:rsid w:val="00E61CC0"/>
    <w:rsid w:val="00E61F72"/>
    <w:rsid w:val="00E62017"/>
    <w:rsid w:val="00E62707"/>
    <w:rsid w:val="00E6277B"/>
    <w:rsid w:val="00E631CF"/>
    <w:rsid w:val="00E63604"/>
    <w:rsid w:val="00E63644"/>
    <w:rsid w:val="00E63A68"/>
    <w:rsid w:val="00E63F25"/>
    <w:rsid w:val="00E63F8B"/>
    <w:rsid w:val="00E6416C"/>
    <w:rsid w:val="00E64424"/>
    <w:rsid w:val="00E645D1"/>
    <w:rsid w:val="00E64C99"/>
    <w:rsid w:val="00E64CD3"/>
    <w:rsid w:val="00E653F7"/>
    <w:rsid w:val="00E65821"/>
    <w:rsid w:val="00E65D22"/>
    <w:rsid w:val="00E6603E"/>
    <w:rsid w:val="00E66479"/>
    <w:rsid w:val="00E664E4"/>
    <w:rsid w:val="00E66795"/>
    <w:rsid w:val="00E66CAB"/>
    <w:rsid w:val="00E66D5B"/>
    <w:rsid w:val="00E67014"/>
    <w:rsid w:val="00E671C9"/>
    <w:rsid w:val="00E6743F"/>
    <w:rsid w:val="00E674AA"/>
    <w:rsid w:val="00E6758E"/>
    <w:rsid w:val="00E67E23"/>
    <w:rsid w:val="00E70016"/>
    <w:rsid w:val="00E70352"/>
    <w:rsid w:val="00E7040E"/>
    <w:rsid w:val="00E704FD"/>
    <w:rsid w:val="00E7061D"/>
    <w:rsid w:val="00E70889"/>
    <w:rsid w:val="00E708DA"/>
    <w:rsid w:val="00E70923"/>
    <w:rsid w:val="00E70BC7"/>
    <w:rsid w:val="00E70C9A"/>
    <w:rsid w:val="00E70F7C"/>
    <w:rsid w:val="00E70FBC"/>
    <w:rsid w:val="00E71042"/>
    <w:rsid w:val="00E71BC9"/>
    <w:rsid w:val="00E71CA7"/>
    <w:rsid w:val="00E71E22"/>
    <w:rsid w:val="00E7267B"/>
    <w:rsid w:val="00E726A8"/>
    <w:rsid w:val="00E72828"/>
    <w:rsid w:val="00E72C01"/>
    <w:rsid w:val="00E72C1D"/>
    <w:rsid w:val="00E72CDB"/>
    <w:rsid w:val="00E73247"/>
    <w:rsid w:val="00E73613"/>
    <w:rsid w:val="00E73B63"/>
    <w:rsid w:val="00E741AC"/>
    <w:rsid w:val="00E7475B"/>
    <w:rsid w:val="00E748DB"/>
    <w:rsid w:val="00E75174"/>
    <w:rsid w:val="00E751A2"/>
    <w:rsid w:val="00E75653"/>
    <w:rsid w:val="00E75731"/>
    <w:rsid w:val="00E7585B"/>
    <w:rsid w:val="00E759F6"/>
    <w:rsid w:val="00E75E9F"/>
    <w:rsid w:val="00E75EBA"/>
    <w:rsid w:val="00E7638B"/>
    <w:rsid w:val="00E763B4"/>
    <w:rsid w:val="00E7662C"/>
    <w:rsid w:val="00E767B2"/>
    <w:rsid w:val="00E76A63"/>
    <w:rsid w:val="00E76CE5"/>
    <w:rsid w:val="00E77574"/>
    <w:rsid w:val="00E7783B"/>
    <w:rsid w:val="00E77848"/>
    <w:rsid w:val="00E77F4D"/>
    <w:rsid w:val="00E80484"/>
    <w:rsid w:val="00E80514"/>
    <w:rsid w:val="00E8052E"/>
    <w:rsid w:val="00E80874"/>
    <w:rsid w:val="00E80D7E"/>
    <w:rsid w:val="00E80DF4"/>
    <w:rsid w:val="00E80E5B"/>
    <w:rsid w:val="00E80F53"/>
    <w:rsid w:val="00E8152C"/>
    <w:rsid w:val="00E816C5"/>
    <w:rsid w:val="00E8172B"/>
    <w:rsid w:val="00E81743"/>
    <w:rsid w:val="00E819AA"/>
    <w:rsid w:val="00E81CE0"/>
    <w:rsid w:val="00E81DAE"/>
    <w:rsid w:val="00E81E7C"/>
    <w:rsid w:val="00E81EA5"/>
    <w:rsid w:val="00E8224D"/>
    <w:rsid w:val="00E82631"/>
    <w:rsid w:val="00E826E0"/>
    <w:rsid w:val="00E82AD3"/>
    <w:rsid w:val="00E82AE0"/>
    <w:rsid w:val="00E82CAB"/>
    <w:rsid w:val="00E832B0"/>
    <w:rsid w:val="00E832E7"/>
    <w:rsid w:val="00E83332"/>
    <w:rsid w:val="00E83800"/>
    <w:rsid w:val="00E8389B"/>
    <w:rsid w:val="00E83C79"/>
    <w:rsid w:val="00E83FDF"/>
    <w:rsid w:val="00E83FE8"/>
    <w:rsid w:val="00E8435D"/>
    <w:rsid w:val="00E845AF"/>
    <w:rsid w:val="00E84875"/>
    <w:rsid w:val="00E848D1"/>
    <w:rsid w:val="00E84AC4"/>
    <w:rsid w:val="00E84C71"/>
    <w:rsid w:val="00E8519F"/>
    <w:rsid w:val="00E851CB"/>
    <w:rsid w:val="00E854D1"/>
    <w:rsid w:val="00E85530"/>
    <w:rsid w:val="00E856F4"/>
    <w:rsid w:val="00E85CC3"/>
    <w:rsid w:val="00E85E9A"/>
    <w:rsid w:val="00E85EA1"/>
    <w:rsid w:val="00E862C6"/>
    <w:rsid w:val="00E8644A"/>
    <w:rsid w:val="00E86488"/>
    <w:rsid w:val="00E866C3"/>
    <w:rsid w:val="00E86B20"/>
    <w:rsid w:val="00E86FBE"/>
    <w:rsid w:val="00E87130"/>
    <w:rsid w:val="00E87EE1"/>
    <w:rsid w:val="00E90279"/>
    <w:rsid w:val="00E902F1"/>
    <w:rsid w:val="00E903BA"/>
    <w:rsid w:val="00E90494"/>
    <w:rsid w:val="00E905ED"/>
    <w:rsid w:val="00E90635"/>
    <w:rsid w:val="00E9063F"/>
    <w:rsid w:val="00E909A1"/>
    <w:rsid w:val="00E90BFF"/>
    <w:rsid w:val="00E90CEF"/>
    <w:rsid w:val="00E91274"/>
    <w:rsid w:val="00E912AC"/>
    <w:rsid w:val="00E91471"/>
    <w:rsid w:val="00E914CB"/>
    <w:rsid w:val="00E91BFB"/>
    <w:rsid w:val="00E91CAD"/>
    <w:rsid w:val="00E91E8E"/>
    <w:rsid w:val="00E91EFB"/>
    <w:rsid w:val="00E91F04"/>
    <w:rsid w:val="00E91F35"/>
    <w:rsid w:val="00E922D4"/>
    <w:rsid w:val="00E92435"/>
    <w:rsid w:val="00E9277D"/>
    <w:rsid w:val="00E9339B"/>
    <w:rsid w:val="00E93B8A"/>
    <w:rsid w:val="00E93D23"/>
    <w:rsid w:val="00E93D5A"/>
    <w:rsid w:val="00E944A2"/>
    <w:rsid w:val="00E945D3"/>
    <w:rsid w:val="00E94EE3"/>
    <w:rsid w:val="00E95BA6"/>
    <w:rsid w:val="00E962F1"/>
    <w:rsid w:val="00E965FE"/>
    <w:rsid w:val="00E97016"/>
    <w:rsid w:val="00E97648"/>
    <w:rsid w:val="00E976F3"/>
    <w:rsid w:val="00E97823"/>
    <w:rsid w:val="00E97C13"/>
    <w:rsid w:val="00E97D0D"/>
    <w:rsid w:val="00E97DA6"/>
    <w:rsid w:val="00E98704"/>
    <w:rsid w:val="00EA006B"/>
    <w:rsid w:val="00EA066D"/>
    <w:rsid w:val="00EA0A44"/>
    <w:rsid w:val="00EA0E4A"/>
    <w:rsid w:val="00EA0EDB"/>
    <w:rsid w:val="00EA1959"/>
    <w:rsid w:val="00EA1A54"/>
    <w:rsid w:val="00EA1B9A"/>
    <w:rsid w:val="00EA20E5"/>
    <w:rsid w:val="00EA21C3"/>
    <w:rsid w:val="00EA2226"/>
    <w:rsid w:val="00EA26FC"/>
    <w:rsid w:val="00EA272A"/>
    <w:rsid w:val="00EA2E0C"/>
    <w:rsid w:val="00EA3400"/>
    <w:rsid w:val="00EA382E"/>
    <w:rsid w:val="00EA3B5A"/>
    <w:rsid w:val="00EA3BCD"/>
    <w:rsid w:val="00EA3E42"/>
    <w:rsid w:val="00EA410E"/>
    <w:rsid w:val="00EA45C9"/>
    <w:rsid w:val="00EA48A9"/>
    <w:rsid w:val="00EA4E4D"/>
    <w:rsid w:val="00EA4EF2"/>
    <w:rsid w:val="00EA4FD1"/>
    <w:rsid w:val="00EA508B"/>
    <w:rsid w:val="00EA53C2"/>
    <w:rsid w:val="00EA5695"/>
    <w:rsid w:val="00EA5A62"/>
    <w:rsid w:val="00EA5B0A"/>
    <w:rsid w:val="00EA5CE4"/>
    <w:rsid w:val="00EA5DF8"/>
    <w:rsid w:val="00EA6361"/>
    <w:rsid w:val="00EA6388"/>
    <w:rsid w:val="00EA65AD"/>
    <w:rsid w:val="00EA6E51"/>
    <w:rsid w:val="00EA6E92"/>
    <w:rsid w:val="00EA6EB5"/>
    <w:rsid w:val="00EA7383"/>
    <w:rsid w:val="00EA7446"/>
    <w:rsid w:val="00EA79EE"/>
    <w:rsid w:val="00EA7FCF"/>
    <w:rsid w:val="00EA7FF7"/>
    <w:rsid w:val="00EB07CE"/>
    <w:rsid w:val="00EB0B07"/>
    <w:rsid w:val="00EB0CA3"/>
    <w:rsid w:val="00EB0CA9"/>
    <w:rsid w:val="00EB104F"/>
    <w:rsid w:val="00EB1052"/>
    <w:rsid w:val="00EB11C3"/>
    <w:rsid w:val="00EB16E6"/>
    <w:rsid w:val="00EB17BD"/>
    <w:rsid w:val="00EB1B27"/>
    <w:rsid w:val="00EB1CFE"/>
    <w:rsid w:val="00EB1D22"/>
    <w:rsid w:val="00EB1DA8"/>
    <w:rsid w:val="00EB2258"/>
    <w:rsid w:val="00EB22DC"/>
    <w:rsid w:val="00EB2E3B"/>
    <w:rsid w:val="00EB3519"/>
    <w:rsid w:val="00EB3524"/>
    <w:rsid w:val="00EB371F"/>
    <w:rsid w:val="00EB3D15"/>
    <w:rsid w:val="00EB40AA"/>
    <w:rsid w:val="00EB428C"/>
    <w:rsid w:val="00EB4371"/>
    <w:rsid w:val="00EB4476"/>
    <w:rsid w:val="00EB450F"/>
    <w:rsid w:val="00EB45A1"/>
    <w:rsid w:val="00EB4CFF"/>
    <w:rsid w:val="00EB4D53"/>
    <w:rsid w:val="00EB5182"/>
    <w:rsid w:val="00EB52AB"/>
    <w:rsid w:val="00EB5476"/>
    <w:rsid w:val="00EB5930"/>
    <w:rsid w:val="00EB5E87"/>
    <w:rsid w:val="00EB615A"/>
    <w:rsid w:val="00EB6649"/>
    <w:rsid w:val="00EB6669"/>
    <w:rsid w:val="00EB681A"/>
    <w:rsid w:val="00EB68BE"/>
    <w:rsid w:val="00EB6936"/>
    <w:rsid w:val="00EB6CC6"/>
    <w:rsid w:val="00EB6D46"/>
    <w:rsid w:val="00EB6EE1"/>
    <w:rsid w:val="00EB6F83"/>
    <w:rsid w:val="00EB70B0"/>
    <w:rsid w:val="00EB75B7"/>
    <w:rsid w:val="00EB7633"/>
    <w:rsid w:val="00EB7736"/>
    <w:rsid w:val="00EB78D6"/>
    <w:rsid w:val="00EB7F5E"/>
    <w:rsid w:val="00EC019F"/>
    <w:rsid w:val="00EC026C"/>
    <w:rsid w:val="00EC0C86"/>
    <w:rsid w:val="00EC0E6F"/>
    <w:rsid w:val="00EC1097"/>
    <w:rsid w:val="00EC1201"/>
    <w:rsid w:val="00EC13F5"/>
    <w:rsid w:val="00EC18F7"/>
    <w:rsid w:val="00EC1A3E"/>
    <w:rsid w:val="00EC1F5A"/>
    <w:rsid w:val="00EC23A7"/>
    <w:rsid w:val="00EC29C1"/>
    <w:rsid w:val="00EC2A38"/>
    <w:rsid w:val="00EC2A62"/>
    <w:rsid w:val="00EC2D8F"/>
    <w:rsid w:val="00EC2E2D"/>
    <w:rsid w:val="00EC337C"/>
    <w:rsid w:val="00EC37D1"/>
    <w:rsid w:val="00EC3A3A"/>
    <w:rsid w:val="00EC462B"/>
    <w:rsid w:val="00EC4683"/>
    <w:rsid w:val="00EC4723"/>
    <w:rsid w:val="00EC4A13"/>
    <w:rsid w:val="00EC4AC6"/>
    <w:rsid w:val="00EC4BE1"/>
    <w:rsid w:val="00EC4D52"/>
    <w:rsid w:val="00EC5021"/>
    <w:rsid w:val="00EC50FE"/>
    <w:rsid w:val="00EC52D1"/>
    <w:rsid w:val="00EC5432"/>
    <w:rsid w:val="00EC56E0"/>
    <w:rsid w:val="00EC6057"/>
    <w:rsid w:val="00EC60C8"/>
    <w:rsid w:val="00EC6847"/>
    <w:rsid w:val="00EC6BAB"/>
    <w:rsid w:val="00EC6EB3"/>
    <w:rsid w:val="00EC6F7C"/>
    <w:rsid w:val="00EC70EC"/>
    <w:rsid w:val="00EC71D0"/>
    <w:rsid w:val="00EC7448"/>
    <w:rsid w:val="00EC76A7"/>
    <w:rsid w:val="00EC781D"/>
    <w:rsid w:val="00EC790E"/>
    <w:rsid w:val="00EC7A6C"/>
    <w:rsid w:val="00EC7DB6"/>
    <w:rsid w:val="00EC7DDF"/>
    <w:rsid w:val="00ED072D"/>
    <w:rsid w:val="00ED091F"/>
    <w:rsid w:val="00ED0A1E"/>
    <w:rsid w:val="00ED0AA5"/>
    <w:rsid w:val="00ED0BAC"/>
    <w:rsid w:val="00ED0F37"/>
    <w:rsid w:val="00ED162F"/>
    <w:rsid w:val="00ED1642"/>
    <w:rsid w:val="00ED1B79"/>
    <w:rsid w:val="00ED1ED3"/>
    <w:rsid w:val="00ED1FBB"/>
    <w:rsid w:val="00ED242F"/>
    <w:rsid w:val="00ED29E8"/>
    <w:rsid w:val="00ED2D59"/>
    <w:rsid w:val="00ED2E52"/>
    <w:rsid w:val="00ED3024"/>
    <w:rsid w:val="00ED30E1"/>
    <w:rsid w:val="00ED3362"/>
    <w:rsid w:val="00ED34A2"/>
    <w:rsid w:val="00ED379A"/>
    <w:rsid w:val="00ED3A90"/>
    <w:rsid w:val="00ED3ABE"/>
    <w:rsid w:val="00ED3F41"/>
    <w:rsid w:val="00ED41BB"/>
    <w:rsid w:val="00ED424C"/>
    <w:rsid w:val="00ED45A3"/>
    <w:rsid w:val="00ED4ACF"/>
    <w:rsid w:val="00ED54D8"/>
    <w:rsid w:val="00ED550E"/>
    <w:rsid w:val="00ED5701"/>
    <w:rsid w:val="00ED5D68"/>
    <w:rsid w:val="00ED5DEE"/>
    <w:rsid w:val="00ED5FE4"/>
    <w:rsid w:val="00ED60CE"/>
    <w:rsid w:val="00ED62FE"/>
    <w:rsid w:val="00ED6C6F"/>
    <w:rsid w:val="00ED71B5"/>
    <w:rsid w:val="00ED71C5"/>
    <w:rsid w:val="00ED72E0"/>
    <w:rsid w:val="00ED73BE"/>
    <w:rsid w:val="00ED7409"/>
    <w:rsid w:val="00ED74FC"/>
    <w:rsid w:val="00ED757D"/>
    <w:rsid w:val="00ED76F5"/>
    <w:rsid w:val="00ED7711"/>
    <w:rsid w:val="00ED799F"/>
    <w:rsid w:val="00EE0201"/>
    <w:rsid w:val="00EE0A15"/>
    <w:rsid w:val="00EE0A4B"/>
    <w:rsid w:val="00EE0AD8"/>
    <w:rsid w:val="00EE123E"/>
    <w:rsid w:val="00EE1269"/>
    <w:rsid w:val="00EE16FA"/>
    <w:rsid w:val="00EE186B"/>
    <w:rsid w:val="00EE1C43"/>
    <w:rsid w:val="00EE1C6E"/>
    <w:rsid w:val="00EE20C3"/>
    <w:rsid w:val="00EE210F"/>
    <w:rsid w:val="00EE2234"/>
    <w:rsid w:val="00EE2573"/>
    <w:rsid w:val="00EE275B"/>
    <w:rsid w:val="00EE27B7"/>
    <w:rsid w:val="00EE2AFF"/>
    <w:rsid w:val="00EE3415"/>
    <w:rsid w:val="00EE391D"/>
    <w:rsid w:val="00EE3B34"/>
    <w:rsid w:val="00EE3C42"/>
    <w:rsid w:val="00EE3D4F"/>
    <w:rsid w:val="00EE3E0E"/>
    <w:rsid w:val="00EE4170"/>
    <w:rsid w:val="00EE4251"/>
    <w:rsid w:val="00EE4426"/>
    <w:rsid w:val="00EE4538"/>
    <w:rsid w:val="00EE476F"/>
    <w:rsid w:val="00EE4946"/>
    <w:rsid w:val="00EE4DC9"/>
    <w:rsid w:val="00EE4EFE"/>
    <w:rsid w:val="00EE4F04"/>
    <w:rsid w:val="00EE534D"/>
    <w:rsid w:val="00EE5560"/>
    <w:rsid w:val="00EE5823"/>
    <w:rsid w:val="00EE5EAD"/>
    <w:rsid w:val="00EE5FE0"/>
    <w:rsid w:val="00EE6534"/>
    <w:rsid w:val="00EE6A78"/>
    <w:rsid w:val="00EE6D16"/>
    <w:rsid w:val="00EE6F1E"/>
    <w:rsid w:val="00EE740C"/>
    <w:rsid w:val="00EE744D"/>
    <w:rsid w:val="00EE7AB4"/>
    <w:rsid w:val="00EE7DBB"/>
    <w:rsid w:val="00EF0348"/>
    <w:rsid w:val="00EF072C"/>
    <w:rsid w:val="00EF0948"/>
    <w:rsid w:val="00EF0F8E"/>
    <w:rsid w:val="00EF14AD"/>
    <w:rsid w:val="00EF15A2"/>
    <w:rsid w:val="00EF1F9C"/>
    <w:rsid w:val="00EF2166"/>
    <w:rsid w:val="00EF22ED"/>
    <w:rsid w:val="00EF248C"/>
    <w:rsid w:val="00EF26FD"/>
    <w:rsid w:val="00EF275D"/>
    <w:rsid w:val="00EF27B1"/>
    <w:rsid w:val="00EF320C"/>
    <w:rsid w:val="00EF3630"/>
    <w:rsid w:val="00EF3776"/>
    <w:rsid w:val="00EF3A03"/>
    <w:rsid w:val="00EF3C7B"/>
    <w:rsid w:val="00EF3E6E"/>
    <w:rsid w:val="00EF3EA0"/>
    <w:rsid w:val="00EF4366"/>
    <w:rsid w:val="00EF443A"/>
    <w:rsid w:val="00EF4513"/>
    <w:rsid w:val="00EF45C4"/>
    <w:rsid w:val="00EF464E"/>
    <w:rsid w:val="00EF4689"/>
    <w:rsid w:val="00EF4C9B"/>
    <w:rsid w:val="00EF4CD6"/>
    <w:rsid w:val="00EF4D9C"/>
    <w:rsid w:val="00EF4E5C"/>
    <w:rsid w:val="00EF5129"/>
    <w:rsid w:val="00EF543E"/>
    <w:rsid w:val="00EF55A0"/>
    <w:rsid w:val="00EF5921"/>
    <w:rsid w:val="00EF5968"/>
    <w:rsid w:val="00EF5A60"/>
    <w:rsid w:val="00EF63D1"/>
    <w:rsid w:val="00EF6513"/>
    <w:rsid w:val="00EF6683"/>
    <w:rsid w:val="00EF668B"/>
    <w:rsid w:val="00EF6970"/>
    <w:rsid w:val="00EF69D8"/>
    <w:rsid w:val="00EF6A93"/>
    <w:rsid w:val="00EF7002"/>
    <w:rsid w:val="00EF7599"/>
    <w:rsid w:val="00EF7655"/>
    <w:rsid w:val="00EF769B"/>
    <w:rsid w:val="00EF7B20"/>
    <w:rsid w:val="00F000D1"/>
    <w:rsid w:val="00F00244"/>
    <w:rsid w:val="00F00F08"/>
    <w:rsid w:val="00F00F53"/>
    <w:rsid w:val="00F0174F"/>
    <w:rsid w:val="00F0196D"/>
    <w:rsid w:val="00F01A73"/>
    <w:rsid w:val="00F01AE7"/>
    <w:rsid w:val="00F01DC5"/>
    <w:rsid w:val="00F023A0"/>
    <w:rsid w:val="00F0257C"/>
    <w:rsid w:val="00F027BA"/>
    <w:rsid w:val="00F02BE7"/>
    <w:rsid w:val="00F02CED"/>
    <w:rsid w:val="00F03244"/>
    <w:rsid w:val="00F03852"/>
    <w:rsid w:val="00F039EE"/>
    <w:rsid w:val="00F03A99"/>
    <w:rsid w:val="00F03E79"/>
    <w:rsid w:val="00F03FC2"/>
    <w:rsid w:val="00F03FE5"/>
    <w:rsid w:val="00F0438D"/>
    <w:rsid w:val="00F05454"/>
    <w:rsid w:val="00F0597B"/>
    <w:rsid w:val="00F05993"/>
    <w:rsid w:val="00F05B20"/>
    <w:rsid w:val="00F05F46"/>
    <w:rsid w:val="00F0622E"/>
    <w:rsid w:val="00F0628D"/>
    <w:rsid w:val="00F0629A"/>
    <w:rsid w:val="00F06651"/>
    <w:rsid w:val="00F066AB"/>
    <w:rsid w:val="00F0674A"/>
    <w:rsid w:val="00F06894"/>
    <w:rsid w:val="00F069D0"/>
    <w:rsid w:val="00F06A06"/>
    <w:rsid w:val="00F06A2B"/>
    <w:rsid w:val="00F06E97"/>
    <w:rsid w:val="00F07558"/>
    <w:rsid w:val="00F0799C"/>
    <w:rsid w:val="00F07DE6"/>
    <w:rsid w:val="00F07E90"/>
    <w:rsid w:val="00F1035D"/>
    <w:rsid w:val="00F1056C"/>
    <w:rsid w:val="00F1070F"/>
    <w:rsid w:val="00F107F1"/>
    <w:rsid w:val="00F10FC1"/>
    <w:rsid w:val="00F1109D"/>
    <w:rsid w:val="00F112FD"/>
    <w:rsid w:val="00F11386"/>
    <w:rsid w:val="00F1166A"/>
    <w:rsid w:val="00F116A2"/>
    <w:rsid w:val="00F11C11"/>
    <w:rsid w:val="00F11E7A"/>
    <w:rsid w:val="00F11EA2"/>
    <w:rsid w:val="00F11FE8"/>
    <w:rsid w:val="00F1214A"/>
    <w:rsid w:val="00F126F3"/>
    <w:rsid w:val="00F127CB"/>
    <w:rsid w:val="00F12D73"/>
    <w:rsid w:val="00F131FA"/>
    <w:rsid w:val="00F1329C"/>
    <w:rsid w:val="00F133A1"/>
    <w:rsid w:val="00F13624"/>
    <w:rsid w:val="00F139AE"/>
    <w:rsid w:val="00F13AD7"/>
    <w:rsid w:val="00F13ECD"/>
    <w:rsid w:val="00F141B1"/>
    <w:rsid w:val="00F1423B"/>
    <w:rsid w:val="00F144A6"/>
    <w:rsid w:val="00F14C2B"/>
    <w:rsid w:val="00F14D5B"/>
    <w:rsid w:val="00F14DB1"/>
    <w:rsid w:val="00F14F85"/>
    <w:rsid w:val="00F15042"/>
    <w:rsid w:val="00F15076"/>
    <w:rsid w:val="00F1529F"/>
    <w:rsid w:val="00F15408"/>
    <w:rsid w:val="00F155CE"/>
    <w:rsid w:val="00F16329"/>
    <w:rsid w:val="00F16442"/>
    <w:rsid w:val="00F16FE4"/>
    <w:rsid w:val="00F1735F"/>
    <w:rsid w:val="00F176D5"/>
    <w:rsid w:val="00F1778C"/>
    <w:rsid w:val="00F17888"/>
    <w:rsid w:val="00F17A4A"/>
    <w:rsid w:val="00F17E77"/>
    <w:rsid w:val="00F17EAE"/>
    <w:rsid w:val="00F202AC"/>
    <w:rsid w:val="00F203B0"/>
    <w:rsid w:val="00F204E8"/>
    <w:rsid w:val="00F20703"/>
    <w:rsid w:val="00F207B0"/>
    <w:rsid w:val="00F209D5"/>
    <w:rsid w:val="00F20AD2"/>
    <w:rsid w:val="00F20C06"/>
    <w:rsid w:val="00F20ED6"/>
    <w:rsid w:val="00F20FE3"/>
    <w:rsid w:val="00F2111D"/>
    <w:rsid w:val="00F214F6"/>
    <w:rsid w:val="00F216B7"/>
    <w:rsid w:val="00F21856"/>
    <w:rsid w:val="00F218D4"/>
    <w:rsid w:val="00F22014"/>
    <w:rsid w:val="00F22030"/>
    <w:rsid w:val="00F22324"/>
    <w:rsid w:val="00F22436"/>
    <w:rsid w:val="00F2250A"/>
    <w:rsid w:val="00F22837"/>
    <w:rsid w:val="00F23143"/>
    <w:rsid w:val="00F23284"/>
    <w:rsid w:val="00F236B0"/>
    <w:rsid w:val="00F23715"/>
    <w:rsid w:val="00F23AC6"/>
    <w:rsid w:val="00F23B32"/>
    <w:rsid w:val="00F23B85"/>
    <w:rsid w:val="00F23BBC"/>
    <w:rsid w:val="00F23EA1"/>
    <w:rsid w:val="00F244F9"/>
    <w:rsid w:val="00F24788"/>
    <w:rsid w:val="00F249EB"/>
    <w:rsid w:val="00F24E53"/>
    <w:rsid w:val="00F24E78"/>
    <w:rsid w:val="00F256F8"/>
    <w:rsid w:val="00F26058"/>
    <w:rsid w:val="00F26211"/>
    <w:rsid w:val="00F2624E"/>
    <w:rsid w:val="00F2633A"/>
    <w:rsid w:val="00F2640F"/>
    <w:rsid w:val="00F26714"/>
    <w:rsid w:val="00F26F1C"/>
    <w:rsid w:val="00F27519"/>
    <w:rsid w:val="00F276F9"/>
    <w:rsid w:val="00F27C34"/>
    <w:rsid w:val="00F27C51"/>
    <w:rsid w:val="00F27E0B"/>
    <w:rsid w:val="00F27E46"/>
    <w:rsid w:val="00F301C2"/>
    <w:rsid w:val="00F3023C"/>
    <w:rsid w:val="00F302E1"/>
    <w:rsid w:val="00F3035B"/>
    <w:rsid w:val="00F3035E"/>
    <w:rsid w:val="00F307F1"/>
    <w:rsid w:val="00F30874"/>
    <w:rsid w:val="00F319F3"/>
    <w:rsid w:val="00F31B22"/>
    <w:rsid w:val="00F31B49"/>
    <w:rsid w:val="00F3245A"/>
    <w:rsid w:val="00F32800"/>
    <w:rsid w:val="00F328C7"/>
    <w:rsid w:val="00F32BD5"/>
    <w:rsid w:val="00F32CF2"/>
    <w:rsid w:val="00F32F56"/>
    <w:rsid w:val="00F33133"/>
    <w:rsid w:val="00F33D4F"/>
    <w:rsid w:val="00F34019"/>
    <w:rsid w:val="00F34178"/>
    <w:rsid w:val="00F3427F"/>
    <w:rsid w:val="00F342EC"/>
    <w:rsid w:val="00F3440F"/>
    <w:rsid w:val="00F34431"/>
    <w:rsid w:val="00F34A21"/>
    <w:rsid w:val="00F34CD6"/>
    <w:rsid w:val="00F34E6B"/>
    <w:rsid w:val="00F35512"/>
    <w:rsid w:val="00F35730"/>
    <w:rsid w:val="00F35873"/>
    <w:rsid w:val="00F35920"/>
    <w:rsid w:val="00F3598A"/>
    <w:rsid w:val="00F35C20"/>
    <w:rsid w:val="00F35F18"/>
    <w:rsid w:val="00F3645B"/>
    <w:rsid w:val="00F36619"/>
    <w:rsid w:val="00F366A5"/>
    <w:rsid w:val="00F369FA"/>
    <w:rsid w:val="00F36B71"/>
    <w:rsid w:val="00F36BF7"/>
    <w:rsid w:val="00F36C5F"/>
    <w:rsid w:val="00F36DAA"/>
    <w:rsid w:val="00F3712E"/>
    <w:rsid w:val="00F37196"/>
    <w:rsid w:val="00F37259"/>
    <w:rsid w:val="00F4019A"/>
    <w:rsid w:val="00F403C5"/>
    <w:rsid w:val="00F40561"/>
    <w:rsid w:val="00F405A4"/>
    <w:rsid w:val="00F40916"/>
    <w:rsid w:val="00F40BAF"/>
    <w:rsid w:val="00F40D4C"/>
    <w:rsid w:val="00F40FBD"/>
    <w:rsid w:val="00F410CB"/>
    <w:rsid w:val="00F4125C"/>
    <w:rsid w:val="00F413CF"/>
    <w:rsid w:val="00F41631"/>
    <w:rsid w:val="00F416CF"/>
    <w:rsid w:val="00F41A64"/>
    <w:rsid w:val="00F41B3D"/>
    <w:rsid w:val="00F41B9F"/>
    <w:rsid w:val="00F41F05"/>
    <w:rsid w:val="00F42405"/>
    <w:rsid w:val="00F42A7D"/>
    <w:rsid w:val="00F430D7"/>
    <w:rsid w:val="00F4315D"/>
    <w:rsid w:val="00F4316F"/>
    <w:rsid w:val="00F433BD"/>
    <w:rsid w:val="00F437FF"/>
    <w:rsid w:val="00F43864"/>
    <w:rsid w:val="00F43A8F"/>
    <w:rsid w:val="00F43BE1"/>
    <w:rsid w:val="00F43CE0"/>
    <w:rsid w:val="00F43E6E"/>
    <w:rsid w:val="00F4421B"/>
    <w:rsid w:val="00F4422C"/>
    <w:rsid w:val="00F44EC5"/>
    <w:rsid w:val="00F45897"/>
    <w:rsid w:val="00F45B1E"/>
    <w:rsid w:val="00F45E27"/>
    <w:rsid w:val="00F4610D"/>
    <w:rsid w:val="00F4647A"/>
    <w:rsid w:val="00F4675C"/>
    <w:rsid w:val="00F46988"/>
    <w:rsid w:val="00F469F3"/>
    <w:rsid w:val="00F46A8A"/>
    <w:rsid w:val="00F46AEF"/>
    <w:rsid w:val="00F46B7F"/>
    <w:rsid w:val="00F46EEC"/>
    <w:rsid w:val="00F4704D"/>
    <w:rsid w:val="00F4736C"/>
    <w:rsid w:val="00F47422"/>
    <w:rsid w:val="00F47498"/>
    <w:rsid w:val="00F47C8A"/>
    <w:rsid w:val="00F503DC"/>
    <w:rsid w:val="00F506A7"/>
    <w:rsid w:val="00F507A2"/>
    <w:rsid w:val="00F5091A"/>
    <w:rsid w:val="00F50CAB"/>
    <w:rsid w:val="00F5101B"/>
    <w:rsid w:val="00F512B2"/>
    <w:rsid w:val="00F5137F"/>
    <w:rsid w:val="00F51B25"/>
    <w:rsid w:val="00F51F7F"/>
    <w:rsid w:val="00F51FFB"/>
    <w:rsid w:val="00F5261C"/>
    <w:rsid w:val="00F5283D"/>
    <w:rsid w:val="00F52ABA"/>
    <w:rsid w:val="00F52BC7"/>
    <w:rsid w:val="00F52D80"/>
    <w:rsid w:val="00F52EF8"/>
    <w:rsid w:val="00F52FC9"/>
    <w:rsid w:val="00F5320D"/>
    <w:rsid w:val="00F53528"/>
    <w:rsid w:val="00F53939"/>
    <w:rsid w:val="00F53B02"/>
    <w:rsid w:val="00F53B67"/>
    <w:rsid w:val="00F53BF4"/>
    <w:rsid w:val="00F53F1A"/>
    <w:rsid w:val="00F54266"/>
    <w:rsid w:val="00F54451"/>
    <w:rsid w:val="00F5448B"/>
    <w:rsid w:val="00F54C46"/>
    <w:rsid w:val="00F55043"/>
    <w:rsid w:val="00F551D1"/>
    <w:rsid w:val="00F55420"/>
    <w:rsid w:val="00F5549C"/>
    <w:rsid w:val="00F557B1"/>
    <w:rsid w:val="00F558ED"/>
    <w:rsid w:val="00F55E34"/>
    <w:rsid w:val="00F560D0"/>
    <w:rsid w:val="00F56291"/>
    <w:rsid w:val="00F56409"/>
    <w:rsid w:val="00F56557"/>
    <w:rsid w:val="00F56D59"/>
    <w:rsid w:val="00F56DCF"/>
    <w:rsid w:val="00F56F69"/>
    <w:rsid w:val="00F56FC1"/>
    <w:rsid w:val="00F57034"/>
    <w:rsid w:val="00F575A9"/>
    <w:rsid w:val="00F57AE7"/>
    <w:rsid w:val="00F60294"/>
    <w:rsid w:val="00F605E1"/>
    <w:rsid w:val="00F60BE9"/>
    <w:rsid w:val="00F60D35"/>
    <w:rsid w:val="00F610D1"/>
    <w:rsid w:val="00F611D8"/>
    <w:rsid w:val="00F61677"/>
    <w:rsid w:val="00F61D0F"/>
    <w:rsid w:val="00F61DD2"/>
    <w:rsid w:val="00F61FD8"/>
    <w:rsid w:val="00F6201C"/>
    <w:rsid w:val="00F62025"/>
    <w:rsid w:val="00F621D9"/>
    <w:rsid w:val="00F62235"/>
    <w:rsid w:val="00F62248"/>
    <w:rsid w:val="00F624BA"/>
    <w:rsid w:val="00F62B00"/>
    <w:rsid w:val="00F62B0A"/>
    <w:rsid w:val="00F62CD1"/>
    <w:rsid w:val="00F62D3B"/>
    <w:rsid w:val="00F62DBF"/>
    <w:rsid w:val="00F6328C"/>
    <w:rsid w:val="00F63CB8"/>
    <w:rsid w:val="00F641FC"/>
    <w:rsid w:val="00F646FD"/>
    <w:rsid w:val="00F647F7"/>
    <w:rsid w:val="00F64E2D"/>
    <w:rsid w:val="00F64EB4"/>
    <w:rsid w:val="00F64F1F"/>
    <w:rsid w:val="00F650F2"/>
    <w:rsid w:val="00F656AC"/>
    <w:rsid w:val="00F6583C"/>
    <w:rsid w:val="00F6589A"/>
    <w:rsid w:val="00F65CF1"/>
    <w:rsid w:val="00F66249"/>
    <w:rsid w:val="00F665C1"/>
    <w:rsid w:val="00F665F2"/>
    <w:rsid w:val="00F667E8"/>
    <w:rsid w:val="00F66F65"/>
    <w:rsid w:val="00F66F7C"/>
    <w:rsid w:val="00F671AC"/>
    <w:rsid w:val="00F675F9"/>
    <w:rsid w:val="00F6783E"/>
    <w:rsid w:val="00F67974"/>
    <w:rsid w:val="00F679EE"/>
    <w:rsid w:val="00F67A34"/>
    <w:rsid w:val="00F7037D"/>
    <w:rsid w:val="00F70559"/>
    <w:rsid w:val="00F70C4E"/>
    <w:rsid w:val="00F70DBE"/>
    <w:rsid w:val="00F70E57"/>
    <w:rsid w:val="00F71124"/>
    <w:rsid w:val="00F71371"/>
    <w:rsid w:val="00F71765"/>
    <w:rsid w:val="00F71838"/>
    <w:rsid w:val="00F71888"/>
    <w:rsid w:val="00F719CD"/>
    <w:rsid w:val="00F71BB8"/>
    <w:rsid w:val="00F72584"/>
    <w:rsid w:val="00F7290D"/>
    <w:rsid w:val="00F72F6B"/>
    <w:rsid w:val="00F7302F"/>
    <w:rsid w:val="00F732EC"/>
    <w:rsid w:val="00F73558"/>
    <w:rsid w:val="00F73B2C"/>
    <w:rsid w:val="00F73B55"/>
    <w:rsid w:val="00F73D08"/>
    <w:rsid w:val="00F743C4"/>
    <w:rsid w:val="00F743D1"/>
    <w:rsid w:val="00F749DE"/>
    <w:rsid w:val="00F756C1"/>
    <w:rsid w:val="00F7586B"/>
    <w:rsid w:val="00F7595A"/>
    <w:rsid w:val="00F75D8B"/>
    <w:rsid w:val="00F75F2F"/>
    <w:rsid w:val="00F760B6"/>
    <w:rsid w:val="00F7630F"/>
    <w:rsid w:val="00F76445"/>
    <w:rsid w:val="00F764E9"/>
    <w:rsid w:val="00F765FE"/>
    <w:rsid w:val="00F768F4"/>
    <w:rsid w:val="00F76941"/>
    <w:rsid w:val="00F76A00"/>
    <w:rsid w:val="00F76DCE"/>
    <w:rsid w:val="00F76ECC"/>
    <w:rsid w:val="00F77598"/>
    <w:rsid w:val="00F77B96"/>
    <w:rsid w:val="00F77B9F"/>
    <w:rsid w:val="00F77D8E"/>
    <w:rsid w:val="00F77EE6"/>
    <w:rsid w:val="00F80370"/>
    <w:rsid w:val="00F80399"/>
    <w:rsid w:val="00F812C8"/>
    <w:rsid w:val="00F8132D"/>
    <w:rsid w:val="00F8144C"/>
    <w:rsid w:val="00F814A2"/>
    <w:rsid w:val="00F818AE"/>
    <w:rsid w:val="00F81920"/>
    <w:rsid w:val="00F81A1F"/>
    <w:rsid w:val="00F81B40"/>
    <w:rsid w:val="00F820C4"/>
    <w:rsid w:val="00F82147"/>
    <w:rsid w:val="00F8223B"/>
    <w:rsid w:val="00F823B1"/>
    <w:rsid w:val="00F828BF"/>
    <w:rsid w:val="00F828FC"/>
    <w:rsid w:val="00F83033"/>
    <w:rsid w:val="00F83230"/>
    <w:rsid w:val="00F83259"/>
    <w:rsid w:val="00F836BF"/>
    <w:rsid w:val="00F83829"/>
    <w:rsid w:val="00F83A75"/>
    <w:rsid w:val="00F83B36"/>
    <w:rsid w:val="00F83BB4"/>
    <w:rsid w:val="00F83CA7"/>
    <w:rsid w:val="00F83D30"/>
    <w:rsid w:val="00F83EEB"/>
    <w:rsid w:val="00F84069"/>
    <w:rsid w:val="00F841E8"/>
    <w:rsid w:val="00F843D7"/>
    <w:rsid w:val="00F84969"/>
    <w:rsid w:val="00F84BCA"/>
    <w:rsid w:val="00F84E4E"/>
    <w:rsid w:val="00F84E8D"/>
    <w:rsid w:val="00F84ED8"/>
    <w:rsid w:val="00F85292"/>
    <w:rsid w:val="00F85330"/>
    <w:rsid w:val="00F85357"/>
    <w:rsid w:val="00F85536"/>
    <w:rsid w:val="00F856F8"/>
    <w:rsid w:val="00F859B8"/>
    <w:rsid w:val="00F85D62"/>
    <w:rsid w:val="00F85E1A"/>
    <w:rsid w:val="00F86205"/>
    <w:rsid w:val="00F8657A"/>
    <w:rsid w:val="00F8679A"/>
    <w:rsid w:val="00F867BF"/>
    <w:rsid w:val="00F86C4C"/>
    <w:rsid w:val="00F86C68"/>
    <w:rsid w:val="00F86E8E"/>
    <w:rsid w:val="00F87117"/>
    <w:rsid w:val="00F871B5"/>
    <w:rsid w:val="00F87263"/>
    <w:rsid w:val="00F8736C"/>
    <w:rsid w:val="00F876EA"/>
    <w:rsid w:val="00F8780E"/>
    <w:rsid w:val="00F87AD9"/>
    <w:rsid w:val="00F87B53"/>
    <w:rsid w:val="00F87D02"/>
    <w:rsid w:val="00F90146"/>
    <w:rsid w:val="00F9021C"/>
    <w:rsid w:val="00F90309"/>
    <w:rsid w:val="00F9030E"/>
    <w:rsid w:val="00F90582"/>
    <w:rsid w:val="00F90ACB"/>
    <w:rsid w:val="00F90ADB"/>
    <w:rsid w:val="00F90CEE"/>
    <w:rsid w:val="00F90E78"/>
    <w:rsid w:val="00F90F29"/>
    <w:rsid w:val="00F91209"/>
    <w:rsid w:val="00F91335"/>
    <w:rsid w:val="00F91DA9"/>
    <w:rsid w:val="00F9221F"/>
    <w:rsid w:val="00F92275"/>
    <w:rsid w:val="00F92976"/>
    <w:rsid w:val="00F92EE7"/>
    <w:rsid w:val="00F931C7"/>
    <w:rsid w:val="00F9347E"/>
    <w:rsid w:val="00F934E3"/>
    <w:rsid w:val="00F93559"/>
    <w:rsid w:val="00F935E7"/>
    <w:rsid w:val="00F9371A"/>
    <w:rsid w:val="00F938A4"/>
    <w:rsid w:val="00F93993"/>
    <w:rsid w:val="00F93AA2"/>
    <w:rsid w:val="00F93C69"/>
    <w:rsid w:val="00F93D72"/>
    <w:rsid w:val="00F93DF4"/>
    <w:rsid w:val="00F93E65"/>
    <w:rsid w:val="00F93F24"/>
    <w:rsid w:val="00F94070"/>
    <w:rsid w:val="00F940AC"/>
    <w:rsid w:val="00F9439F"/>
    <w:rsid w:val="00F950B5"/>
    <w:rsid w:val="00F9513F"/>
    <w:rsid w:val="00F953F7"/>
    <w:rsid w:val="00F9544E"/>
    <w:rsid w:val="00F95722"/>
    <w:rsid w:val="00F95825"/>
    <w:rsid w:val="00F95901"/>
    <w:rsid w:val="00F95E6D"/>
    <w:rsid w:val="00F95EBA"/>
    <w:rsid w:val="00F95FD1"/>
    <w:rsid w:val="00F9604B"/>
    <w:rsid w:val="00F96203"/>
    <w:rsid w:val="00F96647"/>
    <w:rsid w:val="00F96E19"/>
    <w:rsid w:val="00F96EF8"/>
    <w:rsid w:val="00F9700C"/>
    <w:rsid w:val="00F97313"/>
    <w:rsid w:val="00F9751B"/>
    <w:rsid w:val="00F97908"/>
    <w:rsid w:val="00F9798F"/>
    <w:rsid w:val="00F97B43"/>
    <w:rsid w:val="00FA00CB"/>
    <w:rsid w:val="00FA0130"/>
    <w:rsid w:val="00FA0180"/>
    <w:rsid w:val="00FA05F5"/>
    <w:rsid w:val="00FA07F8"/>
    <w:rsid w:val="00FA0C75"/>
    <w:rsid w:val="00FA105C"/>
    <w:rsid w:val="00FA12ED"/>
    <w:rsid w:val="00FA12F8"/>
    <w:rsid w:val="00FA13C0"/>
    <w:rsid w:val="00FA1475"/>
    <w:rsid w:val="00FA148A"/>
    <w:rsid w:val="00FA1CFC"/>
    <w:rsid w:val="00FA1F66"/>
    <w:rsid w:val="00FA2157"/>
    <w:rsid w:val="00FA2234"/>
    <w:rsid w:val="00FA23AD"/>
    <w:rsid w:val="00FA2541"/>
    <w:rsid w:val="00FA257C"/>
    <w:rsid w:val="00FA27C8"/>
    <w:rsid w:val="00FA2B08"/>
    <w:rsid w:val="00FA3150"/>
    <w:rsid w:val="00FA32CE"/>
    <w:rsid w:val="00FA3B76"/>
    <w:rsid w:val="00FA459A"/>
    <w:rsid w:val="00FA4C91"/>
    <w:rsid w:val="00FA4CEF"/>
    <w:rsid w:val="00FA4D66"/>
    <w:rsid w:val="00FA4D84"/>
    <w:rsid w:val="00FA4DAD"/>
    <w:rsid w:val="00FA5357"/>
    <w:rsid w:val="00FA5800"/>
    <w:rsid w:val="00FA5A4E"/>
    <w:rsid w:val="00FA5B4B"/>
    <w:rsid w:val="00FA5FE7"/>
    <w:rsid w:val="00FA618F"/>
    <w:rsid w:val="00FA61B5"/>
    <w:rsid w:val="00FA66FC"/>
    <w:rsid w:val="00FA6D7A"/>
    <w:rsid w:val="00FA7555"/>
    <w:rsid w:val="00FA7668"/>
    <w:rsid w:val="00FA7704"/>
    <w:rsid w:val="00FA791F"/>
    <w:rsid w:val="00FA7B83"/>
    <w:rsid w:val="00FA7C8E"/>
    <w:rsid w:val="00FB0082"/>
    <w:rsid w:val="00FB012A"/>
    <w:rsid w:val="00FB0161"/>
    <w:rsid w:val="00FB0243"/>
    <w:rsid w:val="00FB0505"/>
    <w:rsid w:val="00FB1527"/>
    <w:rsid w:val="00FB1B93"/>
    <w:rsid w:val="00FB1D2C"/>
    <w:rsid w:val="00FB2048"/>
    <w:rsid w:val="00FB21E4"/>
    <w:rsid w:val="00FB2537"/>
    <w:rsid w:val="00FB27C5"/>
    <w:rsid w:val="00FB2A15"/>
    <w:rsid w:val="00FB2AAE"/>
    <w:rsid w:val="00FB33DC"/>
    <w:rsid w:val="00FB3576"/>
    <w:rsid w:val="00FB3862"/>
    <w:rsid w:val="00FB3A95"/>
    <w:rsid w:val="00FB3ACF"/>
    <w:rsid w:val="00FB3D17"/>
    <w:rsid w:val="00FB4338"/>
    <w:rsid w:val="00FB45E8"/>
    <w:rsid w:val="00FB4651"/>
    <w:rsid w:val="00FB477E"/>
    <w:rsid w:val="00FB4C24"/>
    <w:rsid w:val="00FB4C9C"/>
    <w:rsid w:val="00FB5405"/>
    <w:rsid w:val="00FB5C5F"/>
    <w:rsid w:val="00FB5DCB"/>
    <w:rsid w:val="00FB611A"/>
    <w:rsid w:val="00FB6165"/>
    <w:rsid w:val="00FB648A"/>
    <w:rsid w:val="00FB67DC"/>
    <w:rsid w:val="00FB6807"/>
    <w:rsid w:val="00FB6ED4"/>
    <w:rsid w:val="00FB7057"/>
    <w:rsid w:val="00FB7459"/>
    <w:rsid w:val="00FB7541"/>
    <w:rsid w:val="00FB7601"/>
    <w:rsid w:val="00FB7634"/>
    <w:rsid w:val="00FC0150"/>
    <w:rsid w:val="00FC03AB"/>
    <w:rsid w:val="00FC0640"/>
    <w:rsid w:val="00FC0B8E"/>
    <w:rsid w:val="00FC0F8A"/>
    <w:rsid w:val="00FC1034"/>
    <w:rsid w:val="00FC1B96"/>
    <w:rsid w:val="00FC1FEF"/>
    <w:rsid w:val="00FC20F6"/>
    <w:rsid w:val="00FC2674"/>
    <w:rsid w:val="00FC2787"/>
    <w:rsid w:val="00FC2BE7"/>
    <w:rsid w:val="00FC2D85"/>
    <w:rsid w:val="00FC2F5F"/>
    <w:rsid w:val="00FC2FAA"/>
    <w:rsid w:val="00FC3132"/>
    <w:rsid w:val="00FC3166"/>
    <w:rsid w:val="00FC3320"/>
    <w:rsid w:val="00FC3866"/>
    <w:rsid w:val="00FC42E3"/>
    <w:rsid w:val="00FC446D"/>
    <w:rsid w:val="00FC457C"/>
    <w:rsid w:val="00FC4729"/>
    <w:rsid w:val="00FC49F9"/>
    <w:rsid w:val="00FC4A8C"/>
    <w:rsid w:val="00FC4E5A"/>
    <w:rsid w:val="00FC4F01"/>
    <w:rsid w:val="00FC4F34"/>
    <w:rsid w:val="00FC52B4"/>
    <w:rsid w:val="00FC53DB"/>
    <w:rsid w:val="00FC5506"/>
    <w:rsid w:val="00FC57B5"/>
    <w:rsid w:val="00FC5D6B"/>
    <w:rsid w:val="00FC5E49"/>
    <w:rsid w:val="00FC5F60"/>
    <w:rsid w:val="00FC5FC2"/>
    <w:rsid w:val="00FC6177"/>
    <w:rsid w:val="00FC63D1"/>
    <w:rsid w:val="00FC67B1"/>
    <w:rsid w:val="00FC6B09"/>
    <w:rsid w:val="00FC6CC8"/>
    <w:rsid w:val="00FC72CE"/>
    <w:rsid w:val="00FC7528"/>
    <w:rsid w:val="00FC766E"/>
    <w:rsid w:val="00FC7A3A"/>
    <w:rsid w:val="00FD015D"/>
    <w:rsid w:val="00FD0286"/>
    <w:rsid w:val="00FD03F1"/>
    <w:rsid w:val="00FD0572"/>
    <w:rsid w:val="00FD0D13"/>
    <w:rsid w:val="00FD10FC"/>
    <w:rsid w:val="00FD1263"/>
    <w:rsid w:val="00FD146F"/>
    <w:rsid w:val="00FD17A4"/>
    <w:rsid w:val="00FD1A97"/>
    <w:rsid w:val="00FD1B4F"/>
    <w:rsid w:val="00FD1C50"/>
    <w:rsid w:val="00FD1E64"/>
    <w:rsid w:val="00FD2332"/>
    <w:rsid w:val="00FD2AF5"/>
    <w:rsid w:val="00FD2D7B"/>
    <w:rsid w:val="00FD37F6"/>
    <w:rsid w:val="00FD382E"/>
    <w:rsid w:val="00FD3C5C"/>
    <w:rsid w:val="00FD3ED0"/>
    <w:rsid w:val="00FD3F4A"/>
    <w:rsid w:val="00FD4041"/>
    <w:rsid w:val="00FD4479"/>
    <w:rsid w:val="00FD4589"/>
    <w:rsid w:val="00FD473E"/>
    <w:rsid w:val="00FD4AE8"/>
    <w:rsid w:val="00FD5823"/>
    <w:rsid w:val="00FD5C12"/>
    <w:rsid w:val="00FD6059"/>
    <w:rsid w:val="00FD6914"/>
    <w:rsid w:val="00FD76A2"/>
    <w:rsid w:val="00FD77DC"/>
    <w:rsid w:val="00FD78B0"/>
    <w:rsid w:val="00FD7B8E"/>
    <w:rsid w:val="00FD7D87"/>
    <w:rsid w:val="00FD7DD6"/>
    <w:rsid w:val="00FD7DF9"/>
    <w:rsid w:val="00FD7EA3"/>
    <w:rsid w:val="00FD7FDC"/>
    <w:rsid w:val="00FD7FEF"/>
    <w:rsid w:val="00FE02B0"/>
    <w:rsid w:val="00FE02CA"/>
    <w:rsid w:val="00FE054C"/>
    <w:rsid w:val="00FE0B51"/>
    <w:rsid w:val="00FE0B78"/>
    <w:rsid w:val="00FE0ED4"/>
    <w:rsid w:val="00FE0F7E"/>
    <w:rsid w:val="00FE1807"/>
    <w:rsid w:val="00FE183A"/>
    <w:rsid w:val="00FE1B31"/>
    <w:rsid w:val="00FE1EAB"/>
    <w:rsid w:val="00FE206B"/>
    <w:rsid w:val="00FE3465"/>
    <w:rsid w:val="00FE35C8"/>
    <w:rsid w:val="00FE3B45"/>
    <w:rsid w:val="00FE3C3E"/>
    <w:rsid w:val="00FE420C"/>
    <w:rsid w:val="00FE4323"/>
    <w:rsid w:val="00FE465C"/>
    <w:rsid w:val="00FE47A8"/>
    <w:rsid w:val="00FE4BC3"/>
    <w:rsid w:val="00FE4CCE"/>
    <w:rsid w:val="00FE4D29"/>
    <w:rsid w:val="00FE4DE3"/>
    <w:rsid w:val="00FE53E1"/>
    <w:rsid w:val="00FE5512"/>
    <w:rsid w:val="00FE5A82"/>
    <w:rsid w:val="00FE6187"/>
    <w:rsid w:val="00FE62BA"/>
    <w:rsid w:val="00FE65F2"/>
    <w:rsid w:val="00FE675C"/>
    <w:rsid w:val="00FE67CF"/>
    <w:rsid w:val="00FE6AAC"/>
    <w:rsid w:val="00FE6D20"/>
    <w:rsid w:val="00FE6DCA"/>
    <w:rsid w:val="00FE6FB9"/>
    <w:rsid w:val="00FE7549"/>
    <w:rsid w:val="00FE75A1"/>
    <w:rsid w:val="00FE76B7"/>
    <w:rsid w:val="00FE7BCC"/>
    <w:rsid w:val="00FE7C7B"/>
    <w:rsid w:val="00FF01B8"/>
    <w:rsid w:val="00FF0209"/>
    <w:rsid w:val="00FF07F1"/>
    <w:rsid w:val="00FF086D"/>
    <w:rsid w:val="00FF0C20"/>
    <w:rsid w:val="00FF0EA9"/>
    <w:rsid w:val="00FF0FDE"/>
    <w:rsid w:val="00FF11D9"/>
    <w:rsid w:val="00FF126D"/>
    <w:rsid w:val="00FF15BB"/>
    <w:rsid w:val="00FF162A"/>
    <w:rsid w:val="00FF179A"/>
    <w:rsid w:val="00FF1994"/>
    <w:rsid w:val="00FF2310"/>
    <w:rsid w:val="00FF283D"/>
    <w:rsid w:val="00FF2B35"/>
    <w:rsid w:val="00FF2E73"/>
    <w:rsid w:val="00FF2F38"/>
    <w:rsid w:val="00FF30BA"/>
    <w:rsid w:val="00FF3124"/>
    <w:rsid w:val="00FF3418"/>
    <w:rsid w:val="00FF3C66"/>
    <w:rsid w:val="00FF3D88"/>
    <w:rsid w:val="00FF405F"/>
    <w:rsid w:val="00FF40FF"/>
    <w:rsid w:val="00FF4194"/>
    <w:rsid w:val="00FF4223"/>
    <w:rsid w:val="00FF45A4"/>
    <w:rsid w:val="00FF48F9"/>
    <w:rsid w:val="00FF4A07"/>
    <w:rsid w:val="00FF4ABF"/>
    <w:rsid w:val="00FF4AE2"/>
    <w:rsid w:val="00FF4C7C"/>
    <w:rsid w:val="00FF4EFC"/>
    <w:rsid w:val="00FF50A8"/>
    <w:rsid w:val="00FF5229"/>
    <w:rsid w:val="00FF53DA"/>
    <w:rsid w:val="00FF5471"/>
    <w:rsid w:val="00FF571E"/>
    <w:rsid w:val="00FF5AD9"/>
    <w:rsid w:val="00FF5F6E"/>
    <w:rsid w:val="00FF609A"/>
    <w:rsid w:val="00FF61AA"/>
    <w:rsid w:val="00FF63BA"/>
    <w:rsid w:val="00FF67FE"/>
    <w:rsid w:val="00FF6A4E"/>
    <w:rsid w:val="00FF6AC4"/>
    <w:rsid w:val="00FF6BCD"/>
    <w:rsid w:val="00FF6BD1"/>
    <w:rsid w:val="00FF6CC0"/>
    <w:rsid w:val="00FF6F8D"/>
    <w:rsid w:val="00FF7017"/>
    <w:rsid w:val="00FF7332"/>
    <w:rsid w:val="00FF7512"/>
    <w:rsid w:val="00FF7513"/>
    <w:rsid w:val="00FF7563"/>
    <w:rsid w:val="00FF79A3"/>
    <w:rsid w:val="00FF7A4F"/>
    <w:rsid w:val="00FF7C5C"/>
    <w:rsid w:val="0100120A"/>
    <w:rsid w:val="051F01B3"/>
    <w:rsid w:val="06962889"/>
    <w:rsid w:val="07D49FB4"/>
    <w:rsid w:val="087802B0"/>
    <w:rsid w:val="08DA4783"/>
    <w:rsid w:val="0A9D3A51"/>
    <w:rsid w:val="0AEABC4F"/>
    <w:rsid w:val="0C5635ED"/>
    <w:rsid w:val="0DB1010B"/>
    <w:rsid w:val="0E01354D"/>
    <w:rsid w:val="0F892212"/>
    <w:rsid w:val="10B87ADC"/>
    <w:rsid w:val="12CD5513"/>
    <w:rsid w:val="159A78C3"/>
    <w:rsid w:val="1653D631"/>
    <w:rsid w:val="17871587"/>
    <w:rsid w:val="1B087458"/>
    <w:rsid w:val="1D7F6A6C"/>
    <w:rsid w:val="1EDA23BA"/>
    <w:rsid w:val="2049AA44"/>
    <w:rsid w:val="2051507A"/>
    <w:rsid w:val="20E440C2"/>
    <w:rsid w:val="222058FF"/>
    <w:rsid w:val="22B66C07"/>
    <w:rsid w:val="247D2D55"/>
    <w:rsid w:val="248948A7"/>
    <w:rsid w:val="27528D5A"/>
    <w:rsid w:val="291E1150"/>
    <w:rsid w:val="2CDC77C7"/>
    <w:rsid w:val="2EB3768A"/>
    <w:rsid w:val="315B730D"/>
    <w:rsid w:val="349382F5"/>
    <w:rsid w:val="35DC4C12"/>
    <w:rsid w:val="387F4186"/>
    <w:rsid w:val="38E02957"/>
    <w:rsid w:val="3A492312"/>
    <w:rsid w:val="3A661B1F"/>
    <w:rsid w:val="3C4C1B66"/>
    <w:rsid w:val="3C7F66D1"/>
    <w:rsid w:val="3DE65E84"/>
    <w:rsid w:val="402F7289"/>
    <w:rsid w:val="41605DD9"/>
    <w:rsid w:val="42286B3B"/>
    <w:rsid w:val="43B5B1F6"/>
    <w:rsid w:val="458038B7"/>
    <w:rsid w:val="46AA42B0"/>
    <w:rsid w:val="4BAD1ECC"/>
    <w:rsid w:val="4BF109AA"/>
    <w:rsid w:val="4D757CAE"/>
    <w:rsid w:val="50285F4C"/>
    <w:rsid w:val="51BCF060"/>
    <w:rsid w:val="51FA270E"/>
    <w:rsid w:val="54892443"/>
    <w:rsid w:val="54B32DD9"/>
    <w:rsid w:val="56FC4E55"/>
    <w:rsid w:val="57C3A82A"/>
    <w:rsid w:val="598105BA"/>
    <w:rsid w:val="5E854E56"/>
    <w:rsid w:val="5EBC3711"/>
    <w:rsid w:val="5FCB48B6"/>
    <w:rsid w:val="62F13DF7"/>
    <w:rsid w:val="637449B6"/>
    <w:rsid w:val="63FB38D8"/>
    <w:rsid w:val="63FF36A7"/>
    <w:rsid w:val="64F81073"/>
    <w:rsid w:val="67865A6F"/>
    <w:rsid w:val="688D1C38"/>
    <w:rsid w:val="6A37E0DB"/>
    <w:rsid w:val="6A6C076A"/>
    <w:rsid w:val="6B314765"/>
    <w:rsid w:val="6DE64231"/>
    <w:rsid w:val="708292FB"/>
    <w:rsid w:val="709AD039"/>
    <w:rsid w:val="712B13FF"/>
    <w:rsid w:val="7479A10A"/>
    <w:rsid w:val="781C6934"/>
    <w:rsid w:val="785B43B2"/>
    <w:rsid w:val="785FCB99"/>
    <w:rsid w:val="7983C379"/>
    <w:rsid w:val="7BEC0972"/>
    <w:rsid w:val="7C99117C"/>
    <w:rsid w:val="7CF6FCC4"/>
    <w:rsid w:val="7CFD29CB"/>
    <w:rsid w:val="7DE9652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Theme="minorEastAsia"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0" w:name="Normal Indent"/>
    <w:lsdException w:qFormat="1" w:unhideWhenUsed="0" w:uiPriority="99" w:semiHidden="0" w:name="footnote text"/>
    <w:lsdException w:qFormat="1" w:unhideWhenUsed="0" w:uiPriority="99"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35" w:semiHidden="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qFormat="1" w:unhideWhenUsed="0" w:uiPriority="0"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iPriority="0" w:name="Body Text First Indent 2"/>
    <w:lsdException w:uiPriority="0" w:name="Note Heading"/>
    <w:lsdException w:qFormat="1" w:unhideWhenUsed="0" w:uiPriority="0" w:semiHidden="0" w:name="Body Text 2"/>
    <w:lsdException w:uiPriority="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99" w:semiHidden="0" w:name="Document Map"/>
    <w:lsdException w:qFormat="1" w:uiPriority="0" w:semiHidden="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nhideWhenUsed="0" w:uiPriority="0" w:semiHidden="0" w:name="Table Subtle 2"/>
    <w:lsdException w:uiPriority="0" w:name="Table Web 1"/>
    <w:lsdException w:uiPriority="0" w:name="Table Web 2"/>
    <w:lsdException w:unhideWhenUsed="0" w:uiPriority="0" w:semiHidden="0" w:name="Table Web 3"/>
    <w:lsdException w:qFormat="1" w:unhideWhenUsed="0" w:uiPriority="99" w:name="Balloon Text"/>
    <w:lsdException w:qFormat="1" w:unhideWhenUsed="0" w:uiPriority="0" w:semiHidden="0" w:name="Table Grid"/>
    <w:lsdException w:uiPriority="0"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utoSpaceDE w:val="0"/>
      <w:autoSpaceDN w:val="0"/>
      <w:adjustRightInd w:val="0"/>
      <w:snapToGrid w:val="0"/>
      <w:spacing w:after="120" w:line="259" w:lineRule="auto"/>
    </w:pPr>
    <w:rPr>
      <w:rFonts w:ascii="Times New Roman" w:hAnsi="Times New Roman" w:cs="Times New Roman" w:eastAsiaTheme="minorEastAsia"/>
      <w:sz w:val="22"/>
      <w:szCs w:val="22"/>
      <w:lang w:val="en-US" w:eastAsia="en-US" w:bidi="ar-SA"/>
    </w:rPr>
  </w:style>
  <w:style w:type="paragraph" w:styleId="2">
    <w:name w:val="heading 1"/>
    <w:basedOn w:val="1"/>
    <w:next w:val="1"/>
    <w:link w:val="93"/>
    <w:qFormat/>
    <w:uiPriority w:val="0"/>
    <w:pPr>
      <w:keepNext/>
      <w:keepLines/>
      <w:numPr>
        <w:ilvl w:val="0"/>
        <w:numId w:val="1"/>
      </w:numPr>
      <w:pBdr>
        <w:top w:val="single" w:color="auto" w:sz="12" w:space="3"/>
      </w:pBdr>
      <w:tabs>
        <w:tab w:val="left" w:pos="709"/>
        <w:tab w:val="clear" w:pos="432"/>
      </w:tabs>
      <w:overflowPunct w:val="0"/>
      <w:snapToGrid/>
      <w:spacing w:before="240" w:after="180"/>
      <w:ind w:left="709" w:hanging="709"/>
      <w:textAlignment w:val="baseline"/>
      <w:outlineLvl w:val="0"/>
    </w:pPr>
    <w:rPr>
      <w:rFonts w:ascii="Arial" w:hAnsi="Arial" w:eastAsia="Times New Roman" w:cs="Arial"/>
      <w:sz w:val="36"/>
      <w:szCs w:val="36"/>
      <w:lang w:val="en-GB" w:eastAsia="zh-CN"/>
    </w:rPr>
  </w:style>
  <w:style w:type="paragraph" w:styleId="3">
    <w:name w:val="heading 2"/>
    <w:basedOn w:val="1"/>
    <w:next w:val="1"/>
    <w:link w:val="170"/>
    <w:qFormat/>
    <w:uiPriority w:val="0"/>
    <w:pPr>
      <w:keepNext/>
      <w:numPr>
        <w:ilvl w:val="1"/>
        <w:numId w:val="1"/>
      </w:numPr>
      <w:spacing w:before="240"/>
      <w:outlineLvl w:val="1"/>
    </w:pPr>
    <w:rPr>
      <w:rFonts w:ascii="Arial" w:hAnsi="Arial"/>
      <w:b/>
      <w:bCs/>
      <w:sz w:val="24"/>
      <w:lang w:val="en-GB" w:eastAsia="zh-CN"/>
    </w:rPr>
  </w:style>
  <w:style w:type="paragraph" w:styleId="4">
    <w:name w:val="heading 3"/>
    <w:basedOn w:val="1"/>
    <w:next w:val="1"/>
    <w:link w:val="167"/>
    <w:qFormat/>
    <w:uiPriority w:val="0"/>
    <w:pPr>
      <w:keepNext/>
      <w:numPr>
        <w:ilvl w:val="2"/>
        <w:numId w:val="1"/>
      </w:numPr>
      <w:tabs>
        <w:tab w:val="left" w:pos="432"/>
      </w:tabs>
      <w:spacing w:before="120"/>
      <w:outlineLvl w:val="2"/>
    </w:pPr>
    <w:rPr>
      <w:b/>
    </w:rPr>
  </w:style>
  <w:style w:type="paragraph" w:styleId="5">
    <w:name w:val="heading 4"/>
    <w:basedOn w:val="1"/>
    <w:next w:val="1"/>
    <w:link w:val="171"/>
    <w:qFormat/>
    <w:uiPriority w:val="0"/>
    <w:pPr>
      <w:keepNext/>
      <w:numPr>
        <w:ilvl w:val="3"/>
        <w:numId w:val="1"/>
      </w:numPr>
      <w:spacing w:before="240" w:after="60"/>
      <w:outlineLvl w:val="3"/>
    </w:pPr>
    <w:rPr>
      <w:b/>
      <w:bCs/>
      <w:sz w:val="28"/>
      <w:szCs w:val="28"/>
    </w:rPr>
  </w:style>
  <w:style w:type="paragraph" w:styleId="6">
    <w:name w:val="heading 5"/>
    <w:basedOn w:val="1"/>
    <w:next w:val="1"/>
    <w:link w:val="172"/>
    <w:qFormat/>
    <w:uiPriority w:val="0"/>
    <w:pPr>
      <w:numPr>
        <w:ilvl w:val="4"/>
        <w:numId w:val="1"/>
      </w:numPr>
      <w:spacing w:before="240" w:after="60"/>
      <w:outlineLvl w:val="4"/>
    </w:pPr>
    <w:rPr>
      <w:b/>
      <w:bCs/>
      <w:i/>
      <w:iCs/>
      <w:sz w:val="26"/>
      <w:szCs w:val="26"/>
    </w:rPr>
  </w:style>
  <w:style w:type="paragraph" w:styleId="7">
    <w:name w:val="heading 6"/>
    <w:basedOn w:val="1"/>
    <w:next w:val="1"/>
    <w:link w:val="173"/>
    <w:qFormat/>
    <w:uiPriority w:val="0"/>
    <w:pPr>
      <w:numPr>
        <w:ilvl w:val="5"/>
        <w:numId w:val="1"/>
      </w:numPr>
      <w:spacing w:before="240" w:after="60"/>
      <w:outlineLvl w:val="5"/>
    </w:pPr>
    <w:rPr>
      <w:b/>
      <w:bCs/>
    </w:rPr>
  </w:style>
  <w:style w:type="paragraph" w:styleId="8">
    <w:name w:val="heading 7"/>
    <w:basedOn w:val="1"/>
    <w:next w:val="1"/>
    <w:link w:val="174"/>
    <w:qFormat/>
    <w:uiPriority w:val="0"/>
    <w:pPr>
      <w:numPr>
        <w:ilvl w:val="6"/>
        <w:numId w:val="1"/>
      </w:numPr>
      <w:spacing w:before="240" w:after="60"/>
      <w:outlineLvl w:val="6"/>
    </w:pPr>
    <w:rPr>
      <w:sz w:val="24"/>
      <w:szCs w:val="24"/>
    </w:rPr>
  </w:style>
  <w:style w:type="paragraph" w:styleId="9">
    <w:name w:val="heading 8"/>
    <w:basedOn w:val="1"/>
    <w:next w:val="1"/>
    <w:link w:val="175"/>
    <w:qFormat/>
    <w:uiPriority w:val="0"/>
    <w:pPr>
      <w:numPr>
        <w:ilvl w:val="7"/>
        <w:numId w:val="1"/>
      </w:numPr>
      <w:spacing w:before="240" w:after="60"/>
      <w:outlineLvl w:val="7"/>
    </w:pPr>
    <w:rPr>
      <w:i/>
      <w:iCs/>
      <w:sz w:val="24"/>
      <w:szCs w:val="24"/>
    </w:rPr>
  </w:style>
  <w:style w:type="paragraph" w:styleId="10">
    <w:name w:val="heading 9"/>
    <w:basedOn w:val="1"/>
    <w:next w:val="1"/>
    <w:link w:val="176"/>
    <w:qFormat/>
    <w:uiPriority w:val="0"/>
    <w:pPr>
      <w:numPr>
        <w:ilvl w:val="8"/>
        <w:numId w:val="1"/>
      </w:numPr>
      <w:spacing w:before="240" w:after="60"/>
      <w:outlineLvl w:val="8"/>
    </w:pPr>
    <w:rPr>
      <w:rFonts w:ascii="Arial" w:hAnsi="Arial"/>
    </w:rPr>
  </w:style>
  <w:style w:type="character" w:default="1" w:styleId="53">
    <w:name w:val="Default Paragraph Font"/>
    <w:semiHidden/>
    <w:unhideWhenUsed/>
    <w:uiPriority w:val="1"/>
  </w:style>
  <w:style w:type="table" w:default="1" w:styleId="51">
    <w:name w:val="Normal Table"/>
    <w:semiHidden/>
    <w:unhideWhenUsed/>
    <w:qFormat/>
    <w:uiPriority w:val="99"/>
    <w:tblPr>
      <w:tblCellMar>
        <w:top w:w="0" w:type="dxa"/>
        <w:left w:w="108" w:type="dxa"/>
        <w:bottom w:w="0" w:type="dxa"/>
        <w:right w:w="108" w:type="dxa"/>
      </w:tblCellMar>
    </w:tblPr>
  </w:style>
  <w:style w:type="paragraph" w:styleId="11">
    <w:name w:val="List 3"/>
    <w:basedOn w:val="12"/>
    <w:link w:val="181"/>
    <w:qFormat/>
    <w:uiPriority w:val="0"/>
    <w:pPr>
      <w:overflowPunct w:val="0"/>
      <w:snapToGrid/>
      <w:spacing w:after="180"/>
      <w:ind w:left="1135" w:hanging="284"/>
      <w:contextualSpacing w:val="0"/>
      <w:textAlignment w:val="baseline"/>
    </w:pPr>
    <w:rPr>
      <w:rFonts w:eastAsia="Times New Roman"/>
      <w:sz w:val="20"/>
      <w:szCs w:val="20"/>
      <w:lang w:val="en-GB" w:eastAsia="en-GB"/>
    </w:rPr>
  </w:style>
  <w:style w:type="paragraph" w:styleId="12">
    <w:name w:val="List 2"/>
    <w:basedOn w:val="1"/>
    <w:link w:val="180"/>
    <w:qFormat/>
    <w:uiPriority w:val="0"/>
    <w:pPr>
      <w:ind w:left="720" w:hanging="360"/>
      <w:contextualSpacing/>
    </w:pPr>
  </w:style>
  <w:style w:type="paragraph" w:styleId="13">
    <w:name w:val="toc 7"/>
    <w:basedOn w:val="14"/>
    <w:next w:val="1"/>
    <w:qFormat/>
    <w:uiPriority w:val="0"/>
    <w:pPr>
      <w:tabs>
        <w:tab w:val="right" w:leader="dot" w:pos="9639"/>
      </w:tabs>
      <w:ind w:left="2268" w:hanging="2268"/>
    </w:pPr>
  </w:style>
  <w:style w:type="paragraph" w:styleId="14">
    <w:name w:val="toc 6"/>
    <w:basedOn w:val="15"/>
    <w:next w:val="1"/>
    <w:qFormat/>
    <w:uiPriority w:val="0"/>
    <w:pPr>
      <w:tabs>
        <w:tab w:val="right" w:leader="dot" w:pos="9639"/>
      </w:tabs>
      <w:ind w:left="1985" w:hanging="1985"/>
    </w:pPr>
  </w:style>
  <w:style w:type="paragraph" w:styleId="15">
    <w:name w:val="toc 5"/>
    <w:basedOn w:val="16"/>
    <w:next w:val="1"/>
    <w:qFormat/>
    <w:uiPriority w:val="0"/>
    <w:pPr>
      <w:tabs>
        <w:tab w:val="right" w:leader="dot" w:pos="9639"/>
      </w:tabs>
      <w:ind w:left="1701" w:hanging="1701"/>
    </w:pPr>
  </w:style>
  <w:style w:type="paragraph" w:styleId="16">
    <w:name w:val="toc 4"/>
    <w:basedOn w:val="17"/>
    <w:next w:val="1"/>
    <w:qFormat/>
    <w:uiPriority w:val="0"/>
    <w:pPr>
      <w:tabs>
        <w:tab w:val="right" w:leader="dot" w:pos="9639"/>
      </w:tabs>
      <w:ind w:left="1418" w:hanging="1418"/>
    </w:pPr>
  </w:style>
  <w:style w:type="paragraph" w:styleId="17">
    <w:name w:val="toc 3"/>
    <w:basedOn w:val="18"/>
    <w:next w:val="1"/>
    <w:qFormat/>
    <w:uiPriority w:val="0"/>
    <w:pPr>
      <w:tabs>
        <w:tab w:val="right" w:leader="dot" w:pos="9639"/>
      </w:tabs>
      <w:ind w:left="1134" w:hanging="1134"/>
    </w:pPr>
  </w:style>
  <w:style w:type="paragraph" w:styleId="18">
    <w:name w:val="toc 2"/>
    <w:basedOn w:val="19"/>
    <w:next w:val="1"/>
    <w:qFormat/>
    <w:uiPriority w:val="0"/>
    <w:pPr>
      <w:keepNext w:val="0"/>
      <w:tabs>
        <w:tab w:val="right" w:leader="dot" w:pos="9639"/>
      </w:tabs>
      <w:spacing w:before="0"/>
      <w:ind w:left="851" w:hanging="851"/>
    </w:pPr>
    <w:rPr>
      <w:sz w:val="20"/>
    </w:rPr>
  </w:style>
  <w:style w:type="paragraph" w:styleId="19">
    <w:name w:val="toc 1"/>
    <w:next w:val="1"/>
    <w:qFormat/>
    <w:uiPriority w:val="0"/>
    <w:pPr>
      <w:keepNext/>
      <w:keepLines/>
      <w:widowControl w:val="0"/>
      <w:tabs>
        <w:tab w:val="right" w:leader="dot" w:pos="9639"/>
      </w:tabs>
      <w:overflowPunct w:val="0"/>
      <w:autoSpaceDE w:val="0"/>
      <w:autoSpaceDN w:val="0"/>
      <w:adjustRightInd w:val="0"/>
      <w:spacing w:before="120" w:after="160" w:line="259" w:lineRule="auto"/>
      <w:ind w:left="567" w:right="425" w:hanging="567"/>
      <w:textAlignment w:val="baseline"/>
    </w:pPr>
    <w:rPr>
      <w:rFonts w:ascii="Times New Roman" w:hAnsi="Times New Roman" w:eastAsia="Times New Roman" w:cs="Times New Roman"/>
      <w:sz w:val="22"/>
      <w:lang w:val="en-GB" w:eastAsia="en-GB" w:bidi="ar-SA"/>
    </w:rPr>
  </w:style>
  <w:style w:type="paragraph" w:styleId="20">
    <w:name w:val="List Number 2"/>
    <w:basedOn w:val="21"/>
    <w:qFormat/>
    <w:uiPriority w:val="0"/>
    <w:pPr>
      <w:ind w:left="851"/>
    </w:pPr>
  </w:style>
  <w:style w:type="paragraph" w:styleId="21">
    <w:name w:val="List Number"/>
    <w:basedOn w:val="22"/>
    <w:qFormat/>
    <w:uiPriority w:val="0"/>
    <w:pPr>
      <w:overflowPunct w:val="0"/>
      <w:snapToGrid/>
      <w:spacing w:after="180"/>
      <w:ind w:left="568" w:hanging="284"/>
      <w:textAlignment w:val="baseline"/>
    </w:pPr>
    <w:rPr>
      <w:rFonts w:eastAsia="Times New Roman"/>
      <w:sz w:val="20"/>
      <w:szCs w:val="20"/>
      <w:lang w:val="en-GB" w:eastAsia="en-GB"/>
    </w:rPr>
  </w:style>
  <w:style w:type="paragraph" w:styleId="22">
    <w:name w:val="List"/>
    <w:basedOn w:val="1"/>
    <w:link w:val="177"/>
    <w:qFormat/>
    <w:uiPriority w:val="0"/>
    <w:pPr>
      <w:ind w:left="360" w:hanging="360"/>
    </w:pPr>
  </w:style>
  <w:style w:type="paragraph" w:styleId="23">
    <w:name w:val="List Bullet 4"/>
    <w:basedOn w:val="24"/>
    <w:qFormat/>
    <w:uiPriority w:val="0"/>
    <w:pPr>
      <w:ind w:left="1418"/>
    </w:pPr>
  </w:style>
  <w:style w:type="paragraph" w:styleId="24">
    <w:name w:val="List Bullet 3"/>
    <w:basedOn w:val="25"/>
    <w:qFormat/>
    <w:uiPriority w:val="0"/>
    <w:pPr>
      <w:ind w:left="1135"/>
    </w:pPr>
  </w:style>
  <w:style w:type="paragraph" w:styleId="25">
    <w:name w:val="List Bullet 2"/>
    <w:basedOn w:val="26"/>
    <w:qFormat/>
    <w:uiPriority w:val="0"/>
    <w:pPr>
      <w:overflowPunct w:val="0"/>
      <w:autoSpaceDE w:val="0"/>
      <w:autoSpaceDN w:val="0"/>
      <w:adjustRightInd w:val="0"/>
      <w:snapToGrid/>
      <w:ind w:left="851"/>
      <w:textAlignment w:val="baseline"/>
    </w:pPr>
    <w:rPr>
      <w:rFonts w:eastAsia="Times New Roman"/>
      <w:lang w:eastAsia="en-GB"/>
    </w:rPr>
  </w:style>
  <w:style w:type="paragraph" w:styleId="26">
    <w:name w:val="List Bullet"/>
    <w:basedOn w:val="22"/>
    <w:qFormat/>
    <w:uiPriority w:val="0"/>
    <w:pPr>
      <w:autoSpaceDE/>
      <w:autoSpaceDN/>
      <w:adjustRightInd/>
      <w:spacing w:after="180"/>
      <w:ind w:left="568" w:hanging="284"/>
    </w:pPr>
    <w:rPr>
      <w:sz w:val="20"/>
      <w:szCs w:val="20"/>
      <w:lang w:val="en-GB"/>
    </w:rPr>
  </w:style>
  <w:style w:type="paragraph" w:styleId="27">
    <w:name w:val="caption"/>
    <w:basedOn w:val="1"/>
    <w:next w:val="1"/>
    <w:link w:val="69"/>
    <w:qFormat/>
    <w:uiPriority w:val="35"/>
    <w:pPr>
      <w:jc w:val="center"/>
    </w:pPr>
    <w:rPr>
      <w:b/>
      <w:bCs/>
      <w:sz w:val="20"/>
      <w:szCs w:val="20"/>
    </w:rPr>
  </w:style>
  <w:style w:type="paragraph" w:styleId="28">
    <w:name w:val="Document Map"/>
    <w:basedOn w:val="1"/>
    <w:link w:val="74"/>
    <w:qFormat/>
    <w:uiPriority w:val="99"/>
    <w:rPr>
      <w:rFonts w:ascii="Tahoma" w:hAnsi="Tahoma"/>
      <w:sz w:val="16"/>
      <w:szCs w:val="16"/>
    </w:rPr>
  </w:style>
  <w:style w:type="paragraph" w:styleId="29">
    <w:name w:val="annotation text"/>
    <w:basedOn w:val="1"/>
    <w:link w:val="75"/>
    <w:qFormat/>
    <w:uiPriority w:val="99"/>
    <w:rPr>
      <w:sz w:val="20"/>
      <w:szCs w:val="20"/>
    </w:rPr>
  </w:style>
  <w:style w:type="paragraph" w:styleId="30">
    <w:name w:val="Body Text"/>
    <w:basedOn w:val="1"/>
    <w:link w:val="134"/>
    <w:qFormat/>
    <w:uiPriority w:val="0"/>
    <w:rPr>
      <w:sz w:val="20"/>
      <w:szCs w:val="20"/>
    </w:rPr>
  </w:style>
  <w:style w:type="paragraph" w:styleId="31">
    <w:name w:val="Plain Text"/>
    <w:basedOn w:val="1"/>
    <w:link w:val="90"/>
    <w:unhideWhenUsed/>
    <w:qFormat/>
    <w:uiPriority w:val="0"/>
    <w:pPr>
      <w:autoSpaceDE/>
      <w:autoSpaceDN/>
      <w:adjustRightInd/>
      <w:snapToGrid/>
      <w:spacing w:after="0"/>
    </w:pPr>
    <w:rPr>
      <w:rFonts w:ascii="Consolas" w:hAnsi="Consolas" w:eastAsia="Calibri"/>
      <w:sz w:val="21"/>
      <w:szCs w:val="21"/>
    </w:rPr>
  </w:style>
  <w:style w:type="paragraph" w:styleId="32">
    <w:name w:val="List Bullet 5"/>
    <w:basedOn w:val="23"/>
    <w:qFormat/>
    <w:uiPriority w:val="0"/>
    <w:pPr>
      <w:ind w:left="1702"/>
    </w:pPr>
  </w:style>
  <w:style w:type="paragraph" w:styleId="33">
    <w:name w:val="toc 8"/>
    <w:basedOn w:val="19"/>
    <w:next w:val="1"/>
    <w:qFormat/>
    <w:uiPriority w:val="0"/>
    <w:pPr>
      <w:spacing w:before="180"/>
      <w:ind w:left="2693" w:hanging="2693"/>
    </w:pPr>
    <w:rPr>
      <w:b/>
    </w:rPr>
  </w:style>
  <w:style w:type="paragraph" w:styleId="34">
    <w:name w:val="Date"/>
    <w:basedOn w:val="1"/>
    <w:next w:val="1"/>
    <w:link w:val="151"/>
    <w:qFormat/>
    <w:uiPriority w:val="0"/>
    <w:pPr>
      <w:overflowPunct w:val="0"/>
      <w:snapToGrid/>
      <w:spacing w:after="0"/>
      <w:textAlignment w:val="baseline"/>
    </w:pPr>
    <w:rPr>
      <w:rFonts w:eastAsia="Times New Roman"/>
      <w:sz w:val="20"/>
      <w:szCs w:val="20"/>
      <w:lang w:val="en-GB" w:eastAsia="en-GB"/>
    </w:rPr>
  </w:style>
  <w:style w:type="paragraph" w:styleId="35">
    <w:name w:val="Body Text Indent 2"/>
    <w:basedOn w:val="1"/>
    <w:link w:val="136"/>
    <w:qFormat/>
    <w:uiPriority w:val="0"/>
    <w:pPr>
      <w:widowControl w:val="0"/>
      <w:tabs>
        <w:tab w:val="left" w:pos="2205"/>
      </w:tabs>
      <w:overflowPunct w:val="0"/>
      <w:snapToGrid/>
      <w:spacing w:after="0"/>
      <w:ind w:left="200"/>
      <w:textAlignment w:val="baseline"/>
    </w:pPr>
    <w:rPr>
      <w:rFonts w:eastAsia="Times New Roman"/>
      <w:kern w:val="2"/>
      <w:sz w:val="20"/>
      <w:szCs w:val="20"/>
      <w:lang w:eastAsia="ja-JP"/>
    </w:rPr>
  </w:style>
  <w:style w:type="paragraph" w:styleId="36">
    <w:name w:val="Balloon Text"/>
    <w:basedOn w:val="1"/>
    <w:link w:val="60"/>
    <w:semiHidden/>
    <w:qFormat/>
    <w:uiPriority w:val="99"/>
    <w:rPr>
      <w:rFonts w:ascii="Tahoma" w:hAnsi="Tahoma"/>
      <w:sz w:val="16"/>
      <w:szCs w:val="16"/>
    </w:rPr>
  </w:style>
  <w:style w:type="paragraph" w:styleId="37">
    <w:name w:val="footer"/>
    <w:basedOn w:val="1"/>
    <w:link w:val="71"/>
    <w:qFormat/>
    <w:uiPriority w:val="0"/>
    <w:pPr>
      <w:tabs>
        <w:tab w:val="center" w:pos="4680"/>
        <w:tab w:val="right" w:pos="9360"/>
      </w:tabs>
    </w:pPr>
  </w:style>
  <w:style w:type="paragraph" w:styleId="38">
    <w:name w:val="header"/>
    <w:basedOn w:val="1"/>
    <w:link w:val="70"/>
    <w:qFormat/>
    <w:uiPriority w:val="0"/>
    <w:pPr>
      <w:tabs>
        <w:tab w:val="center" w:pos="4680"/>
        <w:tab w:val="right" w:pos="9360"/>
      </w:tabs>
    </w:pPr>
  </w:style>
  <w:style w:type="paragraph" w:styleId="39">
    <w:name w:val="index heading"/>
    <w:basedOn w:val="1"/>
    <w:next w:val="1"/>
    <w:qFormat/>
    <w:uiPriority w:val="0"/>
    <w:pPr>
      <w:pBdr>
        <w:top w:val="single" w:color="auto" w:sz="12" w:space="0"/>
      </w:pBdr>
      <w:overflowPunct w:val="0"/>
      <w:snapToGrid/>
      <w:spacing w:before="360" w:after="240"/>
      <w:textAlignment w:val="baseline"/>
    </w:pPr>
    <w:rPr>
      <w:rFonts w:eastAsia="Times New Roman"/>
      <w:b/>
      <w:i/>
      <w:sz w:val="26"/>
      <w:szCs w:val="20"/>
      <w:lang w:val="en-GB" w:eastAsia="en-GB"/>
    </w:rPr>
  </w:style>
  <w:style w:type="paragraph" w:styleId="40">
    <w:name w:val="footnote text"/>
    <w:basedOn w:val="1"/>
    <w:link w:val="178"/>
    <w:qFormat/>
    <w:uiPriority w:val="99"/>
    <w:rPr>
      <w:sz w:val="20"/>
      <w:szCs w:val="20"/>
    </w:rPr>
  </w:style>
  <w:style w:type="paragraph" w:styleId="41">
    <w:name w:val="List 5"/>
    <w:basedOn w:val="42"/>
    <w:qFormat/>
    <w:uiPriority w:val="0"/>
    <w:pPr>
      <w:ind w:left="1702"/>
    </w:pPr>
  </w:style>
  <w:style w:type="paragraph" w:styleId="42">
    <w:name w:val="List 4"/>
    <w:basedOn w:val="11"/>
    <w:qFormat/>
    <w:uiPriority w:val="0"/>
    <w:pPr>
      <w:ind w:left="1418"/>
    </w:pPr>
  </w:style>
  <w:style w:type="paragraph" w:styleId="43">
    <w:name w:val="Body Text Indent 3"/>
    <w:basedOn w:val="1"/>
    <w:link w:val="137"/>
    <w:qFormat/>
    <w:uiPriority w:val="0"/>
    <w:pPr>
      <w:overflowPunct w:val="0"/>
      <w:snapToGrid/>
      <w:spacing w:after="0"/>
      <w:ind w:left="1080"/>
      <w:textAlignment w:val="baseline"/>
    </w:pPr>
    <w:rPr>
      <w:rFonts w:eastAsia="Times New Roman"/>
      <w:sz w:val="20"/>
      <w:szCs w:val="20"/>
      <w:lang w:eastAsia="ja-JP"/>
    </w:rPr>
  </w:style>
  <w:style w:type="paragraph" w:styleId="44">
    <w:name w:val="toc 9"/>
    <w:basedOn w:val="33"/>
    <w:next w:val="1"/>
    <w:qFormat/>
    <w:uiPriority w:val="0"/>
    <w:pPr>
      <w:ind w:left="1418" w:hanging="1418"/>
    </w:pPr>
  </w:style>
  <w:style w:type="paragraph" w:styleId="45">
    <w:name w:val="Body Text 2"/>
    <w:basedOn w:val="1"/>
    <w:link w:val="186"/>
    <w:qFormat/>
    <w:uiPriority w:val="0"/>
    <w:pPr>
      <w:spacing w:after="0"/>
    </w:pPr>
    <w:rPr>
      <w:szCs w:val="20"/>
    </w:rPr>
  </w:style>
  <w:style w:type="paragraph" w:styleId="46">
    <w:name w:val="Normal (Web)"/>
    <w:basedOn w:val="1"/>
    <w:unhideWhenUsed/>
    <w:qFormat/>
    <w:uiPriority w:val="99"/>
    <w:pPr>
      <w:autoSpaceDE/>
      <w:autoSpaceDN/>
      <w:adjustRightInd/>
      <w:snapToGrid/>
      <w:spacing w:before="100" w:beforeAutospacing="1" w:after="100" w:afterAutospacing="1"/>
    </w:pPr>
    <w:rPr>
      <w:rFonts w:ascii="宋体" w:hAnsi="宋体" w:cs="宋体"/>
      <w:sz w:val="24"/>
      <w:szCs w:val="24"/>
      <w:lang w:eastAsia="zh-CN"/>
    </w:rPr>
  </w:style>
  <w:style w:type="paragraph" w:styleId="47">
    <w:name w:val="index 1"/>
    <w:basedOn w:val="1"/>
    <w:next w:val="1"/>
    <w:qFormat/>
    <w:uiPriority w:val="0"/>
    <w:pPr>
      <w:keepLines/>
      <w:overflowPunct w:val="0"/>
      <w:snapToGrid/>
      <w:spacing w:after="0"/>
      <w:textAlignment w:val="baseline"/>
    </w:pPr>
    <w:rPr>
      <w:sz w:val="20"/>
      <w:szCs w:val="20"/>
      <w:lang w:val="en-GB"/>
    </w:rPr>
  </w:style>
  <w:style w:type="paragraph" w:styleId="48">
    <w:name w:val="index 2"/>
    <w:basedOn w:val="47"/>
    <w:next w:val="1"/>
    <w:qFormat/>
    <w:uiPriority w:val="0"/>
    <w:pPr>
      <w:ind w:left="284"/>
    </w:pPr>
    <w:rPr>
      <w:rFonts w:eastAsia="Times New Roman"/>
      <w:lang w:eastAsia="en-GB"/>
    </w:rPr>
  </w:style>
  <w:style w:type="paragraph" w:styleId="49">
    <w:name w:val="Title"/>
    <w:basedOn w:val="1"/>
    <w:next w:val="1"/>
    <w:link w:val="78"/>
    <w:qFormat/>
    <w:uiPriority w:val="0"/>
    <w:pPr>
      <w:spacing w:before="240" w:after="60"/>
      <w:jc w:val="center"/>
      <w:outlineLvl w:val="0"/>
    </w:pPr>
    <w:rPr>
      <w:rFonts w:ascii="Cambria" w:hAnsi="Cambria"/>
      <w:b/>
      <w:bCs/>
      <w:sz w:val="32"/>
      <w:szCs w:val="32"/>
    </w:rPr>
  </w:style>
  <w:style w:type="paragraph" w:styleId="50">
    <w:name w:val="annotation subject"/>
    <w:basedOn w:val="29"/>
    <w:next w:val="29"/>
    <w:link w:val="76"/>
    <w:qFormat/>
    <w:uiPriority w:val="99"/>
    <w:rPr>
      <w:b/>
      <w:bCs/>
    </w:rPr>
  </w:style>
  <w:style w:type="table" w:styleId="52">
    <w:name w:val="Table Grid"/>
    <w:basedOn w:val="51"/>
    <w:qFormat/>
    <w:uiPriority w:val="0"/>
    <w:pPr>
      <w:widowControl w:val="0"/>
      <w:autoSpaceDE w:val="0"/>
      <w:autoSpaceDN w:val="0"/>
      <w:adjustRightInd w:val="0"/>
      <w:spacing w:after="12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character" w:styleId="54">
    <w:name w:val="Strong"/>
    <w:qFormat/>
    <w:uiPriority w:val="0"/>
    <w:rPr>
      <w:b/>
      <w:bCs/>
    </w:rPr>
  </w:style>
  <w:style w:type="character" w:styleId="55">
    <w:name w:val="FollowedHyperlink"/>
    <w:qFormat/>
    <w:uiPriority w:val="0"/>
    <w:rPr>
      <w:color w:val="800080"/>
      <w:u w:val="single"/>
    </w:rPr>
  </w:style>
  <w:style w:type="character" w:styleId="56">
    <w:name w:val="Emphasis"/>
    <w:qFormat/>
    <w:uiPriority w:val="0"/>
    <w:rPr>
      <w:i/>
      <w:iCs/>
    </w:rPr>
  </w:style>
  <w:style w:type="character" w:styleId="57">
    <w:name w:val="Hyperlink"/>
    <w:qFormat/>
    <w:uiPriority w:val="99"/>
    <w:rPr>
      <w:color w:val="0000FF"/>
      <w:u w:val="single"/>
    </w:rPr>
  </w:style>
  <w:style w:type="character" w:styleId="58">
    <w:name w:val="annotation reference"/>
    <w:qFormat/>
    <w:uiPriority w:val="0"/>
    <w:rPr>
      <w:sz w:val="16"/>
      <w:szCs w:val="16"/>
    </w:rPr>
  </w:style>
  <w:style w:type="character" w:styleId="59">
    <w:name w:val="footnote reference"/>
    <w:qFormat/>
    <w:uiPriority w:val="0"/>
    <w:rPr>
      <w:vertAlign w:val="superscript"/>
    </w:rPr>
  </w:style>
  <w:style w:type="character" w:customStyle="1" w:styleId="60">
    <w:name w:val="批注框文本 字符"/>
    <w:link w:val="36"/>
    <w:semiHidden/>
    <w:qFormat/>
    <w:uiPriority w:val="99"/>
    <w:rPr>
      <w:rFonts w:ascii="Tahoma" w:hAnsi="Tahoma" w:cs="Tahoma"/>
      <w:sz w:val="16"/>
      <w:szCs w:val="16"/>
      <w:lang w:eastAsia="en-US"/>
    </w:rPr>
  </w:style>
  <w:style w:type="paragraph" w:customStyle="1" w:styleId="61">
    <w:name w:val="Normal."/>
    <w:qFormat/>
    <w:uiPriority w:val="0"/>
    <w:pPr>
      <w:widowControl w:val="0"/>
      <w:spacing w:after="160" w:line="180" w:lineRule="atLeast"/>
    </w:pPr>
    <w:rPr>
      <w:rFonts w:ascii="Times New Roman" w:hAnsi="Times New Roman" w:eastAsia="Batang" w:cs="Times New Roman"/>
      <w:kern w:val="2"/>
      <w:sz w:val="18"/>
      <w:szCs w:val="18"/>
      <w:lang w:val="en-US" w:eastAsia="en-US" w:bidi="ar-SA"/>
    </w:rPr>
  </w:style>
  <w:style w:type="paragraph" w:customStyle="1" w:styleId="62">
    <w:name w:val="EX"/>
    <w:basedOn w:val="1"/>
    <w:qFormat/>
    <w:uiPriority w:val="0"/>
    <w:pPr>
      <w:keepLines/>
      <w:autoSpaceDE/>
      <w:autoSpaceDN/>
      <w:adjustRightInd/>
      <w:spacing w:after="180"/>
      <w:ind w:left="1702" w:hanging="1418"/>
    </w:pPr>
    <w:rPr>
      <w:sz w:val="20"/>
      <w:szCs w:val="20"/>
      <w:lang w:val="en-GB"/>
    </w:rPr>
  </w:style>
  <w:style w:type="paragraph" w:customStyle="1" w:styleId="63">
    <w:name w:val="References"/>
    <w:basedOn w:val="1"/>
    <w:next w:val="1"/>
    <w:qFormat/>
    <w:uiPriority w:val="0"/>
    <w:pPr>
      <w:numPr>
        <w:ilvl w:val="0"/>
        <w:numId w:val="2"/>
      </w:numPr>
      <w:adjustRightInd/>
      <w:spacing w:after="60"/>
    </w:pPr>
    <w:rPr>
      <w:sz w:val="20"/>
      <w:szCs w:val="16"/>
    </w:rPr>
  </w:style>
  <w:style w:type="paragraph" w:customStyle="1" w:styleId="64">
    <w:name w:val="1"/>
    <w:next w:val="1"/>
    <w:semiHidden/>
    <w:qFormat/>
    <w:uiPriority w:val="0"/>
    <w:pPr>
      <w:keepNext/>
      <w:tabs>
        <w:tab w:val="left" w:pos="720"/>
      </w:tabs>
      <w:autoSpaceDE w:val="0"/>
      <w:autoSpaceDN w:val="0"/>
      <w:adjustRightInd w:val="0"/>
      <w:spacing w:after="160" w:line="259" w:lineRule="auto"/>
      <w:ind w:left="720" w:hanging="360"/>
      <w:jc w:val="both"/>
    </w:pPr>
    <w:rPr>
      <w:rFonts w:ascii="Times New Roman" w:hAnsi="Times New Roman" w:eastAsia="Times New Roman" w:cs="Times New Roman"/>
      <w:kern w:val="2"/>
      <w:lang w:val="en-GB" w:eastAsia="zh-CN" w:bidi="ar-SA"/>
    </w:rPr>
  </w:style>
  <w:style w:type="paragraph" w:customStyle="1" w:styleId="65">
    <w:name w:val="Char"/>
    <w:semiHidden/>
    <w:qFormat/>
    <w:uiPriority w:val="0"/>
    <w:pPr>
      <w:keepNext/>
      <w:numPr>
        <w:ilvl w:val="0"/>
        <w:numId w:val="3"/>
      </w:numPr>
      <w:autoSpaceDE w:val="0"/>
      <w:autoSpaceDN w:val="0"/>
      <w:adjustRightInd w:val="0"/>
      <w:spacing w:before="60" w:after="60" w:line="259" w:lineRule="auto"/>
      <w:jc w:val="both"/>
    </w:pPr>
    <w:rPr>
      <w:rFonts w:ascii="Arial" w:hAnsi="Arial" w:cs="Arial" w:eastAsiaTheme="minorEastAsia"/>
      <w:color w:val="0000FF"/>
      <w:kern w:val="2"/>
      <w:lang w:val="en-US" w:eastAsia="zh-CN" w:bidi="ar-SA"/>
    </w:rPr>
  </w:style>
  <w:style w:type="paragraph" w:customStyle="1" w:styleId="66">
    <w:name w:val="EQ"/>
    <w:basedOn w:val="1"/>
    <w:next w:val="1"/>
    <w:qFormat/>
    <w:uiPriority w:val="0"/>
    <w:pPr>
      <w:keepLines/>
      <w:tabs>
        <w:tab w:val="center" w:pos="4536"/>
        <w:tab w:val="right" w:pos="9072"/>
      </w:tabs>
      <w:autoSpaceDE/>
      <w:autoSpaceDN/>
      <w:adjustRightInd/>
      <w:spacing w:after="180"/>
    </w:pPr>
    <w:rPr>
      <w:rFonts w:eastAsia="Times New Roman"/>
      <w:sz w:val="20"/>
      <w:szCs w:val="20"/>
      <w:lang w:val="en-GB"/>
    </w:rPr>
  </w:style>
  <w:style w:type="paragraph" w:customStyle="1" w:styleId="67">
    <w:name w:val="Zchn Zchn"/>
    <w:semiHidden/>
    <w:qFormat/>
    <w:uiPriority w:val="0"/>
    <w:pPr>
      <w:keepNext/>
      <w:tabs>
        <w:tab w:val="left" w:pos="851"/>
      </w:tabs>
      <w:autoSpaceDE w:val="0"/>
      <w:autoSpaceDN w:val="0"/>
      <w:adjustRightInd w:val="0"/>
      <w:spacing w:before="60" w:after="60" w:line="259" w:lineRule="auto"/>
      <w:ind w:left="851" w:hanging="851"/>
      <w:jc w:val="both"/>
    </w:pPr>
    <w:rPr>
      <w:rFonts w:ascii="Arial" w:hAnsi="Arial" w:cs="Arial" w:eastAsiaTheme="minorEastAsia"/>
      <w:color w:val="0000FF"/>
      <w:kern w:val="2"/>
      <w:lang w:val="en-US" w:eastAsia="zh-CN" w:bidi="ar-SA"/>
    </w:rPr>
  </w:style>
  <w:style w:type="paragraph" w:customStyle="1" w:styleId="68">
    <w:name w:val="Char Char"/>
    <w:semiHidden/>
    <w:qFormat/>
    <w:uiPriority w:val="0"/>
    <w:pPr>
      <w:keepNext/>
      <w:tabs>
        <w:tab w:val="left" w:pos="851"/>
      </w:tabs>
      <w:autoSpaceDE w:val="0"/>
      <w:autoSpaceDN w:val="0"/>
      <w:adjustRightInd w:val="0"/>
      <w:spacing w:before="60" w:after="60" w:line="259" w:lineRule="auto"/>
      <w:ind w:left="851" w:hanging="851"/>
      <w:jc w:val="both"/>
    </w:pPr>
    <w:rPr>
      <w:rFonts w:ascii="Arial" w:hAnsi="Arial" w:cs="Arial" w:eastAsiaTheme="minorEastAsia"/>
      <w:color w:val="0000FF"/>
      <w:kern w:val="2"/>
      <w:lang w:val="en-US" w:eastAsia="zh-CN" w:bidi="ar-SA"/>
    </w:rPr>
  </w:style>
  <w:style w:type="character" w:customStyle="1" w:styleId="69">
    <w:name w:val="题注 字符"/>
    <w:link w:val="27"/>
    <w:qFormat/>
    <w:uiPriority w:val="35"/>
    <w:rPr>
      <w:b/>
      <w:bCs/>
      <w:lang w:eastAsia="en-US"/>
    </w:rPr>
  </w:style>
  <w:style w:type="character" w:customStyle="1" w:styleId="70">
    <w:name w:val="页眉 字符"/>
    <w:link w:val="38"/>
    <w:qFormat/>
    <w:uiPriority w:val="0"/>
    <w:rPr>
      <w:sz w:val="22"/>
      <w:szCs w:val="22"/>
    </w:rPr>
  </w:style>
  <w:style w:type="character" w:customStyle="1" w:styleId="71">
    <w:name w:val="页脚 字符"/>
    <w:link w:val="37"/>
    <w:qFormat/>
    <w:uiPriority w:val="0"/>
    <w:rPr>
      <w:sz w:val="22"/>
      <w:szCs w:val="22"/>
    </w:rPr>
  </w:style>
  <w:style w:type="paragraph" w:customStyle="1" w:styleId="72">
    <w:name w:val="Char Char1 Char Char Char Char Char Char Char Char Char Char Char Char Char Char Char"/>
    <w:semiHidden/>
    <w:qFormat/>
    <w:uiPriority w:val="0"/>
    <w:pPr>
      <w:keepNext/>
      <w:tabs>
        <w:tab w:val="left" w:pos="360"/>
      </w:tabs>
      <w:autoSpaceDE w:val="0"/>
      <w:autoSpaceDN w:val="0"/>
      <w:adjustRightInd w:val="0"/>
      <w:spacing w:before="60" w:after="60" w:line="259" w:lineRule="auto"/>
      <w:ind w:left="360" w:hanging="360"/>
      <w:jc w:val="both"/>
    </w:pPr>
    <w:rPr>
      <w:rFonts w:ascii="Arial" w:hAnsi="Arial" w:cs="Arial" w:eastAsiaTheme="minorEastAsia"/>
      <w:color w:val="0000FF"/>
      <w:kern w:val="2"/>
      <w:lang w:val="en-US" w:eastAsia="zh-CN" w:bidi="ar-SA"/>
    </w:rPr>
  </w:style>
  <w:style w:type="paragraph" w:styleId="73">
    <w:name w:val="List Paragraph"/>
    <w:basedOn w:val="1"/>
    <w:link w:val="187"/>
    <w:qFormat/>
    <w:uiPriority w:val="34"/>
    <w:pPr>
      <w:autoSpaceDE/>
      <w:autoSpaceDN/>
      <w:adjustRightInd/>
      <w:spacing w:after="0"/>
      <w:ind w:left="720"/>
    </w:pPr>
    <w:rPr>
      <w:rFonts w:ascii="Calibri" w:hAnsi="Calibri"/>
    </w:rPr>
  </w:style>
  <w:style w:type="character" w:customStyle="1" w:styleId="74">
    <w:name w:val="文档结构图 字符"/>
    <w:link w:val="28"/>
    <w:qFormat/>
    <w:uiPriority w:val="99"/>
    <w:rPr>
      <w:rFonts w:ascii="Tahoma" w:hAnsi="Tahoma" w:cs="Tahoma"/>
      <w:sz w:val="16"/>
      <w:szCs w:val="16"/>
    </w:rPr>
  </w:style>
  <w:style w:type="character" w:customStyle="1" w:styleId="75">
    <w:name w:val="批注文字 字符"/>
    <w:basedOn w:val="53"/>
    <w:link w:val="29"/>
    <w:qFormat/>
    <w:uiPriority w:val="99"/>
  </w:style>
  <w:style w:type="character" w:customStyle="1" w:styleId="76">
    <w:name w:val="批注主题 字符"/>
    <w:link w:val="50"/>
    <w:qFormat/>
    <w:uiPriority w:val="99"/>
    <w:rPr>
      <w:b/>
      <w:bCs/>
    </w:rPr>
  </w:style>
  <w:style w:type="paragraph" w:customStyle="1" w:styleId="77">
    <w:name w:val="Revision1"/>
    <w:hidden/>
    <w:semiHidden/>
    <w:qFormat/>
    <w:uiPriority w:val="99"/>
    <w:pPr>
      <w:spacing w:after="160" w:line="259" w:lineRule="auto"/>
    </w:pPr>
    <w:rPr>
      <w:rFonts w:ascii="Times New Roman" w:hAnsi="Times New Roman" w:cs="Times New Roman" w:eastAsiaTheme="minorEastAsia"/>
      <w:sz w:val="22"/>
      <w:szCs w:val="22"/>
      <w:lang w:val="en-GB" w:eastAsia="en-US" w:bidi="ar-SA"/>
    </w:rPr>
  </w:style>
  <w:style w:type="character" w:customStyle="1" w:styleId="78">
    <w:name w:val="标题 字符"/>
    <w:link w:val="49"/>
    <w:qFormat/>
    <w:uiPriority w:val="0"/>
    <w:rPr>
      <w:rFonts w:ascii="Cambria" w:hAnsi="Cambria" w:cs="Times New Roman"/>
      <w:b/>
      <w:bCs/>
      <w:sz w:val="32"/>
      <w:szCs w:val="32"/>
      <w:lang w:eastAsia="en-US"/>
    </w:rPr>
  </w:style>
  <w:style w:type="paragraph" w:customStyle="1" w:styleId="79">
    <w:name w:val="TAL"/>
    <w:basedOn w:val="1"/>
    <w:link w:val="80"/>
    <w:qFormat/>
    <w:uiPriority w:val="0"/>
    <w:pPr>
      <w:keepNext/>
      <w:keepLines/>
      <w:overflowPunct w:val="0"/>
      <w:snapToGrid/>
      <w:spacing w:after="0"/>
      <w:textAlignment w:val="baseline"/>
    </w:pPr>
    <w:rPr>
      <w:rFonts w:ascii="Arial" w:hAnsi="Arial" w:eastAsia="Times New Roman"/>
      <w:sz w:val="18"/>
      <w:szCs w:val="18"/>
      <w:lang w:eastAsia="ja-JP"/>
    </w:rPr>
  </w:style>
  <w:style w:type="character" w:customStyle="1" w:styleId="80">
    <w:name w:val="TAL Car"/>
    <w:link w:val="79"/>
    <w:qFormat/>
    <w:uiPriority w:val="0"/>
    <w:rPr>
      <w:rFonts w:ascii="Arial" w:hAnsi="Arial" w:eastAsia="Times New Roman" w:cs="Arial"/>
      <w:sz w:val="18"/>
      <w:szCs w:val="18"/>
      <w:lang w:eastAsia="ja-JP"/>
    </w:rPr>
  </w:style>
  <w:style w:type="paragraph" w:customStyle="1" w:styleId="81">
    <w:name w:val="TAH"/>
    <w:basedOn w:val="1"/>
    <w:link w:val="199"/>
    <w:qFormat/>
    <w:uiPriority w:val="0"/>
    <w:pPr>
      <w:keepNext/>
      <w:keepLines/>
      <w:overflowPunct w:val="0"/>
      <w:snapToGrid/>
      <w:spacing w:after="0"/>
      <w:jc w:val="center"/>
      <w:textAlignment w:val="baseline"/>
    </w:pPr>
    <w:rPr>
      <w:rFonts w:ascii="Arial" w:hAnsi="Arial" w:eastAsia="Times New Roman"/>
      <w:b/>
      <w:sz w:val="18"/>
      <w:szCs w:val="20"/>
      <w:lang w:val="en-GB" w:eastAsia="en-GB"/>
    </w:rPr>
  </w:style>
  <w:style w:type="paragraph" w:customStyle="1" w:styleId="82">
    <w:name w:val="figure"/>
    <w:basedOn w:val="1"/>
    <w:qFormat/>
    <w:uiPriority w:val="0"/>
    <w:pPr>
      <w:keepNext/>
      <w:jc w:val="center"/>
    </w:pPr>
  </w:style>
  <w:style w:type="paragraph" w:customStyle="1" w:styleId="83">
    <w:name w:val="Tdoc_Header_2"/>
    <w:basedOn w:val="1"/>
    <w:qFormat/>
    <w:uiPriority w:val="0"/>
    <w:pPr>
      <w:widowControl w:val="0"/>
      <w:tabs>
        <w:tab w:val="left" w:pos="1701"/>
        <w:tab w:val="right" w:pos="9072"/>
        <w:tab w:val="right" w:pos="10206"/>
      </w:tabs>
      <w:autoSpaceDE/>
      <w:autoSpaceDN/>
      <w:adjustRightInd/>
      <w:snapToGrid/>
      <w:spacing w:after="0"/>
    </w:pPr>
    <w:rPr>
      <w:rFonts w:ascii="Arial" w:hAnsi="Arial" w:eastAsia="Batang"/>
      <w:b/>
      <w:sz w:val="18"/>
      <w:szCs w:val="20"/>
      <w:lang w:val="en-GB"/>
    </w:rPr>
  </w:style>
  <w:style w:type="paragraph" w:customStyle="1" w:styleId="84">
    <w:name w:val="Reference"/>
    <w:basedOn w:val="1"/>
    <w:qFormat/>
    <w:uiPriority w:val="0"/>
    <w:pPr>
      <w:numPr>
        <w:ilvl w:val="0"/>
        <w:numId w:val="4"/>
      </w:numPr>
      <w:overflowPunct w:val="0"/>
      <w:snapToGrid/>
      <w:spacing w:after="180"/>
      <w:ind w:right="-99"/>
      <w:textAlignment w:val="baseline"/>
    </w:pPr>
    <w:rPr>
      <w:rFonts w:eastAsia="MS Mincho"/>
      <w:szCs w:val="20"/>
      <w:lang w:val="en-GB"/>
    </w:rPr>
  </w:style>
  <w:style w:type="character" w:customStyle="1" w:styleId="85">
    <w:name w:val="word_other"/>
    <w:basedOn w:val="53"/>
    <w:qFormat/>
    <w:uiPriority w:val="0"/>
  </w:style>
  <w:style w:type="paragraph" w:customStyle="1" w:styleId="86">
    <w:name w:val="Tablecell"/>
    <w:basedOn w:val="1"/>
    <w:qFormat/>
    <w:uiPriority w:val="0"/>
    <w:pPr>
      <w:widowControl w:val="0"/>
      <w:spacing w:before="40" w:after="40"/>
    </w:pPr>
    <w:rPr>
      <w:sz w:val="20"/>
    </w:rPr>
  </w:style>
  <w:style w:type="paragraph" w:customStyle="1" w:styleId="87">
    <w:name w:val="Motorola Response1"/>
    <w:next w:val="1"/>
    <w:semiHidden/>
    <w:qFormat/>
    <w:uiPriority w:val="0"/>
    <w:pPr>
      <w:keepNext/>
      <w:tabs>
        <w:tab w:val="left" w:pos="432"/>
      </w:tabs>
      <w:autoSpaceDE w:val="0"/>
      <w:autoSpaceDN w:val="0"/>
      <w:adjustRightInd w:val="0"/>
      <w:spacing w:after="160" w:line="259" w:lineRule="auto"/>
      <w:ind w:left="432" w:hanging="432"/>
      <w:jc w:val="both"/>
    </w:pPr>
    <w:rPr>
      <w:rFonts w:ascii="Times New Roman" w:hAnsi="Times New Roman" w:eastAsia="Times New Roman" w:cs="Times New Roman"/>
      <w:kern w:val="2"/>
      <w:lang w:val="en-GB" w:eastAsia="zh-CN" w:bidi="ar-SA"/>
    </w:rPr>
  </w:style>
  <w:style w:type="character" w:styleId="88">
    <w:name w:val="Placeholder Text"/>
    <w:semiHidden/>
    <w:qFormat/>
    <w:uiPriority w:val="99"/>
    <w:rPr>
      <w:color w:val="808080"/>
    </w:rPr>
  </w:style>
  <w:style w:type="character" w:customStyle="1" w:styleId="89">
    <w:name w:val="apple-converted-space"/>
    <w:basedOn w:val="53"/>
    <w:qFormat/>
    <w:uiPriority w:val="0"/>
  </w:style>
  <w:style w:type="character" w:customStyle="1" w:styleId="90">
    <w:name w:val="纯文本 字符"/>
    <w:link w:val="31"/>
    <w:qFormat/>
    <w:uiPriority w:val="0"/>
    <w:rPr>
      <w:rFonts w:ascii="Consolas" w:hAnsi="Consolas" w:eastAsia="Calibri" w:cs="Consolas"/>
      <w:sz w:val="21"/>
      <w:szCs w:val="21"/>
    </w:rPr>
  </w:style>
  <w:style w:type="paragraph" w:customStyle="1" w:styleId="91">
    <w:name w:val="references"/>
    <w:qFormat/>
    <w:uiPriority w:val="99"/>
    <w:pPr>
      <w:numPr>
        <w:ilvl w:val="0"/>
        <w:numId w:val="5"/>
      </w:numPr>
      <w:spacing w:after="50" w:line="180" w:lineRule="exact"/>
      <w:jc w:val="both"/>
    </w:pPr>
    <w:rPr>
      <w:rFonts w:ascii="Times New Roman" w:hAnsi="Times New Roman" w:eastAsia="MS Mincho" w:cs="Times New Roman"/>
      <w:szCs w:val="16"/>
      <w:lang w:val="en-US" w:eastAsia="en-US" w:bidi="ar-SA"/>
    </w:rPr>
  </w:style>
  <w:style w:type="paragraph" w:styleId="92">
    <w:name w:val="No Spacing"/>
    <w:qFormat/>
    <w:uiPriority w:val="1"/>
    <w:pPr>
      <w:spacing w:after="160" w:line="259" w:lineRule="auto"/>
    </w:pPr>
    <w:rPr>
      <w:rFonts w:ascii="Times New Roman" w:hAnsi="Times New Roman" w:eastAsia="MS Mincho" w:cs="Times New Roman"/>
      <w:lang w:val="en-US" w:eastAsia="en-US" w:bidi="ar-SA"/>
    </w:rPr>
  </w:style>
  <w:style w:type="character" w:customStyle="1" w:styleId="93">
    <w:name w:val="标题 1 字符"/>
    <w:link w:val="2"/>
    <w:qFormat/>
    <w:uiPriority w:val="0"/>
    <w:rPr>
      <w:rFonts w:ascii="Arial" w:hAnsi="Arial" w:eastAsia="Times New Roman" w:cs="Arial"/>
      <w:sz w:val="36"/>
      <w:szCs w:val="36"/>
      <w:lang w:val="en-GB" w:eastAsia="zh-CN"/>
    </w:rPr>
  </w:style>
  <w:style w:type="paragraph" w:customStyle="1" w:styleId="94">
    <w:name w:val="B1"/>
    <w:basedOn w:val="22"/>
    <w:link w:val="95"/>
    <w:qFormat/>
    <w:uiPriority w:val="0"/>
    <w:pPr>
      <w:overflowPunct w:val="0"/>
      <w:snapToGrid/>
      <w:spacing w:after="180"/>
      <w:ind w:left="568" w:hanging="284"/>
      <w:textAlignment w:val="baseline"/>
    </w:pPr>
    <w:rPr>
      <w:rFonts w:eastAsia="Times New Roman"/>
      <w:sz w:val="20"/>
      <w:szCs w:val="20"/>
      <w:lang w:val="en-GB" w:eastAsia="en-GB"/>
    </w:rPr>
  </w:style>
  <w:style w:type="character" w:customStyle="1" w:styleId="95">
    <w:name w:val="B1 Char1"/>
    <w:link w:val="94"/>
    <w:qFormat/>
    <w:uiPriority w:val="0"/>
    <w:rPr>
      <w:rFonts w:eastAsia="Times New Roman"/>
      <w:lang w:val="en-GB" w:eastAsia="en-GB"/>
    </w:rPr>
  </w:style>
  <w:style w:type="paragraph" w:customStyle="1" w:styleId="96">
    <w:name w:val="B2"/>
    <w:basedOn w:val="12"/>
    <w:link w:val="202"/>
    <w:qFormat/>
    <w:uiPriority w:val="0"/>
    <w:pPr>
      <w:overflowPunct w:val="0"/>
      <w:snapToGrid/>
      <w:spacing w:after="180"/>
      <w:ind w:left="851" w:hanging="284"/>
      <w:contextualSpacing w:val="0"/>
      <w:textAlignment w:val="baseline"/>
    </w:pPr>
    <w:rPr>
      <w:rFonts w:eastAsia="Times New Roman"/>
      <w:sz w:val="20"/>
      <w:szCs w:val="20"/>
      <w:lang w:val="en-GB" w:eastAsia="en-GB"/>
    </w:rPr>
  </w:style>
  <w:style w:type="paragraph" w:customStyle="1" w:styleId="97">
    <w:name w:val="H6"/>
    <w:basedOn w:val="6"/>
    <w:next w:val="1"/>
    <w:qFormat/>
    <w:uiPriority w:val="0"/>
    <w:pPr>
      <w:keepNext/>
      <w:keepLines/>
      <w:numPr>
        <w:ilvl w:val="0"/>
        <w:numId w:val="0"/>
      </w:numPr>
      <w:overflowPunct w:val="0"/>
      <w:snapToGrid/>
      <w:spacing w:before="120" w:after="180"/>
      <w:ind w:left="1985" w:hanging="1985"/>
      <w:textAlignment w:val="baseline"/>
      <w:outlineLvl w:val="9"/>
    </w:pPr>
    <w:rPr>
      <w:rFonts w:ascii="Arial" w:hAnsi="Arial" w:eastAsia="Times New Roman"/>
      <w:b w:val="0"/>
      <w:bCs w:val="0"/>
      <w:i w:val="0"/>
      <w:iCs w:val="0"/>
      <w:sz w:val="20"/>
      <w:szCs w:val="20"/>
      <w:lang w:val="en-GB" w:eastAsia="en-GB"/>
    </w:rPr>
  </w:style>
  <w:style w:type="character" w:customStyle="1" w:styleId="98">
    <w:name w:val="ZGSM"/>
    <w:qFormat/>
    <w:uiPriority w:val="0"/>
  </w:style>
  <w:style w:type="paragraph" w:customStyle="1" w:styleId="99">
    <w:name w:val="ZD"/>
    <w:qFormat/>
    <w:uiPriority w:val="0"/>
    <w:pPr>
      <w:framePr w:wrap="notBeside" w:vAnchor="page" w:hAnchor="margin" w:y="15764"/>
      <w:widowControl w:val="0"/>
      <w:overflowPunct w:val="0"/>
      <w:autoSpaceDE w:val="0"/>
      <w:autoSpaceDN w:val="0"/>
      <w:adjustRightInd w:val="0"/>
      <w:spacing w:after="160" w:line="259" w:lineRule="auto"/>
      <w:textAlignment w:val="baseline"/>
    </w:pPr>
    <w:rPr>
      <w:rFonts w:ascii="Arial" w:hAnsi="Arial" w:eastAsia="Times New Roman" w:cs="Times New Roman"/>
      <w:sz w:val="32"/>
      <w:lang w:val="en-GB" w:eastAsia="en-GB" w:bidi="ar-SA"/>
    </w:rPr>
  </w:style>
  <w:style w:type="paragraph" w:customStyle="1" w:styleId="100">
    <w:name w:val="TT"/>
    <w:basedOn w:val="2"/>
    <w:next w:val="1"/>
    <w:qFormat/>
    <w:uiPriority w:val="0"/>
    <w:pPr>
      <w:ind w:left="1134" w:hanging="1134"/>
      <w:outlineLvl w:val="9"/>
    </w:pPr>
    <w:rPr>
      <w:b/>
      <w:bCs/>
      <w:szCs w:val="20"/>
      <w:lang w:eastAsia="en-GB"/>
    </w:rPr>
  </w:style>
  <w:style w:type="paragraph" w:customStyle="1" w:styleId="101">
    <w:name w:val="NF"/>
    <w:basedOn w:val="102"/>
    <w:qFormat/>
    <w:uiPriority w:val="0"/>
  </w:style>
  <w:style w:type="paragraph" w:customStyle="1" w:styleId="102">
    <w:name w:val="NO"/>
    <w:basedOn w:val="1"/>
    <w:qFormat/>
    <w:uiPriority w:val="0"/>
    <w:pPr>
      <w:keepLines/>
      <w:overflowPunct w:val="0"/>
      <w:snapToGrid/>
      <w:spacing w:after="180"/>
      <w:ind w:left="1135" w:hanging="851"/>
      <w:textAlignment w:val="baseline"/>
    </w:pPr>
    <w:rPr>
      <w:rFonts w:eastAsia="Times New Roman"/>
      <w:sz w:val="20"/>
      <w:szCs w:val="20"/>
      <w:lang w:val="en-GB" w:eastAsia="en-GB"/>
    </w:rPr>
  </w:style>
  <w:style w:type="paragraph" w:customStyle="1" w:styleId="103">
    <w:name w:val="PL"/>
    <w:link w:val="179"/>
    <w:qFormat/>
    <w:uiPriority w:val="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160" w:line="259" w:lineRule="auto"/>
      <w:textAlignment w:val="baseline"/>
    </w:pPr>
    <w:rPr>
      <w:rFonts w:ascii="Courier New" w:hAnsi="Courier New" w:eastAsia="Times New Roman" w:cs="Times New Roman"/>
      <w:sz w:val="16"/>
      <w:lang w:val="en-GB" w:eastAsia="en-GB" w:bidi="ar-SA"/>
    </w:rPr>
  </w:style>
  <w:style w:type="paragraph" w:customStyle="1" w:styleId="104">
    <w:name w:val="TAR"/>
    <w:basedOn w:val="79"/>
    <w:qFormat/>
    <w:uiPriority w:val="0"/>
    <w:pPr>
      <w:jc w:val="right"/>
    </w:pPr>
    <w:rPr>
      <w:szCs w:val="20"/>
      <w:lang w:val="en-GB" w:eastAsia="en-GB"/>
    </w:rPr>
  </w:style>
  <w:style w:type="paragraph" w:customStyle="1" w:styleId="105">
    <w:name w:val="TAC"/>
    <w:basedOn w:val="79"/>
    <w:link w:val="198"/>
    <w:qFormat/>
    <w:uiPriority w:val="0"/>
    <w:pPr>
      <w:jc w:val="center"/>
    </w:pPr>
    <w:rPr>
      <w:szCs w:val="20"/>
      <w:lang w:val="en-GB" w:eastAsia="en-GB"/>
    </w:rPr>
  </w:style>
  <w:style w:type="paragraph" w:customStyle="1" w:styleId="106">
    <w:name w:val="LD"/>
    <w:qFormat/>
    <w:uiPriority w:val="0"/>
    <w:pPr>
      <w:keepNext/>
      <w:keepLines/>
      <w:overflowPunct w:val="0"/>
      <w:autoSpaceDE w:val="0"/>
      <w:autoSpaceDN w:val="0"/>
      <w:adjustRightInd w:val="0"/>
      <w:spacing w:after="160" w:line="180" w:lineRule="exact"/>
      <w:textAlignment w:val="baseline"/>
    </w:pPr>
    <w:rPr>
      <w:rFonts w:ascii="Courier New" w:hAnsi="Courier New" w:eastAsia="Times New Roman" w:cs="Times New Roman"/>
      <w:lang w:val="en-GB" w:eastAsia="en-GB" w:bidi="ar-SA"/>
    </w:rPr>
  </w:style>
  <w:style w:type="paragraph" w:customStyle="1" w:styleId="107">
    <w:name w:val="FP"/>
    <w:basedOn w:val="1"/>
    <w:qFormat/>
    <w:uiPriority w:val="0"/>
    <w:pPr>
      <w:overflowPunct w:val="0"/>
      <w:snapToGrid/>
      <w:spacing w:after="0"/>
      <w:textAlignment w:val="baseline"/>
    </w:pPr>
    <w:rPr>
      <w:rFonts w:eastAsia="Times New Roman"/>
      <w:sz w:val="20"/>
      <w:szCs w:val="20"/>
      <w:lang w:val="en-GB" w:eastAsia="en-GB"/>
    </w:rPr>
  </w:style>
  <w:style w:type="paragraph" w:customStyle="1" w:styleId="108">
    <w:name w:val="NW"/>
    <w:basedOn w:val="102"/>
    <w:qFormat/>
    <w:uiPriority w:val="0"/>
  </w:style>
  <w:style w:type="paragraph" w:customStyle="1" w:styleId="109">
    <w:name w:val="EW"/>
    <w:basedOn w:val="62"/>
    <w:qFormat/>
    <w:uiPriority w:val="0"/>
  </w:style>
  <w:style w:type="paragraph" w:customStyle="1" w:styleId="110">
    <w:name w:val="Editor's Note"/>
    <w:basedOn w:val="102"/>
    <w:qFormat/>
    <w:uiPriority w:val="0"/>
  </w:style>
  <w:style w:type="paragraph" w:customStyle="1" w:styleId="111">
    <w:name w:val="TH"/>
    <w:basedOn w:val="1"/>
    <w:link w:val="112"/>
    <w:qFormat/>
    <w:uiPriority w:val="0"/>
    <w:pPr>
      <w:keepNext/>
      <w:keepLines/>
      <w:overflowPunct w:val="0"/>
      <w:snapToGrid/>
      <w:spacing w:before="60" w:after="180"/>
      <w:jc w:val="center"/>
      <w:textAlignment w:val="baseline"/>
    </w:pPr>
    <w:rPr>
      <w:rFonts w:ascii="Arial" w:hAnsi="Arial" w:eastAsia="Times New Roman"/>
      <w:b/>
      <w:sz w:val="20"/>
      <w:szCs w:val="20"/>
      <w:lang w:val="en-GB" w:eastAsia="en-GB"/>
    </w:rPr>
  </w:style>
  <w:style w:type="character" w:customStyle="1" w:styleId="112">
    <w:name w:val="TH Char"/>
    <w:link w:val="111"/>
    <w:qFormat/>
    <w:uiPriority w:val="0"/>
    <w:rPr>
      <w:rFonts w:ascii="Arial" w:hAnsi="Arial" w:eastAsia="Times New Roman"/>
      <w:b/>
      <w:lang w:val="en-GB" w:eastAsia="en-GB"/>
    </w:rPr>
  </w:style>
  <w:style w:type="paragraph" w:customStyle="1" w:styleId="113">
    <w:name w:val="ZA"/>
    <w:qFormat/>
    <w:uiPriority w:val="0"/>
    <w:pPr>
      <w:framePr w:w="10206" w:h="794" w:hRule="exact" w:wrap="notBeside" w:vAnchor="page" w:hAnchor="margin" w:y="1135"/>
      <w:widowControl w:val="0"/>
      <w:pBdr>
        <w:bottom w:val="single" w:color="auto" w:sz="12" w:space="1"/>
      </w:pBdr>
      <w:overflowPunct w:val="0"/>
      <w:autoSpaceDE w:val="0"/>
      <w:autoSpaceDN w:val="0"/>
      <w:adjustRightInd w:val="0"/>
      <w:spacing w:after="160" w:line="259" w:lineRule="auto"/>
      <w:jc w:val="right"/>
      <w:textAlignment w:val="baseline"/>
    </w:pPr>
    <w:rPr>
      <w:rFonts w:ascii="Arial" w:hAnsi="Arial" w:eastAsia="Times New Roman" w:cs="Times New Roman"/>
      <w:sz w:val="40"/>
      <w:lang w:val="en-GB" w:eastAsia="en-GB" w:bidi="ar-SA"/>
    </w:rPr>
  </w:style>
  <w:style w:type="paragraph" w:customStyle="1" w:styleId="114">
    <w:name w:val="ZB"/>
    <w:qFormat/>
    <w:uiPriority w:val="0"/>
    <w:pPr>
      <w:framePr w:w="10206" w:h="284" w:hRule="exact" w:wrap="notBeside" w:vAnchor="page" w:hAnchor="margin" w:y="1986"/>
      <w:widowControl w:val="0"/>
      <w:overflowPunct w:val="0"/>
      <w:autoSpaceDE w:val="0"/>
      <w:autoSpaceDN w:val="0"/>
      <w:adjustRightInd w:val="0"/>
      <w:spacing w:after="160" w:line="259" w:lineRule="auto"/>
      <w:ind w:right="28"/>
      <w:jc w:val="right"/>
      <w:textAlignment w:val="baseline"/>
    </w:pPr>
    <w:rPr>
      <w:rFonts w:ascii="Arial" w:hAnsi="Arial" w:eastAsia="Times New Roman" w:cs="Times New Roman"/>
      <w:i/>
      <w:lang w:val="en-GB" w:eastAsia="en-GB" w:bidi="ar-SA"/>
    </w:rPr>
  </w:style>
  <w:style w:type="paragraph" w:customStyle="1" w:styleId="115">
    <w:name w:val="ZT"/>
    <w:qFormat/>
    <w:uiPriority w:val="0"/>
    <w:pPr>
      <w:framePr w:wrap="notBeside" w:vAnchor="margin" w:hAnchor="margin" w:yAlign="center"/>
      <w:widowControl w:val="0"/>
      <w:overflowPunct w:val="0"/>
      <w:autoSpaceDE w:val="0"/>
      <w:autoSpaceDN w:val="0"/>
      <w:adjustRightInd w:val="0"/>
      <w:spacing w:after="160" w:line="240" w:lineRule="atLeast"/>
      <w:jc w:val="right"/>
      <w:textAlignment w:val="baseline"/>
    </w:pPr>
    <w:rPr>
      <w:rFonts w:ascii="Arial" w:hAnsi="Arial" w:eastAsia="Times New Roman" w:cs="Times New Roman"/>
      <w:b/>
      <w:sz w:val="34"/>
      <w:lang w:val="en-GB" w:eastAsia="en-GB" w:bidi="ar-SA"/>
    </w:rPr>
  </w:style>
  <w:style w:type="paragraph" w:customStyle="1" w:styleId="116">
    <w:name w:val="ZU"/>
    <w:qFormat/>
    <w:uiPriority w:val="0"/>
    <w:pPr>
      <w:framePr w:w="10206" w:wrap="notBeside" w:vAnchor="page" w:hAnchor="margin" w:y="6238"/>
      <w:widowControl w:val="0"/>
      <w:pBdr>
        <w:top w:val="single" w:color="auto" w:sz="12" w:space="1"/>
      </w:pBdr>
      <w:overflowPunct w:val="0"/>
      <w:autoSpaceDE w:val="0"/>
      <w:autoSpaceDN w:val="0"/>
      <w:adjustRightInd w:val="0"/>
      <w:spacing w:after="160" w:line="259" w:lineRule="auto"/>
      <w:jc w:val="right"/>
      <w:textAlignment w:val="baseline"/>
    </w:pPr>
    <w:rPr>
      <w:rFonts w:ascii="Arial" w:hAnsi="Arial" w:eastAsia="Times New Roman" w:cs="Times New Roman"/>
      <w:lang w:val="en-GB" w:eastAsia="en-GB" w:bidi="ar-SA"/>
    </w:rPr>
  </w:style>
  <w:style w:type="paragraph" w:customStyle="1" w:styleId="117">
    <w:name w:val="TAN"/>
    <w:basedOn w:val="79"/>
    <w:qFormat/>
    <w:uiPriority w:val="0"/>
    <w:pPr>
      <w:ind w:left="851" w:hanging="851"/>
    </w:pPr>
    <w:rPr>
      <w:szCs w:val="20"/>
      <w:lang w:val="en-GB" w:eastAsia="en-GB"/>
    </w:rPr>
  </w:style>
  <w:style w:type="paragraph" w:customStyle="1" w:styleId="118">
    <w:name w:val="ZH"/>
    <w:qFormat/>
    <w:uiPriority w:val="0"/>
    <w:pPr>
      <w:framePr w:wrap="notBeside" w:vAnchor="page" w:hAnchor="margin" w:xAlign="center" w:y="6805"/>
      <w:widowControl w:val="0"/>
      <w:overflowPunct w:val="0"/>
      <w:autoSpaceDE w:val="0"/>
      <w:autoSpaceDN w:val="0"/>
      <w:adjustRightInd w:val="0"/>
      <w:spacing w:after="160" w:line="259" w:lineRule="auto"/>
      <w:textAlignment w:val="baseline"/>
    </w:pPr>
    <w:rPr>
      <w:rFonts w:ascii="Arial" w:hAnsi="Arial" w:eastAsia="Times New Roman" w:cs="Times New Roman"/>
      <w:lang w:val="en-GB" w:eastAsia="en-GB" w:bidi="ar-SA"/>
    </w:rPr>
  </w:style>
  <w:style w:type="paragraph" w:customStyle="1" w:styleId="119">
    <w:name w:val="TF"/>
    <w:basedOn w:val="111"/>
    <w:qFormat/>
    <w:uiPriority w:val="0"/>
    <w:pPr>
      <w:keepNext w:val="0"/>
      <w:spacing w:before="0" w:after="240"/>
    </w:pPr>
  </w:style>
  <w:style w:type="paragraph" w:customStyle="1" w:styleId="120">
    <w:name w:val="ZG"/>
    <w:qFormat/>
    <w:uiPriority w:val="0"/>
    <w:pPr>
      <w:framePr w:wrap="notBeside" w:vAnchor="page" w:hAnchor="margin" w:xAlign="right" w:y="6805"/>
      <w:widowControl w:val="0"/>
      <w:overflowPunct w:val="0"/>
      <w:autoSpaceDE w:val="0"/>
      <w:autoSpaceDN w:val="0"/>
      <w:adjustRightInd w:val="0"/>
      <w:spacing w:after="160" w:line="259" w:lineRule="auto"/>
      <w:jc w:val="right"/>
      <w:textAlignment w:val="baseline"/>
    </w:pPr>
    <w:rPr>
      <w:rFonts w:ascii="Arial" w:hAnsi="Arial" w:eastAsia="Times New Roman" w:cs="Times New Roman"/>
      <w:lang w:val="en-GB" w:eastAsia="en-GB" w:bidi="ar-SA"/>
    </w:rPr>
  </w:style>
  <w:style w:type="paragraph" w:customStyle="1" w:styleId="121">
    <w:name w:val="B3"/>
    <w:basedOn w:val="11"/>
    <w:link w:val="182"/>
    <w:qFormat/>
    <w:uiPriority w:val="0"/>
  </w:style>
  <w:style w:type="paragraph" w:customStyle="1" w:styleId="122">
    <w:name w:val="B4"/>
    <w:basedOn w:val="42"/>
    <w:qFormat/>
    <w:uiPriority w:val="0"/>
  </w:style>
  <w:style w:type="paragraph" w:customStyle="1" w:styleId="123">
    <w:name w:val="B5"/>
    <w:basedOn w:val="41"/>
    <w:qFormat/>
    <w:uiPriority w:val="0"/>
  </w:style>
  <w:style w:type="paragraph" w:customStyle="1" w:styleId="124">
    <w:name w:val="ZTD"/>
    <w:basedOn w:val="114"/>
    <w:qFormat/>
    <w:uiPriority w:val="0"/>
    <w:pPr>
      <w:framePr/>
    </w:pPr>
  </w:style>
  <w:style w:type="paragraph" w:customStyle="1" w:styleId="125">
    <w:name w:val="ZV"/>
    <w:basedOn w:val="116"/>
    <w:qFormat/>
    <w:uiPriority w:val="0"/>
    <w:pPr>
      <w:framePr/>
    </w:pPr>
  </w:style>
  <w:style w:type="paragraph" w:customStyle="1" w:styleId="126">
    <w:name w:val="INDENT1"/>
    <w:basedOn w:val="1"/>
    <w:qFormat/>
    <w:uiPriority w:val="0"/>
    <w:pPr>
      <w:overflowPunct w:val="0"/>
      <w:snapToGrid/>
      <w:spacing w:after="180"/>
      <w:ind w:left="851"/>
      <w:textAlignment w:val="baseline"/>
    </w:pPr>
    <w:rPr>
      <w:rFonts w:eastAsia="Times New Roman"/>
      <w:sz w:val="20"/>
      <w:szCs w:val="20"/>
      <w:lang w:val="en-GB" w:eastAsia="en-GB"/>
    </w:rPr>
  </w:style>
  <w:style w:type="paragraph" w:customStyle="1" w:styleId="127">
    <w:name w:val="INDENT2"/>
    <w:basedOn w:val="1"/>
    <w:qFormat/>
    <w:uiPriority w:val="0"/>
    <w:pPr>
      <w:overflowPunct w:val="0"/>
      <w:snapToGrid/>
      <w:spacing w:after="180"/>
      <w:ind w:left="1135" w:hanging="284"/>
      <w:textAlignment w:val="baseline"/>
    </w:pPr>
    <w:rPr>
      <w:rFonts w:eastAsia="Times New Roman"/>
      <w:sz w:val="20"/>
      <w:szCs w:val="20"/>
      <w:lang w:val="en-GB" w:eastAsia="en-GB"/>
    </w:rPr>
  </w:style>
  <w:style w:type="paragraph" w:customStyle="1" w:styleId="128">
    <w:name w:val="INDENT3"/>
    <w:basedOn w:val="1"/>
    <w:qFormat/>
    <w:uiPriority w:val="0"/>
    <w:pPr>
      <w:overflowPunct w:val="0"/>
      <w:snapToGrid/>
      <w:spacing w:after="180"/>
      <w:ind w:left="1701" w:hanging="567"/>
      <w:textAlignment w:val="baseline"/>
    </w:pPr>
    <w:rPr>
      <w:rFonts w:eastAsia="Times New Roman"/>
      <w:sz w:val="20"/>
      <w:szCs w:val="20"/>
      <w:lang w:val="en-GB" w:eastAsia="en-GB"/>
    </w:rPr>
  </w:style>
  <w:style w:type="paragraph" w:customStyle="1" w:styleId="129">
    <w:name w:val="Figure_Title"/>
    <w:basedOn w:val="1"/>
    <w:next w:val="1"/>
    <w:qFormat/>
    <w:uiPriority w:val="0"/>
    <w:pPr>
      <w:keepLines/>
      <w:tabs>
        <w:tab w:val="left" w:pos="794"/>
        <w:tab w:val="left" w:pos="1191"/>
        <w:tab w:val="left" w:pos="1588"/>
        <w:tab w:val="left" w:pos="1985"/>
      </w:tabs>
      <w:overflowPunct w:val="0"/>
      <w:snapToGrid/>
      <w:spacing w:before="120" w:after="480"/>
      <w:jc w:val="center"/>
      <w:textAlignment w:val="baseline"/>
    </w:pPr>
    <w:rPr>
      <w:rFonts w:eastAsia="Times New Roman"/>
      <w:b/>
      <w:sz w:val="24"/>
      <w:szCs w:val="20"/>
      <w:lang w:val="en-GB" w:eastAsia="en-GB"/>
    </w:rPr>
  </w:style>
  <w:style w:type="paragraph" w:customStyle="1" w:styleId="130">
    <w:name w:val="Rec_CCITT_#"/>
    <w:basedOn w:val="1"/>
    <w:qFormat/>
    <w:uiPriority w:val="0"/>
    <w:pPr>
      <w:keepNext/>
      <w:keepLines/>
      <w:overflowPunct w:val="0"/>
      <w:snapToGrid/>
      <w:spacing w:after="180"/>
      <w:textAlignment w:val="baseline"/>
    </w:pPr>
    <w:rPr>
      <w:rFonts w:eastAsia="Times New Roman"/>
      <w:b/>
      <w:sz w:val="20"/>
      <w:szCs w:val="20"/>
      <w:lang w:val="en-GB" w:eastAsia="en-GB"/>
    </w:rPr>
  </w:style>
  <w:style w:type="paragraph" w:customStyle="1" w:styleId="131">
    <w:name w:val="enumlev2"/>
    <w:basedOn w:val="1"/>
    <w:qFormat/>
    <w:uiPriority w:val="0"/>
    <w:pPr>
      <w:tabs>
        <w:tab w:val="left" w:pos="794"/>
        <w:tab w:val="left" w:pos="1191"/>
        <w:tab w:val="left" w:pos="1588"/>
        <w:tab w:val="left" w:pos="1985"/>
      </w:tabs>
      <w:overflowPunct w:val="0"/>
      <w:snapToGrid/>
      <w:spacing w:before="86" w:after="180"/>
      <w:ind w:left="1588" w:hanging="397"/>
      <w:textAlignment w:val="baseline"/>
    </w:pPr>
    <w:rPr>
      <w:rFonts w:eastAsia="Times New Roman"/>
      <w:sz w:val="20"/>
      <w:szCs w:val="20"/>
      <w:lang w:eastAsia="en-GB"/>
    </w:rPr>
  </w:style>
  <w:style w:type="paragraph" w:customStyle="1" w:styleId="132">
    <w:name w:val="Couv Rec Title"/>
    <w:basedOn w:val="1"/>
    <w:qFormat/>
    <w:uiPriority w:val="0"/>
    <w:pPr>
      <w:keepNext/>
      <w:keepLines/>
      <w:overflowPunct w:val="0"/>
      <w:snapToGrid/>
      <w:spacing w:before="240" w:after="180"/>
      <w:ind w:left="1418"/>
      <w:textAlignment w:val="baseline"/>
    </w:pPr>
    <w:rPr>
      <w:rFonts w:ascii="Arial" w:hAnsi="Arial" w:eastAsia="Times New Roman"/>
      <w:b/>
      <w:sz w:val="36"/>
      <w:szCs w:val="20"/>
      <w:lang w:eastAsia="en-GB"/>
    </w:rPr>
  </w:style>
  <w:style w:type="paragraph" w:customStyle="1" w:styleId="133">
    <w:name w:val="TAJ"/>
    <w:basedOn w:val="111"/>
    <w:qFormat/>
    <w:uiPriority w:val="0"/>
  </w:style>
  <w:style w:type="character" w:customStyle="1" w:styleId="134">
    <w:name w:val="正文文本 字符"/>
    <w:link w:val="30"/>
    <w:qFormat/>
    <w:uiPriority w:val="0"/>
    <w:rPr>
      <w:lang w:eastAsia="en-US"/>
    </w:rPr>
  </w:style>
  <w:style w:type="paragraph" w:customStyle="1" w:styleId="135">
    <w:name w:val="Guidance"/>
    <w:basedOn w:val="1"/>
    <w:qFormat/>
    <w:uiPriority w:val="0"/>
    <w:pPr>
      <w:overflowPunct w:val="0"/>
      <w:snapToGrid/>
      <w:spacing w:after="180"/>
      <w:textAlignment w:val="baseline"/>
    </w:pPr>
    <w:rPr>
      <w:rFonts w:eastAsia="Times New Roman"/>
      <w:i/>
      <w:color w:val="0000FF"/>
      <w:sz w:val="20"/>
      <w:szCs w:val="20"/>
      <w:lang w:val="en-GB" w:eastAsia="en-GB"/>
    </w:rPr>
  </w:style>
  <w:style w:type="character" w:customStyle="1" w:styleId="136">
    <w:name w:val="正文文本缩进 2 字符"/>
    <w:basedOn w:val="53"/>
    <w:link w:val="35"/>
    <w:qFormat/>
    <w:uiPriority w:val="0"/>
    <w:rPr>
      <w:rFonts w:eastAsia="Times New Roman"/>
      <w:kern w:val="2"/>
      <w:lang w:eastAsia="ja-JP"/>
    </w:rPr>
  </w:style>
  <w:style w:type="character" w:customStyle="1" w:styleId="137">
    <w:name w:val="正文文本缩进 3 字符"/>
    <w:basedOn w:val="53"/>
    <w:link w:val="43"/>
    <w:qFormat/>
    <w:uiPriority w:val="0"/>
    <w:rPr>
      <w:rFonts w:eastAsia="Times New Roman"/>
      <w:lang w:eastAsia="ja-JP"/>
    </w:rPr>
  </w:style>
  <w:style w:type="paragraph" w:customStyle="1" w:styleId="138">
    <w:name w:val="numbered list"/>
    <w:basedOn w:val="26"/>
    <w:qFormat/>
    <w:uiPriority w:val="0"/>
  </w:style>
  <w:style w:type="paragraph" w:customStyle="1" w:styleId="139">
    <w:name w:val="CR_front"/>
    <w:next w:val="1"/>
    <w:qFormat/>
    <w:uiPriority w:val="0"/>
    <w:pPr>
      <w:spacing w:after="160" w:line="259" w:lineRule="auto"/>
    </w:pPr>
    <w:rPr>
      <w:rFonts w:ascii="Arial" w:hAnsi="Arial" w:eastAsia="MS Mincho" w:cs="Times New Roman"/>
      <w:lang w:val="en-GB" w:eastAsia="en-US" w:bidi="ar-SA"/>
    </w:rPr>
  </w:style>
  <w:style w:type="paragraph" w:customStyle="1" w:styleId="140">
    <w:name w:val="TabList"/>
    <w:basedOn w:val="1"/>
    <w:qFormat/>
    <w:uiPriority w:val="0"/>
    <w:pPr>
      <w:tabs>
        <w:tab w:val="left" w:pos="1134"/>
      </w:tabs>
      <w:overflowPunct w:val="0"/>
      <w:snapToGrid/>
      <w:spacing w:after="0"/>
      <w:textAlignment w:val="baseline"/>
    </w:pPr>
    <w:rPr>
      <w:rFonts w:eastAsia="MS Mincho"/>
      <w:sz w:val="20"/>
      <w:szCs w:val="20"/>
      <w:lang w:val="en-GB" w:eastAsia="en-GB"/>
    </w:rPr>
  </w:style>
  <w:style w:type="paragraph" w:customStyle="1" w:styleId="141">
    <w:name w:val="table text"/>
    <w:basedOn w:val="1"/>
    <w:next w:val="142"/>
    <w:qFormat/>
    <w:uiPriority w:val="0"/>
    <w:pPr>
      <w:overflowPunct w:val="0"/>
      <w:snapToGrid/>
      <w:spacing w:after="0"/>
      <w:textAlignment w:val="baseline"/>
    </w:pPr>
    <w:rPr>
      <w:rFonts w:eastAsia="MS Mincho"/>
      <w:i/>
      <w:sz w:val="20"/>
      <w:szCs w:val="20"/>
      <w:lang w:val="en-GB" w:eastAsia="en-GB"/>
    </w:rPr>
  </w:style>
  <w:style w:type="paragraph" w:customStyle="1" w:styleId="142">
    <w:name w:val="table"/>
    <w:basedOn w:val="1"/>
    <w:next w:val="1"/>
    <w:qFormat/>
    <w:uiPriority w:val="0"/>
    <w:pPr>
      <w:overflowPunct w:val="0"/>
      <w:snapToGrid/>
      <w:spacing w:after="0"/>
      <w:jc w:val="center"/>
      <w:textAlignment w:val="baseline"/>
    </w:pPr>
    <w:rPr>
      <w:rFonts w:eastAsia="MS Mincho"/>
      <w:sz w:val="20"/>
      <w:szCs w:val="20"/>
      <w:lang w:eastAsia="en-GB"/>
    </w:rPr>
  </w:style>
  <w:style w:type="paragraph" w:customStyle="1" w:styleId="143">
    <w:name w:val="HE"/>
    <w:basedOn w:val="1"/>
    <w:qFormat/>
    <w:uiPriority w:val="0"/>
    <w:pPr>
      <w:overflowPunct w:val="0"/>
      <w:snapToGrid/>
      <w:spacing w:after="0"/>
      <w:textAlignment w:val="baseline"/>
    </w:pPr>
    <w:rPr>
      <w:rFonts w:eastAsia="MS Mincho"/>
      <w:b/>
      <w:sz w:val="20"/>
      <w:szCs w:val="20"/>
      <w:lang w:val="en-GB" w:eastAsia="en-GB"/>
    </w:rPr>
  </w:style>
  <w:style w:type="paragraph" w:customStyle="1" w:styleId="144">
    <w:name w:val="text"/>
    <w:basedOn w:val="1"/>
    <w:qFormat/>
    <w:uiPriority w:val="0"/>
    <w:pPr>
      <w:widowControl w:val="0"/>
      <w:overflowPunct w:val="0"/>
      <w:snapToGrid/>
      <w:spacing w:after="240"/>
      <w:textAlignment w:val="baseline"/>
    </w:pPr>
    <w:rPr>
      <w:rFonts w:eastAsia="Times New Roman"/>
      <w:sz w:val="24"/>
      <w:szCs w:val="20"/>
      <w:lang w:val="en-AU" w:eastAsia="en-GB"/>
    </w:rPr>
  </w:style>
  <w:style w:type="paragraph" w:customStyle="1" w:styleId="145">
    <w:name w:val="Überschrift 1.H1"/>
    <w:basedOn w:val="1"/>
    <w:next w:val="1"/>
    <w:qFormat/>
    <w:uiPriority w:val="0"/>
    <w:pPr>
      <w:keepNext/>
      <w:keepLines/>
      <w:numPr>
        <w:ilvl w:val="0"/>
        <w:numId w:val="6"/>
      </w:numPr>
      <w:pBdr>
        <w:top w:val="single" w:color="auto" w:sz="12" w:space="3"/>
      </w:pBdr>
      <w:overflowPunct w:val="0"/>
      <w:snapToGrid/>
      <w:spacing w:before="240" w:after="180"/>
      <w:textAlignment w:val="baseline"/>
      <w:outlineLvl w:val="0"/>
    </w:pPr>
    <w:rPr>
      <w:rFonts w:ascii="Arial" w:hAnsi="Arial" w:eastAsia="Times New Roman"/>
      <w:sz w:val="36"/>
      <w:szCs w:val="20"/>
      <w:lang w:val="en-GB" w:eastAsia="de-DE"/>
    </w:rPr>
  </w:style>
  <w:style w:type="paragraph" w:customStyle="1" w:styleId="146">
    <w:name w:val="text intend 1"/>
    <w:basedOn w:val="144"/>
    <w:qFormat/>
    <w:uiPriority w:val="0"/>
    <w:pPr>
      <w:widowControl/>
      <w:numPr>
        <w:ilvl w:val="0"/>
        <w:numId w:val="7"/>
      </w:numPr>
      <w:spacing w:after="120"/>
    </w:pPr>
    <w:rPr>
      <w:rFonts w:eastAsia="MS Mincho"/>
      <w:lang w:val="en-US"/>
    </w:rPr>
  </w:style>
  <w:style w:type="paragraph" w:customStyle="1" w:styleId="147">
    <w:name w:val="text intend 2"/>
    <w:basedOn w:val="144"/>
    <w:qFormat/>
    <w:uiPriority w:val="0"/>
    <w:pPr>
      <w:widowControl/>
      <w:numPr>
        <w:ilvl w:val="0"/>
        <w:numId w:val="8"/>
      </w:numPr>
      <w:spacing w:after="120"/>
    </w:pPr>
    <w:rPr>
      <w:rFonts w:eastAsia="MS Mincho"/>
      <w:lang w:val="en-US"/>
    </w:rPr>
  </w:style>
  <w:style w:type="paragraph" w:customStyle="1" w:styleId="148">
    <w:name w:val="text intend 3"/>
    <w:basedOn w:val="144"/>
    <w:qFormat/>
    <w:uiPriority w:val="0"/>
    <w:pPr>
      <w:widowControl/>
      <w:numPr>
        <w:ilvl w:val="0"/>
        <w:numId w:val="9"/>
      </w:numPr>
      <w:spacing w:after="120"/>
    </w:pPr>
    <w:rPr>
      <w:rFonts w:eastAsia="MS Mincho"/>
      <w:lang w:val="en-US"/>
    </w:rPr>
  </w:style>
  <w:style w:type="paragraph" w:customStyle="1" w:styleId="149">
    <w:name w:val="normal puce"/>
    <w:basedOn w:val="1"/>
    <w:qFormat/>
    <w:uiPriority w:val="0"/>
    <w:pPr>
      <w:widowControl w:val="0"/>
      <w:numPr>
        <w:ilvl w:val="0"/>
        <w:numId w:val="10"/>
      </w:numPr>
      <w:overflowPunct w:val="0"/>
      <w:snapToGrid/>
      <w:spacing w:before="60" w:after="60"/>
      <w:textAlignment w:val="baseline"/>
    </w:pPr>
    <w:rPr>
      <w:rFonts w:eastAsia="MS Mincho"/>
      <w:sz w:val="20"/>
      <w:szCs w:val="20"/>
      <w:lang w:val="en-GB" w:eastAsia="en-GB"/>
    </w:rPr>
  </w:style>
  <w:style w:type="paragraph" w:customStyle="1" w:styleId="150">
    <w:name w:val="Tdoc_Heading_1"/>
    <w:basedOn w:val="2"/>
    <w:next w:val="1"/>
    <w:qFormat/>
    <w:uiPriority w:val="0"/>
    <w:pPr>
      <w:numPr>
        <w:numId w:val="11"/>
      </w:numPr>
      <w:tabs>
        <w:tab w:val="left" w:pos="360"/>
      </w:tabs>
      <w:spacing w:after="0"/>
    </w:pPr>
    <w:rPr>
      <w:bCs/>
      <w:kern w:val="28"/>
      <w:sz w:val="24"/>
      <w:szCs w:val="20"/>
      <w:lang w:eastAsia="en-GB"/>
    </w:rPr>
  </w:style>
  <w:style w:type="character" w:customStyle="1" w:styleId="151">
    <w:name w:val="日期 字符"/>
    <w:basedOn w:val="53"/>
    <w:link w:val="34"/>
    <w:qFormat/>
    <w:uiPriority w:val="0"/>
    <w:rPr>
      <w:rFonts w:eastAsia="Times New Roman"/>
      <w:lang w:val="en-GB" w:eastAsia="en-GB"/>
    </w:rPr>
  </w:style>
  <w:style w:type="paragraph" w:customStyle="1" w:styleId="152">
    <w:name w:val="Meeting caption"/>
    <w:basedOn w:val="1"/>
    <w:qFormat/>
    <w:uiPriority w:val="0"/>
    <w:pPr>
      <w:framePr w:w="4120" w:hSpace="141" w:wrap="around" w:vAnchor="text" w:hAnchor="text" w:y="3"/>
      <w:pBdr>
        <w:top w:val="single" w:color="auto" w:sz="6" w:space="1"/>
        <w:left w:val="single" w:color="auto" w:sz="6" w:space="1"/>
        <w:bottom w:val="single" w:color="auto" w:sz="6" w:space="1"/>
        <w:right w:val="single" w:color="auto" w:sz="6" w:space="1"/>
      </w:pBdr>
      <w:overflowPunct w:val="0"/>
      <w:snapToGrid/>
      <w:textAlignment w:val="baseline"/>
    </w:pPr>
    <w:rPr>
      <w:rFonts w:eastAsia="Times New Roman"/>
      <w:snapToGrid w:val="0"/>
      <w:szCs w:val="20"/>
      <w:lang w:val="fr-FR" w:eastAsia="en-GB"/>
    </w:rPr>
  </w:style>
  <w:style w:type="paragraph" w:customStyle="1" w:styleId="153">
    <w:name w:val="para"/>
    <w:basedOn w:val="1"/>
    <w:qFormat/>
    <w:uiPriority w:val="0"/>
    <w:pPr>
      <w:overflowPunct w:val="0"/>
      <w:snapToGrid/>
      <w:spacing w:after="240"/>
      <w:textAlignment w:val="baseline"/>
    </w:pPr>
    <w:rPr>
      <w:rFonts w:ascii="Helvetica" w:hAnsi="Helvetica" w:eastAsia="Times New Roman"/>
      <w:sz w:val="20"/>
      <w:szCs w:val="20"/>
      <w:lang w:val="en-GB" w:eastAsia="en-GB"/>
    </w:rPr>
  </w:style>
  <w:style w:type="paragraph" w:customStyle="1" w:styleId="154">
    <w:name w:val="CR Cover Page"/>
    <w:qFormat/>
    <w:uiPriority w:val="0"/>
    <w:pPr>
      <w:spacing w:after="120" w:line="259" w:lineRule="auto"/>
    </w:pPr>
    <w:rPr>
      <w:rFonts w:ascii="Arial" w:hAnsi="Arial" w:eastAsia="MS Mincho" w:cs="Times New Roman"/>
      <w:lang w:val="en-GB" w:eastAsia="en-US" w:bidi="ar-SA"/>
    </w:rPr>
  </w:style>
  <w:style w:type="paragraph" w:customStyle="1" w:styleId="155">
    <w:name w:val="Cell"/>
    <w:basedOn w:val="1"/>
    <w:qFormat/>
    <w:uiPriority w:val="0"/>
    <w:pPr>
      <w:overflowPunct w:val="0"/>
      <w:snapToGrid/>
      <w:spacing w:after="0" w:line="240" w:lineRule="exact"/>
      <w:jc w:val="center"/>
      <w:textAlignment w:val="baseline"/>
    </w:pPr>
    <w:rPr>
      <w:rFonts w:eastAsia="Times New Roman"/>
      <w:sz w:val="16"/>
      <w:szCs w:val="20"/>
      <w:lang w:eastAsia="ja-JP"/>
    </w:rPr>
  </w:style>
  <w:style w:type="paragraph" w:customStyle="1" w:styleId="156">
    <w:name w:val="h6"/>
    <w:basedOn w:val="1"/>
    <w:qFormat/>
    <w:uiPriority w:val="0"/>
    <w:pPr>
      <w:overflowPunct w:val="0"/>
      <w:snapToGrid/>
      <w:spacing w:before="100" w:beforeAutospacing="1" w:after="100" w:afterAutospacing="1"/>
      <w:textAlignment w:val="baseline"/>
    </w:pPr>
    <w:rPr>
      <w:rFonts w:eastAsia="Times New Roman"/>
      <w:sz w:val="24"/>
      <w:szCs w:val="24"/>
      <w:lang w:eastAsia="ja-JP"/>
    </w:rPr>
  </w:style>
  <w:style w:type="paragraph" w:customStyle="1" w:styleId="157">
    <w:name w:val="b1"/>
    <w:basedOn w:val="1"/>
    <w:qFormat/>
    <w:uiPriority w:val="0"/>
    <w:pPr>
      <w:overflowPunct w:val="0"/>
      <w:snapToGrid/>
      <w:spacing w:before="100" w:beforeAutospacing="1" w:after="100" w:afterAutospacing="1"/>
      <w:textAlignment w:val="baseline"/>
    </w:pPr>
    <w:rPr>
      <w:rFonts w:eastAsia="Times New Roman"/>
      <w:sz w:val="24"/>
      <w:szCs w:val="24"/>
      <w:lang w:eastAsia="ja-JP"/>
    </w:rPr>
  </w:style>
  <w:style w:type="paragraph" w:customStyle="1" w:styleId="158">
    <w:name w:val="tah"/>
    <w:basedOn w:val="1"/>
    <w:qFormat/>
    <w:uiPriority w:val="0"/>
    <w:pPr>
      <w:keepNext/>
      <w:overflowPunct w:val="0"/>
      <w:adjustRightInd/>
      <w:snapToGrid/>
      <w:spacing w:after="0"/>
      <w:jc w:val="center"/>
    </w:pPr>
    <w:rPr>
      <w:rFonts w:ascii="Arial" w:hAnsi="Arial" w:eastAsia="Batang" w:cs="Arial"/>
      <w:b/>
      <w:bCs/>
      <w:sz w:val="18"/>
      <w:szCs w:val="18"/>
      <w:lang w:eastAsia="en-GB"/>
    </w:rPr>
  </w:style>
  <w:style w:type="character" w:customStyle="1" w:styleId="159">
    <w:name w:val="Guidance Char"/>
    <w:qFormat/>
    <w:uiPriority w:val="0"/>
    <w:rPr>
      <w:i/>
      <w:color w:val="0000FF"/>
      <w:lang w:val="en-GB" w:eastAsia="ja-JP" w:bidi="ar-SA"/>
    </w:rPr>
  </w:style>
  <w:style w:type="paragraph" w:customStyle="1" w:styleId="160">
    <w:name w:val="Char Char Char Char"/>
    <w:qFormat/>
    <w:uiPriority w:val="0"/>
    <w:pPr>
      <w:keepNext/>
      <w:tabs>
        <w:tab w:val="left" w:pos="-1134"/>
      </w:tabs>
      <w:autoSpaceDE w:val="0"/>
      <w:autoSpaceDN w:val="0"/>
      <w:adjustRightInd w:val="0"/>
      <w:spacing w:before="60" w:after="60" w:line="259" w:lineRule="auto"/>
      <w:jc w:val="both"/>
    </w:pPr>
    <w:rPr>
      <w:rFonts w:ascii="Times New Roman" w:hAnsi="Times New Roman" w:cs="Times New Roman" w:eastAsiaTheme="minorEastAsia"/>
      <w:lang w:val="en-GB" w:eastAsia="en-GB" w:bidi="ar-SA"/>
    </w:rPr>
  </w:style>
  <w:style w:type="paragraph" w:customStyle="1" w:styleId="161">
    <w:name w:val="Char Char Char Char Char Char Char Char Char Char Char Char"/>
    <w:semiHidden/>
    <w:qFormat/>
    <w:uiPriority w:val="0"/>
    <w:pPr>
      <w:keepNext/>
      <w:tabs>
        <w:tab w:val="left" w:pos="851"/>
      </w:tabs>
      <w:autoSpaceDE w:val="0"/>
      <w:autoSpaceDN w:val="0"/>
      <w:adjustRightInd w:val="0"/>
      <w:spacing w:before="60" w:after="60" w:line="259" w:lineRule="auto"/>
      <w:ind w:left="851" w:hanging="851"/>
      <w:jc w:val="both"/>
    </w:pPr>
    <w:rPr>
      <w:rFonts w:ascii="Arial" w:hAnsi="Arial" w:cs="Arial" w:eastAsiaTheme="minorEastAsia"/>
      <w:color w:val="0000FF"/>
      <w:kern w:val="2"/>
      <w:lang w:val="en-US" w:eastAsia="zh-CN" w:bidi="ar-SA"/>
    </w:rPr>
  </w:style>
  <w:style w:type="character" w:customStyle="1" w:styleId="162">
    <w:name w:val="h4 Char Char"/>
    <w:qFormat/>
    <w:uiPriority w:val="0"/>
    <w:rPr>
      <w:rFonts w:ascii="Arial" w:hAnsi="Arial"/>
      <w:sz w:val="24"/>
      <w:lang w:val="en-GB" w:eastAsia="ja-JP" w:bidi="ar-SA"/>
    </w:rPr>
  </w:style>
  <w:style w:type="table" w:customStyle="1" w:styleId="163">
    <w:name w:val="Table Grid1"/>
    <w:basedOn w:val="51"/>
    <w:qFormat/>
    <w:uiPriority w:val="59"/>
    <w:pPr>
      <w:overflowPunct w:val="0"/>
      <w:autoSpaceDE w:val="0"/>
      <w:autoSpaceDN w:val="0"/>
      <w:adjustRightInd w:val="0"/>
      <w:spacing w:after="180"/>
      <w:textAlignment w:val="baseline"/>
    </w:pPr>
    <w:rPr>
      <w:rFonts w:eastAsia="MS Mincho"/>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64">
    <w:name w:val="Normal + After:  3 pt"/>
    <w:basedOn w:val="1"/>
    <w:qFormat/>
    <w:uiPriority w:val="0"/>
    <w:pPr>
      <w:tabs>
        <w:tab w:val="left" w:pos="2560"/>
      </w:tabs>
      <w:autoSpaceDE/>
      <w:autoSpaceDN/>
      <w:adjustRightInd/>
      <w:snapToGrid/>
      <w:spacing w:after="180"/>
      <w:ind w:left="2560" w:hanging="357"/>
    </w:pPr>
    <w:rPr>
      <w:rFonts w:eastAsia="Times New Roman"/>
      <w:sz w:val="20"/>
      <w:szCs w:val="20"/>
      <w:lang w:val="en-AU" w:eastAsia="ko-KR"/>
    </w:rPr>
  </w:style>
  <w:style w:type="character" w:customStyle="1" w:styleId="165">
    <w:name w:val="B1 Zchn"/>
    <w:qFormat/>
    <w:uiPriority w:val="0"/>
    <w:rPr>
      <w:rFonts w:ascii="Times New Roman" w:hAnsi="Times New Roman" w:eastAsia="Times New Roman" w:cs="Times New Roman"/>
      <w:sz w:val="20"/>
      <w:szCs w:val="20"/>
      <w:lang w:val="en-GB" w:eastAsia="ko-KR"/>
    </w:rPr>
  </w:style>
  <w:style w:type="character" w:customStyle="1" w:styleId="166">
    <w:name w:val="Figure Caption1"/>
    <w:qFormat/>
    <w:uiPriority w:val="0"/>
    <w:rPr>
      <w:rFonts w:ascii="Arial" w:hAnsi="Arial" w:eastAsia="????" w:cs="Arial"/>
      <w:color w:val="0000FF"/>
      <w:kern w:val="2"/>
      <w:lang w:val="en-US" w:eastAsia="en-US" w:bidi="ar-SA"/>
    </w:rPr>
  </w:style>
  <w:style w:type="character" w:customStyle="1" w:styleId="167">
    <w:name w:val="标题 3 字符"/>
    <w:link w:val="4"/>
    <w:qFormat/>
    <w:uiPriority w:val="0"/>
    <w:rPr>
      <w:b/>
      <w:sz w:val="22"/>
      <w:szCs w:val="22"/>
      <w:lang w:val="en-US" w:eastAsia="en-US"/>
    </w:rPr>
  </w:style>
  <w:style w:type="character" w:customStyle="1" w:styleId="168">
    <w:name w:val="Char Char5"/>
    <w:semiHidden/>
    <w:qFormat/>
    <w:uiPriority w:val="0"/>
    <w:rPr>
      <w:rFonts w:ascii="Times New Roman" w:hAnsi="Times New Roman"/>
      <w:lang w:eastAsia="en-US"/>
    </w:rPr>
  </w:style>
  <w:style w:type="character" w:customStyle="1" w:styleId="169">
    <w:name w:val="H1 Char1"/>
    <w:qFormat/>
    <w:uiPriority w:val="0"/>
    <w:rPr>
      <w:rFonts w:ascii="Arial" w:hAnsi="Arial" w:eastAsia="Times New Roman"/>
      <w:sz w:val="36"/>
    </w:rPr>
  </w:style>
  <w:style w:type="character" w:customStyle="1" w:styleId="170">
    <w:name w:val="标题 2 字符"/>
    <w:link w:val="3"/>
    <w:qFormat/>
    <w:uiPriority w:val="0"/>
    <w:rPr>
      <w:rFonts w:ascii="Arial" w:hAnsi="Arial"/>
      <w:b/>
      <w:bCs/>
      <w:sz w:val="24"/>
      <w:szCs w:val="22"/>
      <w:lang w:val="en-GB" w:eastAsia="zh-CN"/>
    </w:rPr>
  </w:style>
  <w:style w:type="character" w:customStyle="1" w:styleId="171">
    <w:name w:val="标题 4 字符"/>
    <w:link w:val="5"/>
    <w:qFormat/>
    <w:uiPriority w:val="0"/>
    <w:rPr>
      <w:b/>
      <w:bCs/>
      <w:sz w:val="28"/>
      <w:szCs w:val="28"/>
      <w:lang w:val="en-US" w:eastAsia="en-US"/>
    </w:rPr>
  </w:style>
  <w:style w:type="character" w:customStyle="1" w:styleId="172">
    <w:name w:val="标题 5 字符"/>
    <w:link w:val="6"/>
    <w:qFormat/>
    <w:uiPriority w:val="0"/>
    <w:rPr>
      <w:b/>
      <w:bCs/>
      <w:i/>
      <w:iCs/>
      <w:sz w:val="26"/>
      <w:szCs w:val="26"/>
      <w:lang w:val="en-US" w:eastAsia="en-US"/>
    </w:rPr>
  </w:style>
  <w:style w:type="character" w:customStyle="1" w:styleId="173">
    <w:name w:val="标题 6 字符"/>
    <w:link w:val="7"/>
    <w:qFormat/>
    <w:uiPriority w:val="0"/>
    <w:rPr>
      <w:b/>
      <w:bCs/>
      <w:sz w:val="22"/>
      <w:szCs w:val="22"/>
      <w:lang w:val="en-US" w:eastAsia="en-US"/>
    </w:rPr>
  </w:style>
  <w:style w:type="character" w:customStyle="1" w:styleId="174">
    <w:name w:val="标题 7 字符"/>
    <w:link w:val="8"/>
    <w:qFormat/>
    <w:uiPriority w:val="0"/>
    <w:rPr>
      <w:sz w:val="24"/>
      <w:szCs w:val="24"/>
      <w:lang w:val="en-US" w:eastAsia="en-US"/>
    </w:rPr>
  </w:style>
  <w:style w:type="character" w:customStyle="1" w:styleId="175">
    <w:name w:val="标题 8 字符"/>
    <w:link w:val="9"/>
    <w:qFormat/>
    <w:uiPriority w:val="0"/>
    <w:rPr>
      <w:i/>
      <w:iCs/>
      <w:sz w:val="24"/>
      <w:szCs w:val="24"/>
      <w:lang w:val="en-US" w:eastAsia="en-US"/>
    </w:rPr>
  </w:style>
  <w:style w:type="character" w:customStyle="1" w:styleId="176">
    <w:name w:val="标题 9 字符"/>
    <w:link w:val="10"/>
    <w:qFormat/>
    <w:uiPriority w:val="0"/>
    <w:rPr>
      <w:rFonts w:ascii="Arial" w:hAnsi="Arial"/>
      <w:sz w:val="22"/>
      <w:szCs w:val="22"/>
      <w:lang w:val="en-US" w:eastAsia="en-US"/>
    </w:rPr>
  </w:style>
  <w:style w:type="character" w:customStyle="1" w:styleId="177">
    <w:name w:val="列表 字符"/>
    <w:link w:val="22"/>
    <w:qFormat/>
    <w:uiPriority w:val="0"/>
    <w:rPr>
      <w:sz w:val="22"/>
      <w:szCs w:val="22"/>
      <w:lang w:eastAsia="en-US"/>
    </w:rPr>
  </w:style>
  <w:style w:type="character" w:customStyle="1" w:styleId="178">
    <w:name w:val="脚注文本 字符"/>
    <w:link w:val="40"/>
    <w:qFormat/>
    <w:uiPriority w:val="99"/>
    <w:rPr>
      <w:lang w:eastAsia="en-US"/>
    </w:rPr>
  </w:style>
  <w:style w:type="character" w:customStyle="1" w:styleId="179">
    <w:name w:val="PL Char"/>
    <w:link w:val="103"/>
    <w:qFormat/>
    <w:locked/>
    <w:uiPriority w:val="0"/>
    <w:rPr>
      <w:rFonts w:ascii="Courier New" w:hAnsi="Courier New" w:eastAsia="Times New Roman"/>
      <w:sz w:val="16"/>
      <w:lang w:val="en-GB" w:eastAsia="en-GB" w:bidi="ar-SA"/>
    </w:rPr>
  </w:style>
  <w:style w:type="character" w:customStyle="1" w:styleId="180">
    <w:name w:val="列表 2 字符"/>
    <w:link w:val="12"/>
    <w:qFormat/>
    <w:uiPriority w:val="0"/>
    <w:rPr>
      <w:sz w:val="22"/>
      <w:szCs w:val="22"/>
      <w:lang w:eastAsia="en-US"/>
    </w:rPr>
  </w:style>
  <w:style w:type="character" w:customStyle="1" w:styleId="181">
    <w:name w:val="列表 3 字符"/>
    <w:link w:val="11"/>
    <w:qFormat/>
    <w:uiPriority w:val="0"/>
    <w:rPr>
      <w:rFonts w:eastAsia="Times New Roman"/>
      <w:lang w:val="en-GB" w:eastAsia="en-GB"/>
    </w:rPr>
  </w:style>
  <w:style w:type="character" w:customStyle="1" w:styleId="182">
    <w:name w:val="B3 Char"/>
    <w:link w:val="121"/>
    <w:qFormat/>
    <w:uiPriority w:val="0"/>
    <w:rPr>
      <w:rFonts w:eastAsia="Times New Roman"/>
      <w:lang w:val="en-GB" w:eastAsia="en-GB"/>
    </w:rPr>
  </w:style>
  <w:style w:type="paragraph" w:customStyle="1" w:styleId="183">
    <w:name w:val="tdoc-header"/>
    <w:qFormat/>
    <w:uiPriority w:val="0"/>
    <w:pPr>
      <w:spacing w:after="160" w:line="259" w:lineRule="auto"/>
    </w:pPr>
    <w:rPr>
      <w:rFonts w:ascii="Arial" w:hAnsi="Arial" w:eastAsia="Times New Roman" w:cs="Times New Roman"/>
      <w:sz w:val="24"/>
      <w:lang w:val="en-GB" w:eastAsia="en-US" w:bidi="ar-SA"/>
    </w:rPr>
  </w:style>
  <w:style w:type="paragraph" w:customStyle="1" w:styleId="184">
    <w:name w:val="Char Char3 Char Char Char Char Char Char"/>
    <w:semiHidden/>
    <w:qFormat/>
    <w:uiPriority w:val="0"/>
    <w:pPr>
      <w:keepNext/>
      <w:autoSpaceDE w:val="0"/>
      <w:autoSpaceDN w:val="0"/>
      <w:adjustRightInd w:val="0"/>
      <w:spacing w:before="60" w:after="60" w:line="259" w:lineRule="auto"/>
      <w:ind w:left="567" w:hanging="283"/>
      <w:jc w:val="both"/>
    </w:pPr>
    <w:rPr>
      <w:rFonts w:ascii="Arial" w:hAnsi="Arial" w:cs="Arial" w:eastAsiaTheme="minorEastAsia"/>
      <w:color w:val="0000FF"/>
      <w:kern w:val="2"/>
      <w:lang w:val="en-US" w:eastAsia="zh-CN" w:bidi="ar-SA"/>
    </w:rPr>
  </w:style>
  <w:style w:type="paragraph" w:customStyle="1" w:styleId="185">
    <w:name w:val="Char Char1 Char Char"/>
    <w:qFormat/>
    <w:uiPriority w:val="0"/>
    <w:pPr>
      <w:keepNext/>
      <w:tabs>
        <w:tab w:val="left" w:pos="-1134"/>
      </w:tabs>
      <w:autoSpaceDE w:val="0"/>
      <w:autoSpaceDN w:val="0"/>
      <w:adjustRightInd w:val="0"/>
      <w:spacing w:before="60" w:after="60" w:line="259" w:lineRule="auto"/>
      <w:jc w:val="both"/>
    </w:pPr>
    <w:rPr>
      <w:rFonts w:ascii="Times New Roman" w:hAnsi="Times New Roman" w:cs="Times New Roman" w:eastAsiaTheme="minorEastAsia"/>
      <w:lang w:val="en-GB" w:eastAsia="en-GB" w:bidi="ar-SA"/>
    </w:rPr>
  </w:style>
  <w:style w:type="character" w:customStyle="1" w:styleId="186">
    <w:name w:val="正文文本 2 字符"/>
    <w:link w:val="45"/>
    <w:qFormat/>
    <w:uiPriority w:val="0"/>
    <w:rPr>
      <w:sz w:val="22"/>
      <w:lang w:eastAsia="en-US"/>
    </w:rPr>
  </w:style>
  <w:style w:type="character" w:customStyle="1" w:styleId="187">
    <w:name w:val="列表段落 字符"/>
    <w:link w:val="73"/>
    <w:qFormat/>
    <w:locked/>
    <w:uiPriority w:val="34"/>
    <w:rPr>
      <w:rFonts w:ascii="Calibri" w:hAnsi="Calibri" w:cs="Calibri"/>
      <w:sz w:val="22"/>
      <w:szCs w:val="22"/>
    </w:rPr>
  </w:style>
  <w:style w:type="paragraph" w:customStyle="1" w:styleId="188">
    <w:name w:val="Doc-text2"/>
    <w:basedOn w:val="1"/>
    <w:link w:val="189"/>
    <w:qFormat/>
    <w:uiPriority w:val="0"/>
    <w:pPr>
      <w:tabs>
        <w:tab w:val="left" w:pos="1622"/>
      </w:tabs>
      <w:autoSpaceDE/>
      <w:autoSpaceDN/>
      <w:adjustRightInd/>
      <w:snapToGrid/>
      <w:spacing w:after="0"/>
      <w:ind w:left="1622" w:hanging="363"/>
    </w:pPr>
    <w:rPr>
      <w:rFonts w:ascii="Arial" w:hAnsi="Arial" w:eastAsia="MS Mincho"/>
      <w:sz w:val="20"/>
      <w:szCs w:val="24"/>
      <w:lang w:val="en-GB" w:eastAsia="en-GB"/>
    </w:rPr>
  </w:style>
  <w:style w:type="character" w:customStyle="1" w:styleId="189">
    <w:name w:val="Doc-text2 Char"/>
    <w:link w:val="188"/>
    <w:qFormat/>
    <w:uiPriority w:val="0"/>
    <w:rPr>
      <w:rFonts w:ascii="Arial" w:hAnsi="Arial" w:eastAsia="MS Mincho"/>
      <w:szCs w:val="24"/>
      <w:lang w:val="en-GB" w:eastAsia="en-GB"/>
    </w:rPr>
  </w:style>
  <w:style w:type="character" w:customStyle="1" w:styleId="190">
    <w:name w:val="B1 Char"/>
    <w:basedOn w:val="53"/>
    <w:qFormat/>
    <w:uiPriority w:val="0"/>
    <w:rPr>
      <w:rFonts w:ascii="Times New Roman" w:hAnsi="Times New Roman" w:eastAsia="Times New Roman" w:cs="Times New Roman"/>
      <w:sz w:val="20"/>
      <w:szCs w:val="20"/>
      <w:lang w:val="en-GB" w:eastAsia="ko-KR"/>
    </w:rPr>
  </w:style>
  <w:style w:type="paragraph" w:customStyle="1" w:styleId="191">
    <w:name w:val="bullet"/>
    <w:basedOn w:val="73"/>
    <w:link w:val="192"/>
    <w:qFormat/>
    <w:uiPriority w:val="0"/>
    <w:pPr>
      <w:widowControl w:val="0"/>
      <w:numPr>
        <w:ilvl w:val="0"/>
        <w:numId w:val="12"/>
      </w:numPr>
      <w:snapToGrid/>
      <w:spacing w:after="60"/>
      <w:contextualSpacing/>
      <w:jc w:val="both"/>
    </w:pPr>
    <w:rPr>
      <w:rFonts w:ascii="Times New Roman" w:hAnsi="Times New Roman" w:eastAsia="Times New Roman"/>
      <w:kern w:val="2"/>
      <w:sz w:val="20"/>
      <w:szCs w:val="24"/>
      <w:lang w:val="en-GB"/>
    </w:rPr>
  </w:style>
  <w:style w:type="character" w:customStyle="1" w:styleId="192">
    <w:name w:val="bullet Char"/>
    <w:link w:val="191"/>
    <w:qFormat/>
    <w:uiPriority w:val="0"/>
    <w:rPr>
      <w:rFonts w:eastAsia="Times New Roman"/>
      <w:kern w:val="2"/>
      <w:szCs w:val="24"/>
      <w:lang w:val="en-GB" w:eastAsia="en-US"/>
    </w:rPr>
  </w:style>
  <w:style w:type="paragraph" w:customStyle="1" w:styleId="193">
    <w:name w:val="main text"/>
    <w:basedOn w:val="1"/>
    <w:link w:val="194"/>
    <w:qFormat/>
    <w:uiPriority w:val="0"/>
    <w:pPr>
      <w:autoSpaceDE/>
      <w:autoSpaceDN/>
      <w:adjustRightInd/>
      <w:snapToGrid/>
      <w:spacing w:before="60" w:after="60" w:line="288" w:lineRule="auto"/>
      <w:ind w:firstLine="200" w:firstLineChars="200"/>
      <w:jc w:val="both"/>
    </w:pPr>
    <w:rPr>
      <w:rFonts w:eastAsia="Malgun Gothic" w:cs="Batang"/>
      <w:sz w:val="20"/>
      <w:szCs w:val="20"/>
      <w:lang w:val="en-GB" w:eastAsia="ko-KR"/>
    </w:rPr>
  </w:style>
  <w:style w:type="character" w:customStyle="1" w:styleId="194">
    <w:name w:val="main text Char"/>
    <w:link w:val="193"/>
    <w:qFormat/>
    <w:uiPriority w:val="0"/>
    <w:rPr>
      <w:rFonts w:eastAsia="Malgun Gothic" w:cs="Batang"/>
      <w:lang w:val="en-GB" w:eastAsia="ko-KR"/>
    </w:rPr>
  </w:style>
  <w:style w:type="paragraph" w:customStyle="1" w:styleId="195">
    <w:name w:val="proposal"/>
    <w:basedOn w:val="1"/>
    <w:link w:val="196"/>
    <w:qFormat/>
    <w:uiPriority w:val="0"/>
    <w:pPr>
      <w:overflowPunct w:val="0"/>
      <w:autoSpaceDE/>
      <w:autoSpaceDN/>
      <w:spacing w:after="60"/>
      <w:jc w:val="both"/>
      <w:textAlignment w:val="baseline"/>
    </w:pPr>
    <w:rPr>
      <w:rFonts w:eastAsia="Batang"/>
      <w:b/>
      <w:sz w:val="20"/>
      <w:szCs w:val="20"/>
      <w:lang w:eastAsia="ko-KR"/>
    </w:rPr>
  </w:style>
  <w:style w:type="character" w:customStyle="1" w:styleId="196">
    <w:name w:val="proposal Char"/>
    <w:basedOn w:val="53"/>
    <w:link w:val="195"/>
    <w:qFormat/>
    <w:uiPriority w:val="0"/>
    <w:rPr>
      <w:rFonts w:eastAsia="Batang"/>
      <w:b/>
      <w:lang w:eastAsia="ko-KR"/>
    </w:rPr>
  </w:style>
  <w:style w:type="paragraph" w:customStyle="1" w:styleId="197">
    <w:name w:val="Eqn"/>
    <w:basedOn w:val="1"/>
    <w:qFormat/>
    <w:uiPriority w:val="0"/>
    <w:pPr>
      <w:tabs>
        <w:tab w:val="center" w:pos="4608"/>
        <w:tab w:val="right" w:pos="9216"/>
      </w:tabs>
      <w:jc w:val="both"/>
    </w:pPr>
    <w:rPr>
      <w:rFonts w:eastAsia="宋体"/>
      <w:lang w:eastAsia="ja-JP"/>
    </w:rPr>
  </w:style>
  <w:style w:type="character" w:customStyle="1" w:styleId="198">
    <w:name w:val="TAC Char"/>
    <w:link w:val="105"/>
    <w:qFormat/>
    <w:locked/>
    <w:uiPriority w:val="0"/>
    <w:rPr>
      <w:rFonts w:ascii="Arial" w:hAnsi="Arial" w:eastAsia="Times New Roman"/>
      <w:sz w:val="18"/>
      <w:lang w:val="en-GB" w:eastAsia="en-GB"/>
    </w:rPr>
  </w:style>
  <w:style w:type="character" w:customStyle="1" w:styleId="199">
    <w:name w:val="TAH Car"/>
    <w:link w:val="81"/>
    <w:qFormat/>
    <w:uiPriority w:val="0"/>
    <w:rPr>
      <w:rFonts w:ascii="Arial" w:hAnsi="Arial" w:eastAsia="Times New Roman"/>
      <w:b/>
      <w:sz w:val="18"/>
      <w:lang w:val="en-GB" w:eastAsia="en-GB"/>
    </w:rPr>
  </w:style>
  <w:style w:type="table" w:customStyle="1" w:styleId="200">
    <w:name w:val="Table Grid2"/>
    <w:basedOn w:val="51"/>
    <w:qFormat/>
    <w:uiPriority w:val="59"/>
    <w:pPr>
      <w:widowControl w:val="0"/>
      <w:autoSpaceDE w:val="0"/>
      <w:autoSpaceDN w:val="0"/>
      <w:adjustRightInd w:val="0"/>
      <w:spacing w:after="12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paragraph" w:customStyle="1" w:styleId="201">
    <w:name w:val="3GPP_Header"/>
    <w:basedOn w:val="30"/>
    <w:qFormat/>
    <w:uiPriority w:val="0"/>
    <w:pPr>
      <w:tabs>
        <w:tab w:val="left" w:pos="1701"/>
        <w:tab w:val="right" w:pos="9639"/>
      </w:tabs>
      <w:autoSpaceDE/>
      <w:autoSpaceDN/>
      <w:adjustRightInd/>
      <w:snapToGrid/>
      <w:spacing w:after="240"/>
    </w:pPr>
    <w:rPr>
      <w:rFonts w:cstheme="minorBidi"/>
      <w:b/>
      <w:sz w:val="24"/>
      <w:szCs w:val="22"/>
      <w:lang w:val="en-GB" w:eastAsia="en-GB"/>
    </w:rPr>
  </w:style>
  <w:style w:type="character" w:customStyle="1" w:styleId="202">
    <w:name w:val="B2 Char"/>
    <w:link w:val="96"/>
    <w:qFormat/>
    <w:uiPriority w:val="0"/>
    <w:rPr>
      <w:rFonts w:eastAsia="Times New Roman"/>
      <w:lang w:val="en-GB" w:eastAsia="en-GB"/>
    </w:rPr>
  </w:style>
  <w:style w:type="paragraph" w:customStyle="1" w:styleId="203">
    <w:name w:val="Proposal"/>
    <w:basedOn w:val="1"/>
    <w:link w:val="205"/>
    <w:qFormat/>
    <w:uiPriority w:val="0"/>
    <w:pPr>
      <w:numPr>
        <w:ilvl w:val="0"/>
        <w:numId w:val="13"/>
      </w:numPr>
      <w:tabs>
        <w:tab w:val="left" w:pos="1701"/>
        <w:tab w:val="left" w:pos="2722"/>
      </w:tabs>
      <w:autoSpaceDE/>
      <w:autoSpaceDN/>
      <w:adjustRightInd/>
      <w:snapToGrid/>
      <w:spacing w:after="160"/>
    </w:pPr>
    <w:rPr>
      <w:rFonts w:asciiTheme="minorHAnsi" w:hAnsiTheme="minorHAnsi" w:eastAsiaTheme="minorHAnsi" w:cstheme="minorBidi"/>
      <w:b/>
      <w:bCs/>
    </w:rPr>
  </w:style>
  <w:style w:type="character" w:customStyle="1" w:styleId="204">
    <w:name w:val="B3 Char2"/>
    <w:qFormat/>
    <w:uiPriority w:val="0"/>
    <w:rPr>
      <w:rFonts w:eastAsia="宋体"/>
      <w:lang w:val="en-GB"/>
    </w:rPr>
  </w:style>
  <w:style w:type="character" w:customStyle="1" w:styleId="205">
    <w:name w:val="Proposal (文字)"/>
    <w:link w:val="203"/>
    <w:qFormat/>
    <w:uiPriority w:val="0"/>
    <w:rPr>
      <w:rFonts w:asciiTheme="minorHAnsi" w:hAnsiTheme="minorHAnsi" w:eastAsiaTheme="minorHAnsi" w:cstheme="minorBidi"/>
      <w:b/>
      <w:bCs/>
      <w:sz w:val="22"/>
      <w:szCs w:val="22"/>
      <w:lang w:val="en-US" w:eastAsia="en-US"/>
    </w:rPr>
  </w:style>
  <w:style w:type="paragraph" w:customStyle="1" w:styleId="206">
    <w:name w:val="paragraph"/>
    <w:basedOn w:val="1"/>
    <w:qFormat/>
    <w:uiPriority w:val="0"/>
    <w:pPr>
      <w:autoSpaceDE/>
      <w:autoSpaceDN/>
      <w:adjustRightInd/>
      <w:snapToGrid/>
      <w:spacing w:before="100" w:beforeAutospacing="1" w:after="100" w:afterAutospacing="1"/>
    </w:pPr>
    <w:rPr>
      <w:rFonts w:eastAsia="Times New Roman"/>
      <w:sz w:val="24"/>
      <w:szCs w:val="24"/>
      <w:lang w:val="en-GB" w:eastAsia="en-GB"/>
    </w:rPr>
  </w:style>
  <w:style w:type="character" w:customStyle="1" w:styleId="207">
    <w:name w:val="normaltextrun"/>
    <w:basedOn w:val="53"/>
    <w:qFormat/>
    <w:uiPriority w:val="0"/>
  </w:style>
  <w:style w:type="character" w:customStyle="1" w:styleId="208">
    <w:name w:val="eop"/>
    <w:basedOn w:val="53"/>
    <w:qFormat/>
    <w:uiPriority w:val="0"/>
  </w:style>
  <w:style w:type="paragraph" w:customStyle="1" w:styleId="209">
    <w:name w:val="N1"/>
    <w:basedOn w:val="1"/>
    <w:link w:val="210"/>
    <w:qFormat/>
    <w:uiPriority w:val="0"/>
    <w:pPr>
      <w:autoSpaceDE/>
      <w:autoSpaceDN/>
      <w:adjustRightInd/>
      <w:snapToGrid/>
      <w:spacing w:after="0"/>
      <w:ind w:left="634"/>
    </w:pPr>
    <w:rPr>
      <w:rFonts w:asciiTheme="minorHAnsi" w:hAnsiTheme="minorHAnsi" w:cstheme="minorHAnsi"/>
      <w:lang w:eastAsia="ko-KR" w:bidi="hi-IN"/>
    </w:rPr>
  </w:style>
  <w:style w:type="character" w:customStyle="1" w:styleId="210">
    <w:name w:val="N1 Char"/>
    <w:basedOn w:val="53"/>
    <w:link w:val="209"/>
    <w:qFormat/>
    <w:uiPriority w:val="0"/>
    <w:rPr>
      <w:rFonts w:asciiTheme="minorHAnsi" w:hAnsiTheme="minorHAnsi" w:cstheme="minorHAnsi"/>
      <w:sz w:val="22"/>
      <w:szCs w:val="22"/>
      <w:lang w:eastAsia="ko-KR" w:bidi="hi-IN"/>
    </w:rPr>
  </w:style>
  <w:style w:type="paragraph" w:customStyle="1" w:styleId="211">
    <w:name w:val="b110"/>
    <w:basedOn w:val="1"/>
    <w:qFormat/>
    <w:uiPriority w:val="0"/>
    <w:pPr>
      <w:autoSpaceDE/>
      <w:autoSpaceDN/>
      <w:adjustRightInd/>
      <w:snapToGrid/>
      <w:spacing w:before="75" w:after="75"/>
    </w:pPr>
    <w:rPr>
      <w:rFonts w:eastAsia="Times New Roman"/>
      <w:sz w:val="24"/>
      <w:szCs w:val="24"/>
      <w:lang w:eastAsia="zh-CN"/>
    </w:rPr>
  </w:style>
  <w:style w:type="character" w:customStyle="1" w:styleId="212">
    <w:name w:val="Mention1"/>
    <w:basedOn w:val="53"/>
    <w:unhideWhenUsed/>
    <w:qFormat/>
    <w:uiPriority w:val="99"/>
    <w:rPr>
      <w:color w:val="2B579A"/>
      <w:shd w:val="clear" w:color="auto" w:fill="E1DFDD"/>
    </w:rPr>
  </w:style>
  <w:style w:type="character" w:customStyle="1" w:styleId="213">
    <w:name w:val="Unresolved Mention1"/>
    <w:basedOn w:val="53"/>
    <w:unhideWhenUsed/>
    <w:qFormat/>
    <w:uiPriority w:val="99"/>
    <w:rPr>
      <w:color w:val="605E5C"/>
      <w:shd w:val="clear" w:color="auto" w:fill="E1DFDD"/>
    </w:rPr>
  </w:style>
  <w:style w:type="character" w:customStyle="1" w:styleId="214">
    <w:name w:val="Mention2"/>
    <w:basedOn w:val="53"/>
    <w:unhideWhenUsed/>
    <w:qFormat/>
    <w:uiPriority w:val="99"/>
    <w:rPr>
      <w:color w:val="2B579A"/>
      <w:shd w:val="clear" w:color="auto" w:fill="E1DFDD"/>
    </w:rPr>
  </w:style>
  <w:style w:type="paragraph" w:customStyle="1" w:styleId="215">
    <w:name w:val="x_msonormal"/>
    <w:basedOn w:val="1"/>
    <w:qFormat/>
    <w:uiPriority w:val="0"/>
    <w:pPr>
      <w:autoSpaceDE/>
      <w:autoSpaceDN/>
      <w:adjustRightInd/>
      <w:snapToGrid/>
      <w:spacing w:after="0" w:line="240" w:lineRule="auto"/>
    </w:pPr>
    <w:rPr>
      <w:rFonts w:ascii="宋体" w:hAnsi="宋体" w:eastAsia="宋体" w:cs="Calibri"/>
      <w:sz w:val="24"/>
      <w:szCs w:val="24"/>
      <w:lang w:val="de-DE" w:eastAsia="de-DE"/>
    </w:rPr>
  </w:style>
  <w:style w:type="character" w:customStyle="1" w:styleId="216">
    <w:name w:val="B1 (文字)"/>
    <w:qFormat/>
    <w:locked/>
    <w:uiPriority w:val="0"/>
    <w:rPr>
      <w:lang w:val="en-GB" w:eastAsia="en-US"/>
    </w:rPr>
  </w:style>
  <w:style w:type="character" w:customStyle="1" w:styleId="217">
    <w:name w:val="Caption Char1"/>
    <w:qFormat/>
    <w:uiPriority w:val="35"/>
    <w:rPr>
      <w:rFonts w:ascii="Times New Roman" w:hAnsi="Times New Roman"/>
      <w:b/>
    </w:rPr>
  </w:style>
  <w:style w:type="paragraph" w:customStyle="1" w:styleId="218">
    <w:name w:val="Observation"/>
    <w:basedOn w:val="203"/>
    <w:qFormat/>
    <w:uiPriority w:val="0"/>
    <w:pPr>
      <w:numPr>
        <w:ilvl w:val="0"/>
        <w:numId w:val="14"/>
      </w:numPr>
      <w:tabs>
        <w:tab w:val="clear" w:pos="2722"/>
      </w:tabs>
      <w:spacing w:after="120"/>
      <w:ind w:left="1701" w:hanging="1701"/>
      <w:jc w:val="both"/>
    </w:pPr>
    <w:rPr>
      <w:rFonts w:ascii="Arial" w:hAnsi="Arial"/>
      <w:sz w:val="20"/>
      <w:lang w:eastAsia="ja-JP"/>
    </w:rPr>
  </w:style>
  <w:style w:type="paragraph" w:customStyle="1" w:styleId="219">
    <w:name w:val="佐藤２"/>
    <w:basedOn w:val="1"/>
    <w:uiPriority w:val="0"/>
    <w:pPr>
      <w:numPr>
        <w:ilvl w:val="0"/>
        <w:numId w:val="15"/>
      </w:numPr>
      <w:autoSpaceDE/>
      <w:autoSpaceDN/>
      <w:adjustRightInd/>
      <w:snapToGrid/>
      <w:spacing w:after="180" w:line="240" w:lineRule="auto"/>
    </w:pPr>
    <w:rPr>
      <w:rFonts w:eastAsia="MS Gothic"/>
      <w:sz w:val="24"/>
      <w:szCs w:val="20"/>
      <w:lang w:val="en-GB" w:eastAsia="ja-JP"/>
    </w:rPr>
  </w:style>
  <w:style w:type="character" w:customStyle="1" w:styleId="220">
    <w:name w:val="TAL Char"/>
    <w:qFormat/>
    <w:uiPriority w:val="0"/>
    <w:rPr>
      <w:rFonts w:ascii="Arial" w:hAnsi="Arial" w:eastAsia="Times New Roman"/>
      <w:sz w:val="18"/>
      <w:lang w:val="en-GB" w:eastAsia="en-US"/>
    </w:rPr>
  </w:style>
  <w:style w:type="paragraph" w:customStyle="1" w:styleId="221">
    <w:name w:val="Style1"/>
    <w:basedOn w:val="1"/>
    <w:link w:val="222"/>
    <w:qFormat/>
    <w:uiPriority w:val="0"/>
    <w:pPr>
      <w:autoSpaceDE/>
      <w:autoSpaceDN/>
      <w:adjustRightInd/>
      <w:snapToGrid/>
      <w:spacing w:after="100" w:afterAutospacing="1" w:line="300" w:lineRule="auto"/>
      <w:ind w:firstLine="360"/>
      <w:contextualSpacing/>
      <w:jc w:val="both"/>
    </w:pPr>
    <w:rPr>
      <w:rFonts w:eastAsia="宋体"/>
      <w:sz w:val="20"/>
      <w:szCs w:val="20"/>
      <w:lang w:eastAsia="zh-CN"/>
    </w:rPr>
  </w:style>
  <w:style w:type="character" w:customStyle="1" w:styleId="222">
    <w:name w:val="Style1 Char"/>
    <w:link w:val="221"/>
    <w:qFormat/>
    <w:uiPriority w:val="0"/>
    <w:rPr>
      <w:rFonts w:eastAsia="宋体"/>
      <w:lang w:val="en-US" w:eastAsia="zh-CN"/>
    </w:rPr>
  </w:style>
  <w:style w:type="paragraph" w:customStyle="1" w:styleId="223">
    <w:name w:val="Style List Paragraph- Bullets목록 단락リスト段落Lista1?? ???????????...1"/>
    <w:basedOn w:val="73"/>
    <w:uiPriority w:val="0"/>
    <w:pPr>
      <w:snapToGrid/>
      <w:jc w:val="both"/>
    </w:pPr>
    <w:rPr>
      <w:rFonts w:ascii="Arial" w:hAnsi="Arial" w:eastAsia="Times New Roman"/>
      <w:sz w:val="20"/>
      <w:szCs w:val="20"/>
      <w:lang w:val="zh-CN"/>
    </w:rPr>
  </w:style>
</w:styles>
</file>

<file path=word/_rels/document.xml.rels><?xml version="1.0" encoding="UTF-8" standalone="yes"?>
<Relationships xmlns="http://schemas.openxmlformats.org/package/2006/relationships"><Relationship Id="rId9" Type="http://schemas.openxmlformats.org/officeDocument/2006/relationships/package" Target="embeddings/Microsoft_Visio___3.vsdx"/><Relationship Id="rId8" Type="http://schemas.openxmlformats.org/officeDocument/2006/relationships/image" Target="media/image3.emf"/><Relationship Id="rId7" Type="http://schemas.openxmlformats.org/officeDocument/2006/relationships/oleObject" Target="embeddings/Microsoft_Visio_2003-2010___2.vsd"/><Relationship Id="rId62" Type="http://schemas.openxmlformats.org/officeDocument/2006/relationships/fontTable" Target="fontTable.xml"/><Relationship Id="rId61" Type="http://schemas.openxmlformats.org/officeDocument/2006/relationships/numbering" Target="numbering.xml"/><Relationship Id="rId60" Type="http://schemas.openxmlformats.org/officeDocument/2006/relationships/customXml" Target="../customXml/item1.xml"/><Relationship Id="rId6" Type="http://schemas.openxmlformats.org/officeDocument/2006/relationships/image" Target="media/image2.emf"/><Relationship Id="rId59" Type="http://schemas.openxmlformats.org/officeDocument/2006/relationships/oleObject" Target="embeddings/oleObject4.bin"/><Relationship Id="rId58" Type="http://schemas.openxmlformats.org/officeDocument/2006/relationships/image" Target="media/image36.wmf"/><Relationship Id="rId57" Type="http://schemas.openxmlformats.org/officeDocument/2006/relationships/oleObject" Target="embeddings/oleObject3.bin"/><Relationship Id="rId56" Type="http://schemas.openxmlformats.org/officeDocument/2006/relationships/image" Target="media/image35.emf"/><Relationship Id="rId55" Type="http://schemas.openxmlformats.org/officeDocument/2006/relationships/package" Target="embeddings/Microsoft_Visio___16.vsdx"/><Relationship Id="rId54" Type="http://schemas.openxmlformats.org/officeDocument/2006/relationships/image" Target="media/image34.emf"/><Relationship Id="rId53" Type="http://schemas.openxmlformats.org/officeDocument/2006/relationships/package" Target="embeddings/Microsoft_Visio___15.vsdx"/><Relationship Id="rId52" Type="http://schemas.openxmlformats.org/officeDocument/2006/relationships/image" Target="media/image33.wmf"/><Relationship Id="rId51" Type="http://schemas.openxmlformats.org/officeDocument/2006/relationships/image" Target="media/image32.wmf"/><Relationship Id="rId50" Type="http://schemas.openxmlformats.org/officeDocument/2006/relationships/image" Target="media/image31.wmf"/><Relationship Id="rId5" Type="http://schemas.openxmlformats.org/officeDocument/2006/relationships/oleObject" Target="embeddings/Microsoft_Visio_2003-2010___1.vsd"/><Relationship Id="rId49" Type="http://schemas.openxmlformats.org/officeDocument/2006/relationships/image" Target="media/image30.wmf"/><Relationship Id="rId48" Type="http://schemas.openxmlformats.org/officeDocument/2006/relationships/oleObject" Target="embeddings/oleObject2.bin"/><Relationship Id="rId47" Type="http://schemas.openxmlformats.org/officeDocument/2006/relationships/image" Target="media/image29.wmf"/><Relationship Id="rId46" Type="http://schemas.openxmlformats.org/officeDocument/2006/relationships/oleObject" Target="embeddings/oleObject1.bin"/><Relationship Id="rId45" Type="http://schemas.openxmlformats.org/officeDocument/2006/relationships/image" Target="media/image28.emf"/><Relationship Id="rId44" Type="http://schemas.openxmlformats.org/officeDocument/2006/relationships/package" Target="embeddings/Microsoft_Visio___14.vsdx"/><Relationship Id="rId43" Type="http://schemas.openxmlformats.org/officeDocument/2006/relationships/image" Target="media/image27.emf"/><Relationship Id="rId42" Type="http://schemas.openxmlformats.org/officeDocument/2006/relationships/package" Target="embeddings/Microsoft_Visio___13.vsdx"/><Relationship Id="rId41" Type="http://schemas.openxmlformats.org/officeDocument/2006/relationships/image" Target="media/image26.emf"/><Relationship Id="rId40" Type="http://schemas.openxmlformats.org/officeDocument/2006/relationships/package" Target="embeddings/Microsoft_Visio___12.vsdx"/><Relationship Id="rId4" Type="http://schemas.openxmlformats.org/officeDocument/2006/relationships/image" Target="media/image1.png"/><Relationship Id="rId39" Type="http://schemas.openxmlformats.org/officeDocument/2006/relationships/image" Target="media/image25.png"/><Relationship Id="rId38" Type="http://schemas.openxmlformats.org/officeDocument/2006/relationships/image" Target="media/image24.png"/><Relationship Id="rId37" Type="http://schemas.openxmlformats.org/officeDocument/2006/relationships/image" Target="media/image23.emf"/><Relationship Id="rId36" Type="http://schemas.openxmlformats.org/officeDocument/2006/relationships/package" Target="embeddings/Microsoft_Visio___11.vsdx"/><Relationship Id="rId35" Type="http://schemas.openxmlformats.org/officeDocument/2006/relationships/image" Target="media/image22.emf"/><Relationship Id="rId34" Type="http://schemas.openxmlformats.org/officeDocument/2006/relationships/package" Target="embeddings/Microsoft_Visio___10.vsdx"/><Relationship Id="rId33" Type="http://schemas.openxmlformats.org/officeDocument/2006/relationships/image" Target="media/image21.emf"/><Relationship Id="rId32" Type="http://schemas.openxmlformats.org/officeDocument/2006/relationships/package" Target="embeddings/Microsoft_Visio___9.vsdx"/><Relationship Id="rId31" Type="http://schemas.openxmlformats.org/officeDocument/2006/relationships/image" Target="media/image20.emf"/><Relationship Id="rId30" Type="http://schemas.openxmlformats.org/officeDocument/2006/relationships/package" Target="embeddings/Microsoft_Visio___8.vsdx"/><Relationship Id="rId3" Type="http://schemas.openxmlformats.org/officeDocument/2006/relationships/theme" Target="theme/theme1.xml"/><Relationship Id="rId29" Type="http://schemas.openxmlformats.org/officeDocument/2006/relationships/image" Target="media/image19.emf"/><Relationship Id="rId28" Type="http://schemas.openxmlformats.org/officeDocument/2006/relationships/oleObject" Target="embeddings/Microsoft_Visio_2003-2010___7.vsd"/><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emf"/><Relationship Id="rId22" Type="http://schemas.openxmlformats.org/officeDocument/2006/relationships/package" Target="embeddings/Microsoft_Visio___6.vsdx"/><Relationship Id="rId21" Type="http://schemas.openxmlformats.org/officeDocument/2006/relationships/image" Target="media/image13.emf"/><Relationship Id="rId20" Type="http://schemas.openxmlformats.org/officeDocument/2006/relationships/package" Target="embeddings/Microsoft_Visio___5.vsdx"/><Relationship Id="rId2" Type="http://schemas.openxmlformats.org/officeDocument/2006/relationships/settings" Target="settings.xml"/><Relationship Id="rId19" Type="http://schemas.openxmlformats.org/officeDocument/2006/relationships/image" Target="media/image12.emf"/><Relationship Id="rId18" Type="http://schemas.openxmlformats.org/officeDocument/2006/relationships/package" Target="embeddings/Microsoft_Visio___4.vsdx"/><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e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Company>
  <Pages>113</Pages>
  <Words>39114</Words>
  <Characters>222955</Characters>
  <Lines>1857</Lines>
  <Paragraphs>523</Paragraphs>
  <TotalTime>0</TotalTime>
  <ScaleCrop>false</ScaleCrop>
  <LinksUpToDate>false</LinksUpToDate>
  <CharactersWithSpaces>261546</CharactersWithSpaces>
  <Application>WPS Office_11.8.2.8875_F1E327BC-269C-435d-A152-05C5408002CA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2021-10-12T02:53:00Z</dcterms:created>
  <dc:creator>lenovo</dc:creator>
  <cp:keywords>CTPClassification=CTP_NT</cp:keywords>
  <cp:lastModifiedBy>Li Mengzhen</cp:lastModifiedBy>
  <cp:lastPrinted>2016-08-13T07:06:00Z</cp:lastPrinted>
  <dcterms:modified xsi:type="dcterms:W3CDTF">2021-10-12T03:10:47Z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s_pID_725343">
    <vt:lpwstr>(10)bhD+GBypTGyQvG7tYAqD8vtLZSRqODJi4QZFWkFoZggB8Lk/d8FZU2rZ4V4my+WcfAyofAIA_x000d_ p7M73/Jbr2PqCW7ZrlAxy0q/6wCADwgLA1OCvnpA/wZAwLMmLMb5Mzr/7CQp/DXgEky1Lyfk_x000d_ i3vZMv8PoOwPXqO2s4RzgQXm/tOd5XkwID4iMCVfR/Pk6RUbx/KI705jGujjaNvX902Qd/mA_x000d_ 0M9RDxwEkljDfDGbBb</vt:lpwstr>
  </property>
  <property fmtid="{D5CDD505-2E9C-101B-9397-08002B2CF9AE}" pid="3" name="_ms_pID_7253431">
    <vt:lpwstr>NF04rbxmxW7gNnk+z8kpznRyH9HA0o+6c3n2HoDE3X2dUDoxLfxmLE_x000d_ yYd+NB81Hk8+MnzZ/adaWMhgsMA31kUZbupIHe6/fukdgQ3Hvlp1dVBkBHiabtleIOZR8dan_x000d_ x//LQ/ERnUFLqamCLEw2Q03oKYzhFD4PRs8cZknovPZ9HGPK1Rk1VhnnvNTkDcj8rwT1m+yV_x000d_ WYuokppSYBFvU43LJRt+vlxqdtf/iQlwvD0J</vt:lpwstr>
  </property>
  <property fmtid="{D5CDD505-2E9C-101B-9397-08002B2CF9AE}" pid="4" name="_ms_pID_725343_00">
    <vt:lpwstr>_ms_pID_725343</vt:lpwstr>
  </property>
  <property fmtid="{D5CDD505-2E9C-101B-9397-08002B2CF9AE}" pid="5" name="_ms_pID_7253431_00">
    <vt:lpwstr>_ms_pID_7253431</vt:lpwstr>
  </property>
  <property fmtid="{D5CDD505-2E9C-101B-9397-08002B2CF9AE}" pid="6" name="_ms_pID_7253432">
    <vt:lpwstr>YEUsz7J1mNVxZfbzmaHWkhdaTgfBhoAHNA0/_x000d_ ki8frTp7NQmyHrpLgTLnSq6aH6SzJxKC9nj3eg7/WQpiSYXHrJUvUUtcwvgyIigGEe3aOKJt_x000d_ knqFx/BJyTZJZcAt51yqavlsp5Z0IA9AXF95l3jpuwLRJAL+GDSrAl3PIIOhCx0w+xBT8Cd4_x000d_ duOVo5k5nsChzN5n8H5O5ceO+tPfsiC22M5+3XTD+s0ZO1ZtOPLf5w</vt:lpwstr>
  </property>
  <property fmtid="{D5CDD505-2E9C-101B-9397-08002B2CF9AE}" pid="7" name="_ms_pID_7253432_00">
    <vt:lpwstr>_ms_pID_7253432</vt:lpwstr>
  </property>
  <property fmtid="{D5CDD505-2E9C-101B-9397-08002B2CF9AE}" pid="8" name="_ms_pID_7253433">
    <vt:lpwstr>jkjNVdd8b2oOjg1AyR_x000d_ DuQeXe3OVxza2GBE1DZX2i3nKNc2toJWboOwnUPUN6SKheze16Lbuv3YxEtKw7D0ft4QyeLg_x000d_ AftpBlD8bu66m6cXPlYUbklnSPMBN0K5KJt45U+/EhqExkinssi/CHQT/Hotnn9+Pvieb7Fv_x000d_ GfR4cJ62RSAJIWfScH1xfXZ/uCDp1hZaY2KLOn7qRAlIjoPICVacB30B+0JbCTCk3u5VdLbr</vt:lpwstr>
  </property>
  <property fmtid="{D5CDD505-2E9C-101B-9397-08002B2CF9AE}" pid="9" name="_ms_pID_7253433_00">
    <vt:lpwstr>_ms_pID_7253433</vt:lpwstr>
  </property>
  <property fmtid="{D5CDD505-2E9C-101B-9397-08002B2CF9AE}" pid="10" name="_ms_pID_7253434">
    <vt:lpwstr>_x000d_ cKH5GXmGuUNjMZ+TxfXTLAF+7SPuQMOdEf6YDLkUw1sqmdYcAuEweqAxJGZ60gHMrm+1sVF+_x000d_ bLh0GFbzZsF8RBeDGXb3Vl1xWtfu+hJWEw54Yxw9bQGawA/RiRT9TQ8v6m7hILHP5Gg3V1yr_x000d_ 6t9ZTToi+ErERu27xeaFGEfZPH//OqCg+tjWvaXrXjLo7XY54zyuD7TEx+J03LA5yjeIXRB3_x000d_ TUEJ9qxueFRhIOhd</vt:lpwstr>
  </property>
  <property fmtid="{D5CDD505-2E9C-101B-9397-08002B2CF9AE}" pid="11" name="_ms_pID_7253434_00">
    <vt:lpwstr>_ms_pID_7253434</vt:lpwstr>
  </property>
  <property fmtid="{D5CDD505-2E9C-101B-9397-08002B2CF9AE}" pid="12" name="_ms_pID_7253435">
    <vt:lpwstr>o9ZjfIbr6O/UylMpaUXqVpBa2bM0uKuLVivWCSxJnIj3PNyJ5CkfKKx3_x000d_ 3U3Elgcg5SRuKTqZt3KWfjoVnE0E/xlA12a7MwwU5+1FfRhU8M486N15omuiqcAdmeT3pyY3_x000d_ fa2m8JSgsZxNTd6xO0a77O3T87198nkjFV8drElisZwoAfH6rEct87n3u+CmL6WoeKaiiDfq_x000d_ VHEjP4fbkGzKZlU3aPbm79UBChWgZUsllC</vt:lpwstr>
  </property>
  <property fmtid="{D5CDD505-2E9C-101B-9397-08002B2CF9AE}" pid="13" name="_ms_pID_7253435_00">
    <vt:lpwstr>_ms_pID_7253435</vt:lpwstr>
  </property>
  <property fmtid="{D5CDD505-2E9C-101B-9397-08002B2CF9AE}" pid="14" name="_ms_pID_7253436">
    <vt:lpwstr>zB4QC7KciqgWV9YOKpxUeVR5wZ0wSXbqJSfgqD_x000d_ qdsZzAKtVHf4luVurpHEcHLDZNE7lzZblK96nCMPwkXxniGN59uyliArw+8lVcGMRfJyWxIa_x000d_ EGWff6JVdUqtFDnks78RVzSa59CVh7EFgOokun7FniCt4N5W9TxMepbsKPeNZJ3Qe+X2BArN_x000d_ u66/WlVPq/uh5ouUijVPmmMUzDfveA/+2v7w/DOHVZnkuhyoHXhq</vt:lpwstr>
  </property>
  <property fmtid="{D5CDD505-2E9C-101B-9397-08002B2CF9AE}" pid="15" name="_ms_pID_7253436_00">
    <vt:lpwstr>_ms_pID_7253436</vt:lpwstr>
  </property>
  <property fmtid="{D5CDD505-2E9C-101B-9397-08002B2CF9AE}" pid="16" name="_ms_pID_7253437">
    <vt:lpwstr>vKPARysHUDVlVilmtEPc_x000d_ OzanZLgrFnd8y35qoTZhPWVphLmgAjGNc94iYSc5k6egispA+3AM2Jnrkko7OJNWSnOEl4uG_x000d_ d3V8FOtGGYIu0WobkLTKm6oJXKVEELqf80IsJv3phOHqjjU+jIK0F3faCu/N9XvM3TxmubmE_x000d_ SqEiAHr3O8w5kyYD0Qnh3BDQJjwmWnJSVKp0IX6yOqAWPT1GVzMXQcY7XGQUGkyD19x9Uz</vt:lpwstr>
  </property>
  <property fmtid="{D5CDD505-2E9C-101B-9397-08002B2CF9AE}" pid="17" name="_ms_pID_7253437_00">
    <vt:lpwstr>_ms_pID_7253437</vt:lpwstr>
  </property>
  <property fmtid="{D5CDD505-2E9C-101B-9397-08002B2CF9AE}" pid="18" name="_ms_pID_7253438">
    <vt:lpwstr>57_x000d_ kscUFn1YP8PCZO7jaEAM2zsNu7MP4U8Z7I6WGWh8y7mWJjobdtf7VwztVNv9WLyhSiAeo5Qx_x000d_ d75xmRzwL89WwTVbkCUZrGIywC+iD1enTRKHk6l1Lm8SaMIGFs97sRswd92uhkuq7h6HGozl_x000d_ I4pjgnquZIn+PHKphnamecbjZ0UOxQtSa3/2sba/4OBS7wAMlczxnWWUu6H/RI+WEdjtpfUw_x000d_ ZbZH5ODWQCyDrT</vt:lpwstr>
  </property>
  <property fmtid="{D5CDD505-2E9C-101B-9397-08002B2CF9AE}" pid="19" name="_ms_pID_7253438_00">
    <vt:lpwstr>_ms_pID_7253438</vt:lpwstr>
  </property>
  <property fmtid="{D5CDD505-2E9C-101B-9397-08002B2CF9AE}" pid="20" name="_ms_pID_7253439">
    <vt:lpwstr>bPkOXtN32o</vt:lpwstr>
  </property>
  <property fmtid="{D5CDD505-2E9C-101B-9397-08002B2CF9AE}" pid="21" name="_ms_pID_7253439_00">
    <vt:lpwstr>_ms_pID_7253439</vt:lpwstr>
  </property>
  <property fmtid="{D5CDD505-2E9C-101B-9397-08002B2CF9AE}" pid="22" name="_new_ms_pID_72543">
    <vt:lpwstr>(3)AFZTf+M1eulWsKuMi2cgaZn2CApaLWaXZAeVXOOn95ruwnFV2S4ugBuY/lPxyf1P8gt7KxhU_x000d_
obuygUTwMN3nDP3OK1TSaoknv25+pI2Ldm9Ec+P+HgKBhqTXIh2Gut4Bhjo1ZD2wdU2R6Li9_x000d_
OdzjhVcP32PiUmjcf6lIwI6hO4bGMLlZYSZlNDIqnzN1FgrwQ9xt9HHmXUHjvFM60dxGqnCu_x000d_
v/GLk0oRXp8DDKV8GT</vt:lpwstr>
  </property>
  <property fmtid="{D5CDD505-2E9C-101B-9397-08002B2CF9AE}" pid="23" name="_new_ms_pID_72543_00">
    <vt:lpwstr>_new_ms_pID_72543</vt:lpwstr>
  </property>
  <property fmtid="{D5CDD505-2E9C-101B-9397-08002B2CF9AE}" pid="24" name="_new_ms_pID_725431">
    <vt:lpwstr>rKao/QVab+zFxOu0oJ+FLMGND5C33mlm1nf+Doti+q689L/YD0iou6_x000d_
/eFHyBFHVmDw/HCFMjaCZbv/Ah9Hpx4mzrE7tcKeuL6XZwvuvWMcTmo981qcOJW1i4lBeXoI_x000d_
G4DBcCiOAqJqj0rD0MR3/z9BEc/5pVPpCSPwroAkFv2Bhgs9S6YWZnef4geieqFaso2P8GfL_x000d_
k+HuQ4gPUckSTRZvfZT+xQraVKFwJGlLyBkb</vt:lpwstr>
  </property>
  <property fmtid="{D5CDD505-2E9C-101B-9397-08002B2CF9AE}" pid="25" name="_new_ms_pID_725431_00">
    <vt:lpwstr>_new_ms_pID_725431</vt:lpwstr>
  </property>
  <property fmtid="{D5CDD505-2E9C-101B-9397-08002B2CF9AE}" pid="26" name="_new_ms_pID_725432">
    <vt:lpwstr>tqUxoEfAZv7h8Si00sX3kmnBWaAUJrFlnkVL_x000d_
n1onHBaxGHCT+om9hNeuenOq5Ha6Nt+lXlAennvEoHzEBKYwitw=</vt:lpwstr>
  </property>
  <property fmtid="{D5CDD505-2E9C-101B-9397-08002B2CF9AE}" pid="27" name="_new_ms_pID_725432_00">
    <vt:lpwstr>_new_ms_pID_725432</vt:lpwstr>
  </property>
  <property fmtid="{D5CDD505-2E9C-101B-9397-08002B2CF9AE}" pid="28" name="TitusGUID">
    <vt:lpwstr>444542a0-a5b1-49fc-91e8-dd18e2f8ddcb</vt:lpwstr>
  </property>
  <property fmtid="{D5CDD505-2E9C-101B-9397-08002B2CF9AE}" pid="29" name="CTP_TimeStamp">
    <vt:lpwstr>2019-10-17 04:42:43Z</vt:lpwstr>
  </property>
  <property fmtid="{D5CDD505-2E9C-101B-9397-08002B2CF9AE}" pid="30" name="CTP_BU">
    <vt:lpwstr>NA</vt:lpwstr>
  </property>
  <property fmtid="{D5CDD505-2E9C-101B-9397-08002B2CF9AE}" pid="31" name="CTP_IDSID">
    <vt:lpwstr>NA</vt:lpwstr>
  </property>
  <property fmtid="{D5CDD505-2E9C-101B-9397-08002B2CF9AE}" pid="32" name="CTP_WWID">
    <vt:lpwstr>NA</vt:lpwstr>
  </property>
  <property fmtid="{D5CDD505-2E9C-101B-9397-08002B2CF9AE}" pid="33" name="_2015_ms_pID_725343">
    <vt:lpwstr>(2)6C7rGZ5pIIWgeluYIDTfaBEQU+nSvhNuHtMZf1c94ZTl/kazyLnjfKG3oESyHYYzMVovKlEi
KY283KjdZlAwlk2spqoemkHmgRt8MHtdkPzCxSHrghw5FUDAGPxg6jz2pJ4wgXCM6RcVQzjo
JkCkWlsaglnFm7dx7ZzCmfGnOFmpXzJNsWKrui7vG8EY39kMWzl9XaqJslalFn6o4mkm+9EN
AKAXBWO8x9WC4469fZ</vt:lpwstr>
  </property>
  <property fmtid="{D5CDD505-2E9C-101B-9397-08002B2CF9AE}" pid="34" name="_2015_ms_pID_7253431">
    <vt:lpwstr>7fABeOIwqsn2gNcexTGjpIiiVy9sCzdIqkTMngWpk8qFnux6F4VGTP
IWfymvNk1Cm0NOy1lP8SHMW9SrMwVMLK2E/28rXTKoWUZqkcQz4M/8xBdiO3BSCcZ68OJMzY
sj549rrs/8BO9QcwmA8AzIAT75OecCYZ3RqTq6HewJNspiLidSzv/5HPPZlkjsEPH3Vmfuml
SLr41ELNvAbWtS/r</vt:lpwstr>
  </property>
  <property fmtid="{D5CDD505-2E9C-101B-9397-08002B2CF9AE}" pid="35" name="CTPClassification">
    <vt:lpwstr>CTP_NT</vt:lpwstr>
  </property>
  <property fmtid="{D5CDD505-2E9C-101B-9397-08002B2CF9AE}" pid="36" name="ContentTypeId">
    <vt:lpwstr>0x010100B85C6574B4423147967AFA97304B0FFB</vt:lpwstr>
  </property>
  <property fmtid="{D5CDD505-2E9C-101B-9397-08002B2CF9AE}" pid="37" name="CWM2809a8cc1eaf433eb6c48f116d5a7bf7">
    <vt:lpwstr>CWM8UFRD5LhQ8Z0Si+0QAM35HjatWMravd2JoIr5nmPD9fhqe64jYcKj95JOs2r9DgecsAAyEKbXJ2aZFUjMQtFWw==</vt:lpwstr>
  </property>
  <property fmtid="{D5CDD505-2E9C-101B-9397-08002B2CF9AE}" pid="38" name="_readonly">
    <vt:lpwstr/>
  </property>
  <property fmtid="{D5CDD505-2E9C-101B-9397-08002B2CF9AE}" pid="39" name="_change">
    <vt:lpwstr/>
  </property>
  <property fmtid="{D5CDD505-2E9C-101B-9397-08002B2CF9AE}" pid="40" name="_full-control">
    <vt:lpwstr/>
  </property>
  <property fmtid="{D5CDD505-2E9C-101B-9397-08002B2CF9AE}" pid="41" name="sflag">
    <vt:lpwstr>1611710021</vt:lpwstr>
  </property>
  <property fmtid="{D5CDD505-2E9C-101B-9397-08002B2CF9AE}" pid="42" name="KSOProductBuildVer">
    <vt:lpwstr>2052-11.8.2.8875</vt:lpwstr>
  </property>
  <property fmtid="{D5CDD505-2E9C-101B-9397-08002B2CF9AE}" pid="43" name="_dlc_DocIdItemGuid">
    <vt:lpwstr>a7b87197-88ad-4268-bf3f-5b18d0b9b873</vt:lpwstr>
  </property>
</Properties>
</file>