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6564" w14:textId="77777777" w:rsidR="009F3D2A" w:rsidRDefault="005A6EA2">
      <w:pPr>
        <w:pStyle w:val="3GPPHeader"/>
        <w:spacing w:after="60"/>
        <w:rPr>
          <w:sz w:val="32"/>
          <w:szCs w:val="32"/>
        </w:rPr>
      </w:pPr>
      <w:r>
        <w:t>3GPP TSG-RAN WG1 Meeting #106bis-e</w:t>
      </w:r>
      <w:r>
        <w:tab/>
      </w:r>
      <w:r>
        <w:rPr>
          <w:sz w:val="32"/>
          <w:szCs w:val="32"/>
        </w:rPr>
        <w:t>R1-21xxxxx</w:t>
      </w:r>
    </w:p>
    <w:p w14:paraId="2B326565" w14:textId="77777777" w:rsidR="009F3D2A" w:rsidRDefault="005A6EA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2B326566" w14:textId="77777777" w:rsidR="009F3D2A" w:rsidRDefault="009F3D2A">
      <w:pPr>
        <w:pStyle w:val="3GPPHeader"/>
        <w:rPr>
          <w:sz w:val="22"/>
          <w:szCs w:val="20"/>
        </w:rPr>
      </w:pPr>
    </w:p>
    <w:p w14:paraId="2B326567" w14:textId="77777777" w:rsidR="009F3D2A" w:rsidRDefault="005A6EA2">
      <w:pPr>
        <w:pStyle w:val="3GPPHeader"/>
        <w:rPr>
          <w:sz w:val="20"/>
          <w:szCs w:val="20"/>
        </w:rPr>
      </w:pPr>
      <w:r>
        <w:rPr>
          <w:sz w:val="20"/>
          <w:szCs w:val="20"/>
        </w:rPr>
        <w:t>Agenda Item:</w:t>
      </w:r>
      <w:r>
        <w:rPr>
          <w:sz w:val="20"/>
          <w:szCs w:val="20"/>
        </w:rPr>
        <w:tab/>
        <w:t>8.17.6</w:t>
      </w:r>
    </w:p>
    <w:p w14:paraId="2B326568" w14:textId="77777777" w:rsidR="009F3D2A" w:rsidRDefault="005A6EA2">
      <w:pPr>
        <w:pStyle w:val="3GPPHeader"/>
        <w:rPr>
          <w:sz w:val="20"/>
          <w:szCs w:val="20"/>
        </w:rPr>
      </w:pPr>
      <w:r>
        <w:rPr>
          <w:sz w:val="20"/>
          <w:szCs w:val="20"/>
        </w:rPr>
        <w:t>Title:</w:t>
      </w:r>
      <w:r>
        <w:rPr>
          <w:sz w:val="20"/>
          <w:szCs w:val="20"/>
        </w:rPr>
        <w:tab/>
        <w:t>FL summary on incoming LS on capability related RAN2 agreements for RedCap</w:t>
      </w:r>
    </w:p>
    <w:p w14:paraId="2B326569" w14:textId="77777777" w:rsidR="009F3D2A" w:rsidRDefault="005A6EA2">
      <w:pPr>
        <w:pStyle w:val="3GPPHeader"/>
        <w:rPr>
          <w:sz w:val="20"/>
          <w:szCs w:val="20"/>
        </w:rPr>
      </w:pPr>
      <w:r>
        <w:rPr>
          <w:sz w:val="20"/>
          <w:szCs w:val="20"/>
        </w:rPr>
        <w:t>Source:</w:t>
      </w:r>
      <w:r>
        <w:rPr>
          <w:sz w:val="20"/>
          <w:szCs w:val="20"/>
        </w:rPr>
        <w:tab/>
        <w:t>Moderator (Ericsson)</w:t>
      </w:r>
    </w:p>
    <w:p w14:paraId="2B32656A" w14:textId="77777777" w:rsidR="009F3D2A" w:rsidRDefault="005A6EA2">
      <w:pPr>
        <w:pStyle w:val="3GPPHeader"/>
        <w:rPr>
          <w:sz w:val="20"/>
          <w:szCs w:val="20"/>
        </w:rPr>
      </w:pPr>
      <w:r>
        <w:rPr>
          <w:sz w:val="20"/>
          <w:szCs w:val="20"/>
        </w:rPr>
        <w:t>Document for:</w:t>
      </w:r>
      <w:r>
        <w:rPr>
          <w:sz w:val="20"/>
          <w:szCs w:val="20"/>
        </w:rPr>
        <w:tab/>
        <w:t>Discussion, Decision</w:t>
      </w:r>
    </w:p>
    <w:p w14:paraId="2B32656B" w14:textId="77777777" w:rsidR="009F3D2A" w:rsidRDefault="005A6EA2">
      <w:pPr>
        <w:pStyle w:val="Heading1"/>
      </w:pPr>
      <w:r>
        <w:t>1</w:t>
      </w:r>
      <w:r>
        <w:tab/>
        <w:t>Introduction</w:t>
      </w:r>
    </w:p>
    <w:p w14:paraId="2B32656C" w14:textId="77777777" w:rsidR="009F3D2A" w:rsidRDefault="005A6EA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9F3D2A" w14:paraId="2B32656E" w14:textId="77777777">
        <w:tc>
          <w:tcPr>
            <w:tcW w:w="9630" w:type="dxa"/>
            <w:tcBorders>
              <w:top w:val="single" w:sz="4" w:space="0" w:color="auto"/>
              <w:left w:val="single" w:sz="4" w:space="0" w:color="auto"/>
              <w:bottom w:val="single" w:sz="4" w:space="0" w:color="auto"/>
              <w:right w:val="single" w:sz="4" w:space="0" w:color="auto"/>
            </w:tcBorders>
          </w:tcPr>
          <w:p w14:paraId="2B32656D" w14:textId="77777777" w:rsidR="009F3D2A" w:rsidRDefault="005A6EA2">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2B32656F" w14:textId="77777777" w:rsidR="009F3D2A" w:rsidRDefault="005A6EA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FL1</w:t>
      </w:r>
      <w:r>
        <w:rPr>
          <w:rFonts w:ascii="Times New Roman" w:eastAsia="Batang" w:hAnsi="Times New Roman" w:cs="Times New Roman"/>
          <w:szCs w:val="20"/>
        </w:rPr>
        <w:t>.</w:t>
      </w:r>
    </w:p>
    <w:p w14:paraId="2B326570" w14:textId="77777777"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2B326571"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2B326572"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2B326573"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B326574"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2B326575" w14:textId="77777777"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B326576"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B326577"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B326578"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r w:rsidRPr="00D46DA7">
        <w:rPr>
          <w:rFonts w:ascii="Times New Roman" w:eastAsia="Times New Roman" w:hAnsi="Times New Roman" w:cs="Times New Roman"/>
          <w:sz w:val="20"/>
          <w:szCs w:val="20"/>
          <w:lang w:val="en-GB"/>
        </w:rPr>
        <w:t xml:space="preserve">CompanyC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CompanyC tries to coordinate with the company who made the other checkout (see, e.g., contact list </w:t>
      </w:r>
      <w:r w:rsidRPr="00A06D68">
        <w:rPr>
          <w:rFonts w:ascii="Times New Roman" w:eastAsia="Times New Roman" w:hAnsi="Times New Roman" w:cs="Times New Roman"/>
          <w:sz w:val="20"/>
          <w:szCs w:val="20"/>
          <w:lang w:val="en-US"/>
        </w:rPr>
        <w:t>below</w:t>
      </w:r>
      <w:r w:rsidRPr="00D46DA7">
        <w:rPr>
          <w:rFonts w:ascii="Times New Roman" w:eastAsia="Times New Roman" w:hAnsi="Times New Roman" w:cs="Times New Roman"/>
          <w:sz w:val="20"/>
          <w:szCs w:val="20"/>
          <w:lang w:val="en-GB"/>
        </w:rPr>
        <w:t>).</w:t>
      </w:r>
    </w:p>
    <w:p w14:paraId="2B326579"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B32657A"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32657B"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2657C" w14:textId="77777777"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2B32657D" w14:textId="77777777"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2B32657E" w14:textId="77777777" w:rsidR="009F3D2A" w:rsidRDefault="005A6EA2">
      <w:pPr>
        <w:spacing w:after="100" w:afterAutospacing="1" w:line="256" w:lineRule="auto"/>
        <w:jc w:val="both"/>
        <w:rPr>
          <w:rFonts w:ascii="Times" w:eastAsia="Batang" w:hAnsi="Times" w:cs="Times New Roman"/>
          <w:b/>
          <w:szCs w:val="24"/>
        </w:rPr>
      </w:pPr>
      <w:r>
        <w:rPr>
          <w:rFonts w:ascii="Times" w:eastAsia="Batang" w:hAnsi="Times" w:cs="Times New Roman"/>
          <w:b/>
          <w:szCs w:val="24"/>
        </w:rPr>
        <w:t>FL1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9F3D2A" w14:paraId="2B326582" w14:textId="77777777">
        <w:tc>
          <w:tcPr>
            <w:tcW w:w="2830" w:type="dxa"/>
            <w:tcBorders>
              <w:top w:val="single" w:sz="4" w:space="0" w:color="auto"/>
              <w:left w:val="single" w:sz="4" w:space="0" w:color="auto"/>
              <w:bottom w:val="single" w:sz="4" w:space="0" w:color="auto"/>
              <w:right w:val="single" w:sz="4" w:space="0" w:color="auto"/>
            </w:tcBorders>
            <w:shd w:val="clear" w:color="auto" w:fill="BFBFBF"/>
          </w:tcPr>
          <w:p w14:paraId="2B32657F"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2B326580"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14:paraId="2B326581"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9F3D2A" w14:paraId="2B326586" w14:textId="77777777">
        <w:tc>
          <w:tcPr>
            <w:tcW w:w="2830" w:type="dxa"/>
            <w:tcBorders>
              <w:top w:val="single" w:sz="4" w:space="0" w:color="auto"/>
              <w:left w:val="single" w:sz="4" w:space="0" w:color="auto"/>
              <w:bottom w:val="single" w:sz="4" w:space="0" w:color="auto"/>
              <w:right w:val="single" w:sz="4" w:space="0" w:color="auto"/>
            </w:tcBorders>
          </w:tcPr>
          <w:p w14:paraId="2B326583"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B326584"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B326585"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9F3D2A" w14:paraId="2B32658A" w14:textId="77777777">
        <w:tc>
          <w:tcPr>
            <w:tcW w:w="2830" w:type="dxa"/>
            <w:tcBorders>
              <w:top w:val="single" w:sz="4" w:space="0" w:color="auto"/>
              <w:left w:val="single" w:sz="4" w:space="0" w:color="auto"/>
              <w:bottom w:val="single" w:sz="4" w:space="0" w:color="auto"/>
              <w:right w:val="single" w:sz="4" w:space="0" w:color="auto"/>
            </w:tcBorders>
          </w:tcPr>
          <w:p w14:paraId="2B326587"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2410" w:type="dxa"/>
            <w:tcBorders>
              <w:top w:val="single" w:sz="4" w:space="0" w:color="auto"/>
              <w:left w:val="single" w:sz="4" w:space="0" w:color="auto"/>
              <w:bottom w:val="single" w:sz="4" w:space="0" w:color="auto"/>
              <w:right w:val="single" w:sz="4" w:space="0" w:color="auto"/>
            </w:tcBorders>
          </w:tcPr>
          <w:p w14:paraId="2B326588"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B326589"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9F3D2A" w14:paraId="2B32658E" w14:textId="77777777">
        <w:tc>
          <w:tcPr>
            <w:tcW w:w="2830" w:type="dxa"/>
            <w:tcBorders>
              <w:top w:val="single" w:sz="4" w:space="0" w:color="auto"/>
              <w:left w:val="single" w:sz="4" w:space="0" w:color="auto"/>
              <w:bottom w:val="single" w:sz="4" w:space="0" w:color="auto"/>
              <w:right w:val="single" w:sz="4" w:space="0" w:color="auto"/>
            </w:tcBorders>
          </w:tcPr>
          <w:p w14:paraId="2B32658B"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lastRenderedPageBreak/>
              <w:t>MediaTek</w:t>
            </w:r>
          </w:p>
        </w:tc>
        <w:tc>
          <w:tcPr>
            <w:tcW w:w="2410" w:type="dxa"/>
            <w:tcBorders>
              <w:top w:val="single" w:sz="4" w:space="0" w:color="auto"/>
              <w:left w:val="single" w:sz="4" w:space="0" w:color="auto"/>
              <w:bottom w:val="single" w:sz="4" w:space="0" w:color="auto"/>
              <w:right w:val="single" w:sz="4" w:space="0" w:color="auto"/>
            </w:tcBorders>
          </w:tcPr>
          <w:p w14:paraId="2B32658C"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394" w:type="dxa"/>
            <w:tcBorders>
              <w:top w:val="single" w:sz="4" w:space="0" w:color="auto"/>
              <w:left w:val="single" w:sz="4" w:space="0" w:color="auto"/>
              <w:bottom w:val="single" w:sz="4" w:space="0" w:color="auto"/>
              <w:right w:val="single" w:sz="4" w:space="0" w:color="auto"/>
            </w:tcBorders>
          </w:tcPr>
          <w:p w14:paraId="2B32658D" w14:textId="77777777" w:rsidR="009F3D2A" w:rsidRDefault="000158D6" w:rsidP="0059722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9F3D2A" w14:paraId="2B326592" w14:textId="77777777">
        <w:tc>
          <w:tcPr>
            <w:tcW w:w="2830" w:type="dxa"/>
            <w:tcBorders>
              <w:top w:val="single" w:sz="4" w:space="0" w:color="auto"/>
              <w:left w:val="single" w:sz="4" w:space="0" w:color="auto"/>
              <w:bottom w:val="single" w:sz="4" w:space="0" w:color="auto"/>
              <w:right w:val="single" w:sz="4" w:space="0" w:color="auto"/>
            </w:tcBorders>
          </w:tcPr>
          <w:p w14:paraId="2B32658F" w14:textId="2E277D56"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2410" w:type="dxa"/>
            <w:tcBorders>
              <w:top w:val="single" w:sz="4" w:space="0" w:color="auto"/>
              <w:left w:val="single" w:sz="4" w:space="0" w:color="auto"/>
              <w:bottom w:val="single" w:sz="4" w:space="0" w:color="auto"/>
              <w:right w:val="single" w:sz="4" w:space="0" w:color="auto"/>
            </w:tcBorders>
          </w:tcPr>
          <w:p w14:paraId="2B326590" w14:textId="38F45A83"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2B326591" w14:textId="501D7F1F"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A06D68" w14:paraId="2B326596" w14:textId="77777777">
        <w:tc>
          <w:tcPr>
            <w:tcW w:w="2830" w:type="dxa"/>
            <w:tcBorders>
              <w:top w:val="single" w:sz="4" w:space="0" w:color="auto"/>
              <w:left w:val="single" w:sz="4" w:space="0" w:color="auto"/>
              <w:bottom w:val="single" w:sz="4" w:space="0" w:color="auto"/>
              <w:right w:val="single" w:sz="4" w:space="0" w:color="auto"/>
            </w:tcBorders>
          </w:tcPr>
          <w:p w14:paraId="2B326593" w14:textId="60D047E4"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B326594" w14:textId="3162D5E3"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B326595" w14:textId="37B43A0F"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sandeep.narayanan.kadan.veedu@ericsson.com</w:t>
            </w:r>
          </w:p>
        </w:tc>
      </w:tr>
      <w:tr w:rsidR="007D59C8" w14:paraId="2B32659A" w14:textId="77777777">
        <w:tc>
          <w:tcPr>
            <w:tcW w:w="2830" w:type="dxa"/>
            <w:tcBorders>
              <w:top w:val="single" w:sz="4" w:space="0" w:color="auto"/>
              <w:left w:val="single" w:sz="4" w:space="0" w:color="auto"/>
              <w:bottom w:val="single" w:sz="4" w:space="0" w:color="auto"/>
              <w:right w:val="single" w:sz="4" w:space="0" w:color="auto"/>
            </w:tcBorders>
          </w:tcPr>
          <w:p w14:paraId="2B326597" w14:textId="24C1529B"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2B326598" w14:textId="278AD036"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2B326599" w14:textId="13628189"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vipul.desai@futurewei.com</w:t>
            </w:r>
          </w:p>
        </w:tc>
      </w:tr>
      <w:tr w:rsidR="009F3D2A" w14:paraId="2B32659E" w14:textId="77777777">
        <w:tc>
          <w:tcPr>
            <w:tcW w:w="2830" w:type="dxa"/>
            <w:tcBorders>
              <w:top w:val="single" w:sz="4" w:space="0" w:color="auto"/>
              <w:left w:val="single" w:sz="4" w:space="0" w:color="auto"/>
              <w:bottom w:val="single" w:sz="4" w:space="0" w:color="auto"/>
              <w:right w:val="single" w:sz="4" w:space="0" w:color="auto"/>
            </w:tcBorders>
          </w:tcPr>
          <w:p w14:paraId="2B32659B" w14:textId="09E5D17D"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2410" w:type="dxa"/>
            <w:tcBorders>
              <w:top w:val="single" w:sz="4" w:space="0" w:color="auto"/>
              <w:left w:val="single" w:sz="4" w:space="0" w:color="auto"/>
              <w:bottom w:val="single" w:sz="4" w:space="0" w:color="auto"/>
              <w:right w:val="single" w:sz="4" w:space="0" w:color="auto"/>
            </w:tcBorders>
          </w:tcPr>
          <w:p w14:paraId="2B32659C" w14:textId="31530FD2"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394" w:type="dxa"/>
            <w:tcBorders>
              <w:top w:val="single" w:sz="4" w:space="0" w:color="auto"/>
              <w:left w:val="single" w:sz="4" w:space="0" w:color="auto"/>
              <w:bottom w:val="single" w:sz="4" w:space="0" w:color="auto"/>
              <w:right w:val="single" w:sz="4" w:space="0" w:color="auto"/>
            </w:tcBorders>
          </w:tcPr>
          <w:p w14:paraId="2B32659D" w14:textId="5B71665A"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9F3D2A" w14:paraId="2B3265A2" w14:textId="77777777">
        <w:tc>
          <w:tcPr>
            <w:tcW w:w="2830" w:type="dxa"/>
            <w:tcBorders>
              <w:top w:val="single" w:sz="4" w:space="0" w:color="auto"/>
              <w:left w:val="single" w:sz="4" w:space="0" w:color="auto"/>
              <w:bottom w:val="single" w:sz="4" w:space="0" w:color="auto"/>
              <w:right w:val="single" w:sz="4" w:space="0" w:color="auto"/>
            </w:tcBorders>
          </w:tcPr>
          <w:p w14:paraId="2B32659F"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0"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1" w14:textId="77777777" w:rsidR="009F3D2A" w:rsidRDefault="009F3D2A">
            <w:pPr>
              <w:spacing w:after="0"/>
              <w:rPr>
                <w:rFonts w:ascii="Times New Roman" w:eastAsia="Batang" w:hAnsi="Times New Roman" w:cs="Times New Roman"/>
                <w:szCs w:val="20"/>
              </w:rPr>
            </w:pPr>
          </w:p>
        </w:tc>
      </w:tr>
      <w:tr w:rsidR="009F3D2A" w14:paraId="2B3265A6" w14:textId="77777777">
        <w:tc>
          <w:tcPr>
            <w:tcW w:w="2830" w:type="dxa"/>
            <w:tcBorders>
              <w:top w:val="single" w:sz="4" w:space="0" w:color="auto"/>
              <w:left w:val="single" w:sz="4" w:space="0" w:color="auto"/>
              <w:bottom w:val="single" w:sz="4" w:space="0" w:color="auto"/>
              <w:right w:val="single" w:sz="4" w:space="0" w:color="auto"/>
            </w:tcBorders>
          </w:tcPr>
          <w:p w14:paraId="2B3265A3"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4"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5" w14:textId="77777777" w:rsidR="009F3D2A" w:rsidRDefault="009F3D2A">
            <w:pPr>
              <w:spacing w:after="0"/>
              <w:rPr>
                <w:rFonts w:ascii="Times New Roman" w:eastAsia="Batang" w:hAnsi="Times New Roman" w:cs="Times New Roman"/>
                <w:szCs w:val="20"/>
              </w:rPr>
            </w:pPr>
          </w:p>
        </w:tc>
      </w:tr>
      <w:tr w:rsidR="009F3D2A" w14:paraId="2B3265AA" w14:textId="77777777">
        <w:tc>
          <w:tcPr>
            <w:tcW w:w="2830" w:type="dxa"/>
            <w:tcBorders>
              <w:top w:val="single" w:sz="4" w:space="0" w:color="auto"/>
              <w:left w:val="single" w:sz="4" w:space="0" w:color="auto"/>
              <w:bottom w:val="single" w:sz="4" w:space="0" w:color="auto"/>
              <w:right w:val="single" w:sz="4" w:space="0" w:color="auto"/>
            </w:tcBorders>
          </w:tcPr>
          <w:p w14:paraId="2B3265A7"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8"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9" w14:textId="77777777" w:rsidR="009F3D2A" w:rsidRDefault="009F3D2A">
            <w:pPr>
              <w:spacing w:after="0"/>
              <w:rPr>
                <w:rFonts w:ascii="Times New Roman" w:eastAsia="Batang" w:hAnsi="Times New Roman" w:cs="Times New Roman"/>
                <w:szCs w:val="20"/>
              </w:rPr>
            </w:pPr>
          </w:p>
        </w:tc>
      </w:tr>
      <w:tr w:rsidR="009F3D2A" w14:paraId="2B3265AE" w14:textId="77777777">
        <w:tc>
          <w:tcPr>
            <w:tcW w:w="2830" w:type="dxa"/>
            <w:tcBorders>
              <w:top w:val="single" w:sz="4" w:space="0" w:color="auto"/>
              <w:left w:val="single" w:sz="4" w:space="0" w:color="auto"/>
              <w:bottom w:val="single" w:sz="4" w:space="0" w:color="auto"/>
              <w:right w:val="single" w:sz="4" w:space="0" w:color="auto"/>
            </w:tcBorders>
          </w:tcPr>
          <w:p w14:paraId="2B3265AB"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C"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D" w14:textId="77777777" w:rsidR="009F3D2A" w:rsidRDefault="009F3D2A">
            <w:pPr>
              <w:spacing w:after="0"/>
              <w:rPr>
                <w:rFonts w:ascii="Times New Roman" w:eastAsia="Batang" w:hAnsi="Times New Roman" w:cs="Times New Roman"/>
                <w:szCs w:val="20"/>
              </w:rPr>
            </w:pPr>
          </w:p>
        </w:tc>
      </w:tr>
    </w:tbl>
    <w:p w14:paraId="2B3265AF" w14:textId="77777777" w:rsidR="009F3D2A" w:rsidRDefault="009F3D2A">
      <w:pPr>
        <w:pStyle w:val="BodyText"/>
        <w:rPr>
          <w:rFonts w:cs="Arial"/>
        </w:rPr>
      </w:pPr>
    </w:p>
    <w:p w14:paraId="2B3265B0" w14:textId="77777777" w:rsidR="009F3D2A" w:rsidRDefault="005A6EA2">
      <w:pPr>
        <w:pStyle w:val="Heading1"/>
      </w:pPr>
      <w:r>
        <w:t>2</w:t>
      </w:r>
      <w:r>
        <w:tab/>
        <w:t>Feedback on RAN2 agreements</w:t>
      </w:r>
    </w:p>
    <w:p w14:paraId="2B3265B1"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2B3265B2"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14:paraId="2B3265B5" w14:textId="77777777">
        <w:tc>
          <w:tcPr>
            <w:tcW w:w="9776" w:type="dxa"/>
          </w:tcPr>
          <w:p w14:paraId="2B3265B3"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2B3265B4"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14:paraId="2B3265B6" w14:textId="77777777"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2B3265B7"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14:paraId="2B3265C6" w14:textId="77777777">
        <w:tc>
          <w:tcPr>
            <w:tcW w:w="9776" w:type="dxa"/>
          </w:tcPr>
          <w:p w14:paraId="2B3265B8"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14:paraId="2B3265B9"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14:paraId="2B3265BA"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14:paraId="2B3265BB"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14:paraId="2B3265BC"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14:paraId="2B3265BD"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14:paraId="2B3265BE" w14:textId="77777777" w:rsidR="009F3D2A" w:rsidRDefault="009F3D2A">
            <w:pPr>
              <w:spacing w:after="0" w:line="252" w:lineRule="auto"/>
              <w:contextualSpacing/>
              <w:rPr>
                <w:rFonts w:ascii="Segoe UI" w:eastAsia="Times New Roman" w:hAnsi="Segoe UI" w:cs="Segoe UI"/>
                <w:szCs w:val="20"/>
                <w:lang w:eastAsia="en-GB"/>
              </w:rPr>
            </w:pPr>
          </w:p>
          <w:p w14:paraId="2B3265BF"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B3265C0"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14:paraId="2B3265C1"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14:paraId="2B3265C2"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14:paraId="2B3265C3"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14:paraId="2B3265C4"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14:paraId="2B3265C5" w14:textId="77777777"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t>maxNumberMIMO-LayersPDSCH in the existing UE capability framework;</w:t>
            </w:r>
          </w:p>
        </w:tc>
      </w:tr>
    </w:tbl>
    <w:p w14:paraId="2B3265C7" w14:textId="77777777" w:rsidR="009F3D2A" w:rsidRDefault="009F3D2A">
      <w:pPr>
        <w:pStyle w:val="BodyText"/>
        <w:rPr>
          <w:rFonts w:ascii="Times New Roman" w:hAnsi="Times New Roman" w:cs="Times New Roman"/>
          <w:szCs w:val="20"/>
        </w:rPr>
      </w:pPr>
    </w:p>
    <w:p w14:paraId="2B3265C8"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5CC" w14:textId="77777777">
        <w:tc>
          <w:tcPr>
            <w:tcW w:w="1479" w:type="dxa"/>
            <w:shd w:val="clear" w:color="auto" w:fill="D9D9D9"/>
          </w:tcPr>
          <w:p w14:paraId="2B3265C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5C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5CB"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D0" w14:textId="77777777">
        <w:tc>
          <w:tcPr>
            <w:tcW w:w="1479" w:type="dxa"/>
          </w:tcPr>
          <w:p w14:paraId="2B3265C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372" w:type="dxa"/>
          </w:tcPr>
          <w:p w14:paraId="2B3265CE"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5CF"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RAN1 perspective, measurement related capabilities are applicable for RedCap UE except those affected by CA/DC, e.g., FG 1-11.</w:t>
            </w:r>
          </w:p>
        </w:tc>
      </w:tr>
      <w:tr w:rsidR="007D59C8" w14:paraId="2B3265D4" w14:textId="77777777">
        <w:tc>
          <w:tcPr>
            <w:tcW w:w="1479" w:type="dxa"/>
          </w:tcPr>
          <w:p w14:paraId="2B3265D1" w14:textId="2142F460" w:rsidR="007D59C8" w:rsidRPr="007D59C8" w:rsidRDefault="007D59C8" w:rsidP="007D59C8">
            <w:pPr>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FUTUREWEI</w:t>
            </w:r>
          </w:p>
        </w:tc>
        <w:tc>
          <w:tcPr>
            <w:tcW w:w="1372" w:type="dxa"/>
          </w:tcPr>
          <w:p w14:paraId="2B3265D2" w14:textId="20A5BD5A" w:rsidR="007D59C8" w:rsidRPr="007D59C8" w:rsidRDefault="007D59C8" w:rsidP="007D59C8">
            <w:pPr>
              <w:tabs>
                <w:tab w:val="left" w:pos="551"/>
              </w:tabs>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N</w:t>
            </w:r>
          </w:p>
        </w:tc>
        <w:tc>
          <w:tcPr>
            <w:tcW w:w="6780" w:type="dxa"/>
          </w:tcPr>
          <w:p w14:paraId="2B3265D3" w14:textId="77777777" w:rsidR="007D59C8" w:rsidRPr="007D59C8" w:rsidRDefault="007D59C8" w:rsidP="007D59C8">
            <w:pPr>
              <w:spacing w:after="180"/>
              <w:rPr>
                <w:rFonts w:ascii="Times New Roman" w:eastAsia="SimSun" w:hAnsi="Times New Roman" w:cs="Times New Roman"/>
                <w:szCs w:val="20"/>
                <w:lang w:eastAsia="zh-CN"/>
              </w:rPr>
            </w:pPr>
          </w:p>
        </w:tc>
      </w:tr>
      <w:tr w:rsidR="008F1C49" w14:paraId="0F2FDF96" w14:textId="77777777">
        <w:tc>
          <w:tcPr>
            <w:tcW w:w="1479" w:type="dxa"/>
          </w:tcPr>
          <w:p w14:paraId="6E293AA3" w14:textId="42E9C523" w:rsidR="008F1C49" w:rsidRPr="007D59C8" w:rsidRDefault="008F1C49" w:rsidP="007D59C8">
            <w:pPr>
              <w:spacing w:after="180"/>
              <w:rPr>
                <w:rFonts w:ascii="Times New Roman" w:eastAsia="SimSun" w:hAnsi="Times New Roman" w:cs="Times New Roman"/>
                <w:szCs w:val="20"/>
                <w:lang w:eastAsia="zh-CN"/>
              </w:rPr>
            </w:pPr>
          </w:p>
        </w:tc>
        <w:tc>
          <w:tcPr>
            <w:tcW w:w="1372" w:type="dxa"/>
          </w:tcPr>
          <w:p w14:paraId="3EBB60B2" w14:textId="1CBABCCD" w:rsidR="008F1C49" w:rsidRPr="007D59C8" w:rsidRDefault="008F1C49" w:rsidP="007D59C8">
            <w:pPr>
              <w:tabs>
                <w:tab w:val="left" w:pos="551"/>
              </w:tabs>
              <w:spacing w:after="180"/>
              <w:rPr>
                <w:rFonts w:ascii="Times New Roman" w:eastAsia="SimSun" w:hAnsi="Times New Roman" w:cs="Times New Roman"/>
                <w:szCs w:val="20"/>
                <w:lang w:eastAsia="zh-CN"/>
              </w:rPr>
            </w:pPr>
          </w:p>
        </w:tc>
        <w:tc>
          <w:tcPr>
            <w:tcW w:w="6780" w:type="dxa"/>
          </w:tcPr>
          <w:p w14:paraId="357972A4" w14:textId="77777777" w:rsidR="008F1C49" w:rsidRPr="007D59C8" w:rsidRDefault="008F1C49" w:rsidP="007D59C8">
            <w:pPr>
              <w:spacing w:after="180"/>
              <w:rPr>
                <w:rFonts w:ascii="Times New Roman" w:eastAsia="SimSun" w:hAnsi="Times New Roman" w:cs="Times New Roman"/>
                <w:szCs w:val="20"/>
                <w:lang w:eastAsia="zh-CN"/>
              </w:rPr>
            </w:pPr>
          </w:p>
        </w:tc>
      </w:tr>
    </w:tbl>
    <w:p w14:paraId="2B3265D5" w14:textId="77777777" w:rsidR="009F3D2A" w:rsidRDefault="009F3D2A">
      <w:pPr>
        <w:pStyle w:val="BodyText"/>
        <w:rPr>
          <w:rFonts w:ascii="Times New Roman" w:hAnsi="Times New Roman" w:cs="Times New Roman"/>
          <w:szCs w:val="20"/>
        </w:rPr>
      </w:pPr>
      <w:bookmarkStart w:id="0" w:name="_In-sequence_SDU_delivery"/>
      <w:bookmarkEnd w:id="0"/>
    </w:p>
    <w:p w14:paraId="2B3265D6" w14:textId="77777777" w:rsidR="009F3D2A" w:rsidRDefault="005A6EA2">
      <w:pPr>
        <w:pStyle w:val="Heading1"/>
      </w:pPr>
      <w:r>
        <w:t>3</w:t>
      </w:r>
      <w:r>
        <w:tab/>
        <w:t>Rel-15/16 features not applicable for RedCap UEs</w:t>
      </w:r>
    </w:p>
    <w:p w14:paraId="2B3265D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2B3265D8"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B3265D9"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2B3265DA"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B3265DB"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2B3265DC"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B3265DD"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Furthermore, RAN#93-e has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_Ref83123728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[4]</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2B3265DE"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2B3265DF"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RedCap UEs also supporting V2X/PC5 on n47</w:t>
      </w:r>
    </w:p>
    <w:p w14:paraId="2B3265E0"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RedCap UEs operating in unlicensed bands</w:t>
      </w:r>
    </w:p>
    <w:p w14:paraId="2B3265E1"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 xml:space="preserve">RedCap UEs supporting SUL </w:t>
      </w:r>
    </w:p>
    <w:p w14:paraId="2B3265E2"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2B3265E3"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B3265E4"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If any spec change/addition is found necessary in order to enable one of the options above then it will not happen in Rel-17.</w:t>
      </w:r>
    </w:p>
    <w:p w14:paraId="2B3265E5"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are not applicable for RedCap UEs:</w:t>
      </w:r>
    </w:p>
    <w:p w14:paraId="2B3265E6"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2B3265E7"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2B3265E8"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DAPS and CAPC related capabilities</w:t>
      </w:r>
    </w:p>
    <w:p w14:paraId="2B3265E9"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2B3265EA"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2B3265EB" w14:textId="77777777" w:rsidR="009F3D2A" w:rsidRDefault="005A6EA2">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[6]</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B3265EC"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2B3265ED"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2B3265EE"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2B3265EF"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2B3265F0"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2B3265F1" w14:textId="77777777" w:rsidR="009F3D2A" w:rsidRDefault="005A6EA2">
      <w:pPr>
        <w:pStyle w:val="BodyText"/>
        <w:rPr>
          <w:rFonts w:ascii="Times New Roman" w:hAnsi="Times New Roman" w:cs="Times New Roman"/>
          <w:color w:val="FF0000"/>
          <w:szCs w:val="20"/>
        </w:rPr>
      </w:pPr>
      <w:r>
        <w:rPr>
          <w:rFonts w:ascii="Times New Roman" w:hAnsi="Times New Roman" w:cs="Times New Roman"/>
          <w:color w:val="FF0000"/>
          <w:szCs w:val="20"/>
        </w:rPr>
        <w:t xml:space="preserve">In the next rounds of this email discussion, the FL intention is to discuss what FGs from the Rel-16 UE feature list </w:t>
      </w:r>
      <w:r>
        <w:rPr>
          <w:rFonts w:ascii="Times New Roman" w:hAnsi="Times New Roman" w:cs="Times New Roman"/>
          <w:color w:val="FF0000"/>
          <w:szCs w:val="20"/>
        </w:rPr>
        <w:fldChar w:fldCharType="begin"/>
      </w:r>
      <w:r>
        <w:rPr>
          <w:rFonts w:ascii="Times New Roman" w:hAnsi="Times New Roman" w:cs="Times New Roman"/>
          <w:color w:val="FF0000"/>
          <w:szCs w:val="20"/>
        </w:rPr>
        <w:instrText xml:space="preserve"> REF _Ref84801260 \r \h </w:instrText>
      </w:r>
      <w:r>
        <w:rPr>
          <w:rFonts w:ascii="Times New Roman" w:hAnsi="Times New Roman" w:cs="Times New Roman"/>
          <w:color w:val="FF0000"/>
          <w:szCs w:val="20"/>
        </w:rPr>
      </w:r>
      <w:r>
        <w:rPr>
          <w:rFonts w:ascii="Times New Roman" w:hAnsi="Times New Roman" w:cs="Times New Roman"/>
          <w:color w:val="FF0000"/>
          <w:szCs w:val="20"/>
        </w:rPr>
        <w:fldChar w:fldCharType="separate"/>
      </w:r>
      <w:r>
        <w:rPr>
          <w:rFonts w:ascii="Times New Roman" w:hAnsi="Times New Roman" w:cs="Times New Roman"/>
          <w:color w:val="FF0000"/>
          <w:szCs w:val="20"/>
        </w:rPr>
        <w:t>[5]</w:t>
      </w:r>
      <w:r>
        <w:rPr>
          <w:rFonts w:ascii="Times New Roman" w:hAnsi="Times New Roman" w:cs="Times New Roman"/>
          <w:color w:val="FF0000"/>
          <w:szCs w:val="20"/>
        </w:rPr>
        <w:fldChar w:fldCharType="end"/>
      </w:r>
      <w:r>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14:paraId="2B3265F2" w14:textId="77777777" w:rsidR="009F3D2A" w:rsidRDefault="005A6EA2">
      <w:pPr>
        <w:spacing w:after="180" w:line="252" w:lineRule="auto"/>
        <w:contextualSpacing/>
        <w:jc w:val="both"/>
        <w:rPr>
          <w:rFonts w:ascii="Times New Roman" w:hAnsi="Times New Roman" w:cs="Times New Roman"/>
          <w:color w:val="FF0000"/>
          <w:szCs w:val="20"/>
        </w:rPr>
      </w:pPr>
      <w:r>
        <w:rPr>
          <w:rFonts w:ascii="Times New Roman" w:hAnsi="Times New Roman" w:cs="Times New Roman"/>
          <w:color w:val="FF0000"/>
          <w:szCs w:val="20"/>
        </w:rPr>
        <w:t xml:space="preserve">However, in the following FL questions, the intention is to capture views on whether there (from RAN1 perspective) should be </w:t>
      </w:r>
      <w:r>
        <w:rPr>
          <w:rFonts w:ascii="Times New Roman" w:hAnsi="Times New Roman" w:cs="Times New Roman"/>
          <w:color w:val="FF0000"/>
          <w:szCs w:val="20"/>
          <w:u w:val="single"/>
        </w:rPr>
        <w:t xml:space="preserve">any other differences between the RedCap and non-RedCap UE capability requirements than what follows from </w:t>
      </w:r>
      <w:r>
        <w:rPr>
          <w:rFonts w:ascii="Times New Roman" w:hAnsi="Times New Roman" w:cs="Times New Roman"/>
          <w:color w:val="FF0000"/>
          <w:szCs w:val="20"/>
          <w:u w:val="single"/>
        </w:rPr>
        <w:lastRenderedPageBreak/>
        <w:t>the already agreed differences listed above</w:t>
      </w:r>
      <w:r>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2B3265F3" w14:textId="77777777" w:rsidR="009F3D2A" w:rsidRDefault="005A6EA2">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not be applicable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0356" w:type="dxa"/>
        <w:tblLook w:val="04A0" w:firstRow="1" w:lastRow="0" w:firstColumn="1" w:lastColumn="0" w:noHBand="0" w:noVBand="1"/>
      </w:tblPr>
      <w:tblGrid>
        <w:gridCol w:w="1372"/>
        <w:gridCol w:w="561"/>
        <w:gridCol w:w="8745"/>
      </w:tblGrid>
      <w:tr w:rsidR="009F3D2A" w14:paraId="2B3265F7" w14:textId="77777777" w:rsidTr="00D46DA7">
        <w:tc>
          <w:tcPr>
            <w:tcW w:w="1050" w:type="dxa"/>
            <w:shd w:val="clear" w:color="auto" w:fill="D9D9D9"/>
          </w:tcPr>
          <w:p w14:paraId="2B3265F4"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2B3265F5"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8745" w:type="dxa"/>
            <w:shd w:val="clear" w:color="auto" w:fill="D9D9D9"/>
          </w:tcPr>
          <w:p w14:paraId="2B3265F6"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FD" w14:textId="77777777" w:rsidTr="00D46DA7">
        <w:tc>
          <w:tcPr>
            <w:tcW w:w="1050" w:type="dxa"/>
          </w:tcPr>
          <w:p w14:paraId="2B3265F8"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561" w:type="dxa"/>
          </w:tcPr>
          <w:p w14:paraId="2B3265F9" w14:textId="77777777" w:rsidR="009F3D2A" w:rsidRDefault="005A6EA2">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w:t>
            </w:r>
          </w:p>
        </w:tc>
        <w:tc>
          <w:tcPr>
            <w:tcW w:w="8745" w:type="dxa"/>
          </w:tcPr>
          <w:p w14:paraId="2B3265FA"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14:paraId="2B3265FB" w14:textId="77777777" w:rsidR="009F3D2A" w:rsidRDefault="005A6EA2">
            <w:pPr>
              <w:spacing w:after="180"/>
              <w:rPr>
                <w:rFonts w:ascii="Times New Roman" w:eastAsia="Batang" w:hAnsi="Times New Roman" w:cs="Times New Roman"/>
                <w:szCs w:val="20"/>
                <w:lang w:eastAsia="ko-KR"/>
              </w:rPr>
            </w:pPr>
            <w:r>
              <w:rPr>
                <w:noProof/>
                <w:lang w:val="en-GB" w:eastAsia="zh-CN"/>
              </w:rPr>
              <w:drawing>
                <wp:inline distT="0" distB="0" distL="0" distR="0" wp14:anchorId="2B32668E" wp14:editId="2B32668F">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2B3265FC" w14:textId="77777777" w:rsidR="009F3D2A" w:rsidRDefault="005A6EA2">
            <w:pPr>
              <w:spacing w:after="180"/>
              <w:rPr>
                <w:rFonts w:ascii="Times New Roman" w:eastAsia="Batang" w:hAnsi="Times New Roman" w:cs="Times New Roman"/>
                <w:szCs w:val="20"/>
                <w:lang w:eastAsia="ko-KR"/>
              </w:rPr>
            </w:pPr>
            <w:r>
              <w:rPr>
                <w:noProof/>
                <w:lang w:val="en-GB" w:eastAsia="zh-CN"/>
              </w:rPr>
              <w:drawing>
                <wp:inline distT="0" distB="0" distL="0" distR="0" wp14:anchorId="2B326690" wp14:editId="2B326691">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14:paraId="2B326601" w14:textId="77777777" w:rsidTr="00D46DA7">
        <w:tc>
          <w:tcPr>
            <w:tcW w:w="1050" w:type="dxa"/>
          </w:tcPr>
          <w:p w14:paraId="2B3265FE"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561" w:type="dxa"/>
          </w:tcPr>
          <w:p w14:paraId="2B3265FF"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8745" w:type="dxa"/>
          </w:tcPr>
          <w:p w14:paraId="2B326600"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FG 4-12 is applicable to UE supporting more than 4 layers, which exceds the RedCap UE capability.</w:t>
            </w:r>
          </w:p>
        </w:tc>
      </w:tr>
      <w:tr w:rsidR="00D46DA7" w14:paraId="2B326605" w14:textId="77777777" w:rsidTr="00D46DA7">
        <w:tc>
          <w:tcPr>
            <w:tcW w:w="1050" w:type="dxa"/>
          </w:tcPr>
          <w:p w14:paraId="2B326602"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14:paraId="2B326603" w14:textId="77777777"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45" w:type="dxa"/>
          </w:tcPr>
          <w:p w14:paraId="2B326604"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FG2-16b is </w:t>
            </w:r>
            <w:r>
              <w:rPr>
                <w:rFonts w:ascii="Times New Roman" w:eastAsia="DengXian" w:hAnsi="Times New Roman" w:cs="Times New Roman"/>
                <w:szCs w:val="20"/>
                <w:lang w:eastAsia="zh-CN"/>
              </w:rPr>
              <w:t>not applicable to RedCap UEs.</w:t>
            </w:r>
          </w:p>
        </w:tc>
      </w:tr>
      <w:tr w:rsidR="006C6952" w14:paraId="7A8CC0B2" w14:textId="77777777" w:rsidTr="00D46DA7">
        <w:tc>
          <w:tcPr>
            <w:tcW w:w="1050" w:type="dxa"/>
          </w:tcPr>
          <w:p w14:paraId="35890F9E" w14:textId="6A0F84F1" w:rsidR="006C6952" w:rsidRDefault="006C6952"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14:paraId="6628E927" w14:textId="706BF2E1" w:rsidR="006C6952" w:rsidRDefault="006C6952"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45" w:type="dxa"/>
          </w:tcPr>
          <w:p w14:paraId="4A856551" w14:textId="3DF664C2" w:rsidR="006C6952" w:rsidRDefault="006C6952"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Aside from those related to CA/DC, </w:t>
            </w:r>
            <w:r w:rsidR="00123B2C">
              <w:rPr>
                <w:rFonts w:ascii="Times New Roman" w:eastAsia="Batang" w:hAnsi="Times New Roman" w:cs="Times New Roman"/>
                <w:szCs w:val="20"/>
                <w:lang w:eastAsia="ko-KR"/>
              </w:rPr>
              <w:t xml:space="preserve">FG 2-16b and </w:t>
            </w:r>
            <w:r w:rsidR="005C571D">
              <w:rPr>
                <w:rFonts w:ascii="Times New Roman" w:eastAsia="Batang" w:hAnsi="Times New Roman" w:cs="Times New Roman"/>
                <w:szCs w:val="20"/>
                <w:lang w:eastAsia="ko-KR"/>
              </w:rPr>
              <w:t>FG #4-12 should not be applicable for RedCap UEs.</w:t>
            </w:r>
          </w:p>
        </w:tc>
      </w:tr>
      <w:tr w:rsidR="00FB5243" w14:paraId="5E024B40" w14:textId="77777777" w:rsidTr="00D46DA7">
        <w:tc>
          <w:tcPr>
            <w:tcW w:w="1050" w:type="dxa"/>
          </w:tcPr>
          <w:p w14:paraId="662D3E1B" w14:textId="128291BA" w:rsidR="00FB5243" w:rsidRDefault="00FB5243"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14:paraId="70B48665" w14:textId="77777777" w:rsidR="00FB5243" w:rsidRDefault="00FB5243" w:rsidP="00D46DA7">
            <w:pPr>
              <w:tabs>
                <w:tab w:val="left" w:pos="551"/>
              </w:tabs>
              <w:spacing w:after="180"/>
              <w:rPr>
                <w:rFonts w:ascii="Times New Roman" w:eastAsia="Batang" w:hAnsi="Times New Roman" w:cs="Times New Roman"/>
                <w:szCs w:val="20"/>
                <w:lang w:eastAsia="ko-KR"/>
              </w:rPr>
            </w:pPr>
          </w:p>
        </w:tc>
        <w:tc>
          <w:tcPr>
            <w:tcW w:w="8745" w:type="dxa"/>
          </w:tcPr>
          <w:p w14:paraId="5894C2CE" w14:textId="2437A48E" w:rsidR="00FB5243" w:rsidRDefault="00FB5243"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rsidR="007D59C8" w14:paraId="6F65B5B6" w14:textId="77777777" w:rsidTr="00D46DA7">
        <w:tc>
          <w:tcPr>
            <w:tcW w:w="1050" w:type="dxa"/>
          </w:tcPr>
          <w:p w14:paraId="476B6136" w14:textId="6B163A10" w:rsidR="007D59C8" w:rsidRDefault="007D59C8" w:rsidP="007D59C8">
            <w:pPr>
              <w:spacing w:after="180"/>
              <w:rPr>
                <w:rFonts w:ascii="Times New Roman" w:eastAsia="Batang" w:hAnsi="Times New Roman" w:cs="Times New Roman"/>
                <w:szCs w:val="20"/>
                <w:lang w:eastAsia="ko-KR"/>
              </w:rPr>
            </w:pPr>
            <w:r w:rsidRPr="007D59C8">
              <w:rPr>
                <w:rFonts w:ascii="Times New Roman" w:eastAsia="Batang" w:hAnsi="Times New Roman" w:cs="Times New Roman"/>
                <w:szCs w:val="20"/>
                <w:lang w:eastAsia="ko-KR"/>
              </w:rPr>
              <w:t>FUTUREWEI</w:t>
            </w:r>
          </w:p>
        </w:tc>
        <w:tc>
          <w:tcPr>
            <w:tcW w:w="561" w:type="dxa"/>
          </w:tcPr>
          <w:p w14:paraId="7D7D41B6" w14:textId="4EBE5BC4" w:rsidR="007D59C8" w:rsidRDefault="007D59C8" w:rsidP="007D59C8">
            <w:pPr>
              <w:tabs>
                <w:tab w:val="left" w:pos="551"/>
              </w:tabs>
              <w:spacing w:after="180"/>
              <w:rPr>
                <w:rFonts w:ascii="Times New Roman" w:eastAsia="Batang" w:hAnsi="Times New Roman" w:cs="Times New Roman"/>
                <w:szCs w:val="20"/>
                <w:lang w:eastAsia="ko-KR"/>
              </w:rPr>
            </w:pPr>
            <w:r w:rsidRPr="007D59C8">
              <w:rPr>
                <w:rFonts w:ascii="Times New Roman" w:eastAsia="Batang" w:hAnsi="Times New Roman" w:cs="Times New Roman"/>
                <w:szCs w:val="20"/>
                <w:lang w:eastAsia="ko-KR"/>
              </w:rPr>
              <w:t>Y</w:t>
            </w:r>
          </w:p>
        </w:tc>
        <w:tc>
          <w:tcPr>
            <w:tcW w:w="8745" w:type="dxa"/>
          </w:tcPr>
          <w:p w14:paraId="05C206F8" w14:textId="77777777" w:rsidR="007D59C8" w:rsidRDefault="007D59C8" w:rsidP="007D59C8">
            <w:pPr>
              <w:spacing w:after="120" w:line="240" w:lineRule="auto"/>
              <w:rPr>
                <w:rFonts w:ascii="Times New Roman" w:eastAsia="Batang" w:hAnsi="Times New Roman" w:cs="Times New Roman"/>
                <w:szCs w:val="20"/>
                <w:lang w:eastAsia="ko-KR"/>
              </w:rPr>
            </w:pPr>
            <w:r w:rsidRPr="007D59C8">
              <w:rPr>
                <w:rFonts w:ascii="Times New Roman" w:eastAsia="Batang" w:hAnsi="Times New Roman" w:cs="Times New Roman"/>
                <w:szCs w:val="20"/>
                <w:lang w:eastAsia="ko-KR"/>
              </w:rPr>
              <w:t>For FG4-12, we think it may not be applicable to RedCap UEs.</w:t>
            </w:r>
          </w:p>
          <w:p w14:paraId="494ECEF0" w14:textId="1E04120B" w:rsidR="007D59C8" w:rsidRDefault="007D59C8" w:rsidP="007D59C8">
            <w:pPr>
              <w:spacing w:after="120" w:line="240" w:lineRule="auto"/>
              <w:rPr>
                <w:rFonts w:ascii="Times New Roman" w:eastAsia="Batang" w:hAnsi="Times New Roman" w:cs="Times New Roman"/>
                <w:szCs w:val="20"/>
                <w:lang w:eastAsia="ko-KR"/>
              </w:rPr>
            </w:pPr>
            <w:r w:rsidRPr="00F10A82">
              <w:rPr>
                <w:rFonts w:ascii="Times New Roman" w:eastAsia="Batang" w:hAnsi="Times New Roman" w:cs="Times New Roman"/>
                <w:szCs w:val="20"/>
                <w:lang w:eastAsia="ko-KR"/>
              </w:rPr>
              <w:t>In our understanding, the WID do</w:t>
            </w:r>
            <w:r>
              <w:rPr>
                <w:rFonts w:ascii="Times New Roman" w:eastAsia="Batang" w:hAnsi="Times New Roman" w:cs="Times New Roman"/>
                <w:szCs w:val="20"/>
                <w:lang w:eastAsia="ko-KR"/>
              </w:rPr>
              <w:t>es</w:t>
            </w:r>
            <w:r w:rsidRPr="00F10A82">
              <w:rPr>
                <w:rFonts w:ascii="Times New Roman" w:eastAsia="Batang" w:hAnsi="Times New Roman" w:cs="Times New Roman"/>
                <w:szCs w:val="20"/>
                <w:lang w:eastAsia="ko-KR"/>
              </w:rPr>
              <w:t xml:space="preserve"> not preclude RedCap UEs from supporting more than one uplink antenna port.</w:t>
            </w:r>
          </w:p>
        </w:tc>
      </w:tr>
      <w:tr w:rsidR="00F02B89" w14:paraId="2CD9C39A" w14:textId="77777777" w:rsidTr="00D46DA7">
        <w:tc>
          <w:tcPr>
            <w:tcW w:w="1050" w:type="dxa"/>
          </w:tcPr>
          <w:p w14:paraId="4722C7E9" w14:textId="7D08CF88" w:rsidR="00F02B89" w:rsidRPr="007D59C8" w:rsidRDefault="00F02B89"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Qualcomm</w:t>
            </w:r>
          </w:p>
        </w:tc>
        <w:tc>
          <w:tcPr>
            <w:tcW w:w="561" w:type="dxa"/>
          </w:tcPr>
          <w:p w14:paraId="1C5C02E6" w14:textId="560E90DC" w:rsidR="00F02B89" w:rsidRPr="007D59C8" w:rsidRDefault="00F02B89" w:rsidP="007D59C8">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45" w:type="dxa"/>
          </w:tcPr>
          <w:p w14:paraId="10E7EF73" w14:textId="263FAD48" w:rsidR="001B4DA4" w:rsidRPr="007D59C8" w:rsidRDefault="00F02B89" w:rsidP="007D59C8">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Agree with the comments of Vivo, ZTE and MediaTek.</w:t>
            </w:r>
          </w:p>
        </w:tc>
      </w:tr>
    </w:tbl>
    <w:p w14:paraId="2B326606" w14:textId="77777777" w:rsidR="009F3D2A" w:rsidRDefault="009F3D2A">
      <w:pPr>
        <w:pStyle w:val="BodyText"/>
        <w:rPr>
          <w:rFonts w:ascii="Times New Roman" w:hAnsi="Times New Roman" w:cs="Times New Roman"/>
          <w:szCs w:val="20"/>
        </w:rPr>
      </w:pPr>
    </w:p>
    <w:p w14:paraId="2B326607"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be optional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0334" w:type="dxa"/>
        <w:tblLook w:val="04A0" w:firstRow="1" w:lastRow="0" w:firstColumn="1" w:lastColumn="0" w:noHBand="0" w:noVBand="1"/>
      </w:tblPr>
      <w:tblGrid>
        <w:gridCol w:w="1372"/>
        <w:gridCol w:w="561"/>
        <w:gridCol w:w="8723"/>
      </w:tblGrid>
      <w:tr w:rsidR="009F3D2A" w14:paraId="2B32660B" w14:textId="77777777" w:rsidTr="00D46DA7">
        <w:tc>
          <w:tcPr>
            <w:tcW w:w="1050" w:type="dxa"/>
            <w:shd w:val="clear" w:color="auto" w:fill="D9D9D9"/>
          </w:tcPr>
          <w:p w14:paraId="2B326608"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2B32660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8723" w:type="dxa"/>
            <w:shd w:val="clear" w:color="auto" w:fill="D9D9D9"/>
          </w:tcPr>
          <w:p w14:paraId="2B32660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16" w14:textId="77777777" w:rsidTr="00D46DA7">
        <w:tc>
          <w:tcPr>
            <w:tcW w:w="1050" w:type="dxa"/>
          </w:tcPr>
          <w:p w14:paraId="2B32660C"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561" w:type="dxa"/>
          </w:tcPr>
          <w:p w14:paraId="2B32660D" w14:textId="77777777" w:rsidR="009F3D2A" w:rsidRDefault="005A6EA2">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w:t>
            </w:r>
          </w:p>
        </w:tc>
        <w:tc>
          <w:tcPr>
            <w:tcW w:w="8723" w:type="dxa"/>
          </w:tcPr>
          <w:p w14:paraId="2B32660E"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W</w:t>
            </w:r>
            <w:r>
              <w:rPr>
                <w:rFonts w:ascii="Times New Roman" w:eastAsia="DengXian" w:hAnsi="Times New Roman" w:cs="Times New Roman"/>
                <w:szCs w:val="20"/>
                <w:lang w:eastAsia="zh-CN"/>
              </w:rPr>
              <w:t xml:space="preserve">e have identified following existing FGs (mandatory with capability signaling), which can be made optional for RedCap UEs, with the reasons provided below. </w:t>
            </w:r>
          </w:p>
          <w:p w14:paraId="2B32660F" w14:textId="77777777" w:rsidR="009F3D2A" w:rsidRDefault="005A6EA2">
            <w:pPr>
              <w:adjustRightInd w:val="0"/>
              <w:snapToGrid w:val="0"/>
              <w:spacing w:after="50" w:line="240" w:lineRule="auto"/>
              <w:jc w:val="both"/>
              <w:textAlignment w:val="center"/>
              <w:rPr>
                <w:rFonts w:eastAsiaTheme="minorEastAsia"/>
                <w:szCs w:val="20"/>
                <w:lang w:eastAsia="zh-CN"/>
              </w:rPr>
            </w:pPr>
            <w:r>
              <w:rPr>
                <w:noProof/>
                <w:lang w:val="en-GB" w:eastAsia="zh-CN"/>
              </w:rPr>
              <w:drawing>
                <wp:inline distT="0" distB="0" distL="0" distR="0" wp14:anchorId="2B326692" wp14:editId="2B326693">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Pr>
                <w:rFonts w:eastAsiaTheme="minorEastAsia" w:hint="eastAsia"/>
                <w:szCs w:val="20"/>
                <w:lang w:eastAsia="zh-CN"/>
              </w:rPr>
              <w:t>For</w:t>
            </w:r>
            <w:r>
              <w:rPr>
                <w:rFonts w:eastAsiaTheme="minorEastAsia"/>
                <w:szCs w:val="20"/>
                <w:lang w:eastAsia="zh-CN"/>
              </w:rPr>
              <w:t xml:space="preserve"> RedCap, UE can always perform radio link monitoring procedure based on measurement of SSB if it is agreed in AI 8.6.1.1 that SSB is always available in the RRC configured BWP. If so, the necessity of RedCap UE mandatorily support the CSI-RS based RLM is unclear. </w:t>
            </w:r>
          </w:p>
          <w:p w14:paraId="2B326610" w14:textId="77777777" w:rsidR="009F3D2A" w:rsidRDefault="009F3D2A">
            <w:pPr>
              <w:adjustRightInd w:val="0"/>
              <w:snapToGrid w:val="0"/>
              <w:spacing w:after="50" w:line="240" w:lineRule="auto"/>
              <w:jc w:val="both"/>
              <w:textAlignment w:val="center"/>
              <w:rPr>
                <w:rFonts w:eastAsia="DengXian"/>
                <w:szCs w:val="20"/>
                <w:lang w:eastAsia="zh-CN"/>
              </w:rPr>
            </w:pPr>
          </w:p>
          <w:p w14:paraId="2B326611" w14:textId="77777777" w:rsidR="009F3D2A" w:rsidRDefault="009F3D2A">
            <w:pPr>
              <w:adjustRightInd w:val="0"/>
              <w:snapToGrid w:val="0"/>
              <w:spacing w:after="50" w:line="240" w:lineRule="auto"/>
              <w:jc w:val="both"/>
              <w:textAlignment w:val="center"/>
              <w:rPr>
                <w:rFonts w:eastAsia="DengXian"/>
                <w:szCs w:val="20"/>
                <w:lang w:eastAsia="zh-CN"/>
              </w:rPr>
            </w:pPr>
          </w:p>
          <w:p w14:paraId="2B326612" w14:textId="77777777" w:rsidR="009F3D2A" w:rsidRDefault="005A6EA2">
            <w:pPr>
              <w:adjustRightInd w:val="0"/>
              <w:snapToGrid w:val="0"/>
              <w:spacing w:after="50" w:line="240" w:lineRule="auto"/>
              <w:jc w:val="both"/>
              <w:textAlignment w:val="center"/>
              <w:rPr>
                <w:rFonts w:eastAsia="DengXian"/>
                <w:szCs w:val="20"/>
                <w:lang w:eastAsia="zh-CN"/>
              </w:rPr>
            </w:pPr>
            <w:r>
              <w:rPr>
                <w:noProof/>
                <w:lang w:val="en-GB" w:eastAsia="zh-CN"/>
              </w:rPr>
              <w:drawing>
                <wp:inline distT="0" distB="0" distL="0" distR="0" wp14:anchorId="2B326694" wp14:editId="2B326695">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2B326613" w14:textId="77777777" w:rsidR="009F3D2A" w:rsidRDefault="005A6EA2">
            <w:pPr>
              <w:adjustRightInd w:val="0"/>
              <w:snapToGrid w:val="0"/>
              <w:spacing w:after="50" w:line="240" w:lineRule="auto"/>
              <w:jc w:val="both"/>
              <w:textAlignment w:val="center"/>
              <w:rPr>
                <w:rFonts w:eastAsia="DengXian"/>
                <w:szCs w:val="20"/>
                <w:lang w:eastAsia="zh-CN"/>
              </w:rPr>
            </w:pPr>
            <w:r>
              <w:rPr>
                <w:noProof/>
                <w:lang w:val="en-GB" w:eastAsia="zh-CN"/>
              </w:rPr>
              <w:drawing>
                <wp:inline distT="0" distB="0" distL="0" distR="0" wp14:anchorId="2B326696" wp14:editId="2B32669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2B326614" w14:textId="77777777" w:rsidR="009F3D2A" w:rsidRDefault="005A6EA2">
            <w:pPr>
              <w:adjustRightInd w:val="0"/>
              <w:snapToGrid w:val="0"/>
              <w:spacing w:after="50" w:line="240" w:lineRule="auto"/>
              <w:jc w:val="both"/>
              <w:textAlignment w:val="center"/>
              <w:rPr>
                <w:rFonts w:eastAsiaTheme="minorEastAsia"/>
                <w:szCs w:val="20"/>
                <w:lang w:eastAsia="zh-CN"/>
              </w:rPr>
            </w:pPr>
            <w:r>
              <w:rPr>
                <w:rFonts w:eastAsiaTheme="minorEastAsia"/>
                <w:szCs w:val="20"/>
                <w:lang w:eastAsia="zh-CN"/>
              </w:rPr>
              <w:lastRenderedPageBreak/>
              <w:t>For RedCap, it can be considered that the control and data channel can always use the same TCI state/spatial relation for complexity reduction.</w:t>
            </w:r>
          </w:p>
          <w:p w14:paraId="2B326615" w14:textId="77777777" w:rsidR="009F3D2A" w:rsidRDefault="009F3D2A">
            <w:pPr>
              <w:spacing w:after="180"/>
              <w:rPr>
                <w:rFonts w:ascii="Times New Roman" w:eastAsia="DengXian" w:hAnsi="Times New Roman" w:cs="Times New Roman"/>
                <w:szCs w:val="20"/>
                <w:lang w:eastAsia="zh-CN"/>
              </w:rPr>
            </w:pPr>
          </w:p>
        </w:tc>
      </w:tr>
      <w:tr w:rsidR="009F3D2A" w14:paraId="2B32661A" w14:textId="77777777" w:rsidTr="00D46DA7">
        <w:tc>
          <w:tcPr>
            <w:tcW w:w="1050" w:type="dxa"/>
          </w:tcPr>
          <w:p w14:paraId="2B326617"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561" w:type="dxa"/>
          </w:tcPr>
          <w:p w14:paraId="2B326618" w14:textId="77777777" w:rsidR="009F3D2A" w:rsidRDefault="009F3D2A">
            <w:pPr>
              <w:tabs>
                <w:tab w:val="left" w:pos="551"/>
              </w:tabs>
              <w:spacing w:after="180"/>
              <w:rPr>
                <w:rFonts w:ascii="Times New Roman" w:eastAsia="Batang" w:hAnsi="Times New Roman" w:cs="Times New Roman"/>
                <w:szCs w:val="20"/>
                <w:lang w:eastAsia="ko-KR"/>
              </w:rPr>
            </w:pPr>
          </w:p>
        </w:tc>
        <w:tc>
          <w:tcPr>
            <w:tcW w:w="8723" w:type="dxa"/>
          </w:tcPr>
          <w:p w14:paraId="2B326619"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DL 256QAM is optional for RedCap UE.</w:t>
            </w:r>
          </w:p>
        </w:tc>
      </w:tr>
      <w:tr w:rsidR="00D46DA7" w14:paraId="2B32661E" w14:textId="77777777" w:rsidTr="00D46DA7">
        <w:tc>
          <w:tcPr>
            <w:tcW w:w="1050" w:type="dxa"/>
          </w:tcPr>
          <w:p w14:paraId="2B32661B"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14:paraId="2B32661C" w14:textId="77777777"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23" w:type="dxa"/>
          </w:tcPr>
          <w:p w14:paraId="2B32661D"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 our view, FG 1-7 should be optional for RedCap UEs.</w:t>
            </w:r>
          </w:p>
        </w:tc>
      </w:tr>
      <w:tr w:rsidR="00396574" w14:paraId="75532B98" w14:textId="77777777" w:rsidTr="00D46DA7">
        <w:tc>
          <w:tcPr>
            <w:tcW w:w="1050" w:type="dxa"/>
          </w:tcPr>
          <w:p w14:paraId="7F408EB1" w14:textId="55940169" w:rsidR="00396574" w:rsidRDefault="00FF6134"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14:paraId="6AAF2199" w14:textId="77777777" w:rsidR="00396574" w:rsidRDefault="00396574" w:rsidP="00D46DA7">
            <w:pPr>
              <w:tabs>
                <w:tab w:val="left" w:pos="551"/>
              </w:tabs>
              <w:spacing w:after="180"/>
              <w:rPr>
                <w:rFonts w:ascii="Times New Roman" w:eastAsia="Batang" w:hAnsi="Times New Roman" w:cs="Times New Roman"/>
                <w:szCs w:val="20"/>
                <w:lang w:eastAsia="ko-KR"/>
              </w:rPr>
            </w:pPr>
          </w:p>
        </w:tc>
        <w:tc>
          <w:tcPr>
            <w:tcW w:w="8723" w:type="dxa"/>
          </w:tcPr>
          <w:p w14:paraId="5BA8C9D1" w14:textId="628632D3" w:rsidR="00396574" w:rsidRDefault="00FF6134"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Decision on FG 1-7 </w:t>
            </w:r>
            <w:r w:rsidR="003F7A05">
              <w:rPr>
                <w:rFonts w:ascii="Times New Roman" w:eastAsia="Batang" w:hAnsi="Times New Roman" w:cs="Times New Roman"/>
                <w:szCs w:val="20"/>
                <w:lang w:eastAsia="ko-KR"/>
              </w:rPr>
              <w:t xml:space="preserve">can </w:t>
            </w:r>
            <w:r w:rsidR="00C366BD">
              <w:rPr>
                <w:rFonts w:ascii="Times New Roman" w:eastAsia="Batang" w:hAnsi="Times New Roman" w:cs="Times New Roman"/>
                <w:szCs w:val="20"/>
                <w:lang w:eastAsia="ko-KR"/>
              </w:rPr>
              <w:t>follow after progress on related discussions in AI 8.6.1.1.</w:t>
            </w:r>
          </w:p>
        </w:tc>
      </w:tr>
      <w:tr w:rsidR="004F1103" w14:paraId="7B53E140" w14:textId="77777777" w:rsidTr="004F1103">
        <w:tc>
          <w:tcPr>
            <w:tcW w:w="1050" w:type="dxa"/>
          </w:tcPr>
          <w:p w14:paraId="72948753" w14:textId="60C3D99F" w:rsidR="004F1103" w:rsidRDefault="004F1103" w:rsidP="00C13471">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14:paraId="47187942" w14:textId="77777777" w:rsidR="004F1103" w:rsidRDefault="004F1103" w:rsidP="00C13471">
            <w:pPr>
              <w:tabs>
                <w:tab w:val="left" w:pos="551"/>
              </w:tabs>
              <w:spacing w:after="180"/>
              <w:rPr>
                <w:rFonts w:ascii="Times New Roman" w:eastAsia="Batang" w:hAnsi="Times New Roman" w:cs="Times New Roman"/>
                <w:szCs w:val="20"/>
                <w:lang w:eastAsia="ko-KR"/>
              </w:rPr>
            </w:pPr>
          </w:p>
        </w:tc>
        <w:tc>
          <w:tcPr>
            <w:tcW w:w="8723" w:type="dxa"/>
          </w:tcPr>
          <w:p w14:paraId="10F0A76E" w14:textId="7800C566" w:rsidR="004F1103" w:rsidRDefault="004F1103" w:rsidP="00C13471">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Same view as Intel</w:t>
            </w:r>
          </w:p>
        </w:tc>
      </w:tr>
      <w:tr w:rsidR="007D59C8" w14:paraId="7C4A5DF7" w14:textId="77777777" w:rsidTr="004F1103">
        <w:tc>
          <w:tcPr>
            <w:tcW w:w="1050" w:type="dxa"/>
          </w:tcPr>
          <w:p w14:paraId="36CA73B5" w14:textId="59E2531F" w:rsidR="007D59C8" w:rsidRDefault="007D59C8" w:rsidP="00C13471">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w:t>
            </w:r>
          </w:p>
        </w:tc>
        <w:tc>
          <w:tcPr>
            <w:tcW w:w="561" w:type="dxa"/>
          </w:tcPr>
          <w:p w14:paraId="0FC5BF66" w14:textId="77777777" w:rsidR="007D59C8" w:rsidRDefault="007D59C8" w:rsidP="00C13471">
            <w:pPr>
              <w:tabs>
                <w:tab w:val="left" w:pos="551"/>
              </w:tabs>
              <w:spacing w:after="180"/>
              <w:rPr>
                <w:rFonts w:ascii="Times New Roman" w:eastAsia="Batang" w:hAnsi="Times New Roman" w:cs="Times New Roman"/>
                <w:szCs w:val="20"/>
                <w:lang w:eastAsia="ko-KR"/>
              </w:rPr>
            </w:pPr>
          </w:p>
        </w:tc>
        <w:tc>
          <w:tcPr>
            <w:tcW w:w="8723" w:type="dxa"/>
          </w:tcPr>
          <w:p w14:paraId="304C5AF6" w14:textId="0376E179" w:rsidR="007D59C8" w:rsidRDefault="007D59C8" w:rsidP="00C13471">
            <w:pPr>
              <w:spacing w:after="180"/>
              <w:rPr>
                <w:rFonts w:ascii="Times New Roman" w:eastAsia="Batang" w:hAnsi="Times New Roman" w:cs="Times New Roman"/>
                <w:szCs w:val="20"/>
                <w:lang w:eastAsia="ko-KR"/>
              </w:rPr>
            </w:pPr>
            <w:r w:rsidRPr="007D59C8">
              <w:rPr>
                <w:rFonts w:ascii="Times New Roman" w:eastAsia="Batang" w:hAnsi="Times New Roman" w:cs="Times New Roman"/>
                <w:szCs w:val="20"/>
                <w:lang w:eastAsia="ko-KR"/>
              </w:rPr>
              <w:t xml:space="preserve">Per the agreement </w:t>
            </w:r>
            <w:r>
              <w:rPr>
                <w:rFonts w:ascii="Times New Roman" w:eastAsia="Batang" w:hAnsi="Times New Roman" w:cs="Times New Roman"/>
                <w:szCs w:val="20"/>
                <w:lang w:eastAsia="ko-KR"/>
              </w:rPr>
              <w:t>WID objective “</w:t>
            </w:r>
            <w:r w:rsidRPr="007D59C8">
              <w:rPr>
                <w:rFonts w:ascii="Times New Roman" w:eastAsia="Batang" w:hAnsi="Times New Roman" w:cs="Times New Roman"/>
                <w:szCs w:val="20"/>
                <w:lang w:eastAsia="ko-KR"/>
              </w:rPr>
              <w:t>The existing UE capability framework is used; changes to capability signalling are specified only if necessary</w:t>
            </w:r>
            <w:r>
              <w:rPr>
                <w:rFonts w:ascii="Times New Roman" w:eastAsia="Batang" w:hAnsi="Times New Roman" w:cs="Times New Roman"/>
                <w:szCs w:val="20"/>
                <w:lang w:eastAsia="ko-KR"/>
              </w:rPr>
              <w:t>”</w:t>
            </w:r>
            <w:r w:rsidRPr="007D59C8">
              <w:rPr>
                <w:rFonts w:ascii="Times New Roman" w:eastAsia="Batang" w:hAnsi="Times New Roman" w:cs="Times New Roman"/>
                <w:szCs w:val="20"/>
                <w:lang w:eastAsia="ko-KR"/>
              </w:rPr>
              <w:t>, we have not identified any necessary changes</w:t>
            </w:r>
          </w:p>
        </w:tc>
      </w:tr>
      <w:tr w:rsidR="00F02B89" w14:paraId="72A93D2F" w14:textId="77777777" w:rsidTr="004F1103">
        <w:tc>
          <w:tcPr>
            <w:tcW w:w="1050" w:type="dxa"/>
          </w:tcPr>
          <w:p w14:paraId="36D760A9" w14:textId="25DF7B00" w:rsidR="00F02B89" w:rsidRDefault="00F02B89" w:rsidP="00C13471">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Qualcomm</w:t>
            </w:r>
          </w:p>
        </w:tc>
        <w:tc>
          <w:tcPr>
            <w:tcW w:w="561" w:type="dxa"/>
          </w:tcPr>
          <w:p w14:paraId="7FA3FCBF" w14:textId="09AF371B" w:rsidR="00F02B89" w:rsidRDefault="009E6800" w:rsidP="00C13471">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23" w:type="dxa"/>
          </w:tcPr>
          <w:p w14:paraId="512424EB" w14:textId="1246215A" w:rsidR="00F02B89" w:rsidRPr="007D59C8" w:rsidRDefault="009E6800" w:rsidP="00C13471">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256QAM for PDSCH, FG 1-7</w:t>
            </w:r>
            <w:r w:rsidR="00E24475">
              <w:rPr>
                <w:rFonts w:ascii="Times New Roman" w:eastAsia="Batang" w:hAnsi="Times New Roman" w:cs="Times New Roman"/>
                <w:szCs w:val="20"/>
                <w:lang w:eastAsia="ko-KR"/>
              </w:rPr>
              <w:t xml:space="preserve">. FFS </w:t>
            </w:r>
            <w:r w:rsidR="00E24475" w:rsidRPr="00E24475">
              <w:rPr>
                <w:rFonts w:ascii="Times New Roman" w:eastAsia="Batang" w:hAnsi="Times New Roman" w:cs="Times New Roman"/>
                <w:szCs w:val="20"/>
                <w:lang w:eastAsia="ko-KR"/>
              </w:rPr>
              <w:t xml:space="preserve">2-61, FG 2-55 and FG 2-4a </w:t>
            </w:r>
          </w:p>
        </w:tc>
      </w:tr>
    </w:tbl>
    <w:p w14:paraId="2B32661F" w14:textId="77777777" w:rsidR="009F3D2A" w:rsidRDefault="009F3D2A">
      <w:pPr>
        <w:pStyle w:val="BodyText"/>
        <w:rPr>
          <w:rFonts w:ascii="Times New Roman" w:hAnsi="Times New Roman" w:cs="Times New Roman"/>
          <w:szCs w:val="20"/>
        </w:rPr>
      </w:pPr>
    </w:p>
    <w:p w14:paraId="2B326620"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be supported for RedCap UEs but with different value</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0408" w:type="dxa"/>
        <w:tblLook w:val="04A0" w:firstRow="1" w:lastRow="0" w:firstColumn="1" w:lastColumn="0" w:noHBand="0" w:noVBand="1"/>
      </w:tblPr>
      <w:tblGrid>
        <w:gridCol w:w="1372"/>
        <w:gridCol w:w="561"/>
        <w:gridCol w:w="8797"/>
      </w:tblGrid>
      <w:tr w:rsidR="009F3D2A" w14:paraId="2B326624" w14:textId="77777777" w:rsidTr="007D59C8">
        <w:tc>
          <w:tcPr>
            <w:tcW w:w="1050" w:type="dxa"/>
            <w:shd w:val="clear" w:color="auto" w:fill="D9D9D9"/>
          </w:tcPr>
          <w:p w14:paraId="2B326621"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2B326622"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8797" w:type="dxa"/>
            <w:shd w:val="clear" w:color="auto" w:fill="D9D9D9"/>
          </w:tcPr>
          <w:p w14:paraId="2B326623"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2C" w14:textId="77777777" w:rsidTr="007D59C8">
        <w:tc>
          <w:tcPr>
            <w:tcW w:w="1050" w:type="dxa"/>
          </w:tcPr>
          <w:p w14:paraId="2B326625"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561" w:type="dxa"/>
          </w:tcPr>
          <w:p w14:paraId="2B326626" w14:textId="77777777" w:rsidR="009F3D2A" w:rsidRDefault="005A6EA2">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w:t>
            </w:r>
          </w:p>
        </w:tc>
        <w:tc>
          <w:tcPr>
            <w:tcW w:w="8797" w:type="dxa"/>
          </w:tcPr>
          <w:p w14:paraId="2B326627"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W</w:t>
            </w:r>
            <w:r>
              <w:rPr>
                <w:rFonts w:ascii="Times New Roman" w:eastAsia="DengXian" w:hAnsi="Times New Roman" w:cs="Times New Roman"/>
                <w:szCs w:val="20"/>
                <w:lang w:eastAsia="zh-CN"/>
              </w:rPr>
              <w:t xml:space="preserve">e identified the following FGs. The highlighted components are related to CA thus are not applicable to RedCap UEs, and the components related to per CC limit are still valid and can be reported by RedCap UEs. </w:t>
            </w:r>
          </w:p>
          <w:p w14:paraId="2B326628" w14:textId="77777777" w:rsidR="009F3D2A" w:rsidRDefault="005A6EA2">
            <w:pPr>
              <w:spacing w:after="180"/>
              <w:rPr>
                <w:rFonts w:ascii="Times New Roman" w:eastAsia="DengXian" w:hAnsi="Times New Roman" w:cs="Times New Roman"/>
                <w:szCs w:val="20"/>
                <w:lang w:eastAsia="zh-CN"/>
              </w:rPr>
            </w:pPr>
            <w:r>
              <w:rPr>
                <w:noProof/>
                <w:lang w:val="en-GB" w:eastAsia="zh-CN"/>
              </w:rPr>
              <w:drawing>
                <wp:inline distT="0" distB="0" distL="0" distR="0" wp14:anchorId="2B326698" wp14:editId="2B32669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2B326629" w14:textId="77777777" w:rsidR="009F3D2A" w:rsidRDefault="009F3D2A">
            <w:pPr>
              <w:spacing w:after="180"/>
              <w:rPr>
                <w:rFonts w:ascii="Times New Roman" w:eastAsia="DengXian" w:hAnsi="Times New Roman" w:cs="Times New Roman"/>
                <w:szCs w:val="20"/>
                <w:lang w:eastAsia="zh-CN"/>
              </w:rPr>
            </w:pPr>
          </w:p>
          <w:p w14:paraId="2B32662A" w14:textId="77777777" w:rsidR="009F3D2A" w:rsidRDefault="005A6EA2">
            <w:pPr>
              <w:spacing w:after="180"/>
              <w:rPr>
                <w:rFonts w:ascii="Times New Roman" w:eastAsia="DengXian" w:hAnsi="Times New Roman" w:cs="Times New Roman"/>
                <w:szCs w:val="20"/>
                <w:lang w:eastAsia="zh-CN"/>
              </w:rPr>
            </w:pPr>
            <w:r>
              <w:rPr>
                <w:noProof/>
                <w:lang w:val="en-GB" w:eastAsia="zh-CN"/>
              </w:rPr>
              <w:lastRenderedPageBreak/>
              <w:drawing>
                <wp:inline distT="0" distB="0" distL="0" distR="0" wp14:anchorId="2B32669A" wp14:editId="2B32669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2B32662B" w14:textId="77777777" w:rsidR="009F3D2A" w:rsidRDefault="005A6EA2">
            <w:pPr>
              <w:spacing w:after="180"/>
              <w:rPr>
                <w:rFonts w:ascii="Times New Roman" w:eastAsia="DengXian" w:hAnsi="Times New Roman" w:cs="Times New Roman"/>
                <w:szCs w:val="20"/>
                <w:lang w:eastAsia="zh-CN"/>
              </w:rPr>
            </w:pPr>
            <w:r>
              <w:rPr>
                <w:noProof/>
                <w:lang w:val="en-GB" w:eastAsia="zh-CN"/>
              </w:rPr>
              <w:drawing>
                <wp:inline distT="0" distB="0" distL="0" distR="0" wp14:anchorId="2B32669C" wp14:editId="2B32669D">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D59C8" w14:paraId="2B326630" w14:textId="77777777" w:rsidTr="007D59C8">
        <w:tc>
          <w:tcPr>
            <w:tcW w:w="1050" w:type="dxa"/>
          </w:tcPr>
          <w:p w14:paraId="2B32662D" w14:textId="4EF27AAF" w:rsidR="007D59C8" w:rsidRDefault="007D59C8"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w:t>
            </w:r>
          </w:p>
        </w:tc>
        <w:tc>
          <w:tcPr>
            <w:tcW w:w="561" w:type="dxa"/>
          </w:tcPr>
          <w:p w14:paraId="2B32662E" w14:textId="47597C91" w:rsidR="007D59C8" w:rsidRDefault="007D59C8" w:rsidP="007D59C8">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97" w:type="dxa"/>
          </w:tcPr>
          <w:p w14:paraId="4F0C9D38" w14:textId="77777777" w:rsidR="007D59C8" w:rsidRDefault="007D59C8" w:rsidP="007D59C8">
            <w:pPr>
              <w:spacing w:after="180"/>
              <w:rPr>
                <w:rFonts w:ascii="Times New Roman" w:eastAsia="Batang" w:hAnsi="Times New Roman" w:cs="Times New Roman"/>
                <w:szCs w:val="20"/>
                <w:lang w:eastAsia="ko-KR"/>
              </w:rPr>
            </w:pPr>
            <w:r w:rsidRPr="00F10A82">
              <w:rPr>
                <w:rFonts w:ascii="Times New Roman" w:eastAsia="Batang" w:hAnsi="Times New Roman" w:cs="Times New Roman"/>
                <w:szCs w:val="20"/>
                <w:lang w:eastAsia="ko-KR"/>
              </w:rPr>
              <w:t>It is not so clear what RAN2 intends to do for FGs which are applicable to RedCap UEs and there is at least one value that a RedCap UE could legitimately report. In this case our view is we probably do not need any clarification. We suggest to focus on cases where the value range to be reported or the description need</w:t>
            </w:r>
            <w:r>
              <w:rPr>
                <w:rFonts w:ascii="Times New Roman" w:eastAsia="Batang" w:hAnsi="Times New Roman" w:cs="Times New Roman"/>
                <w:szCs w:val="20"/>
                <w:lang w:eastAsia="ko-KR"/>
              </w:rPr>
              <w:t>s</w:t>
            </w:r>
            <w:r w:rsidRPr="00F10A82">
              <w:rPr>
                <w:rFonts w:ascii="Times New Roman" w:eastAsia="Batang" w:hAnsi="Times New Roman" w:cs="Times New Roman"/>
                <w:szCs w:val="20"/>
                <w:lang w:eastAsia="ko-KR"/>
              </w:rPr>
              <w:t xml:space="preserve"> a modification for </w:t>
            </w:r>
            <w:r>
              <w:rPr>
                <w:rFonts w:ascii="Times New Roman" w:eastAsia="Batang" w:hAnsi="Times New Roman" w:cs="Times New Roman"/>
                <w:szCs w:val="20"/>
                <w:lang w:eastAsia="ko-KR"/>
              </w:rPr>
              <w:t xml:space="preserve">RedCap. </w:t>
            </w:r>
          </w:p>
          <w:p w14:paraId="2B32662F" w14:textId="31F83F51" w:rsidR="007D59C8" w:rsidRDefault="007D59C8"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One example is F</w:t>
            </w:r>
            <w:r w:rsidRPr="00F10A82">
              <w:rPr>
                <w:rFonts w:ascii="Times New Roman" w:eastAsia="Batang" w:hAnsi="Times New Roman" w:cs="Times New Roman"/>
                <w:szCs w:val="20"/>
                <w:lang w:eastAsia="ko-KR"/>
              </w:rPr>
              <w:t>G 5-5b (UE PDSCH processing capability #2 with scheduling limitation for 30kHz-SCS)</w:t>
            </w:r>
            <w:r>
              <w:rPr>
                <w:rFonts w:ascii="Times New Roman" w:eastAsia="Batang" w:hAnsi="Times New Roman" w:cs="Times New Roman"/>
                <w:szCs w:val="20"/>
                <w:lang w:eastAsia="ko-KR"/>
              </w:rPr>
              <w:t xml:space="preserve"> where t</w:t>
            </w:r>
            <w:r w:rsidRPr="00F10A82">
              <w:rPr>
                <w:rFonts w:ascii="Times New Roman" w:eastAsia="Batang" w:hAnsi="Times New Roman" w:cs="Times New Roman"/>
                <w:szCs w:val="20"/>
                <w:lang w:eastAsia="ko-KR"/>
              </w:rPr>
              <w:t>he maximum PDSCH BW of 136 RBs exceeds 20 MHz.</w:t>
            </w:r>
            <w:r>
              <w:rPr>
                <w:rFonts w:ascii="Times New Roman" w:eastAsia="Batang" w:hAnsi="Times New Roman" w:cs="Times New Roman"/>
                <w:szCs w:val="20"/>
                <w:lang w:eastAsia="ko-KR"/>
              </w:rPr>
              <w:t xml:space="preserve"> The values within FG can be modified to use fewer RBs for RedCap UEs.</w:t>
            </w:r>
          </w:p>
        </w:tc>
      </w:tr>
    </w:tbl>
    <w:p w14:paraId="2B326631" w14:textId="77777777" w:rsidR="009F3D2A" w:rsidRDefault="009F3D2A">
      <w:pPr>
        <w:pStyle w:val="BodyText"/>
        <w:rPr>
          <w:rFonts w:ascii="Times New Roman" w:hAnsi="Times New Roman" w:cs="Times New Roman"/>
          <w:szCs w:val="20"/>
        </w:rPr>
      </w:pPr>
    </w:p>
    <w:p w14:paraId="2B326632"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non-RedCap UE that should not be applicable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636" w14:textId="77777777">
        <w:tc>
          <w:tcPr>
            <w:tcW w:w="1479" w:type="dxa"/>
            <w:shd w:val="clear" w:color="auto" w:fill="D9D9D9"/>
          </w:tcPr>
          <w:p w14:paraId="2B326633"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634"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635"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3A" w14:textId="77777777">
        <w:tc>
          <w:tcPr>
            <w:tcW w:w="1479" w:type="dxa"/>
          </w:tcPr>
          <w:p w14:paraId="2B326637"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1372" w:type="dxa"/>
          </w:tcPr>
          <w:p w14:paraId="2B326638" w14:textId="77777777" w:rsidR="009F3D2A" w:rsidRDefault="009F3D2A">
            <w:pPr>
              <w:tabs>
                <w:tab w:val="left" w:pos="551"/>
              </w:tabs>
              <w:spacing w:after="180"/>
              <w:rPr>
                <w:rFonts w:ascii="Times New Roman" w:eastAsia="Batang" w:hAnsi="Times New Roman" w:cs="Times New Roman"/>
                <w:szCs w:val="20"/>
                <w:lang w:eastAsia="ko-KR"/>
              </w:rPr>
            </w:pPr>
          </w:p>
        </w:tc>
        <w:tc>
          <w:tcPr>
            <w:tcW w:w="6780" w:type="dxa"/>
          </w:tcPr>
          <w:p w14:paraId="2B326639"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Not identified. </w:t>
            </w:r>
          </w:p>
        </w:tc>
      </w:tr>
      <w:tr w:rsidR="009F3D2A" w14:paraId="2B32663F" w14:textId="77777777">
        <w:tc>
          <w:tcPr>
            <w:tcW w:w="1479" w:type="dxa"/>
          </w:tcPr>
          <w:p w14:paraId="2B32663B"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2B32663C"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63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FG 10-20, FG 10-20a, and FG 10-29 are not needed due to the RedCap UE bandwidth limitation.</w:t>
            </w:r>
          </w:p>
          <w:p w14:paraId="2B32663E" w14:textId="77777777" w:rsidR="009F3D2A" w:rsidRDefault="005A6EA2">
            <w:pPr>
              <w:spacing w:after="180"/>
              <w:rPr>
                <w:rFonts w:ascii="Times New Roman" w:eastAsia="Batang" w:hAnsi="Times New Roman" w:cs="Times New Roman"/>
                <w:szCs w:val="20"/>
                <w:lang w:eastAsia="ko-KR"/>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r>
            <w:r>
              <w:rPr>
                <w:rFonts w:ascii="Times New Roman" w:eastAsia="Batang" w:hAnsi="Times New Roman" w:cs="Times New Roman" w:hint="eastAsia"/>
                <w:szCs w:val="20"/>
                <w:lang w:eastAsia="ko-KR"/>
              </w:rPr>
              <w:t xml:space="preserve">FGs exceeding </w:t>
            </w:r>
            <w:r>
              <w:rPr>
                <w:rFonts w:ascii="Times New Roman" w:eastAsia="SimSun" w:hAnsi="Times New Roman" w:cs="Times New Roman" w:hint="eastAsia"/>
                <w:szCs w:val="20"/>
                <w:lang w:eastAsia="zh-CN"/>
              </w:rPr>
              <w:t xml:space="preserve">RX and </w:t>
            </w:r>
            <w:r>
              <w:rPr>
                <w:rFonts w:ascii="Times New Roman" w:eastAsia="Batang" w:hAnsi="Times New Roman" w:cs="Times New Roman" w:hint="eastAsia"/>
                <w:szCs w:val="20"/>
                <w:lang w:eastAsia="ko-KR"/>
              </w:rPr>
              <w:t>1 Tx are not supported, including 2-13, 2-14</w:t>
            </w:r>
            <w:r>
              <w:rPr>
                <w:rFonts w:ascii="Times New Roman" w:eastAsia="SimSun" w:hAnsi="Times New Roman" w:cs="Times New Roman" w:hint="eastAsia"/>
                <w:szCs w:val="20"/>
                <w:lang w:eastAsia="zh-CN"/>
              </w:rPr>
              <w:t>,15-18, 15-19, 16-3a-3, 16-3b-2</w:t>
            </w:r>
          </w:p>
        </w:tc>
      </w:tr>
      <w:tr w:rsidR="004F1103" w14:paraId="5AA19B29" w14:textId="77777777">
        <w:tc>
          <w:tcPr>
            <w:tcW w:w="1479" w:type="dxa"/>
          </w:tcPr>
          <w:p w14:paraId="11ECAE34" w14:textId="37D43E37" w:rsidR="004F1103" w:rsidRDefault="004F110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3FE3B14B" w14:textId="77777777" w:rsidR="004F1103" w:rsidRDefault="004F1103">
            <w:pPr>
              <w:tabs>
                <w:tab w:val="left" w:pos="551"/>
              </w:tabs>
              <w:spacing w:after="180"/>
              <w:rPr>
                <w:rFonts w:ascii="Times New Roman" w:eastAsia="SimSun" w:hAnsi="Times New Roman" w:cs="Times New Roman"/>
                <w:szCs w:val="20"/>
                <w:lang w:eastAsia="zh-CN"/>
              </w:rPr>
            </w:pPr>
          </w:p>
        </w:tc>
        <w:tc>
          <w:tcPr>
            <w:tcW w:w="6780" w:type="dxa"/>
          </w:tcPr>
          <w:p w14:paraId="1D157120" w14:textId="39B5ABC9" w:rsidR="004F1103" w:rsidRDefault="004F1103">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rsidR="007D59C8" w14:paraId="3B36F290" w14:textId="77777777">
        <w:tc>
          <w:tcPr>
            <w:tcW w:w="1479" w:type="dxa"/>
          </w:tcPr>
          <w:p w14:paraId="4B1A55C2" w14:textId="6F80E902" w:rsidR="007D59C8" w:rsidRDefault="007D59C8" w:rsidP="007D59C8">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372" w:type="dxa"/>
          </w:tcPr>
          <w:p w14:paraId="4C58C7C5" w14:textId="78102334" w:rsidR="007D59C8" w:rsidRDefault="007D59C8" w:rsidP="007D59C8">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6780" w:type="dxa"/>
          </w:tcPr>
          <w:p w14:paraId="4F4072B6" w14:textId="77777777" w:rsidR="007D59C8" w:rsidRPr="003B4855" w:rsidRDefault="007D59C8" w:rsidP="007D59C8">
            <w:pPr>
              <w:pStyle w:val="ListParagraph"/>
              <w:numPr>
                <w:ilvl w:val="0"/>
                <w:numId w:val="17"/>
              </w:numPr>
              <w:spacing w:after="180"/>
              <w:rPr>
                <w:rFonts w:ascii="Times New Roman" w:eastAsia="SimSun" w:hAnsi="Times New Roman" w:cs="Times New Roman"/>
                <w:sz w:val="18"/>
                <w:szCs w:val="16"/>
                <w:lang w:val="en-US" w:eastAsia="zh-CN"/>
              </w:rPr>
            </w:pPr>
            <w:r w:rsidRPr="003B4855">
              <w:rPr>
                <w:rFonts w:ascii="Times New Roman" w:eastAsia="SimSun" w:hAnsi="Times New Roman" w:cs="Times New Roman"/>
                <w:sz w:val="18"/>
                <w:szCs w:val="16"/>
                <w:lang w:val="en-US" w:eastAsia="zh-CN"/>
              </w:rPr>
              <w:t xml:space="preserve">For FG 10-x, several NR-U FGs have text related to the scenarios as listed in Appendix B.3 of 38.300. Based on the RAN2 LS, it appears that Scenario A (NR licensed / NR shared), Scenario B (LTE licensed / NR shared), and Scenario E (NR </w:t>
            </w:r>
            <w:r w:rsidRPr="003B4855">
              <w:rPr>
                <w:rFonts w:ascii="Times New Roman" w:eastAsia="SimSun" w:hAnsi="Times New Roman" w:cs="Times New Roman"/>
                <w:sz w:val="18"/>
                <w:szCs w:val="16"/>
                <w:lang w:val="en-US" w:eastAsia="zh-CN"/>
              </w:rPr>
              <w:lastRenderedPageBreak/>
              <w:t>licensed / NR shared)] can be excluded. We should let RAN2 decide whether to update 38.300 or capture the scenarios in some other way</w:t>
            </w:r>
          </w:p>
          <w:p w14:paraId="04F4B7AC" w14:textId="767D7E7D" w:rsidR="007D59C8" w:rsidRPr="00A06E96" w:rsidRDefault="007D59C8" w:rsidP="007D59C8">
            <w:pPr>
              <w:pStyle w:val="ListParagraph"/>
              <w:numPr>
                <w:ilvl w:val="0"/>
                <w:numId w:val="17"/>
              </w:numPr>
              <w:spacing w:after="180"/>
              <w:rPr>
                <w:rFonts w:ascii="Times New Roman" w:eastAsia="SimSun" w:hAnsi="Times New Roman" w:cs="Times New Roman"/>
                <w:sz w:val="18"/>
                <w:szCs w:val="16"/>
                <w:lang w:val="en-US" w:eastAsia="zh-CN"/>
              </w:rPr>
            </w:pPr>
            <w:r w:rsidRPr="003B4855">
              <w:rPr>
                <w:rFonts w:ascii="Times New Roman" w:eastAsia="SimSun" w:hAnsi="Times New Roman" w:cs="Times New Roman"/>
                <w:sz w:val="18"/>
                <w:szCs w:val="16"/>
                <w:lang w:val="en-US" w:eastAsia="zh-CN"/>
              </w:rPr>
              <w:t>In our understanding, the WID do</w:t>
            </w:r>
            <w:r>
              <w:rPr>
                <w:rFonts w:ascii="Times New Roman" w:eastAsia="SimSun" w:hAnsi="Times New Roman" w:cs="Times New Roman"/>
                <w:sz w:val="18"/>
                <w:szCs w:val="16"/>
                <w:lang w:val="en-US" w:eastAsia="zh-CN"/>
              </w:rPr>
              <w:t>es</w:t>
            </w:r>
            <w:r w:rsidRPr="003B4855">
              <w:rPr>
                <w:rFonts w:ascii="Times New Roman" w:eastAsia="SimSun" w:hAnsi="Times New Roman" w:cs="Times New Roman"/>
                <w:sz w:val="18"/>
                <w:szCs w:val="16"/>
                <w:lang w:val="en-US" w:eastAsia="zh-CN"/>
              </w:rPr>
              <w:t xml:space="preserve"> not preclude RedCap UEs from supporting more than one uplink antenna port.</w:t>
            </w:r>
            <w:r>
              <w:rPr>
                <w:rFonts w:ascii="Times New Roman" w:eastAsia="SimSun" w:hAnsi="Times New Roman" w:cs="Times New Roman"/>
                <w:sz w:val="18"/>
                <w:szCs w:val="16"/>
                <w:lang w:val="en-US" w:eastAsia="zh-CN"/>
              </w:rPr>
              <w:t xml:space="preserve"> We should be careful about removing features with more than one Tx port</w:t>
            </w:r>
          </w:p>
        </w:tc>
      </w:tr>
      <w:tr w:rsidR="001B4DA4" w14:paraId="0629C1F3" w14:textId="77777777">
        <w:tc>
          <w:tcPr>
            <w:tcW w:w="1479" w:type="dxa"/>
          </w:tcPr>
          <w:p w14:paraId="600EBD0F" w14:textId="0D550BF8" w:rsidR="001B4DA4" w:rsidRDefault="001B4DA4" w:rsidP="007D59C8">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372" w:type="dxa"/>
          </w:tcPr>
          <w:p w14:paraId="3077C5BC" w14:textId="77777777" w:rsidR="001B4DA4" w:rsidRDefault="001B4DA4" w:rsidP="007D59C8">
            <w:pPr>
              <w:tabs>
                <w:tab w:val="left" w:pos="551"/>
              </w:tabs>
              <w:spacing w:after="180"/>
              <w:rPr>
                <w:rFonts w:ascii="Times New Roman" w:eastAsia="SimSun" w:hAnsi="Times New Roman" w:cs="Times New Roman"/>
                <w:szCs w:val="20"/>
                <w:lang w:eastAsia="zh-CN"/>
              </w:rPr>
            </w:pPr>
          </w:p>
        </w:tc>
        <w:tc>
          <w:tcPr>
            <w:tcW w:w="6780" w:type="dxa"/>
          </w:tcPr>
          <w:p w14:paraId="47D931A2" w14:textId="77777777" w:rsidR="001B4DA4" w:rsidRDefault="001B4DA4" w:rsidP="001B4DA4">
            <w:pPr>
              <w:spacing w:after="180"/>
              <w:rPr>
                <w:rFonts w:ascii="Times New Roman" w:eastAsia="SimSun" w:hAnsi="Times New Roman" w:cs="Times New Roman"/>
                <w:sz w:val="18"/>
                <w:szCs w:val="16"/>
                <w:lang w:eastAsia="zh-CN"/>
              </w:rPr>
            </w:pPr>
            <w:r w:rsidRPr="001B4DA4">
              <w:rPr>
                <w:rFonts w:ascii="Times New Roman" w:eastAsia="SimSun" w:hAnsi="Times New Roman" w:cs="Times New Roman"/>
                <w:sz w:val="18"/>
                <w:szCs w:val="16"/>
                <w:lang w:eastAsia="zh-CN"/>
              </w:rPr>
              <w:t>UE features related</w:t>
            </w:r>
            <w:r>
              <w:rPr>
                <w:rFonts w:ascii="Times New Roman" w:eastAsia="SimSun" w:hAnsi="Times New Roman" w:cs="Times New Roman"/>
                <w:sz w:val="18"/>
                <w:szCs w:val="16"/>
                <w:lang w:eastAsia="zh-CN"/>
              </w:rPr>
              <w:t xml:space="preserve"> to DAPS and IAB should not be supported by RedCap UE</w:t>
            </w:r>
          </w:p>
          <w:p w14:paraId="20E72BBA" w14:textId="4EFA3633" w:rsidR="007B325F" w:rsidRDefault="007B325F" w:rsidP="001B4DA4">
            <w:pPr>
              <w:spacing w:after="180"/>
              <w:rPr>
                <w:rFonts w:ascii="Times New Roman" w:eastAsia="SimSun" w:hAnsi="Times New Roman" w:cs="Times New Roman"/>
                <w:sz w:val="18"/>
                <w:szCs w:val="16"/>
                <w:lang w:eastAsia="zh-CN"/>
              </w:rPr>
            </w:pPr>
            <w:r>
              <w:rPr>
                <w:rFonts w:ascii="Times New Roman" w:eastAsia="SimSun" w:hAnsi="Times New Roman" w:cs="Times New Roman"/>
                <w:sz w:val="18"/>
                <w:szCs w:val="16"/>
                <w:lang w:eastAsia="zh-CN"/>
              </w:rPr>
              <w:t>FG 2-56</w:t>
            </w:r>
            <w:r w:rsidR="00676659">
              <w:rPr>
                <w:rFonts w:ascii="Times New Roman" w:eastAsia="SimSun" w:hAnsi="Times New Roman" w:cs="Times New Roman"/>
                <w:sz w:val="18"/>
                <w:szCs w:val="16"/>
                <w:lang w:eastAsia="zh-CN"/>
              </w:rPr>
              <w:t>, FG 4-25/26/27</w:t>
            </w:r>
          </w:p>
          <w:p w14:paraId="7DE99C9A" w14:textId="7F664579" w:rsidR="00676659" w:rsidRPr="001B4DA4" w:rsidRDefault="00A3431A" w:rsidP="001B4DA4">
            <w:pPr>
              <w:spacing w:after="180"/>
              <w:rPr>
                <w:rFonts w:ascii="Times New Roman" w:eastAsia="SimSun" w:hAnsi="Times New Roman" w:cs="Times New Roman"/>
                <w:sz w:val="18"/>
                <w:szCs w:val="16"/>
                <w:lang w:eastAsia="zh-CN"/>
              </w:rPr>
            </w:pPr>
            <w:r>
              <w:rPr>
                <w:rFonts w:ascii="Times New Roman" w:eastAsia="SimSun" w:hAnsi="Times New Roman" w:cs="Times New Roman"/>
                <w:sz w:val="18"/>
                <w:szCs w:val="16"/>
                <w:lang w:eastAsia="zh-CN"/>
              </w:rPr>
              <w:t>SFI should not be supported by HD-FDD and FD-FDD RedCap UE</w:t>
            </w:r>
          </w:p>
        </w:tc>
      </w:tr>
    </w:tbl>
    <w:p w14:paraId="2B326640" w14:textId="77777777" w:rsidR="009F3D2A" w:rsidRDefault="009F3D2A">
      <w:pPr>
        <w:pStyle w:val="BodyText"/>
        <w:rPr>
          <w:rFonts w:ascii="Times New Roman" w:hAnsi="Times New Roman" w:cs="Times New Roman"/>
          <w:szCs w:val="20"/>
        </w:rPr>
      </w:pPr>
    </w:p>
    <w:p w14:paraId="2B326641"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non-RedCap UE that should be mandatorily supported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645" w14:textId="77777777">
        <w:tc>
          <w:tcPr>
            <w:tcW w:w="1479" w:type="dxa"/>
            <w:shd w:val="clear" w:color="auto" w:fill="D9D9D9"/>
          </w:tcPr>
          <w:p w14:paraId="2B326642"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643"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644"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6C" w14:textId="77777777">
        <w:tc>
          <w:tcPr>
            <w:tcW w:w="1479" w:type="dxa"/>
          </w:tcPr>
          <w:p w14:paraId="2B326646"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1372" w:type="dxa"/>
          </w:tcPr>
          <w:p w14:paraId="2B326647" w14:textId="77777777" w:rsidR="009F3D2A" w:rsidRDefault="009F3D2A">
            <w:pPr>
              <w:tabs>
                <w:tab w:val="left" w:pos="551"/>
              </w:tabs>
              <w:spacing w:after="180"/>
              <w:rPr>
                <w:rFonts w:ascii="Times New Roman" w:eastAsia="Batang" w:hAnsi="Times New Roman" w:cs="Times New Roman"/>
                <w:szCs w:val="20"/>
                <w:lang w:eastAsia="ko-KR"/>
              </w:rPr>
            </w:pPr>
          </w:p>
        </w:tc>
        <w:tc>
          <w:tcPr>
            <w:tcW w:w="6780" w:type="dxa"/>
          </w:tcPr>
          <w:p w14:paraId="2B326648"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S</w:t>
            </w:r>
            <w:r>
              <w:rPr>
                <w:rFonts w:ascii="Times New Roman" w:eastAsia="DengXian" w:hAnsi="Times New Roman" w:cs="Times New Roman"/>
                <w:szCs w:val="20"/>
                <w:lang w:eastAsia="zh-CN"/>
              </w:rPr>
              <w:t xml:space="preserve">uggest to discuss whether some or all the Rel-16 UE power saving features are mandatory for RedCap UEs, i.e. </w:t>
            </w:r>
          </w:p>
          <w:p w14:paraId="2B326649"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R</w:t>
            </w:r>
            <w:r>
              <w:rPr>
                <w:rFonts w:ascii="Times New Roman" w:eastAsia="DengXian" w:hAnsi="Times New Roman" w:cs="Times New Roman"/>
                <w:szCs w:val="20"/>
                <w:lang w:eastAsia="zh-CN"/>
              </w:rPr>
              <w:t>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47"/>
            </w:tblGrid>
            <w:tr w:rsidR="009F3D2A" w14:paraId="2B32664C" w14:textId="77777777">
              <w:tc>
                <w:tcPr>
                  <w:tcW w:w="0" w:type="auto"/>
                </w:tcPr>
                <w:p w14:paraId="2B32664A" w14:textId="77777777" w:rsidR="009F3D2A" w:rsidRPr="00D46DA7" w:rsidRDefault="005A6EA2">
                  <w:pPr>
                    <w:pStyle w:val="TAL"/>
                    <w:rPr>
                      <w:rFonts w:cs="Arial"/>
                      <w:szCs w:val="18"/>
                      <w:lang w:val="en-GB"/>
                    </w:rPr>
                  </w:pPr>
                  <w:r w:rsidRPr="00D46DA7">
                    <w:rPr>
                      <w:rFonts w:cs="Arial"/>
                      <w:szCs w:val="18"/>
                      <w:lang w:val="en-GB"/>
                    </w:rPr>
                    <w:t>19-1</w:t>
                  </w:r>
                </w:p>
              </w:tc>
              <w:tc>
                <w:tcPr>
                  <w:tcW w:w="0" w:type="auto"/>
                </w:tcPr>
                <w:p w14:paraId="2B32664B" w14:textId="77777777" w:rsidR="009F3D2A" w:rsidRPr="00D46DA7" w:rsidRDefault="005A6EA2">
                  <w:pPr>
                    <w:pStyle w:val="TAL"/>
                    <w:rPr>
                      <w:rFonts w:cs="Arial"/>
                      <w:szCs w:val="18"/>
                      <w:lang w:val="en-GB"/>
                    </w:rPr>
                  </w:pPr>
                  <w:r w:rsidRPr="00D46DA7">
                    <w:rPr>
                      <w:rFonts w:cs="Arial"/>
                      <w:szCs w:val="18"/>
                      <w:lang w:val="en-GB"/>
                    </w:rPr>
                    <w:t xml:space="preserve">DRX Adaptation </w:t>
                  </w:r>
                </w:p>
              </w:tc>
            </w:tr>
            <w:tr w:rsidR="009F3D2A" w14:paraId="2B32664F" w14:textId="77777777">
              <w:tc>
                <w:tcPr>
                  <w:tcW w:w="0" w:type="auto"/>
                </w:tcPr>
                <w:p w14:paraId="2B32664D" w14:textId="77777777" w:rsidR="009F3D2A" w:rsidRPr="00D46DA7" w:rsidRDefault="005A6EA2">
                  <w:pPr>
                    <w:pStyle w:val="TAL"/>
                    <w:rPr>
                      <w:rFonts w:cs="Arial"/>
                      <w:szCs w:val="18"/>
                      <w:lang w:val="en-GB"/>
                    </w:rPr>
                  </w:pPr>
                  <w:r w:rsidRPr="00D46DA7">
                    <w:rPr>
                      <w:rFonts w:cs="Arial"/>
                      <w:szCs w:val="18"/>
                      <w:lang w:val="en-GB"/>
                    </w:rPr>
                    <w:t>19-2</w:t>
                  </w:r>
                </w:p>
              </w:tc>
              <w:tc>
                <w:tcPr>
                  <w:tcW w:w="0" w:type="auto"/>
                </w:tcPr>
                <w:p w14:paraId="2B32664E" w14:textId="77777777" w:rsidR="009F3D2A" w:rsidRPr="00D46DA7" w:rsidRDefault="005A6EA2">
                  <w:pPr>
                    <w:pStyle w:val="TAL"/>
                    <w:rPr>
                      <w:rFonts w:cs="Arial"/>
                      <w:szCs w:val="18"/>
                      <w:lang w:val="en-GB"/>
                    </w:rPr>
                  </w:pPr>
                  <w:r w:rsidRPr="00D46DA7">
                    <w:rPr>
                      <w:rFonts w:cs="Arial"/>
                      <w:szCs w:val="18"/>
                      <w:lang w:val="en-GB"/>
                    </w:rPr>
                    <w:t>Cross Slot Scheduling</w:t>
                  </w:r>
                </w:p>
              </w:tc>
            </w:tr>
            <w:tr w:rsidR="009F3D2A" w14:paraId="2B326652" w14:textId="77777777">
              <w:tc>
                <w:tcPr>
                  <w:tcW w:w="0" w:type="auto"/>
                </w:tcPr>
                <w:p w14:paraId="2B326650" w14:textId="77777777" w:rsidR="009F3D2A" w:rsidRPr="00D46DA7" w:rsidRDefault="005A6EA2">
                  <w:pPr>
                    <w:pStyle w:val="TAL"/>
                    <w:rPr>
                      <w:rFonts w:cs="Arial"/>
                      <w:szCs w:val="18"/>
                      <w:lang w:val="en-GB"/>
                    </w:rPr>
                  </w:pPr>
                  <w:r w:rsidRPr="00D46DA7">
                    <w:rPr>
                      <w:rFonts w:cs="Arial"/>
                      <w:szCs w:val="18"/>
                      <w:lang w:val="en-GB"/>
                    </w:rPr>
                    <w:t>19-3</w:t>
                  </w:r>
                </w:p>
              </w:tc>
              <w:tc>
                <w:tcPr>
                  <w:tcW w:w="0" w:type="auto"/>
                </w:tcPr>
                <w:p w14:paraId="2B326651" w14:textId="77777777" w:rsidR="009F3D2A" w:rsidRPr="00D46DA7" w:rsidRDefault="005A6EA2">
                  <w:pPr>
                    <w:pStyle w:val="TAL"/>
                    <w:rPr>
                      <w:rFonts w:cs="Arial"/>
                      <w:szCs w:val="18"/>
                      <w:lang w:val="en-GB"/>
                    </w:rPr>
                  </w:pPr>
                  <w:r w:rsidRPr="00D46DA7">
                    <w:rPr>
                      <w:rFonts w:cs="Arial"/>
                      <w:szCs w:val="18"/>
                      <w:lang w:val="en-GB"/>
                    </w:rPr>
                    <w:t>Maximum MIMO Layer Adaptation</w:t>
                  </w:r>
                </w:p>
              </w:tc>
            </w:tr>
            <w:tr w:rsidR="009F3D2A" w14:paraId="2B326655" w14:textId="77777777">
              <w:tc>
                <w:tcPr>
                  <w:tcW w:w="0" w:type="auto"/>
                </w:tcPr>
                <w:p w14:paraId="2B326653" w14:textId="77777777" w:rsidR="009F3D2A" w:rsidRPr="00D46DA7" w:rsidRDefault="005A6EA2">
                  <w:pPr>
                    <w:pStyle w:val="TAL"/>
                    <w:rPr>
                      <w:rFonts w:cs="Arial"/>
                      <w:szCs w:val="18"/>
                      <w:lang w:val="en-GB"/>
                    </w:rPr>
                  </w:pPr>
                  <w:r w:rsidRPr="00D46DA7">
                    <w:rPr>
                      <w:rFonts w:cs="Arial"/>
                      <w:szCs w:val="18"/>
                      <w:lang w:val="en-GB"/>
                    </w:rPr>
                    <w:t>19-4a</w:t>
                  </w:r>
                </w:p>
              </w:tc>
              <w:tc>
                <w:tcPr>
                  <w:tcW w:w="0" w:type="auto"/>
                </w:tcPr>
                <w:p w14:paraId="2B326654" w14:textId="77777777" w:rsidR="009F3D2A" w:rsidRPr="00D46DA7" w:rsidRDefault="005A6EA2">
                  <w:pPr>
                    <w:pStyle w:val="TAL"/>
                    <w:rPr>
                      <w:rFonts w:cs="Arial"/>
                      <w:szCs w:val="18"/>
                      <w:lang w:val="en-GB"/>
                    </w:rPr>
                  </w:pPr>
                  <w:r w:rsidRPr="00D46DA7">
                    <w:rPr>
                      <w:rFonts w:cs="Arial"/>
                      <w:szCs w:val="18"/>
                      <w:lang w:val="en-GB"/>
                    </w:rPr>
                    <w:t>UE assistance information</w:t>
                  </w:r>
                </w:p>
              </w:tc>
            </w:tr>
          </w:tbl>
          <w:p w14:paraId="2B326656" w14:textId="77777777" w:rsidR="009F3D2A" w:rsidRDefault="009F3D2A">
            <w:pPr>
              <w:spacing w:after="180"/>
              <w:rPr>
                <w:rFonts w:ascii="Times New Roman" w:eastAsia="DengXian" w:hAnsi="Times New Roman" w:cs="Times New Roman"/>
                <w:szCs w:val="20"/>
                <w:lang w:eastAsia="zh-CN"/>
              </w:rPr>
            </w:pPr>
          </w:p>
          <w:p w14:paraId="2B326657"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R</w:t>
            </w:r>
            <w:r>
              <w:rPr>
                <w:rFonts w:ascii="Times New Roman" w:eastAsia="DengXian" w:hAnsi="Times New Roman" w:cs="Times New Roman"/>
                <w:szCs w:val="20"/>
                <w:lang w:eastAsia="zh-CN"/>
              </w:rPr>
              <w:t>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F3D2A" w14:paraId="2B32665A" w14:textId="77777777">
              <w:trPr>
                <w:trHeight w:val="24"/>
              </w:trPr>
              <w:tc>
                <w:tcPr>
                  <w:tcW w:w="860" w:type="dxa"/>
                  <w:tcBorders>
                    <w:top w:val="single" w:sz="4" w:space="0" w:color="auto"/>
                    <w:left w:val="single" w:sz="4" w:space="0" w:color="auto"/>
                    <w:bottom w:val="single" w:sz="4" w:space="0" w:color="auto"/>
                    <w:right w:val="single" w:sz="4" w:space="0" w:color="auto"/>
                  </w:tcBorders>
                </w:tcPr>
                <w:p w14:paraId="2B326658" w14:textId="77777777" w:rsidR="009F3D2A" w:rsidRDefault="005A6EA2">
                  <w:pPr>
                    <w:pStyle w:val="TAL"/>
                    <w:rPr>
                      <w:rFonts w:asciiTheme="majorHAnsi" w:hAnsiTheme="majorHAnsi" w:cstheme="majorHAnsi"/>
                      <w:szCs w:val="18"/>
                    </w:rPr>
                  </w:pPr>
                  <w:r>
                    <w:t>19-1</w:t>
                  </w:r>
                </w:p>
              </w:tc>
              <w:tc>
                <w:tcPr>
                  <w:tcW w:w="5694" w:type="dxa"/>
                  <w:tcBorders>
                    <w:top w:val="single" w:sz="4" w:space="0" w:color="auto"/>
                    <w:left w:val="single" w:sz="4" w:space="0" w:color="auto"/>
                    <w:bottom w:val="single" w:sz="4" w:space="0" w:color="auto"/>
                    <w:right w:val="single" w:sz="4" w:space="0" w:color="auto"/>
                  </w:tcBorders>
                </w:tcPr>
                <w:p w14:paraId="2B326659"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DRX preference</w:t>
                  </w:r>
                </w:p>
              </w:tc>
            </w:tr>
            <w:tr w:rsidR="009F3D2A" w14:paraId="2B32665D"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5B" w14:textId="77777777" w:rsidR="009F3D2A" w:rsidRDefault="005A6EA2">
                  <w:pPr>
                    <w:pStyle w:val="TAL"/>
                    <w:rPr>
                      <w:rFonts w:asciiTheme="majorHAnsi" w:hAnsiTheme="majorHAnsi" w:cstheme="majorHAnsi"/>
                      <w:szCs w:val="18"/>
                    </w:rPr>
                  </w:pPr>
                  <w:r>
                    <w:rPr>
                      <w:rFonts w:asciiTheme="majorHAnsi" w:hAnsiTheme="majorHAnsi" w:cstheme="majorHAnsi"/>
                      <w:szCs w:val="18"/>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5C"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Maximum aggregated bandwidth preference</w:t>
                  </w:r>
                </w:p>
              </w:tc>
            </w:tr>
            <w:tr w:rsidR="009F3D2A" w14:paraId="2B326660"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5E" w14:textId="77777777" w:rsidR="009F3D2A" w:rsidRDefault="005A6EA2">
                  <w:pPr>
                    <w:pStyle w:val="TAL"/>
                    <w:rPr>
                      <w:rFonts w:asciiTheme="majorHAnsi" w:hAnsiTheme="majorHAnsi" w:cstheme="majorHAnsi"/>
                      <w:szCs w:val="18"/>
                    </w:rPr>
                  </w:pPr>
                  <w:r>
                    <w:rPr>
                      <w:rFonts w:asciiTheme="majorHAnsi" w:hAnsiTheme="majorHAnsi" w:cstheme="majorHAnsi"/>
                      <w:szCs w:val="18"/>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5F"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Maximum number of secondary component carrier preference</w:t>
                  </w:r>
                </w:p>
              </w:tc>
            </w:tr>
            <w:tr w:rsidR="009F3D2A" w14:paraId="2B326663"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1" w14:textId="77777777" w:rsidR="009F3D2A" w:rsidRDefault="005A6EA2">
                  <w:pPr>
                    <w:pStyle w:val="TAL"/>
                  </w:pPr>
                  <w: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2" w14:textId="77777777" w:rsidR="009F3D2A" w:rsidRPr="00D46DA7" w:rsidRDefault="005A6EA2">
                  <w:pPr>
                    <w:pStyle w:val="TAL"/>
                    <w:rPr>
                      <w:lang w:val="en-GB"/>
                    </w:rPr>
                  </w:pPr>
                  <w:r w:rsidRPr="00D46DA7">
                    <w:rPr>
                      <w:lang w:val="en-GB"/>
                    </w:rPr>
                    <w:t>UE assistance information for power saving – Maximum number of MIMO layers preference</w:t>
                  </w:r>
                </w:p>
              </w:tc>
            </w:tr>
            <w:tr w:rsidR="009F3D2A" w14:paraId="2B326666"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4" w14:textId="77777777" w:rsidR="009F3D2A" w:rsidRDefault="005A6EA2">
                  <w:pPr>
                    <w:pStyle w:val="TAL"/>
                  </w:pPr>
                  <w: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5" w14:textId="77777777" w:rsidR="009F3D2A" w:rsidRPr="00D46DA7" w:rsidRDefault="005A6EA2">
                  <w:pPr>
                    <w:pStyle w:val="TAL"/>
                    <w:rPr>
                      <w:lang w:val="en-GB"/>
                    </w:rPr>
                  </w:pPr>
                  <w:r w:rsidRPr="00D46DA7">
                    <w:rPr>
                      <w:lang w:val="en-GB"/>
                    </w:rPr>
                    <w:t>UE assistance information for power saving – preference to transition out of RRC_CONNECTED</w:t>
                  </w:r>
                </w:p>
              </w:tc>
            </w:tr>
            <w:tr w:rsidR="009F3D2A" w14:paraId="2B326669"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7" w14:textId="77777777" w:rsidR="009F3D2A" w:rsidRPr="00D46DA7" w:rsidRDefault="005A6EA2">
                  <w:pPr>
                    <w:pStyle w:val="TAL"/>
                    <w:rPr>
                      <w:lang w:val="en-GB"/>
                    </w:rPr>
                  </w:pPr>
                  <w:r w:rsidRPr="00D46DA7">
                    <w:rPr>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8" w14:textId="77777777" w:rsidR="009F3D2A" w:rsidRPr="00D46DA7" w:rsidRDefault="005A6EA2">
                  <w:pPr>
                    <w:pStyle w:val="TAL"/>
                    <w:rPr>
                      <w:rFonts w:eastAsia="SimSun"/>
                      <w:lang w:val="en-GB"/>
                    </w:rPr>
                  </w:pPr>
                  <w:r w:rsidRPr="00D46DA7">
                    <w:rPr>
                      <w:rFonts w:eastAsia="SimSun"/>
                      <w:lang w:val="en-GB"/>
                    </w:rPr>
                    <w:t>Relaxed measurement</w:t>
                  </w:r>
                </w:p>
              </w:tc>
            </w:tr>
          </w:tbl>
          <w:p w14:paraId="2B32666A" w14:textId="77777777" w:rsidR="009F3D2A" w:rsidRDefault="009F3D2A">
            <w:pPr>
              <w:spacing w:after="180"/>
              <w:rPr>
                <w:rFonts w:ascii="Times New Roman" w:eastAsia="DengXian" w:hAnsi="Times New Roman" w:cs="Times New Roman"/>
                <w:szCs w:val="20"/>
                <w:lang w:eastAsia="zh-CN"/>
              </w:rPr>
            </w:pPr>
          </w:p>
          <w:p w14:paraId="2B32666B"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I</w:t>
            </w:r>
            <w:r>
              <w:rPr>
                <w:rFonts w:ascii="Times New Roman" w:eastAsia="DengXian" w:hAnsi="Times New Roman" w:cs="Times New Roman"/>
                <w:szCs w:val="20"/>
                <w:lang w:eastAsia="zh-CN"/>
              </w:rPr>
              <w:t xml:space="preserve">t can also be discussed if some or all Rel-17 UE power saving features are mandatory for RedCap UEs, but this can be discussed later until the Rel-17 UE power saving FGs becomes stable. </w:t>
            </w:r>
          </w:p>
        </w:tc>
      </w:tr>
      <w:tr w:rsidR="009F3D2A" w14:paraId="2B326670" w14:textId="77777777">
        <w:tc>
          <w:tcPr>
            <w:tcW w:w="1479" w:type="dxa"/>
          </w:tcPr>
          <w:p w14:paraId="2B32666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2B32666E" w14:textId="77777777" w:rsidR="009F3D2A" w:rsidRDefault="009F3D2A">
            <w:pPr>
              <w:tabs>
                <w:tab w:val="left" w:pos="551"/>
              </w:tabs>
              <w:spacing w:after="180"/>
              <w:rPr>
                <w:rFonts w:ascii="Times New Roman" w:eastAsia="SimSun" w:hAnsi="Times New Roman" w:cs="Times New Roman"/>
                <w:szCs w:val="20"/>
                <w:lang w:eastAsia="zh-CN"/>
              </w:rPr>
            </w:pPr>
          </w:p>
        </w:tc>
        <w:tc>
          <w:tcPr>
            <w:tcW w:w="6780" w:type="dxa"/>
          </w:tcPr>
          <w:p w14:paraId="2B32666F" w14:textId="77777777" w:rsidR="009F3D2A" w:rsidRDefault="005A6EA2">
            <w:pPr>
              <w:spacing w:after="180"/>
              <w:rPr>
                <w:rFonts w:ascii="Times New Roman" w:eastAsia="Batang" w:hAnsi="Times New Roman" w:cs="Times New Roman"/>
                <w:szCs w:val="20"/>
                <w:lang w:eastAsia="ko-KR"/>
              </w:rPr>
            </w:pPr>
            <w:r>
              <w:rPr>
                <w:rFonts w:ascii="Times New Roman" w:eastAsia="DengXian" w:hAnsi="Times New Roman" w:cs="Times New Roman"/>
                <w:szCs w:val="20"/>
                <w:lang w:eastAsia="zh-CN"/>
              </w:rPr>
              <w:t>Not identified.</w:t>
            </w:r>
          </w:p>
        </w:tc>
      </w:tr>
      <w:tr w:rsidR="00D46DA7" w14:paraId="2B326674" w14:textId="77777777">
        <w:tc>
          <w:tcPr>
            <w:tcW w:w="1479" w:type="dxa"/>
          </w:tcPr>
          <w:p w14:paraId="2B326671"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1372" w:type="dxa"/>
          </w:tcPr>
          <w:p w14:paraId="2B326672" w14:textId="77777777"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w:t>
            </w:r>
          </w:p>
        </w:tc>
        <w:tc>
          <w:tcPr>
            <w:tcW w:w="6780" w:type="dxa"/>
          </w:tcPr>
          <w:p w14:paraId="2B326673"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We don’t see a need to mandate RedCap UEs to support optional features.</w:t>
            </w:r>
          </w:p>
        </w:tc>
      </w:tr>
      <w:tr w:rsidR="004F1103" w14:paraId="62CFCEBF" w14:textId="77777777">
        <w:tc>
          <w:tcPr>
            <w:tcW w:w="1479" w:type="dxa"/>
          </w:tcPr>
          <w:p w14:paraId="46C11072" w14:textId="0ED2F4BF" w:rsidR="004F1103" w:rsidRDefault="004F1103"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1372" w:type="dxa"/>
          </w:tcPr>
          <w:p w14:paraId="77A0BEBA" w14:textId="77777777" w:rsidR="004F1103" w:rsidRDefault="004F1103" w:rsidP="00D46DA7">
            <w:pPr>
              <w:tabs>
                <w:tab w:val="left" w:pos="551"/>
              </w:tabs>
              <w:spacing w:after="180"/>
              <w:rPr>
                <w:rFonts w:ascii="Times New Roman" w:eastAsia="Batang" w:hAnsi="Times New Roman" w:cs="Times New Roman"/>
                <w:szCs w:val="20"/>
                <w:lang w:eastAsia="ko-KR"/>
              </w:rPr>
            </w:pPr>
          </w:p>
        </w:tc>
        <w:tc>
          <w:tcPr>
            <w:tcW w:w="6780" w:type="dxa"/>
          </w:tcPr>
          <w:p w14:paraId="6CC1D330" w14:textId="1F95A5EE" w:rsidR="004F1103" w:rsidRDefault="004F1103"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This would depend on the outcome of the discussion in AI 8.6.1.1, e.g., related to whether FG 6-1a should be mandatory or not.</w:t>
            </w:r>
          </w:p>
        </w:tc>
      </w:tr>
      <w:tr w:rsidR="007D59C8" w14:paraId="46092A5F" w14:textId="77777777">
        <w:tc>
          <w:tcPr>
            <w:tcW w:w="1479" w:type="dxa"/>
          </w:tcPr>
          <w:p w14:paraId="72A088D0" w14:textId="3CE48180" w:rsidR="007D59C8" w:rsidRDefault="007D59C8"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w:t>
            </w:r>
          </w:p>
        </w:tc>
        <w:tc>
          <w:tcPr>
            <w:tcW w:w="1372" w:type="dxa"/>
          </w:tcPr>
          <w:p w14:paraId="13AD7A98" w14:textId="77777777" w:rsidR="007D59C8" w:rsidRDefault="007D59C8" w:rsidP="007D59C8">
            <w:pPr>
              <w:tabs>
                <w:tab w:val="left" w:pos="551"/>
              </w:tabs>
              <w:spacing w:after="180"/>
              <w:rPr>
                <w:rFonts w:ascii="Times New Roman" w:eastAsia="Batang" w:hAnsi="Times New Roman" w:cs="Times New Roman"/>
                <w:szCs w:val="20"/>
                <w:lang w:eastAsia="ko-KR"/>
              </w:rPr>
            </w:pPr>
          </w:p>
        </w:tc>
        <w:tc>
          <w:tcPr>
            <w:tcW w:w="6780" w:type="dxa"/>
          </w:tcPr>
          <w:p w14:paraId="2548DB00" w14:textId="77777777" w:rsidR="007D59C8" w:rsidRDefault="007D59C8"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W</w:t>
            </w:r>
            <w:r w:rsidRPr="003B4855">
              <w:rPr>
                <w:rFonts w:ascii="Times New Roman" w:eastAsia="Batang" w:hAnsi="Times New Roman" w:cs="Times New Roman"/>
                <w:szCs w:val="20"/>
                <w:lang w:eastAsia="ko-KR"/>
              </w:rPr>
              <w:t xml:space="preserve">e are open to discuss making some </w:t>
            </w:r>
            <w:r>
              <w:rPr>
                <w:rFonts w:ascii="Times New Roman" w:eastAsia="Batang" w:hAnsi="Times New Roman" w:cs="Times New Roman"/>
                <w:szCs w:val="20"/>
                <w:lang w:eastAsia="ko-KR"/>
              </w:rPr>
              <w:t>R</w:t>
            </w:r>
            <w:r w:rsidRPr="003B4855">
              <w:rPr>
                <w:rFonts w:ascii="Times New Roman" w:eastAsia="Batang" w:hAnsi="Times New Roman" w:cs="Times New Roman"/>
                <w:szCs w:val="20"/>
                <w:lang w:eastAsia="ko-KR"/>
              </w:rPr>
              <w:t xml:space="preserve">el-16 PS features mandatory (e.g., </w:t>
            </w:r>
            <w:r>
              <w:rPr>
                <w:rFonts w:ascii="Times New Roman" w:eastAsia="Batang" w:hAnsi="Times New Roman" w:cs="Times New Roman"/>
                <w:szCs w:val="20"/>
                <w:lang w:eastAsia="ko-KR"/>
              </w:rPr>
              <w:t xml:space="preserve">FG </w:t>
            </w:r>
            <w:r w:rsidRPr="003B4855">
              <w:rPr>
                <w:rFonts w:ascii="Times New Roman" w:eastAsia="Batang" w:hAnsi="Times New Roman" w:cs="Times New Roman"/>
                <w:szCs w:val="20"/>
                <w:lang w:eastAsia="ko-KR"/>
              </w:rPr>
              <w:t>19-2 cross slot scheduling)</w:t>
            </w:r>
          </w:p>
          <w:p w14:paraId="0144C368" w14:textId="77065E1F" w:rsidR="007D59C8" w:rsidRDefault="007D59C8"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 xml:space="preserve">Suggest to discuss </w:t>
            </w:r>
            <w:r w:rsidRPr="003B4855">
              <w:rPr>
                <w:rFonts w:ascii="Times New Roman" w:eastAsia="Batang" w:hAnsi="Times New Roman" w:cs="Times New Roman"/>
                <w:szCs w:val="20"/>
                <w:lang w:eastAsia="ko-KR"/>
              </w:rPr>
              <w:t>FG 5-17a (PDSCH repetitions over multiple slots). In order to fit within the bandwidth limits</w:t>
            </w:r>
            <w:r>
              <w:rPr>
                <w:rFonts w:ascii="Times New Roman" w:eastAsia="Batang" w:hAnsi="Times New Roman" w:cs="Times New Roman"/>
                <w:szCs w:val="20"/>
                <w:lang w:eastAsia="ko-KR"/>
              </w:rPr>
              <w:t xml:space="preserve"> of RedCap UEs</w:t>
            </w:r>
            <w:r w:rsidRPr="003B4855">
              <w:rPr>
                <w:rFonts w:ascii="Times New Roman" w:eastAsia="Batang" w:hAnsi="Times New Roman" w:cs="Times New Roman"/>
                <w:szCs w:val="20"/>
                <w:lang w:eastAsia="ko-KR"/>
              </w:rPr>
              <w:t xml:space="preserve">, a code rate </w:t>
            </w:r>
            <w:r>
              <w:rPr>
                <w:rFonts w:ascii="Times New Roman" w:eastAsia="Batang" w:hAnsi="Times New Roman" w:cs="Times New Roman"/>
                <w:szCs w:val="20"/>
                <w:lang w:eastAsia="ko-KR"/>
              </w:rPr>
              <w:t>higher than the target code rate may be</w:t>
            </w:r>
            <w:r w:rsidRPr="003B4855">
              <w:rPr>
                <w:rFonts w:ascii="Times New Roman" w:eastAsia="Batang" w:hAnsi="Times New Roman" w:cs="Times New Roman"/>
                <w:szCs w:val="20"/>
                <w:lang w:eastAsia="ko-KR"/>
              </w:rPr>
              <w:t xml:space="preserve"> used. </w:t>
            </w:r>
            <w:r>
              <w:rPr>
                <w:rFonts w:ascii="Times New Roman" w:eastAsia="Batang" w:hAnsi="Times New Roman" w:cs="Times New Roman"/>
                <w:szCs w:val="20"/>
                <w:lang w:eastAsia="ko-KR"/>
              </w:rPr>
              <w:t>The low target c</w:t>
            </w:r>
            <w:r w:rsidRPr="003B4855">
              <w:rPr>
                <w:rFonts w:ascii="Times New Roman" w:eastAsia="Batang" w:hAnsi="Times New Roman" w:cs="Times New Roman"/>
                <w:szCs w:val="20"/>
                <w:lang w:eastAsia="ko-KR"/>
              </w:rPr>
              <w:t xml:space="preserve">ode rate may result from </w:t>
            </w:r>
            <w:r>
              <w:rPr>
                <w:rFonts w:ascii="Times New Roman" w:eastAsia="Batang" w:hAnsi="Times New Roman" w:cs="Times New Roman"/>
                <w:szCs w:val="20"/>
                <w:lang w:eastAsia="ko-KR"/>
              </w:rPr>
              <w:t>having</w:t>
            </w:r>
            <w:r w:rsidRPr="003B4855">
              <w:rPr>
                <w:rFonts w:ascii="Times New Roman" w:eastAsia="Batang" w:hAnsi="Times New Roman" w:cs="Times New Roman"/>
                <w:szCs w:val="20"/>
                <w:lang w:eastAsia="ko-KR"/>
              </w:rPr>
              <w:t xml:space="preserve"> fewer Rx branches</w:t>
            </w:r>
            <w:r>
              <w:rPr>
                <w:rFonts w:ascii="Times New Roman" w:eastAsia="Batang" w:hAnsi="Times New Roman" w:cs="Times New Roman"/>
                <w:szCs w:val="20"/>
                <w:lang w:eastAsia="ko-KR"/>
              </w:rPr>
              <w:t>.</w:t>
            </w:r>
            <w:r w:rsidRPr="003B4855">
              <w:rPr>
                <w:rFonts w:ascii="Times New Roman" w:eastAsia="Batang" w:hAnsi="Times New Roman" w:cs="Times New Roman"/>
                <w:szCs w:val="20"/>
                <w:lang w:eastAsia="ko-KR"/>
              </w:rPr>
              <w:t xml:space="preserve"> While HARQ can </w:t>
            </w:r>
            <w:r>
              <w:rPr>
                <w:rFonts w:ascii="Times New Roman" w:eastAsia="Batang" w:hAnsi="Times New Roman" w:cs="Times New Roman"/>
                <w:szCs w:val="20"/>
                <w:lang w:eastAsia="ko-KR"/>
              </w:rPr>
              <w:t>achieve a low code rate</w:t>
            </w:r>
            <w:r w:rsidRPr="003B4855">
              <w:rPr>
                <w:rFonts w:ascii="Times New Roman" w:eastAsia="Batang" w:hAnsi="Times New Roman" w:cs="Times New Roman"/>
                <w:szCs w:val="20"/>
                <w:lang w:eastAsia="ko-KR"/>
              </w:rPr>
              <w:t>, there is an increase in delay</w:t>
            </w:r>
            <w:r>
              <w:rPr>
                <w:rFonts w:ascii="Times New Roman" w:eastAsia="Batang" w:hAnsi="Times New Roman" w:cs="Times New Roman"/>
                <w:szCs w:val="20"/>
                <w:lang w:eastAsia="ko-KR"/>
              </w:rPr>
              <w:t xml:space="preserve"> and overhead</w:t>
            </w:r>
            <w:r w:rsidRPr="003B4855">
              <w:rPr>
                <w:rFonts w:ascii="Times New Roman" w:eastAsia="Batang" w:hAnsi="Times New Roman" w:cs="Times New Roman"/>
                <w:szCs w:val="20"/>
                <w:lang w:eastAsia="ko-KR"/>
              </w:rPr>
              <w:t>. With repetitions over multiple slots, there is less delay. In addition, there is an improvement in power savings</w:t>
            </w:r>
            <w:r>
              <w:rPr>
                <w:rFonts w:ascii="Times New Roman" w:eastAsia="Batang" w:hAnsi="Times New Roman" w:cs="Times New Roman"/>
                <w:szCs w:val="20"/>
                <w:lang w:eastAsia="ko-KR"/>
              </w:rPr>
              <w:t xml:space="preserve"> and flexibility in scheduling</w:t>
            </w:r>
            <w:r w:rsidRPr="003B4855">
              <w:rPr>
                <w:rFonts w:ascii="Times New Roman" w:eastAsia="Batang" w:hAnsi="Times New Roman" w:cs="Times New Roman"/>
                <w:szCs w:val="20"/>
                <w:lang w:eastAsia="ko-KR"/>
              </w:rPr>
              <w:t>.</w:t>
            </w:r>
          </w:p>
        </w:tc>
      </w:tr>
      <w:tr w:rsidR="007B325F" w14:paraId="2AD524BB" w14:textId="77777777">
        <w:tc>
          <w:tcPr>
            <w:tcW w:w="1479" w:type="dxa"/>
          </w:tcPr>
          <w:p w14:paraId="3326F038" w14:textId="6E1CD742" w:rsidR="007B325F" w:rsidRDefault="007B325F"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Qualcomm</w:t>
            </w:r>
          </w:p>
        </w:tc>
        <w:tc>
          <w:tcPr>
            <w:tcW w:w="1372" w:type="dxa"/>
          </w:tcPr>
          <w:p w14:paraId="77DA5C7F" w14:textId="77777777" w:rsidR="007B325F" w:rsidRDefault="007B325F" w:rsidP="007D59C8">
            <w:pPr>
              <w:tabs>
                <w:tab w:val="left" w:pos="551"/>
              </w:tabs>
              <w:spacing w:after="180"/>
              <w:rPr>
                <w:rFonts w:ascii="Times New Roman" w:eastAsia="Batang" w:hAnsi="Times New Roman" w:cs="Times New Roman"/>
                <w:szCs w:val="20"/>
                <w:lang w:eastAsia="ko-KR"/>
              </w:rPr>
            </w:pPr>
          </w:p>
        </w:tc>
        <w:tc>
          <w:tcPr>
            <w:tcW w:w="6780" w:type="dxa"/>
          </w:tcPr>
          <w:p w14:paraId="0F1B7145" w14:textId="579AF303" w:rsidR="007B325F" w:rsidRDefault="007B325F"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R17 RA-SDT and CG-SDT</w:t>
            </w:r>
          </w:p>
        </w:tc>
      </w:tr>
    </w:tbl>
    <w:p w14:paraId="2B326675" w14:textId="77777777" w:rsidR="009F3D2A" w:rsidRDefault="009F3D2A">
      <w:pPr>
        <w:pStyle w:val="BodyText"/>
        <w:rPr>
          <w:rFonts w:ascii="Times New Roman" w:hAnsi="Times New Roman" w:cs="Times New Roman"/>
          <w:szCs w:val="20"/>
        </w:rPr>
      </w:pPr>
    </w:p>
    <w:p w14:paraId="2B326676" w14:textId="77777777" w:rsidR="009F3D2A" w:rsidRDefault="005A6EA2">
      <w:pPr>
        <w:pStyle w:val="Heading1"/>
      </w:pPr>
      <w:r>
        <w:t>4</w:t>
      </w:r>
      <w:r>
        <w:tab/>
        <w:t>Rel-17 features not applicable for RedCap UEs</w:t>
      </w:r>
    </w:p>
    <w:p w14:paraId="2B32667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14:paraId="2B326678" w14:textId="77777777" w:rsidR="009F3D2A" w:rsidRDefault="009F3D2A">
      <w:pPr>
        <w:pStyle w:val="BodyText"/>
        <w:rPr>
          <w:rFonts w:ascii="Times New Roman" w:hAnsi="Times New Roman" w:cs="Times New Roman"/>
          <w:szCs w:val="20"/>
        </w:rPr>
      </w:pPr>
    </w:p>
    <w:p w14:paraId="2B326679" w14:textId="77777777" w:rsidR="009F3D2A" w:rsidRDefault="005A6EA2">
      <w:pPr>
        <w:pStyle w:val="Heading1"/>
      </w:pPr>
      <w:r>
        <w:t>References</w:t>
      </w:r>
    </w:p>
    <w:bookmarkStart w:id="1" w:name="_Ref65143491"/>
    <w:bookmarkStart w:id="2" w:name="_Ref71040330"/>
    <w:bookmarkStart w:id="3" w:name="_Ref174151459"/>
    <w:bookmarkStart w:id="4" w:name="_Ref189809556"/>
    <w:p w14:paraId="2B32667A"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2B32667B"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3116980"/>
    <w:bookmarkEnd w:id="3"/>
    <w:bookmarkEnd w:id="4"/>
    <w:p w14:paraId="2B32667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bookmarkStart w:id="8" w:name="_Ref83123728"/>
    <w:p w14:paraId="2B32667D"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8"/>
    </w:p>
    <w:bookmarkStart w:id="9" w:name="_Ref84801260"/>
    <w:p w14:paraId="2B32667E"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bookmarkStart w:id="10" w:name="_Ref84806663"/>
    <w:p w14:paraId="2B32667F" w14:textId="77777777"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0"/>
    </w:p>
    <w:bookmarkStart w:id="11" w:name="_Ref84576569"/>
    <w:p w14:paraId="2B326680"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1"/>
    </w:p>
    <w:p w14:paraId="2B326681" w14:textId="77777777" w:rsidR="009F3D2A" w:rsidRDefault="00BF139A">
      <w:pPr>
        <w:pStyle w:val="Reference"/>
        <w:rPr>
          <w:rFonts w:ascii="Times New Roman" w:hAnsi="Times New Roman" w:cs="Times New Roman"/>
        </w:rPr>
      </w:pPr>
      <w:hyperlink r:id="rId21" w:history="1">
        <w:r w:rsidR="005A6EA2">
          <w:rPr>
            <w:rStyle w:val="Hyperlink"/>
            <w:rFonts w:ascii="Times New Roman" w:hAnsi="Times New Roman" w:cs="Times New Roman"/>
          </w:rPr>
          <w:t>R1-2108823</w:t>
        </w:r>
      </w:hyperlink>
      <w:r w:rsidR="005A6EA2">
        <w:rPr>
          <w:rFonts w:ascii="Times New Roman" w:hAnsi="Times New Roman" w:cs="Times New Roman"/>
        </w:rPr>
        <w:t>, “RAN1 aspects for RAN2-led features for RedCap”, Ericsson</w:t>
      </w:r>
    </w:p>
    <w:p w14:paraId="2B326682" w14:textId="77777777" w:rsidR="009F3D2A" w:rsidRDefault="00BF139A">
      <w:pPr>
        <w:pStyle w:val="Reference"/>
        <w:rPr>
          <w:rFonts w:ascii="Times New Roman" w:hAnsi="Times New Roman" w:cs="Times New Roman"/>
        </w:rPr>
      </w:pPr>
      <w:hyperlink r:id="rId22" w:history="1">
        <w:r w:rsidR="005A6EA2">
          <w:rPr>
            <w:rStyle w:val="Hyperlink"/>
            <w:rFonts w:ascii="Times New Roman" w:hAnsi="Times New Roman" w:cs="Times New Roman"/>
          </w:rPr>
          <w:t>R1-2108984</w:t>
        </w:r>
      </w:hyperlink>
      <w:r w:rsidR="005A6EA2">
        <w:rPr>
          <w:rFonts w:ascii="Times New Roman" w:hAnsi="Times New Roman" w:cs="Times New Roman"/>
        </w:rPr>
        <w:t>, “Discussion on L1 reduced capability signaling”, Vivo, Guangdong Genius</w:t>
      </w:r>
    </w:p>
    <w:p w14:paraId="2B326683" w14:textId="77777777" w:rsidR="009F3D2A" w:rsidRDefault="00BF139A">
      <w:pPr>
        <w:pStyle w:val="Reference"/>
        <w:rPr>
          <w:rFonts w:ascii="Times New Roman" w:hAnsi="Times New Roman" w:cs="Times New Roman"/>
        </w:rPr>
      </w:pPr>
      <w:hyperlink r:id="rId23" w:history="1">
        <w:r w:rsidR="005A6EA2">
          <w:rPr>
            <w:rStyle w:val="Hyperlink"/>
            <w:rFonts w:ascii="Times New Roman" w:hAnsi="Times New Roman" w:cs="Times New Roman"/>
          </w:rPr>
          <w:t>R1-2109313</w:t>
        </w:r>
      </w:hyperlink>
      <w:r w:rsidR="005A6EA2">
        <w:rPr>
          <w:rFonts w:ascii="Times New Roman" w:hAnsi="Times New Roman" w:cs="Times New Roman"/>
        </w:rPr>
        <w:t>, “Discussion on RedCap UE capabilities”, Nokia, Nokia Shanghai Bell</w:t>
      </w:r>
    </w:p>
    <w:p w14:paraId="2B326684" w14:textId="77777777" w:rsidR="009F3D2A" w:rsidRDefault="00BF139A">
      <w:pPr>
        <w:pStyle w:val="Reference"/>
        <w:rPr>
          <w:rFonts w:ascii="Times New Roman" w:hAnsi="Times New Roman" w:cs="Times New Roman"/>
        </w:rPr>
      </w:pPr>
      <w:hyperlink r:id="rId24" w:history="1">
        <w:r w:rsidR="005A6EA2">
          <w:rPr>
            <w:rStyle w:val="Hyperlink"/>
            <w:rFonts w:ascii="Times New Roman" w:hAnsi="Times New Roman" w:cs="Times New Roman"/>
          </w:rPr>
          <w:t>R1-2109331</w:t>
        </w:r>
      </w:hyperlink>
      <w:r w:rsidR="005A6EA2">
        <w:rPr>
          <w:rFonts w:ascii="Times New Roman" w:hAnsi="Times New Roman" w:cs="Times New Roman"/>
        </w:rPr>
        <w:t>, “Discussion on RAN2 reply LS on UE capabilities for RedCap”, ZTE, Sanechips</w:t>
      </w:r>
    </w:p>
    <w:bookmarkStart w:id="12" w:name="_Ref84804393"/>
    <w:p w14:paraId="2B326685"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“Discussion on RedCap UE features”, ZTE, Sanechips</w:t>
      </w:r>
      <w:bookmarkEnd w:id="12"/>
    </w:p>
    <w:p w14:paraId="2B326686" w14:textId="77777777" w:rsidR="009F3D2A" w:rsidRDefault="00BF139A">
      <w:pPr>
        <w:pStyle w:val="Reference"/>
        <w:rPr>
          <w:rFonts w:ascii="Times New Roman" w:hAnsi="Times New Roman" w:cs="Times New Roman"/>
        </w:rPr>
      </w:pPr>
      <w:hyperlink r:id="rId25" w:history="1">
        <w:r w:rsidR="005A6EA2">
          <w:rPr>
            <w:rStyle w:val="Hyperlink"/>
            <w:rFonts w:ascii="Times New Roman" w:hAnsi="Times New Roman" w:cs="Times New Roman"/>
          </w:rPr>
          <w:t>R1-2109420</w:t>
        </w:r>
      </w:hyperlink>
      <w:r w:rsidR="005A6EA2">
        <w:rPr>
          <w:rFonts w:ascii="Times New Roman" w:hAnsi="Times New Roman" w:cs="Times New Roman"/>
        </w:rPr>
        <w:t>, “Discussion on the remaining issues of higher layer related topics for RedCap”, Xiaomi</w:t>
      </w:r>
    </w:p>
    <w:bookmarkStart w:id="13" w:name="_Ref84804461"/>
    <w:p w14:paraId="2B326687"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“RAN1 aspects for RAN2-led features for RedCap”, Samsung</w:t>
      </w:r>
      <w:bookmarkEnd w:id="13"/>
    </w:p>
    <w:p w14:paraId="2B326688" w14:textId="77777777" w:rsidR="009F3D2A" w:rsidRDefault="00BF139A">
      <w:pPr>
        <w:pStyle w:val="Reference"/>
        <w:rPr>
          <w:rFonts w:ascii="Times New Roman" w:hAnsi="Times New Roman" w:cs="Times New Roman"/>
        </w:rPr>
      </w:pPr>
      <w:hyperlink r:id="rId26" w:history="1">
        <w:r w:rsidR="005A6EA2">
          <w:rPr>
            <w:rStyle w:val="Hyperlink"/>
            <w:rFonts w:ascii="Times New Roman" w:hAnsi="Times New Roman" w:cs="Times New Roman"/>
          </w:rPr>
          <w:t>R1-2109647</w:t>
        </w:r>
      </w:hyperlink>
      <w:r w:rsidR="005A6EA2">
        <w:rPr>
          <w:rFonts w:ascii="Times New Roman" w:hAnsi="Times New Roman" w:cs="Times New Roman"/>
        </w:rPr>
        <w:t>, “On UE features for RedCap”, Intel Corporation</w:t>
      </w:r>
    </w:p>
    <w:p w14:paraId="2B326689" w14:textId="77777777" w:rsidR="009F3D2A" w:rsidRDefault="00BF139A">
      <w:pPr>
        <w:pStyle w:val="Reference"/>
        <w:rPr>
          <w:rFonts w:ascii="Times New Roman" w:hAnsi="Times New Roman" w:cs="Times New Roman"/>
        </w:rPr>
      </w:pPr>
      <w:hyperlink r:id="rId27" w:history="1">
        <w:r w:rsidR="005A6EA2">
          <w:rPr>
            <w:rStyle w:val="Hyperlink"/>
            <w:rFonts w:ascii="Times New Roman" w:hAnsi="Times New Roman" w:cs="Times New Roman"/>
          </w:rPr>
          <w:t>R1-2109687</w:t>
        </w:r>
      </w:hyperlink>
      <w:r w:rsidR="005A6EA2">
        <w:rPr>
          <w:rFonts w:ascii="Times New Roman" w:hAnsi="Times New Roman" w:cs="Times New Roman"/>
        </w:rPr>
        <w:t>, “Discussion on RAN1 aspects for RAN2-led features for RedCap”, NTT DOCOMO, INC.</w:t>
      </w:r>
    </w:p>
    <w:bookmarkStart w:id="14" w:name="_Ref84804536"/>
    <w:p w14:paraId="2B32668A"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4"/>
    </w:p>
    <w:p w14:paraId="2B32668B" w14:textId="77777777" w:rsidR="009F3D2A" w:rsidRDefault="00BF139A">
      <w:pPr>
        <w:pStyle w:val="Reference"/>
        <w:rPr>
          <w:rFonts w:ascii="Times New Roman" w:hAnsi="Times New Roman" w:cs="Times New Roman"/>
        </w:rPr>
      </w:pPr>
      <w:hyperlink r:id="rId28" w:history="1">
        <w:r w:rsidR="005A6EA2">
          <w:rPr>
            <w:rStyle w:val="Hyperlink"/>
            <w:rFonts w:ascii="Times New Roman" w:hAnsi="Times New Roman" w:cs="Times New Roman"/>
          </w:rPr>
          <w:t>R1-2109998</w:t>
        </w:r>
      </w:hyperlink>
      <w:r w:rsidR="005A6EA2">
        <w:rPr>
          <w:rFonts w:ascii="Times New Roman" w:hAnsi="Times New Roman" w:cs="Times New Roman"/>
        </w:rPr>
        <w:t>, “RAN1 aspects for RAN2-led features for RedCap”, Sharp</w:t>
      </w:r>
    </w:p>
    <w:bookmarkStart w:id="15" w:name="_Ref84576571"/>
    <w:p w14:paraId="2B32668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5"/>
    </w:p>
    <w:p w14:paraId="2B32668D" w14:textId="77777777" w:rsidR="009F3D2A" w:rsidRDefault="009F3D2A">
      <w:pPr>
        <w:pStyle w:val="Reference"/>
        <w:numPr>
          <w:ilvl w:val="0"/>
          <w:numId w:val="0"/>
        </w:numPr>
        <w:ind w:left="567" w:hanging="567"/>
        <w:rPr>
          <w:rFonts w:ascii="Times New Roman" w:hAnsi="Times New Roman" w:cs="Times New Roman"/>
        </w:rPr>
      </w:pPr>
    </w:p>
    <w:sectPr w:rsidR="009F3D2A">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0098" w14:textId="77777777" w:rsidR="00BF139A" w:rsidRDefault="00BF139A">
      <w:pPr>
        <w:spacing w:after="0" w:line="240" w:lineRule="auto"/>
      </w:pPr>
      <w:r>
        <w:separator/>
      </w:r>
    </w:p>
  </w:endnote>
  <w:endnote w:type="continuationSeparator" w:id="0">
    <w:p w14:paraId="1048A8F8" w14:textId="77777777" w:rsidR="00BF139A" w:rsidRDefault="00BF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66A5" w14:textId="77777777" w:rsidR="009F3D2A" w:rsidRDefault="005A6EA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97220">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7220">
      <w:rPr>
        <w:rStyle w:val="PageNumber"/>
        <w:noProof/>
      </w:rPr>
      <w:t>7</w:t>
    </w:r>
    <w:r>
      <w:rPr>
        <w:rStyle w:val="PageNumber"/>
      </w:rPr>
      <w:fldChar w:fldCharType="end"/>
    </w:r>
    <w:r>
      <w:rPr>
        <w:rStyle w:val="PageNumber"/>
      </w:rPr>
      <w:tab/>
    </w:r>
  </w:p>
  <w:p w14:paraId="2B3266A6" w14:textId="77777777" w:rsidR="009F3D2A" w:rsidRDefault="009F3D2A"/>
  <w:p w14:paraId="2B3266A7" w14:textId="77777777" w:rsidR="009F3D2A" w:rsidRDefault="009F3D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C205" w14:textId="77777777" w:rsidR="00BF139A" w:rsidRDefault="00BF139A">
      <w:pPr>
        <w:spacing w:after="0" w:line="240" w:lineRule="auto"/>
      </w:pPr>
      <w:r>
        <w:separator/>
      </w:r>
    </w:p>
  </w:footnote>
  <w:footnote w:type="continuationSeparator" w:id="0">
    <w:p w14:paraId="3B5B8B69" w14:textId="77777777" w:rsidR="00BF139A" w:rsidRDefault="00BF1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66A2" w14:textId="77777777" w:rsidR="009F3D2A" w:rsidRDefault="005A6EA2">
    <w:r>
      <w:t xml:space="preserve">Page </w:t>
    </w:r>
    <w:r>
      <w:fldChar w:fldCharType="begin"/>
    </w:r>
    <w:r>
      <w:instrText>PAGE</w:instrText>
    </w:r>
    <w:r>
      <w:fldChar w:fldCharType="separate"/>
    </w:r>
    <w:r>
      <w:t>4</w:t>
    </w:r>
    <w:r>
      <w:fldChar w:fldCharType="end"/>
    </w:r>
    <w:r>
      <w:br/>
      <w:t>Draft prETS 300 ???: Month YYYY</w:t>
    </w:r>
  </w:p>
  <w:p w14:paraId="2B3266A3" w14:textId="77777777" w:rsidR="009F3D2A" w:rsidRDefault="009F3D2A"/>
  <w:p w14:paraId="2B3266A4" w14:textId="77777777" w:rsidR="009F3D2A" w:rsidRDefault="009F3D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F81AB6"/>
    <w:multiLevelType w:val="hybridMultilevel"/>
    <w:tmpl w:val="C2D28ADA"/>
    <w:lvl w:ilvl="0" w:tplc="DB60718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8"/>
  </w:num>
  <w:num w:numId="3">
    <w:abstractNumId w:val="3"/>
  </w:num>
  <w:num w:numId="4">
    <w:abstractNumId w:val="6"/>
  </w:num>
  <w:num w:numId="5">
    <w:abstractNumId w:val="4"/>
  </w:num>
  <w:num w:numId="6">
    <w:abstractNumId w:val="13"/>
  </w:num>
  <w:num w:numId="7">
    <w:abstractNumId w:val="0"/>
  </w:num>
  <w:num w:numId="8">
    <w:abstractNumId w:val="16"/>
  </w:num>
  <w:num w:numId="9">
    <w:abstractNumId w:val="10"/>
  </w:num>
  <w:num w:numId="10">
    <w:abstractNumId w:val="9"/>
  </w:num>
  <w:num w:numId="11">
    <w:abstractNumId w:val="11"/>
  </w:num>
  <w:num w:numId="12">
    <w:abstractNumId w:val="12"/>
  </w:num>
  <w:num w:numId="13">
    <w:abstractNumId w:val="7"/>
  </w:num>
  <w:num w:numId="14">
    <w:abstractNumId w:val="5"/>
  </w:num>
  <w:num w:numId="15">
    <w:abstractNumId w:val="1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CF6"/>
    <w:rsid w:val="00067187"/>
    <w:rsid w:val="00067473"/>
    <w:rsid w:val="0006782A"/>
    <w:rsid w:val="00067FA1"/>
    <w:rsid w:val="00070862"/>
    <w:rsid w:val="00071340"/>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0F7B93"/>
    <w:rsid w:val="001005FF"/>
    <w:rsid w:val="001007A2"/>
    <w:rsid w:val="00102B62"/>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3B2C"/>
    <w:rsid w:val="00124314"/>
    <w:rsid w:val="00126B4A"/>
    <w:rsid w:val="00127B7B"/>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4C30"/>
    <w:rsid w:val="00254F8B"/>
    <w:rsid w:val="00254F98"/>
    <w:rsid w:val="00255376"/>
    <w:rsid w:val="00257543"/>
    <w:rsid w:val="00257CCD"/>
    <w:rsid w:val="00257D99"/>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43B1"/>
    <w:rsid w:val="00294753"/>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2C17"/>
    <w:rsid w:val="00413AAC"/>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5660"/>
    <w:rsid w:val="00427248"/>
    <w:rsid w:val="00427ECF"/>
    <w:rsid w:val="00430426"/>
    <w:rsid w:val="00431F13"/>
    <w:rsid w:val="00432119"/>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BE3"/>
    <w:rsid w:val="00594E65"/>
    <w:rsid w:val="00595446"/>
    <w:rsid w:val="00595DCA"/>
    <w:rsid w:val="0059610F"/>
    <w:rsid w:val="00596B3F"/>
    <w:rsid w:val="00597220"/>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4ABD"/>
    <w:rsid w:val="005D663A"/>
    <w:rsid w:val="005E1E89"/>
    <w:rsid w:val="005E2C1F"/>
    <w:rsid w:val="005E361D"/>
    <w:rsid w:val="005E385F"/>
    <w:rsid w:val="005E413B"/>
    <w:rsid w:val="005E4AC1"/>
    <w:rsid w:val="005E5006"/>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83C"/>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6952"/>
    <w:rsid w:val="006C7522"/>
    <w:rsid w:val="006D0874"/>
    <w:rsid w:val="006D0C44"/>
    <w:rsid w:val="006D178A"/>
    <w:rsid w:val="006D3CAD"/>
    <w:rsid w:val="006D5BE6"/>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F8A"/>
    <w:rsid w:val="00871867"/>
    <w:rsid w:val="008719A4"/>
    <w:rsid w:val="00871D23"/>
    <w:rsid w:val="0087331A"/>
    <w:rsid w:val="00874312"/>
    <w:rsid w:val="0087437C"/>
    <w:rsid w:val="008745F5"/>
    <w:rsid w:val="00874C6E"/>
    <w:rsid w:val="00875CD7"/>
    <w:rsid w:val="00876B4D"/>
    <w:rsid w:val="00877F18"/>
    <w:rsid w:val="00877F48"/>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46CF"/>
    <w:rsid w:val="00925064"/>
    <w:rsid w:val="00925662"/>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297"/>
    <w:rsid w:val="00A37991"/>
    <w:rsid w:val="00A37D9C"/>
    <w:rsid w:val="00A4133C"/>
    <w:rsid w:val="00A41359"/>
    <w:rsid w:val="00A41E2B"/>
    <w:rsid w:val="00A42763"/>
    <w:rsid w:val="00A45B74"/>
    <w:rsid w:val="00A46EAF"/>
    <w:rsid w:val="00A46FA0"/>
    <w:rsid w:val="00A51408"/>
    <w:rsid w:val="00A52E1D"/>
    <w:rsid w:val="00A53DDF"/>
    <w:rsid w:val="00A55562"/>
    <w:rsid w:val="00A56AE8"/>
    <w:rsid w:val="00A56B38"/>
    <w:rsid w:val="00A61499"/>
    <w:rsid w:val="00A61B50"/>
    <w:rsid w:val="00A61B8E"/>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1C58"/>
    <w:rsid w:val="00B93B59"/>
    <w:rsid w:val="00B9406A"/>
    <w:rsid w:val="00B943B5"/>
    <w:rsid w:val="00B94EB4"/>
    <w:rsid w:val="00B9642F"/>
    <w:rsid w:val="00B967DA"/>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6940"/>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BB1"/>
    <w:rsid w:val="00C31EC8"/>
    <w:rsid w:val="00C32CA1"/>
    <w:rsid w:val="00C3406F"/>
    <w:rsid w:val="00C343D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335D"/>
    <w:rsid w:val="00D237EC"/>
    <w:rsid w:val="00D239A7"/>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6DA7"/>
    <w:rsid w:val="00D475F9"/>
    <w:rsid w:val="00D47A36"/>
    <w:rsid w:val="00D47C49"/>
    <w:rsid w:val="00D511B1"/>
    <w:rsid w:val="00D534DF"/>
    <w:rsid w:val="00D5429D"/>
    <w:rsid w:val="00D546FF"/>
    <w:rsid w:val="00D55AD5"/>
    <w:rsid w:val="00D56406"/>
    <w:rsid w:val="00D5677E"/>
    <w:rsid w:val="00D56A10"/>
    <w:rsid w:val="00D572D8"/>
    <w:rsid w:val="00D576CA"/>
    <w:rsid w:val="00D605BC"/>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475"/>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3288"/>
    <w:rsid w:val="00E43606"/>
    <w:rsid w:val="00E446F1"/>
    <w:rsid w:val="00E46886"/>
    <w:rsid w:val="00E46A8C"/>
    <w:rsid w:val="00E47398"/>
    <w:rsid w:val="00E47AEF"/>
    <w:rsid w:val="00E50885"/>
    <w:rsid w:val="00E53B75"/>
    <w:rsid w:val="00E54E3B"/>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3B5"/>
    <w:rsid w:val="00E74636"/>
    <w:rsid w:val="00E758EC"/>
    <w:rsid w:val="00E765AE"/>
    <w:rsid w:val="00E7672F"/>
    <w:rsid w:val="00E803F6"/>
    <w:rsid w:val="00E8085C"/>
    <w:rsid w:val="00E814DD"/>
    <w:rsid w:val="00E81C84"/>
    <w:rsid w:val="00E8234C"/>
    <w:rsid w:val="00E82584"/>
    <w:rsid w:val="00E83931"/>
    <w:rsid w:val="00E83AA9"/>
    <w:rsid w:val="00E83BF8"/>
    <w:rsid w:val="00E85928"/>
    <w:rsid w:val="00E8648A"/>
    <w:rsid w:val="00E86719"/>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26564"/>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29505AE4-556A-4D4C-8D96-CF9898EC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Jing Lei</cp:lastModifiedBy>
  <cp:revision>10</cp:revision>
  <cp:lastPrinted>2008-01-31T16:09:00Z</cp:lastPrinted>
  <dcterms:created xsi:type="dcterms:W3CDTF">2021-10-14T03:54:00Z</dcterms:created>
  <dcterms:modified xsi:type="dcterms:W3CDTF">2021-10-14T04:30:00Z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