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77777777" w:rsidR="009F3D2A" w:rsidRDefault="005A6EA2">
      <w:pPr>
        <w:pStyle w:val="3GPPHeader"/>
        <w:spacing w:after="60"/>
        <w:rPr>
          <w:sz w:val="32"/>
          <w:szCs w:val="32"/>
        </w:rPr>
      </w:pPr>
      <w:r>
        <w:t>3GPP TSG-RAN WG1 Meeting #106bis-e</w:t>
      </w:r>
      <w:r>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77777777"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7777777"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9F3D2A" w14:paraId="2B326582"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tc>
          <w:tcPr>
            <w:tcW w:w="2830"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tc>
          <w:tcPr>
            <w:tcW w:w="2830"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2410"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tc>
          <w:tcPr>
            <w:tcW w:w="2830"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lastRenderedPageBreak/>
              <w:t>MediaTek</w:t>
            </w:r>
          </w:p>
        </w:tc>
        <w:tc>
          <w:tcPr>
            <w:tcW w:w="2410"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394"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tc>
          <w:tcPr>
            <w:tcW w:w="2830"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2410"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tc>
          <w:tcPr>
            <w:tcW w:w="2830"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9F3D2A" w14:paraId="2B32659A" w14:textId="77777777">
        <w:tc>
          <w:tcPr>
            <w:tcW w:w="2830" w:type="dxa"/>
            <w:tcBorders>
              <w:top w:val="single" w:sz="4" w:space="0" w:color="auto"/>
              <w:left w:val="single" w:sz="4" w:space="0" w:color="auto"/>
              <w:bottom w:val="single" w:sz="4" w:space="0" w:color="auto"/>
              <w:right w:val="single" w:sz="4" w:space="0" w:color="auto"/>
            </w:tcBorders>
          </w:tcPr>
          <w:p w14:paraId="2B326597"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98"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99" w14:textId="77777777" w:rsidR="009F3D2A" w:rsidRDefault="009F3D2A">
            <w:pPr>
              <w:spacing w:after="0"/>
              <w:rPr>
                <w:rFonts w:ascii="Times New Roman" w:eastAsia="Batang" w:hAnsi="Times New Roman" w:cs="Times New Roman"/>
                <w:szCs w:val="20"/>
              </w:rPr>
            </w:pPr>
          </w:p>
        </w:tc>
      </w:tr>
      <w:tr w:rsidR="009F3D2A" w14:paraId="2B32659E" w14:textId="77777777">
        <w:tc>
          <w:tcPr>
            <w:tcW w:w="2830" w:type="dxa"/>
            <w:tcBorders>
              <w:top w:val="single" w:sz="4" w:space="0" w:color="auto"/>
              <w:left w:val="single" w:sz="4" w:space="0" w:color="auto"/>
              <w:bottom w:val="single" w:sz="4" w:space="0" w:color="auto"/>
              <w:right w:val="single" w:sz="4" w:space="0" w:color="auto"/>
            </w:tcBorders>
          </w:tcPr>
          <w:p w14:paraId="2B32659B"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9C"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9D" w14:textId="77777777" w:rsidR="009F3D2A" w:rsidRDefault="009F3D2A">
            <w:pPr>
              <w:spacing w:after="0"/>
              <w:rPr>
                <w:rFonts w:ascii="Times New Roman" w:eastAsia="Batang" w:hAnsi="Times New Roman" w:cs="Times New Roman"/>
                <w:szCs w:val="20"/>
              </w:rPr>
            </w:pPr>
          </w:p>
        </w:tc>
      </w:tr>
      <w:tr w:rsidR="009F3D2A" w14:paraId="2B3265A2" w14:textId="77777777">
        <w:tc>
          <w:tcPr>
            <w:tcW w:w="2830" w:type="dxa"/>
            <w:tcBorders>
              <w:top w:val="single" w:sz="4" w:space="0" w:color="auto"/>
              <w:left w:val="single" w:sz="4" w:space="0" w:color="auto"/>
              <w:bottom w:val="single" w:sz="4" w:space="0" w:color="auto"/>
              <w:right w:val="single" w:sz="4" w:space="0" w:color="auto"/>
            </w:tcBorders>
          </w:tcPr>
          <w:p w14:paraId="2B32659F"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0"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1" w14:textId="77777777" w:rsidR="009F3D2A" w:rsidRDefault="009F3D2A">
            <w:pPr>
              <w:spacing w:after="0"/>
              <w:rPr>
                <w:rFonts w:ascii="Times New Roman" w:eastAsia="Batang" w:hAnsi="Times New Roman" w:cs="Times New Roman"/>
                <w:szCs w:val="20"/>
              </w:rPr>
            </w:pPr>
          </w:p>
        </w:tc>
      </w:tr>
      <w:tr w:rsidR="009F3D2A" w14:paraId="2B3265A6" w14:textId="77777777">
        <w:tc>
          <w:tcPr>
            <w:tcW w:w="2830" w:type="dxa"/>
            <w:tcBorders>
              <w:top w:val="single" w:sz="4" w:space="0" w:color="auto"/>
              <w:left w:val="single" w:sz="4" w:space="0" w:color="auto"/>
              <w:bottom w:val="single" w:sz="4" w:space="0" w:color="auto"/>
              <w:right w:val="single" w:sz="4" w:space="0" w:color="auto"/>
            </w:tcBorders>
          </w:tcPr>
          <w:p w14:paraId="2B3265A3"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4"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5" w14:textId="77777777" w:rsidR="009F3D2A" w:rsidRDefault="009F3D2A">
            <w:pPr>
              <w:spacing w:after="0"/>
              <w:rPr>
                <w:rFonts w:ascii="Times New Roman" w:eastAsia="Batang" w:hAnsi="Times New Roman" w:cs="Times New Roman"/>
                <w:szCs w:val="20"/>
              </w:rPr>
            </w:pPr>
          </w:p>
        </w:tc>
      </w:tr>
      <w:tr w:rsidR="009F3D2A" w14:paraId="2B3265AA" w14:textId="77777777">
        <w:tc>
          <w:tcPr>
            <w:tcW w:w="2830" w:type="dxa"/>
            <w:tcBorders>
              <w:top w:val="single" w:sz="4" w:space="0" w:color="auto"/>
              <w:left w:val="single" w:sz="4" w:space="0" w:color="auto"/>
              <w:bottom w:val="single" w:sz="4" w:space="0" w:color="auto"/>
              <w:right w:val="single" w:sz="4" w:space="0" w:color="auto"/>
            </w:tcBorders>
          </w:tcPr>
          <w:p w14:paraId="2B3265A7"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8"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9" w14:textId="77777777" w:rsidR="009F3D2A" w:rsidRDefault="009F3D2A">
            <w:pPr>
              <w:spacing w:after="0"/>
              <w:rPr>
                <w:rFonts w:ascii="Times New Roman" w:eastAsia="Batang" w:hAnsi="Times New Roman" w:cs="Times New Roman"/>
                <w:szCs w:val="20"/>
              </w:rPr>
            </w:pPr>
          </w:p>
        </w:tc>
      </w:tr>
      <w:tr w:rsidR="009F3D2A" w14:paraId="2B3265AE" w14:textId="77777777">
        <w:tc>
          <w:tcPr>
            <w:tcW w:w="2830" w:type="dxa"/>
            <w:tcBorders>
              <w:top w:val="single" w:sz="4" w:space="0" w:color="auto"/>
              <w:left w:val="single" w:sz="4" w:space="0" w:color="auto"/>
              <w:bottom w:val="single" w:sz="4" w:space="0" w:color="auto"/>
              <w:right w:val="single" w:sz="4" w:space="0" w:color="auto"/>
            </w:tcBorders>
          </w:tcPr>
          <w:p w14:paraId="2B3265AB"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C"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D" w14:textId="77777777" w:rsidR="009F3D2A" w:rsidRDefault="009F3D2A">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9F3D2A" w14:paraId="2B3265D4" w14:textId="77777777">
        <w:tc>
          <w:tcPr>
            <w:tcW w:w="1479" w:type="dxa"/>
          </w:tcPr>
          <w:p w14:paraId="2B3265D1" w14:textId="77777777" w:rsidR="009F3D2A" w:rsidRDefault="009F3D2A">
            <w:pPr>
              <w:spacing w:after="180"/>
              <w:rPr>
                <w:rFonts w:ascii="Times New Roman" w:eastAsia="Batang" w:hAnsi="Times New Roman" w:cs="Times New Roman"/>
                <w:szCs w:val="20"/>
                <w:lang w:eastAsia="ko-KR"/>
              </w:rPr>
            </w:pPr>
          </w:p>
        </w:tc>
        <w:tc>
          <w:tcPr>
            <w:tcW w:w="1372" w:type="dxa"/>
          </w:tcPr>
          <w:p w14:paraId="2B3265D2"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5D3" w14:textId="77777777" w:rsidR="009F3D2A" w:rsidRDefault="009F3D2A">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Rel-15/16 features not applicable for RedCap UEs</w:t>
      </w:r>
    </w:p>
    <w:p w14:paraId="2B3265D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2B3265D8"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B3265D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3265DA"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B3265DB"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2B3265DC"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B3265DD"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B3265DE"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also supporting V2X/PC5 on n47</w:t>
      </w:r>
    </w:p>
    <w:p w14:paraId="2B3265E0"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operating in unlicensed bands</w:t>
      </w:r>
    </w:p>
    <w:p w14:paraId="2B3265E1"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2B3265E2"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B3265E4"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If any spec change/addition is found necessary in order to enable one of the options above then it will not happen in Rel-17.</w:t>
      </w:r>
    </w:p>
    <w:p w14:paraId="2B3265E5"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14:paraId="2B3265E6"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2B3265E7"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2B3265E8"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2B3265E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2B3265EA"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77777777" w:rsidR="009F3D2A" w:rsidRDefault="005A6EA2">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B3265EC"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2B3265EE"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2B3265F1" w14:textId="77777777" w:rsidR="009F3D2A" w:rsidRDefault="005A6EA2">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Default="005A6EA2">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Default="005A6EA2">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56" w:type="dxa"/>
        <w:tblLook w:val="04A0" w:firstRow="1" w:lastRow="0" w:firstColumn="1" w:lastColumn="0" w:noHBand="0" w:noVBand="1"/>
      </w:tblPr>
      <w:tblGrid>
        <w:gridCol w:w="1050"/>
        <w:gridCol w:w="561"/>
        <w:gridCol w:w="8745"/>
      </w:tblGrid>
      <w:tr w:rsidR="009F3D2A" w14:paraId="2B3265F7" w14:textId="77777777" w:rsidTr="00D46DA7">
        <w:tc>
          <w:tcPr>
            <w:tcW w:w="1050" w:type="dxa"/>
            <w:shd w:val="clear" w:color="auto" w:fill="D9D9D9"/>
          </w:tcPr>
          <w:p w14:paraId="2B3265F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5F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45" w:type="dxa"/>
            <w:shd w:val="clear" w:color="auto" w:fill="D9D9D9"/>
          </w:tcPr>
          <w:p w14:paraId="2B3265F6"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FD" w14:textId="77777777" w:rsidTr="00D46DA7">
        <w:tc>
          <w:tcPr>
            <w:tcW w:w="1050" w:type="dxa"/>
          </w:tcPr>
          <w:p w14:paraId="2B3265F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5F9"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45" w:type="dxa"/>
          </w:tcPr>
          <w:p w14:paraId="2B3265FA"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14:paraId="2B326601" w14:textId="77777777" w:rsidTr="00D46DA7">
        <w:tc>
          <w:tcPr>
            <w:tcW w:w="1050" w:type="dxa"/>
          </w:tcPr>
          <w:p w14:paraId="2B3265FE"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561" w:type="dxa"/>
          </w:tcPr>
          <w:p w14:paraId="2B3265FF"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8745" w:type="dxa"/>
          </w:tcPr>
          <w:p w14:paraId="2B326600"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FG 4-12 is applicable to UE supporting more than 4 layers, which exceds the RedCap UE capability.</w:t>
            </w:r>
          </w:p>
        </w:tc>
      </w:tr>
      <w:tr w:rsidR="00D46DA7" w14:paraId="2B326605" w14:textId="77777777" w:rsidTr="00D46DA7">
        <w:tc>
          <w:tcPr>
            <w:tcW w:w="1050" w:type="dxa"/>
          </w:tcPr>
          <w:p w14:paraId="2B326602"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03"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2B326604"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not applicable to RedCap UEs.</w:t>
            </w:r>
          </w:p>
        </w:tc>
      </w:tr>
      <w:tr w:rsidR="006C6952" w14:paraId="7A8CC0B2" w14:textId="77777777" w:rsidTr="00D46DA7">
        <w:tc>
          <w:tcPr>
            <w:tcW w:w="1050" w:type="dxa"/>
          </w:tcPr>
          <w:p w14:paraId="35890F9E" w14:textId="6A0F84F1"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628E927" w14:textId="706BF2E1" w:rsidR="006C6952" w:rsidRDefault="006C6952"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4A856551" w14:textId="3DF664C2"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Aside from those related to CA/DC, </w:t>
            </w:r>
            <w:r w:rsidR="00123B2C">
              <w:rPr>
                <w:rFonts w:ascii="Times New Roman" w:eastAsia="Batang" w:hAnsi="Times New Roman" w:cs="Times New Roman"/>
                <w:szCs w:val="20"/>
                <w:lang w:eastAsia="ko-KR"/>
              </w:rPr>
              <w:t xml:space="preserve">FG 2-16b and </w:t>
            </w:r>
            <w:r w:rsidR="005C571D">
              <w:rPr>
                <w:rFonts w:ascii="Times New Roman" w:eastAsia="Batang" w:hAnsi="Times New Roman" w:cs="Times New Roman"/>
                <w:szCs w:val="20"/>
                <w:lang w:eastAsia="ko-KR"/>
              </w:rPr>
              <w:t>FG #4-12 should not be applicable for RedCap UEs.</w:t>
            </w:r>
          </w:p>
        </w:tc>
      </w:tr>
      <w:tr w:rsidR="00FB5243" w14:paraId="5E024B40" w14:textId="77777777" w:rsidTr="00D46DA7">
        <w:tc>
          <w:tcPr>
            <w:tcW w:w="1050" w:type="dxa"/>
          </w:tcPr>
          <w:p w14:paraId="662D3E1B" w14:textId="128291BA"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70B48665" w14:textId="77777777" w:rsidR="00FB5243" w:rsidRDefault="00FB5243" w:rsidP="00D46DA7">
            <w:pPr>
              <w:tabs>
                <w:tab w:val="left" w:pos="551"/>
              </w:tabs>
              <w:spacing w:after="180"/>
              <w:rPr>
                <w:rFonts w:ascii="Times New Roman" w:eastAsia="Batang" w:hAnsi="Times New Roman" w:cs="Times New Roman"/>
                <w:szCs w:val="20"/>
                <w:lang w:eastAsia="ko-KR"/>
              </w:rPr>
            </w:pPr>
          </w:p>
        </w:tc>
        <w:tc>
          <w:tcPr>
            <w:tcW w:w="8745" w:type="dxa"/>
          </w:tcPr>
          <w:p w14:paraId="5894C2CE" w14:textId="2437A48E"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r>
              <w:rPr>
                <w:rFonts w:ascii="Times New Roman" w:eastAsia="Batang" w:hAnsi="Times New Roman" w:cs="Times New Roman"/>
                <w:szCs w:val="20"/>
                <w:lang w:eastAsia="ko-KR"/>
              </w:rPr>
              <w:t>.</w:t>
            </w:r>
          </w:p>
        </w:tc>
      </w:tr>
    </w:tbl>
    <w:p w14:paraId="2B326606" w14:textId="77777777" w:rsidR="009F3D2A" w:rsidRDefault="009F3D2A">
      <w:pPr>
        <w:pStyle w:val="BodyText"/>
        <w:rPr>
          <w:rFonts w:ascii="Times New Roman" w:hAnsi="Times New Roman" w:cs="Times New Roman"/>
          <w:szCs w:val="20"/>
        </w:rPr>
      </w:pPr>
    </w:p>
    <w:p w14:paraId="2B326607"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34" w:type="dxa"/>
        <w:tblLook w:val="04A0" w:firstRow="1" w:lastRow="0" w:firstColumn="1" w:lastColumn="0" w:noHBand="0" w:noVBand="1"/>
      </w:tblPr>
      <w:tblGrid>
        <w:gridCol w:w="1050"/>
        <w:gridCol w:w="561"/>
        <w:gridCol w:w="8723"/>
      </w:tblGrid>
      <w:tr w:rsidR="009F3D2A" w14:paraId="2B32660B" w14:textId="77777777" w:rsidTr="00D46DA7">
        <w:tc>
          <w:tcPr>
            <w:tcW w:w="1050" w:type="dxa"/>
            <w:shd w:val="clear" w:color="auto" w:fill="D9D9D9"/>
          </w:tcPr>
          <w:p w14:paraId="2B326608"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0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23" w:type="dxa"/>
            <w:shd w:val="clear" w:color="auto" w:fill="D9D9D9"/>
          </w:tcPr>
          <w:p w14:paraId="2B32660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16" w14:textId="77777777" w:rsidTr="00D46DA7">
        <w:tc>
          <w:tcPr>
            <w:tcW w:w="1050" w:type="dxa"/>
          </w:tcPr>
          <w:p w14:paraId="2B32660C"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0D"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23" w:type="dxa"/>
          </w:tcPr>
          <w:p w14:paraId="2B32660E"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have identified following existing FGs (mandatory with capability signaling), which can be made optional for RedCap UEs, with the reasons provided below. </w:t>
            </w:r>
          </w:p>
          <w:p w14:paraId="2B32660F" w14:textId="77777777" w:rsidR="009F3D2A" w:rsidRDefault="005A6EA2">
            <w:pPr>
              <w:adjustRightInd w:val="0"/>
              <w:snapToGrid w:val="0"/>
              <w:spacing w:after="50" w:line="240" w:lineRule="auto"/>
              <w:jc w:val="both"/>
              <w:textAlignment w:val="center"/>
              <w:rPr>
                <w:rFonts w:eastAsiaTheme="minorEastAsia"/>
                <w:szCs w:val="20"/>
                <w:lang w:eastAsia="zh-CN"/>
              </w:rPr>
            </w:pPr>
            <w:r>
              <w:rPr>
                <w:noProof/>
                <w:lang w:val="en-GB" w:eastAsia="zh-CN"/>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Default="009F3D2A">
            <w:pPr>
              <w:adjustRightInd w:val="0"/>
              <w:snapToGrid w:val="0"/>
              <w:spacing w:after="50" w:line="240" w:lineRule="auto"/>
              <w:jc w:val="both"/>
              <w:textAlignment w:val="center"/>
              <w:rPr>
                <w:rFonts w:eastAsia="DengXian"/>
                <w:szCs w:val="20"/>
                <w:lang w:eastAsia="zh-CN"/>
              </w:rPr>
            </w:pPr>
          </w:p>
          <w:p w14:paraId="2B326611" w14:textId="77777777" w:rsidR="009F3D2A" w:rsidRDefault="009F3D2A">
            <w:pPr>
              <w:adjustRightInd w:val="0"/>
              <w:snapToGrid w:val="0"/>
              <w:spacing w:after="50" w:line="240" w:lineRule="auto"/>
              <w:jc w:val="both"/>
              <w:textAlignment w:val="center"/>
              <w:rPr>
                <w:rFonts w:eastAsia="DengXian"/>
                <w:szCs w:val="20"/>
                <w:lang w:eastAsia="zh-CN"/>
              </w:rPr>
            </w:pPr>
          </w:p>
          <w:p w14:paraId="2B326612"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4" w14:textId="77777777" w:rsidR="009F3D2A" w:rsidRDefault="005A6EA2">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t>For RedCap, it can be considered that the control and data channel can always use the same TCI state/spatial relation for complexity reduction.</w:t>
            </w:r>
          </w:p>
          <w:p w14:paraId="2B326615" w14:textId="77777777" w:rsidR="009F3D2A" w:rsidRDefault="009F3D2A">
            <w:pPr>
              <w:spacing w:after="180"/>
              <w:rPr>
                <w:rFonts w:ascii="Times New Roman" w:eastAsia="DengXian" w:hAnsi="Times New Roman" w:cs="Times New Roman"/>
                <w:szCs w:val="20"/>
                <w:lang w:eastAsia="zh-CN"/>
              </w:rPr>
            </w:pPr>
          </w:p>
        </w:tc>
      </w:tr>
      <w:tr w:rsidR="009F3D2A" w14:paraId="2B32661A" w14:textId="77777777" w:rsidTr="00D46DA7">
        <w:tc>
          <w:tcPr>
            <w:tcW w:w="1050" w:type="dxa"/>
          </w:tcPr>
          <w:p w14:paraId="2B326617"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561" w:type="dxa"/>
          </w:tcPr>
          <w:p w14:paraId="2B326618" w14:textId="77777777" w:rsidR="009F3D2A" w:rsidRDefault="009F3D2A">
            <w:pPr>
              <w:tabs>
                <w:tab w:val="left" w:pos="551"/>
              </w:tabs>
              <w:spacing w:after="180"/>
              <w:rPr>
                <w:rFonts w:ascii="Times New Roman" w:eastAsia="Batang" w:hAnsi="Times New Roman" w:cs="Times New Roman"/>
                <w:szCs w:val="20"/>
                <w:lang w:eastAsia="ko-KR"/>
              </w:rPr>
            </w:pPr>
          </w:p>
        </w:tc>
        <w:tc>
          <w:tcPr>
            <w:tcW w:w="8723" w:type="dxa"/>
          </w:tcPr>
          <w:p w14:paraId="2B326619"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DL 256QAM is optional for RedCap UE.</w:t>
            </w:r>
          </w:p>
        </w:tc>
      </w:tr>
      <w:tr w:rsidR="00D46DA7" w14:paraId="2B32661E" w14:textId="77777777" w:rsidTr="00D46DA7">
        <w:tc>
          <w:tcPr>
            <w:tcW w:w="1050" w:type="dxa"/>
          </w:tcPr>
          <w:p w14:paraId="2B32661B"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1C"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2B32661D"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396574" w14:paraId="75532B98" w14:textId="77777777" w:rsidTr="00D46DA7">
        <w:tc>
          <w:tcPr>
            <w:tcW w:w="1050" w:type="dxa"/>
          </w:tcPr>
          <w:p w14:paraId="7F408EB1" w14:textId="55940169"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Intel</w:t>
            </w:r>
          </w:p>
        </w:tc>
        <w:tc>
          <w:tcPr>
            <w:tcW w:w="561" w:type="dxa"/>
          </w:tcPr>
          <w:p w14:paraId="6AAF2199" w14:textId="77777777" w:rsidR="00396574" w:rsidRDefault="00396574" w:rsidP="00D46DA7">
            <w:pPr>
              <w:tabs>
                <w:tab w:val="left" w:pos="551"/>
              </w:tabs>
              <w:spacing w:after="180"/>
              <w:rPr>
                <w:rFonts w:ascii="Times New Roman" w:eastAsia="Batang" w:hAnsi="Times New Roman" w:cs="Times New Roman"/>
                <w:szCs w:val="20"/>
                <w:lang w:eastAsia="ko-KR"/>
              </w:rPr>
            </w:pPr>
          </w:p>
        </w:tc>
        <w:tc>
          <w:tcPr>
            <w:tcW w:w="8723" w:type="dxa"/>
          </w:tcPr>
          <w:p w14:paraId="5BA8C9D1" w14:textId="628632D3"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Decision on FG 1-7 </w:t>
            </w:r>
            <w:r w:rsidR="003F7A05">
              <w:rPr>
                <w:rFonts w:ascii="Times New Roman" w:eastAsia="Batang" w:hAnsi="Times New Roman" w:cs="Times New Roman"/>
                <w:szCs w:val="20"/>
                <w:lang w:eastAsia="ko-KR"/>
              </w:rPr>
              <w:t xml:space="preserve">can </w:t>
            </w:r>
            <w:r w:rsidR="00C366BD">
              <w:rPr>
                <w:rFonts w:ascii="Times New Roman" w:eastAsia="Batang" w:hAnsi="Times New Roman" w:cs="Times New Roman"/>
                <w:szCs w:val="20"/>
                <w:lang w:eastAsia="ko-KR"/>
              </w:rPr>
              <w:t>follow after progress on related discussions in AI 8.6.1.1.</w:t>
            </w:r>
          </w:p>
        </w:tc>
      </w:tr>
      <w:tr w:rsidR="004F1103" w14:paraId="7B53E140" w14:textId="77777777" w:rsidTr="004F1103">
        <w:tc>
          <w:tcPr>
            <w:tcW w:w="1050" w:type="dxa"/>
          </w:tcPr>
          <w:p w14:paraId="72948753" w14:textId="60C3D99F"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47187942" w14:textId="77777777" w:rsidR="004F1103" w:rsidRDefault="004F1103" w:rsidP="00C13471">
            <w:pPr>
              <w:tabs>
                <w:tab w:val="left" w:pos="551"/>
              </w:tabs>
              <w:spacing w:after="180"/>
              <w:rPr>
                <w:rFonts w:ascii="Times New Roman" w:eastAsia="Batang" w:hAnsi="Times New Roman" w:cs="Times New Roman"/>
                <w:szCs w:val="20"/>
                <w:lang w:eastAsia="ko-KR"/>
              </w:rPr>
            </w:pPr>
          </w:p>
        </w:tc>
        <w:tc>
          <w:tcPr>
            <w:tcW w:w="8723" w:type="dxa"/>
          </w:tcPr>
          <w:p w14:paraId="10F0A76E" w14:textId="7800C566"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bl>
    <w:p w14:paraId="2B32661F" w14:textId="77777777" w:rsidR="009F3D2A" w:rsidRDefault="009F3D2A">
      <w:pPr>
        <w:pStyle w:val="BodyText"/>
        <w:rPr>
          <w:rFonts w:ascii="Times New Roman" w:hAnsi="Times New Roman" w:cs="Times New Roman"/>
          <w:szCs w:val="20"/>
        </w:rPr>
      </w:pPr>
    </w:p>
    <w:p w14:paraId="2B326620"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050"/>
        <w:gridCol w:w="561"/>
        <w:gridCol w:w="8797"/>
      </w:tblGrid>
      <w:tr w:rsidR="009F3D2A" w14:paraId="2B326624" w14:textId="77777777">
        <w:tc>
          <w:tcPr>
            <w:tcW w:w="1479" w:type="dxa"/>
            <w:shd w:val="clear" w:color="auto" w:fill="D9D9D9"/>
          </w:tcPr>
          <w:p w14:paraId="2B326621"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2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2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2C" w14:textId="77777777">
        <w:tc>
          <w:tcPr>
            <w:tcW w:w="1479" w:type="dxa"/>
          </w:tcPr>
          <w:p w14:paraId="2B326625"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26"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6780" w:type="dxa"/>
          </w:tcPr>
          <w:p w14:paraId="2B32662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identified the following FGs. The highlighted components are related to CA thus are not applicable to RedCap UEs, and the components related to per CC limit are still valid and can be reported by RedCap UEs. </w:t>
            </w:r>
          </w:p>
          <w:p w14:paraId="2B326628"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Default="009F3D2A">
            <w:pPr>
              <w:spacing w:after="180"/>
              <w:rPr>
                <w:rFonts w:ascii="Times New Roman" w:eastAsia="DengXian" w:hAnsi="Times New Roman" w:cs="Times New Roman"/>
                <w:szCs w:val="20"/>
                <w:lang w:eastAsia="zh-CN"/>
              </w:rPr>
            </w:pPr>
          </w:p>
          <w:p w14:paraId="2B32662A"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9F3D2A" w14:paraId="2B326630" w14:textId="77777777">
        <w:tc>
          <w:tcPr>
            <w:tcW w:w="1479" w:type="dxa"/>
          </w:tcPr>
          <w:p w14:paraId="2B32662D" w14:textId="77777777" w:rsidR="009F3D2A" w:rsidRDefault="009F3D2A">
            <w:pPr>
              <w:spacing w:after="180"/>
              <w:rPr>
                <w:rFonts w:ascii="Times New Roman" w:eastAsia="Batang" w:hAnsi="Times New Roman" w:cs="Times New Roman"/>
                <w:szCs w:val="20"/>
                <w:lang w:eastAsia="ko-KR"/>
              </w:rPr>
            </w:pPr>
          </w:p>
        </w:tc>
        <w:tc>
          <w:tcPr>
            <w:tcW w:w="1372" w:type="dxa"/>
          </w:tcPr>
          <w:p w14:paraId="2B32662E"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2F" w14:textId="77777777" w:rsidR="009F3D2A" w:rsidRDefault="009F3D2A">
            <w:pPr>
              <w:spacing w:after="180"/>
              <w:rPr>
                <w:rFonts w:ascii="Times New Roman" w:eastAsia="Batang" w:hAnsi="Times New Roman" w:cs="Times New Roman"/>
                <w:szCs w:val="20"/>
                <w:lang w:eastAsia="ko-KR"/>
              </w:rPr>
            </w:pPr>
          </w:p>
        </w:tc>
      </w:tr>
    </w:tbl>
    <w:p w14:paraId="2B326631" w14:textId="77777777" w:rsidR="009F3D2A" w:rsidRDefault="009F3D2A">
      <w:pPr>
        <w:pStyle w:val="BodyText"/>
        <w:rPr>
          <w:rFonts w:ascii="Times New Roman" w:hAnsi="Times New Roman" w:cs="Times New Roman"/>
          <w:szCs w:val="20"/>
        </w:rPr>
      </w:pPr>
    </w:p>
    <w:p w14:paraId="2B326632"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36" w14:textId="77777777">
        <w:tc>
          <w:tcPr>
            <w:tcW w:w="1479" w:type="dxa"/>
            <w:shd w:val="clear" w:color="auto" w:fill="D9D9D9"/>
          </w:tcPr>
          <w:p w14:paraId="2B32663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3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3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3A" w14:textId="77777777">
        <w:tc>
          <w:tcPr>
            <w:tcW w:w="1479" w:type="dxa"/>
          </w:tcPr>
          <w:p w14:paraId="2B32663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38"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3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9F3D2A" w14:paraId="2B32663F" w14:textId="77777777">
        <w:tc>
          <w:tcPr>
            <w:tcW w:w="1479" w:type="dxa"/>
          </w:tcPr>
          <w:p w14:paraId="2B32663B"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63C"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63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Default="005A6EA2">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hint="eastAsia"/>
                <w:szCs w:val="20"/>
                <w:lang w:eastAsia="ko-KR"/>
              </w:rPr>
              <w:t xml:space="preserve">FGs exceeding </w:t>
            </w:r>
            <w:r>
              <w:rPr>
                <w:rFonts w:ascii="Times New Roman" w:eastAsia="SimSun" w:hAnsi="Times New Roman" w:cs="Times New Roman" w:hint="eastAsia"/>
                <w:szCs w:val="20"/>
                <w:lang w:eastAsia="zh-CN"/>
              </w:rPr>
              <w:t xml:space="preserve">RX and </w:t>
            </w:r>
            <w:r>
              <w:rPr>
                <w:rFonts w:ascii="Times New Roman" w:eastAsia="Batang" w:hAnsi="Times New Roman" w:cs="Times New Roman" w:hint="eastAsia"/>
                <w:szCs w:val="20"/>
                <w:lang w:eastAsia="ko-KR"/>
              </w:rPr>
              <w:t>1 Tx are not supported, including 2-13, 2-14</w:t>
            </w:r>
            <w:r>
              <w:rPr>
                <w:rFonts w:ascii="Times New Roman" w:eastAsia="SimSun" w:hAnsi="Times New Roman" w:cs="Times New Roman" w:hint="eastAsia"/>
                <w:szCs w:val="20"/>
                <w:lang w:eastAsia="zh-CN"/>
              </w:rPr>
              <w:t>,15-18, 15-19, 16-3a-3, 16-3b-2</w:t>
            </w:r>
          </w:p>
        </w:tc>
      </w:tr>
      <w:tr w:rsidR="004F1103" w14:paraId="5AA19B29" w14:textId="77777777">
        <w:tc>
          <w:tcPr>
            <w:tcW w:w="1479" w:type="dxa"/>
          </w:tcPr>
          <w:p w14:paraId="11ECAE34" w14:textId="37D43E37" w:rsidR="004F1103" w:rsidRDefault="004F1103">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Ericsson</w:t>
            </w:r>
          </w:p>
        </w:tc>
        <w:tc>
          <w:tcPr>
            <w:tcW w:w="1372" w:type="dxa"/>
          </w:tcPr>
          <w:p w14:paraId="3FE3B14B" w14:textId="77777777" w:rsidR="004F1103" w:rsidRDefault="004F1103">
            <w:pPr>
              <w:tabs>
                <w:tab w:val="left" w:pos="551"/>
              </w:tabs>
              <w:spacing w:after="180"/>
              <w:rPr>
                <w:rFonts w:ascii="Times New Roman" w:eastAsia="SimSun" w:hAnsi="Times New Roman" w:cs="Times New Roman" w:hint="eastAsia"/>
                <w:szCs w:val="20"/>
                <w:lang w:eastAsia="zh-CN"/>
              </w:rPr>
            </w:pPr>
          </w:p>
        </w:tc>
        <w:tc>
          <w:tcPr>
            <w:tcW w:w="6780" w:type="dxa"/>
          </w:tcPr>
          <w:p w14:paraId="1D157120" w14:textId="39B5ABC9" w:rsidR="004F1103" w:rsidRDefault="004F1103">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bl>
    <w:p w14:paraId="2B326640" w14:textId="77777777" w:rsidR="009F3D2A" w:rsidRDefault="009F3D2A">
      <w:pPr>
        <w:pStyle w:val="BodyText"/>
        <w:rPr>
          <w:rFonts w:ascii="Times New Roman" w:hAnsi="Times New Roman" w:cs="Times New Roman"/>
          <w:szCs w:val="20"/>
        </w:rPr>
      </w:pPr>
    </w:p>
    <w:p w14:paraId="2B326641"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45" w14:textId="77777777">
        <w:tc>
          <w:tcPr>
            <w:tcW w:w="1479" w:type="dxa"/>
            <w:shd w:val="clear" w:color="auto" w:fill="D9D9D9"/>
          </w:tcPr>
          <w:p w14:paraId="2B32664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4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4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6C" w14:textId="77777777">
        <w:tc>
          <w:tcPr>
            <w:tcW w:w="1479" w:type="dxa"/>
          </w:tcPr>
          <w:p w14:paraId="2B326646"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47"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4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S</w:t>
            </w:r>
            <w:r>
              <w:rPr>
                <w:rFonts w:ascii="Times New Roman" w:eastAsia="DengXian" w:hAnsi="Times New Roman" w:cs="Times New Roman"/>
                <w:szCs w:val="20"/>
                <w:lang w:eastAsia="zh-CN"/>
              </w:rPr>
              <w:t xml:space="preserve">uggest to discuss whether some or all the Rel-16 UE power saving features are mandatory for RedCap UEs, i.e. </w:t>
            </w:r>
          </w:p>
          <w:p w14:paraId="2B32664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9F3D2A" w14:paraId="2B32664C" w14:textId="77777777">
              <w:tc>
                <w:tcPr>
                  <w:tcW w:w="0" w:type="auto"/>
                </w:tcPr>
                <w:p w14:paraId="2B32664A" w14:textId="77777777" w:rsidR="009F3D2A" w:rsidRPr="00D46DA7" w:rsidRDefault="005A6EA2">
                  <w:pPr>
                    <w:pStyle w:val="TAL"/>
                    <w:rPr>
                      <w:rFonts w:cs="Arial"/>
                      <w:szCs w:val="18"/>
                      <w:lang w:val="en-GB"/>
                    </w:rPr>
                  </w:pPr>
                  <w:r w:rsidRPr="00D46DA7">
                    <w:rPr>
                      <w:rFonts w:cs="Arial"/>
                      <w:szCs w:val="18"/>
                      <w:lang w:val="en-GB"/>
                    </w:rPr>
                    <w:t>19-1</w:t>
                  </w:r>
                </w:p>
              </w:tc>
              <w:tc>
                <w:tcPr>
                  <w:tcW w:w="0" w:type="auto"/>
                </w:tcPr>
                <w:p w14:paraId="2B32664B" w14:textId="77777777" w:rsidR="009F3D2A" w:rsidRPr="00D46DA7" w:rsidRDefault="005A6EA2">
                  <w:pPr>
                    <w:pStyle w:val="TAL"/>
                    <w:rPr>
                      <w:rFonts w:cs="Arial"/>
                      <w:szCs w:val="18"/>
                      <w:lang w:val="en-GB"/>
                    </w:rPr>
                  </w:pPr>
                  <w:r w:rsidRPr="00D46DA7">
                    <w:rPr>
                      <w:rFonts w:cs="Arial"/>
                      <w:szCs w:val="18"/>
                      <w:lang w:val="en-GB"/>
                    </w:rPr>
                    <w:t xml:space="preserve">DRX Adaptation </w:t>
                  </w:r>
                </w:p>
              </w:tc>
            </w:tr>
            <w:tr w:rsidR="009F3D2A" w14:paraId="2B32664F" w14:textId="77777777">
              <w:tc>
                <w:tcPr>
                  <w:tcW w:w="0" w:type="auto"/>
                </w:tcPr>
                <w:p w14:paraId="2B32664D" w14:textId="77777777" w:rsidR="009F3D2A" w:rsidRPr="00D46DA7" w:rsidRDefault="005A6EA2">
                  <w:pPr>
                    <w:pStyle w:val="TAL"/>
                    <w:rPr>
                      <w:rFonts w:cs="Arial"/>
                      <w:szCs w:val="18"/>
                      <w:lang w:val="en-GB"/>
                    </w:rPr>
                  </w:pPr>
                  <w:r w:rsidRPr="00D46DA7">
                    <w:rPr>
                      <w:rFonts w:cs="Arial"/>
                      <w:szCs w:val="18"/>
                      <w:lang w:val="en-GB"/>
                    </w:rPr>
                    <w:t>19-2</w:t>
                  </w:r>
                </w:p>
              </w:tc>
              <w:tc>
                <w:tcPr>
                  <w:tcW w:w="0" w:type="auto"/>
                </w:tcPr>
                <w:p w14:paraId="2B32664E" w14:textId="77777777" w:rsidR="009F3D2A" w:rsidRPr="00D46DA7" w:rsidRDefault="005A6EA2">
                  <w:pPr>
                    <w:pStyle w:val="TAL"/>
                    <w:rPr>
                      <w:rFonts w:cs="Arial"/>
                      <w:szCs w:val="18"/>
                      <w:lang w:val="en-GB"/>
                    </w:rPr>
                  </w:pPr>
                  <w:r w:rsidRPr="00D46DA7">
                    <w:rPr>
                      <w:rFonts w:cs="Arial"/>
                      <w:szCs w:val="18"/>
                      <w:lang w:val="en-GB"/>
                    </w:rPr>
                    <w:t>Cross Slot Scheduling</w:t>
                  </w:r>
                </w:p>
              </w:tc>
            </w:tr>
            <w:tr w:rsidR="009F3D2A" w14:paraId="2B326652" w14:textId="77777777">
              <w:tc>
                <w:tcPr>
                  <w:tcW w:w="0" w:type="auto"/>
                </w:tcPr>
                <w:p w14:paraId="2B326650" w14:textId="77777777" w:rsidR="009F3D2A" w:rsidRPr="00D46DA7" w:rsidRDefault="005A6EA2">
                  <w:pPr>
                    <w:pStyle w:val="TAL"/>
                    <w:rPr>
                      <w:rFonts w:cs="Arial"/>
                      <w:szCs w:val="18"/>
                      <w:lang w:val="en-GB"/>
                    </w:rPr>
                  </w:pPr>
                  <w:r w:rsidRPr="00D46DA7">
                    <w:rPr>
                      <w:rFonts w:cs="Arial"/>
                      <w:szCs w:val="18"/>
                      <w:lang w:val="en-GB"/>
                    </w:rPr>
                    <w:t>19-3</w:t>
                  </w:r>
                </w:p>
              </w:tc>
              <w:tc>
                <w:tcPr>
                  <w:tcW w:w="0" w:type="auto"/>
                </w:tcPr>
                <w:p w14:paraId="2B326651" w14:textId="77777777" w:rsidR="009F3D2A" w:rsidRPr="00D46DA7" w:rsidRDefault="005A6EA2">
                  <w:pPr>
                    <w:pStyle w:val="TAL"/>
                    <w:rPr>
                      <w:rFonts w:cs="Arial"/>
                      <w:szCs w:val="18"/>
                      <w:lang w:val="en-GB"/>
                    </w:rPr>
                  </w:pPr>
                  <w:r w:rsidRPr="00D46DA7">
                    <w:rPr>
                      <w:rFonts w:cs="Arial"/>
                      <w:szCs w:val="18"/>
                      <w:lang w:val="en-GB"/>
                    </w:rPr>
                    <w:t>Maximum MIMO Layer Adaptation</w:t>
                  </w:r>
                </w:p>
              </w:tc>
            </w:tr>
            <w:tr w:rsidR="009F3D2A" w14:paraId="2B326655" w14:textId="77777777">
              <w:tc>
                <w:tcPr>
                  <w:tcW w:w="0" w:type="auto"/>
                </w:tcPr>
                <w:p w14:paraId="2B326653" w14:textId="77777777" w:rsidR="009F3D2A" w:rsidRPr="00D46DA7" w:rsidRDefault="005A6EA2">
                  <w:pPr>
                    <w:pStyle w:val="TAL"/>
                    <w:rPr>
                      <w:rFonts w:cs="Arial"/>
                      <w:szCs w:val="18"/>
                      <w:lang w:val="en-GB"/>
                    </w:rPr>
                  </w:pPr>
                  <w:r w:rsidRPr="00D46DA7">
                    <w:rPr>
                      <w:rFonts w:cs="Arial"/>
                      <w:szCs w:val="18"/>
                      <w:lang w:val="en-GB"/>
                    </w:rPr>
                    <w:t>19-4a</w:t>
                  </w:r>
                </w:p>
              </w:tc>
              <w:tc>
                <w:tcPr>
                  <w:tcW w:w="0" w:type="auto"/>
                </w:tcPr>
                <w:p w14:paraId="2B326654" w14:textId="77777777" w:rsidR="009F3D2A" w:rsidRPr="00D46DA7" w:rsidRDefault="005A6EA2">
                  <w:pPr>
                    <w:pStyle w:val="TAL"/>
                    <w:rPr>
                      <w:rFonts w:cs="Arial"/>
                      <w:szCs w:val="18"/>
                      <w:lang w:val="en-GB"/>
                    </w:rPr>
                  </w:pPr>
                  <w:r w:rsidRPr="00D46DA7">
                    <w:rPr>
                      <w:rFonts w:cs="Arial"/>
                      <w:szCs w:val="18"/>
                      <w:lang w:val="en-GB"/>
                    </w:rPr>
                    <w:t>UE assistance information</w:t>
                  </w:r>
                </w:p>
              </w:tc>
            </w:tr>
          </w:tbl>
          <w:p w14:paraId="2B326656" w14:textId="77777777" w:rsidR="009F3D2A" w:rsidRDefault="009F3D2A">
            <w:pPr>
              <w:spacing w:after="180"/>
              <w:rPr>
                <w:rFonts w:ascii="Times New Roman" w:eastAsia="DengXian" w:hAnsi="Times New Roman" w:cs="Times New Roman"/>
                <w:szCs w:val="20"/>
                <w:lang w:eastAsia="zh-CN"/>
              </w:rPr>
            </w:pPr>
          </w:p>
          <w:p w14:paraId="2B32665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F3D2A" w14:paraId="2B32665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2B326658" w14:textId="77777777" w:rsidR="009F3D2A" w:rsidRDefault="005A6EA2">
                  <w:pPr>
                    <w:pStyle w:val="TAL"/>
                    <w:rPr>
                      <w:rFonts w:asciiTheme="majorHAnsi" w:hAnsiTheme="majorHAnsi" w:cstheme="majorHAnsi"/>
                      <w:szCs w:val="18"/>
                    </w:rPr>
                  </w:pPr>
                  <w:r>
                    <w:t>19-1</w:t>
                  </w:r>
                </w:p>
              </w:tc>
              <w:tc>
                <w:tcPr>
                  <w:tcW w:w="5694" w:type="dxa"/>
                  <w:tcBorders>
                    <w:top w:val="single" w:sz="4" w:space="0" w:color="auto"/>
                    <w:left w:val="single" w:sz="4" w:space="0" w:color="auto"/>
                    <w:bottom w:val="single" w:sz="4" w:space="0" w:color="auto"/>
                    <w:right w:val="single" w:sz="4" w:space="0" w:color="auto"/>
                  </w:tcBorders>
                </w:tcPr>
                <w:p w14:paraId="2B326659"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DRX preference</w:t>
                  </w:r>
                </w:p>
              </w:tc>
            </w:tr>
            <w:tr w:rsidR="009F3D2A" w14:paraId="2B32665D"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B" w14:textId="77777777" w:rsidR="009F3D2A" w:rsidRDefault="005A6EA2">
                  <w:pPr>
                    <w:pStyle w:val="TAL"/>
                    <w:rPr>
                      <w:rFonts w:asciiTheme="majorHAnsi" w:hAnsiTheme="majorHAnsi" w:cstheme="majorHAnsi"/>
                      <w:szCs w:val="18"/>
                    </w:rPr>
                  </w:pPr>
                  <w:r>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C"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aggregated bandwidth preference</w:t>
                  </w:r>
                </w:p>
              </w:tc>
            </w:tr>
            <w:tr w:rsidR="009F3D2A" w14:paraId="2B326660"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E" w14:textId="77777777" w:rsidR="009F3D2A" w:rsidRDefault="005A6EA2">
                  <w:pPr>
                    <w:pStyle w:val="TAL"/>
                    <w:rPr>
                      <w:rFonts w:asciiTheme="majorHAnsi" w:hAnsiTheme="majorHAnsi" w:cstheme="majorHAnsi"/>
                      <w:szCs w:val="18"/>
                    </w:rPr>
                  </w:pPr>
                  <w:r>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F"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number of secondary component carrier preference</w:t>
                  </w:r>
                </w:p>
              </w:tc>
            </w:tr>
            <w:tr w:rsidR="009F3D2A" w14:paraId="2B32666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1" w14:textId="77777777" w:rsidR="009F3D2A" w:rsidRDefault="005A6EA2">
                  <w:pPr>
                    <w:pStyle w:val="TAL"/>
                  </w:pPr>
                  <w: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2" w14:textId="77777777" w:rsidR="009F3D2A" w:rsidRPr="00D46DA7" w:rsidRDefault="005A6EA2">
                  <w:pPr>
                    <w:pStyle w:val="TAL"/>
                    <w:rPr>
                      <w:lang w:val="en-GB"/>
                    </w:rPr>
                  </w:pPr>
                  <w:r w:rsidRPr="00D46DA7">
                    <w:rPr>
                      <w:lang w:val="en-GB"/>
                    </w:rPr>
                    <w:t>UE assistance information for power saving – Maximum number of MIMO layers preference</w:t>
                  </w:r>
                </w:p>
              </w:tc>
            </w:tr>
            <w:tr w:rsidR="009F3D2A" w14:paraId="2B326666"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4" w14:textId="77777777" w:rsidR="009F3D2A" w:rsidRDefault="005A6EA2">
                  <w:pPr>
                    <w:pStyle w:val="TAL"/>
                  </w:pPr>
                  <w: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5" w14:textId="77777777" w:rsidR="009F3D2A" w:rsidRPr="00D46DA7" w:rsidRDefault="005A6EA2">
                  <w:pPr>
                    <w:pStyle w:val="TAL"/>
                    <w:rPr>
                      <w:lang w:val="en-GB"/>
                    </w:rPr>
                  </w:pPr>
                  <w:r w:rsidRPr="00D46DA7">
                    <w:rPr>
                      <w:lang w:val="en-GB"/>
                    </w:rPr>
                    <w:t>UE assistance information for power saving – preference to transition out of RRC_CONNECTED</w:t>
                  </w:r>
                </w:p>
              </w:tc>
            </w:tr>
            <w:tr w:rsidR="009F3D2A" w14:paraId="2B32666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7" w14:textId="77777777" w:rsidR="009F3D2A" w:rsidRPr="00D46DA7" w:rsidRDefault="005A6EA2">
                  <w:pPr>
                    <w:pStyle w:val="TAL"/>
                    <w:rPr>
                      <w:lang w:val="en-GB"/>
                    </w:rPr>
                  </w:pPr>
                  <w:r w:rsidRPr="00D46DA7">
                    <w:rPr>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8" w14:textId="77777777" w:rsidR="009F3D2A" w:rsidRPr="00D46DA7" w:rsidRDefault="005A6EA2">
                  <w:pPr>
                    <w:pStyle w:val="TAL"/>
                    <w:rPr>
                      <w:rFonts w:eastAsia="SimSun"/>
                      <w:lang w:val="en-GB"/>
                    </w:rPr>
                  </w:pPr>
                  <w:r w:rsidRPr="00D46DA7">
                    <w:rPr>
                      <w:rFonts w:eastAsia="SimSun"/>
                      <w:lang w:val="en-GB"/>
                    </w:rPr>
                    <w:t>Relaxed measurement</w:t>
                  </w:r>
                </w:p>
              </w:tc>
            </w:tr>
          </w:tbl>
          <w:p w14:paraId="2B32666A" w14:textId="77777777" w:rsidR="009F3D2A" w:rsidRDefault="009F3D2A">
            <w:pPr>
              <w:spacing w:after="180"/>
              <w:rPr>
                <w:rFonts w:ascii="Times New Roman" w:eastAsia="DengXian" w:hAnsi="Times New Roman" w:cs="Times New Roman"/>
                <w:szCs w:val="20"/>
                <w:lang w:eastAsia="zh-CN"/>
              </w:rPr>
            </w:pPr>
          </w:p>
          <w:p w14:paraId="2B32666B"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I</w:t>
            </w:r>
            <w:r>
              <w:rPr>
                <w:rFonts w:ascii="Times New Roman" w:eastAsia="DengXian" w:hAnsi="Times New Roman" w:cs="Times New Roman"/>
                <w:szCs w:val="20"/>
                <w:lang w:eastAsia="zh-CN"/>
              </w:rPr>
              <w:t xml:space="preserve">t can also be discussed if some or all Rel-17 UE power saving features are mandatory for RedCap UEs, but this can be discussed later until the Rel-17 UE power saving FGs becomes stable. </w:t>
            </w:r>
          </w:p>
        </w:tc>
      </w:tr>
      <w:tr w:rsidR="009F3D2A" w14:paraId="2B326670" w14:textId="77777777">
        <w:tc>
          <w:tcPr>
            <w:tcW w:w="1479" w:type="dxa"/>
          </w:tcPr>
          <w:p w14:paraId="2B32666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66E" w14:textId="77777777" w:rsidR="009F3D2A" w:rsidRDefault="009F3D2A">
            <w:pPr>
              <w:tabs>
                <w:tab w:val="left" w:pos="551"/>
              </w:tabs>
              <w:spacing w:after="180"/>
              <w:rPr>
                <w:rFonts w:ascii="Times New Roman" w:eastAsia="SimSun" w:hAnsi="Times New Roman" w:cs="Times New Roman"/>
                <w:szCs w:val="20"/>
                <w:lang w:eastAsia="zh-CN"/>
              </w:rPr>
            </w:pPr>
          </w:p>
        </w:tc>
        <w:tc>
          <w:tcPr>
            <w:tcW w:w="6780" w:type="dxa"/>
          </w:tcPr>
          <w:p w14:paraId="2B32666F" w14:textId="77777777" w:rsidR="009F3D2A" w:rsidRDefault="005A6EA2">
            <w:pPr>
              <w:spacing w:after="180"/>
              <w:rPr>
                <w:rFonts w:ascii="Times New Roman" w:eastAsia="Batang" w:hAnsi="Times New Roman" w:cs="Times New Roman"/>
                <w:szCs w:val="20"/>
                <w:lang w:eastAsia="ko-KR"/>
              </w:rPr>
            </w:pPr>
            <w:r>
              <w:rPr>
                <w:rFonts w:ascii="Times New Roman" w:eastAsia="DengXian" w:hAnsi="Times New Roman" w:cs="Times New Roman"/>
                <w:szCs w:val="20"/>
                <w:lang w:eastAsia="zh-CN"/>
              </w:rPr>
              <w:t>Not identified.</w:t>
            </w:r>
          </w:p>
        </w:tc>
      </w:tr>
      <w:tr w:rsidR="00D46DA7" w14:paraId="2B326674" w14:textId="77777777">
        <w:tc>
          <w:tcPr>
            <w:tcW w:w="1479" w:type="dxa"/>
          </w:tcPr>
          <w:p w14:paraId="2B326671"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MediaTek</w:t>
            </w:r>
          </w:p>
        </w:tc>
        <w:tc>
          <w:tcPr>
            <w:tcW w:w="1372" w:type="dxa"/>
          </w:tcPr>
          <w:p w14:paraId="2B326672"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w:t>
            </w:r>
          </w:p>
        </w:tc>
        <w:tc>
          <w:tcPr>
            <w:tcW w:w="6780" w:type="dxa"/>
          </w:tcPr>
          <w:p w14:paraId="2B326673"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don’t see a need to mandate RedCap UEs to support optional features.</w:t>
            </w:r>
          </w:p>
        </w:tc>
      </w:tr>
      <w:tr w:rsidR="004F1103" w14:paraId="62CFCEBF" w14:textId="77777777">
        <w:tc>
          <w:tcPr>
            <w:tcW w:w="1479" w:type="dxa"/>
          </w:tcPr>
          <w:p w14:paraId="46C11072" w14:textId="0ED2F4BF"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1372" w:type="dxa"/>
          </w:tcPr>
          <w:p w14:paraId="77A0BEBA" w14:textId="77777777" w:rsidR="004F1103" w:rsidRDefault="004F1103" w:rsidP="00D46DA7">
            <w:pPr>
              <w:tabs>
                <w:tab w:val="left" w:pos="551"/>
              </w:tabs>
              <w:spacing w:after="180"/>
              <w:rPr>
                <w:rFonts w:ascii="Times New Roman" w:eastAsia="Batang" w:hAnsi="Times New Roman" w:cs="Times New Roman"/>
                <w:szCs w:val="20"/>
                <w:lang w:eastAsia="ko-KR"/>
              </w:rPr>
            </w:pPr>
          </w:p>
        </w:tc>
        <w:tc>
          <w:tcPr>
            <w:tcW w:w="6780" w:type="dxa"/>
          </w:tcPr>
          <w:p w14:paraId="6CC1D330" w14:textId="1F95A5EE"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4F1103">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4F1103">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4F1103">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4F1103">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4F1103">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4F1103">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4F1103">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4F1103">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E7615" w14:textId="77777777" w:rsidR="002B3062" w:rsidRDefault="002B3062">
      <w:pPr>
        <w:spacing w:after="0" w:line="240" w:lineRule="auto"/>
      </w:pPr>
      <w:r>
        <w:separator/>
      </w:r>
    </w:p>
  </w:endnote>
  <w:endnote w:type="continuationSeparator" w:id="0">
    <w:p w14:paraId="7E9DCED1" w14:textId="77777777" w:rsidR="002B3062" w:rsidRDefault="002B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9F3D2A" w:rsidRDefault="005A6E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722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7220">
      <w:rPr>
        <w:rStyle w:val="PageNumber"/>
        <w:noProof/>
      </w:rPr>
      <w:t>7</w:t>
    </w:r>
    <w:r>
      <w:rPr>
        <w:rStyle w:val="PageNumber"/>
      </w:rPr>
      <w:fldChar w:fldCharType="end"/>
    </w:r>
    <w:r>
      <w:rPr>
        <w:rStyle w:val="PageNumber"/>
      </w:rPr>
      <w:tab/>
    </w:r>
  </w:p>
  <w:p w14:paraId="2B3266A6" w14:textId="77777777" w:rsidR="009F3D2A" w:rsidRDefault="009F3D2A"/>
  <w:p w14:paraId="2B3266A7" w14:textId="77777777" w:rsidR="009F3D2A" w:rsidRDefault="009F3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5B876" w14:textId="77777777" w:rsidR="002B3062" w:rsidRDefault="002B3062">
      <w:pPr>
        <w:spacing w:after="0" w:line="240" w:lineRule="auto"/>
      </w:pPr>
      <w:r>
        <w:separator/>
      </w:r>
    </w:p>
  </w:footnote>
  <w:footnote w:type="continuationSeparator" w:id="0">
    <w:p w14:paraId="13904682" w14:textId="77777777" w:rsidR="002B3062" w:rsidRDefault="002B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9F3D2A" w:rsidRDefault="005A6EA2">
    <w:r>
      <w:t xml:space="preserve">Page </w:t>
    </w:r>
    <w:r>
      <w:fldChar w:fldCharType="begin"/>
    </w:r>
    <w:r>
      <w:instrText>PAGE</w:instrText>
    </w:r>
    <w:r>
      <w:fldChar w:fldCharType="separate"/>
    </w:r>
    <w:r>
      <w:t>4</w:t>
    </w:r>
    <w:r>
      <w:fldChar w:fldCharType="end"/>
    </w:r>
    <w:r>
      <w:br/>
      <w:t>Draft prETS 300 ???: Month YYYY</w:t>
    </w:r>
  </w:p>
  <w:p w14:paraId="2B3266A3" w14:textId="77777777" w:rsidR="009F3D2A" w:rsidRDefault="009F3D2A"/>
  <w:p w14:paraId="2B3266A4" w14:textId="77777777" w:rsidR="009F3D2A" w:rsidRDefault="009F3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6"/>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7757"/>
    <w:rsid w:val="009F08F3"/>
    <w:rsid w:val="009F1E19"/>
    <w:rsid w:val="009F344F"/>
    <w:rsid w:val="009F3D2A"/>
    <w:rsid w:val="009F4F6E"/>
    <w:rsid w:val="009F5FB3"/>
    <w:rsid w:val="009F783F"/>
    <w:rsid w:val="00A009B0"/>
    <w:rsid w:val="00A00D9E"/>
    <w:rsid w:val="00A0184F"/>
    <w:rsid w:val="00A031D8"/>
    <w:rsid w:val="00A04590"/>
    <w:rsid w:val="00A048A8"/>
    <w:rsid w:val="00A04F49"/>
    <w:rsid w:val="00A055AC"/>
    <w:rsid w:val="00A06299"/>
    <w:rsid w:val="00A06D68"/>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505AE4-556A-4D4C-8D96-CF9898ECF2D1}">
  <ds:schemaRefs>
    <ds:schemaRef ds:uri="http://schemas.openxmlformats.org/officeDocument/2006/bibliography"/>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2346</Words>
  <Characters>14766</Characters>
  <Application>Microsoft Office Word</Application>
  <DocSecurity>0</DocSecurity>
  <Lines>123</Lines>
  <Paragraphs>34</Paragraphs>
  <ScaleCrop>false</ScaleCrop>
  <Company>Ericsson</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Sandeep Narayanan Kadan Veedu</cp:lastModifiedBy>
  <cp:revision>20</cp:revision>
  <cp:lastPrinted>2008-01-31T16:09:00Z</cp:lastPrinted>
  <dcterms:created xsi:type="dcterms:W3CDTF">2021-10-13T04:23:00Z</dcterms:created>
  <dcterms:modified xsi:type="dcterms:W3CDTF">2021-10-13T21:23:00Z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