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DF0368">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DF0368">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DF0368">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0907FE">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3.5pt;mso-width-percent:0;mso-height-percent:0;mso-width-percent:0;mso-height-percent:0" equationxml="&lt;">
                  <v:imagedata r:id="rId11" o:title="" chromakey="white"/>
                </v:shape>
              </w:pict>
            </w:r>
            <w:r>
              <w:rPr>
                <w:b/>
                <w:i/>
              </w:rPr>
              <w:t xml:space="preserve"> , UE determines the next available NPRACH occasion after uplink slot </w:t>
            </w:r>
            <w:r w:rsidR="000907FE">
              <w:rPr>
                <w:rFonts w:cs="Times"/>
                <w:noProof/>
                <w:position w:val="-8"/>
                <w:lang w:val="en-GB" w:eastAsia="en-US"/>
              </w:rPr>
              <w:pict w14:anchorId="5975FDA4">
                <v:shape id="_x0000_i1026" type="#_x0000_t75" alt="" style="width:52.5pt;height:14.2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25pt;height:13.5pt;mso-width-percent:0;mso-height-percent:0;mso-width-percent:0;mso-height-percent:0" o:ole="">
            <v:imagedata r:id="rId14" o:title=""/>
          </v:shape>
          <o:OLEObject Type="Embed" ProgID="Equation.3" ShapeID="_x0000_i1027" DrawAspect="Content" ObjectID="_1696105287"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proofErr w:type="spellStart"/>
            <w:r>
              <w:rPr>
                <w:rFonts w:eastAsia="DengXian"/>
                <w:lang w:eastAsia="zh-CN"/>
              </w:rPr>
              <w:t>Novamin</w:t>
            </w:r>
            <w:r>
              <w:t>t</w:t>
            </w:r>
            <w:proofErr w:type="spellEnd"/>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w:t>
      </w:r>
      <w:proofErr w:type="gramStart"/>
      <w:r w:rsidRPr="00295F15">
        <w:t>random access</w:t>
      </w:r>
      <w:proofErr w:type="gramEnd"/>
      <w:r w:rsidRPr="00295F15">
        <w:t xml:space="preserve"> procedure initiated by a N/MPDCCH order, the UE shall delay the transmission of the random access preamble by </w:t>
      </w:r>
      <w:proofErr w:type="spellStart"/>
      <w:r w:rsidRPr="00295F15">
        <w:rPr>
          <w:i/>
          <w:iCs/>
        </w:rPr>
        <w:t>K</w:t>
      </w:r>
      <w:r w:rsidRPr="00295F15">
        <w:rPr>
          <w:i/>
          <w:iCs/>
          <w:vertAlign w:val="subscript"/>
        </w:rPr>
        <w:t>offset</w:t>
      </w:r>
      <w:proofErr w:type="spellEnd"/>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proofErr w:type="gramStart"/>
      <w:r>
        <w:t>has to</w:t>
      </w:r>
      <w:proofErr w:type="gramEnd"/>
      <w:r>
        <w:t xml:space="preserve">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pt;height:91.5pt;mso-width-percent:0;mso-height-percent:0;mso-width-percent:0;mso-height-percent:0" o:ole="">
                  <v:imagedata r:id="rId17" o:title=""/>
                </v:shape>
                <o:OLEObject Type="Embed" ProgID="Visio.Drawing.15" ShapeID="_x0000_i1028" DrawAspect="Content" ObjectID="_1696105288"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proofErr w:type="gramStart"/>
            <w:r w:rsidR="00831B35">
              <w:t>in order to</w:t>
            </w:r>
            <w:proofErr w:type="gramEnd"/>
            <w:r w:rsidR="00831B35">
              <w:t xml:space="preserve">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w:t>
            </w:r>
            <w:proofErr w:type="gramStart"/>
            <w:r w:rsidR="00CE4AA6">
              <w:rPr>
                <w:rFonts w:eastAsia="DengXian"/>
                <w:lang w:eastAsia="zh-CN"/>
              </w:rPr>
              <w:t>offset</w:t>
            </w:r>
            <w:proofErr w:type="spellEnd"/>
            <w:r w:rsidR="00C00B51">
              <w:rPr>
                <w:rFonts w:eastAsia="DengXian"/>
                <w:lang w:eastAsia="zh-CN"/>
              </w:rPr>
              <w:t>, and</w:t>
            </w:r>
            <w:proofErr w:type="gramEnd"/>
            <w:r w:rsidR="00C00B51">
              <w:rPr>
                <w:rFonts w:eastAsia="DengXian"/>
                <w:lang w:eastAsia="zh-CN"/>
              </w:rPr>
              <w:t xml:space="preserve">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proofErr w:type="gramStart"/>
            <w:r>
              <w:rPr>
                <w:rFonts w:eastAsia="DengXian"/>
                <w:lang w:eastAsia="zh-CN"/>
              </w:rPr>
              <w:t>Similar to</w:t>
            </w:r>
            <w:proofErr w:type="gramEnd"/>
            <w:r>
              <w:rPr>
                <w:rFonts w:eastAsia="DengXian"/>
                <w:lang w:eastAsia="zh-CN"/>
              </w:rPr>
              <w:t xml:space="preserve">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DengXian"/>
                <w:lang w:eastAsia="zh-CN"/>
              </w:rPr>
              <w:t>Koffset</w:t>
            </w:r>
            <w:proofErr w:type="spellEnd"/>
            <w:r>
              <w:rPr>
                <w:rFonts w:eastAsia="DengXian"/>
                <w:lang w:eastAsia="zh-CN"/>
              </w:rPr>
              <w:t xml:space="preserve">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proofErr w:type="gramStart"/>
            <w:r>
              <w:t>e.g.</w:t>
            </w:r>
            <w:proofErr w:type="gramEnd"/>
            <w:r>
              <w:t xml:space="preserve">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361" w:type="dxa"/>
          </w:tcPr>
          <w:p w14:paraId="0DF50D5B" w14:textId="6B0068D8" w:rsidR="00DD773D" w:rsidRDefault="00DD773D" w:rsidP="00DD773D">
            <w:r>
              <w:rPr>
                <w:rFonts w:eastAsia="DengXian"/>
                <w:lang w:eastAsia="zh-CN"/>
              </w:rPr>
              <w:t xml:space="preserve">For NB-IoT, subframe n is a DL subframe, thus, delayed by </w:t>
            </w:r>
            <w:proofErr w:type="spellStart"/>
            <w:r>
              <w:rPr>
                <w:rFonts w:eastAsia="DengXian"/>
                <w:lang w:eastAsia="zh-CN"/>
              </w:rPr>
              <w:t>Koffset</w:t>
            </w:r>
            <w:proofErr w:type="spellEnd"/>
            <w:r>
              <w:rPr>
                <w:rFonts w:eastAsia="DengXian"/>
                <w:lang w:eastAsia="zh-CN"/>
              </w:rPr>
              <w:t xml:space="preserve">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9" type="#_x0000_t75" alt="" style="width:290.25pt;height:62.25pt;mso-width-percent:0;mso-height-percent:0;mso-width-percent:0;mso-height-percent:0" o:ole="">
                  <v:imagedata r:id="rId20" o:title=""/>
                </v:shape>
                <o:OLEObject Type="Embed" ProgID="Visio.Drawing.11" ShapeID="_x0000_i1029" DrawAspect="Content" ObjectID="_1696105289"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xml:space="preserve">, UE is ready to </w:t>
            </w:r>
            <w:proofErr w:type="spellStart"/>
            <w:r>
              <w:t>tx</w:t>
            </w:r>
            <w:proofErr w:type="spellEnd"/>
            <w:r>
              <w:t xml:space="preserve">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w:t>
            </w:r>
            <w:proofErr w:type="spellStart"/>
            <w:r>
              <w:t>Koffset</w:t>
            </w:r>
            <w:proofErr w:type="spellEnd"/>
            <w:r>
              <w:t xml:space="preserve">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w:t>
      </w:r>
      <w:proofErr w:type="spellStart"/>
      <w:r w:rsidRPr="007670CE">
        <w:rPr>
          <w:b/>
          <w:highlight w:val="cyan"/>
          <w:lang w:eastAsia="x-none"/>
        </w:rPr>
        <w:t>Koffset</w:t>
      </w:r>
      <w:proofErr w:type="spellEnd"/>
      <w:r w:rsidRPr="007670CE">
        <w:rPr>
          <w:b/>
          <w:highlight w:val="cyan"/>
          <w:lang w:eastAsia="x-none"/>
        </w:rPr>
        <w:t xml:space="preserve">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 xml:space="preserve">For </w:t>
      </w:r>
      <w:proofErr w:type="spellStart"/>
      <w:r>
        <w:t>eMTC</w:t>
      </w:r>
      <w:proofErr w:type="spellEnd"/>
      <w:r>
        <w:t xml:space="preserve"> in IoT NTN, if the UE determines that a preamble retransmission is necessary, the choice of a suitable preamble retransmission subframe shall be delayed by </w:t>
      </w:r>
      <w:proofErr w:type="spellStart"/>
      <w:r>
        <w:t>Koffset</w:t>
      </w:r>
      <w:proofErr w:type="spellEnd"/>
      <w:r>
        <w:t xml:space="preserve">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w:t>
      </w:r>
      <w:proofErr w:type="gramStart"/>
      <w:r w:rsidR="004867A1">
        <w:t>the overwhelming majority of</w:t>
      </w:r>
      <w:proofErr w:type="gramEnd"/>
      <w:r w:rsidR="004867A1">
        <w:t xml:space="preserve">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w:t>
            </w:r>
            <w:proofErr w:type="gramStart"/>
            <w:r w:rsidR="00CA7823">
              <w:rPr>
                <w:rFonts w:eastAsia="DengXian"/>
              </w:rPr>
              <w:t xml:space="preserve">and </w:t>
            </w:r>
            <w:r w:rsidR="00803CC2">
              <w:rPr>
                <w:rFonts w:eastAsia="DengXian"/>
              </w:rPr>
              <w:t>also</w:t>
            </w:r>
            <w:proofErr w:type="gramEnd"/>
            <w:r w:rsidR="00803CC2">
              <w:rPr>
                <w:rFonts w:eastAsia="DengXian"/>
              </w:rPr>
              <w:t xml:space="preserve">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w:t>
            </w:r>
            <w:proofErr w:type="gramStart"/>
            <w:r>
              <w:rPr>
                <w:rFonts w:eastAsia="DengXian"/>
                <w:lang w:eastAsia="zh-CN"/>
              </w:rPr>
              <w:t>taken into account</w:t>
            </w:r>
            <w:proofErr w:type="gramEnd"/>
            <w:r>
              <w:rPr>
                <w:rFonts w:eastAsia="DengXian"/>
                <w:lang w:eastAsia="zh-CN"/>
              </w:rPr>
              <w: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 xml:space="preserve">f the group intend to discuss the support of PUR for LEO, it would better to have separate discussion on the TA validation mechanism </w:t>
            </w:r>
            <w:proofErr w:type="gramStart"/>
            <w:r w:rsidRPr="00ED0EAB">
              <w:rPr>
                <w:rFonts w:eastAsia="DengXian"/>
                <w:lang w:eastAsia="zh-CN"/>
              </w:rPr>
              <w:t>taking into account</w:t>
            </w:r>
            <w:proofErr w:type="gramEnd"/>
            <w:r w:rsidRPr="00ED0EAB">
              <w:rPr>
                <w:rFonts w:eastAsia="DengXian"/>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w:t>
      </w:r>
      <w:proofErr w:type="gramStart"/>
      <w:r>
        <w:rPr>
          <w:rFonts w:eastAsia="DengXian"/>
        </w:rPr>
        <w:t>at this time</w:t>
      </w:r>
      <w:proofErr w:type="gramEnd"/>
      <w:r>
        <w:rPr>
          <w:rFonts w:eastAsia="DengXian"/>
        </w:rPr>
        <w:t xml:space="preserve">. </w:t>
      </w:r>
      <w:r>
        <w:rPr>
          <w:rFonts w:eastAsia="DengXian"/>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 xml:space="preserve">For NB-IoT, if the UE has initiated an NPUSCH transmission using pre-configured uplink resources ending in subframe n, the UE shall start or restart to monitor the NPDCCH from DL subframe n+4+K_mac (where </w:t>
      </w:r>
      <w:proofErr w:type="spellStart"/>
      <w:r>
        <w:t>K_mac</w:t>
      </w:r>
      <w:proofErr w:type="spellEnd"/>
      <w:r>
        <w:t xml:space="preserve">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 xml:space="preserve">For </w:t>
      </w:r>
      <w:proofErr w:type="spellStart"/>
      <w:r>
        <w:t>eMTC</w:t>
      </w:r>
      <w:proofErr w:type="spellEnd"/>
      <w:r>
        <w:t xml:space="preserve">, if the UE has initiated an PUSCH transmission using pre-configured uplink resources ending in subframe n, the UE shall start or restart to monitor the MPDCCH from DL subframe n+4+K_mac (where </w:t>
      </w:r>
      <w:proofErr w:type="spellStart"/>
      <w:r>
        <w:t>K_mac</w:t>
      </w:r>
      <w:proofErr w:type="spellEnd"/>
      <w:r>
        <w:t xml:space="preserve">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A607A5" w:rsidRDefault="00A607A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607A5" w:rsidRDefault="00A607A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A607A5" w:rsidRDefault="00A607A5"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A607A5" w:rsidRDefault="00A607A5"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proofErr w:type="gramStart"/>
      <w:r w:rsidR="00B412BB">
        <w:rPr>
          <w:lang w:val="en-GB" w:eastAsia="en-GB"/>
        </w:rPr>
        <w:t>actually be</w:t>
      </w:r>
      <w:proofErr w:type="gramEnd"/>
      <w:r w:rsidR="00B412BB">
        <w:rPr>
          <w:lang w:val="en-GB" w:eastAsia="en-GB"/>
        </w:rPr>
        <w:t xml:space="preserv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w:t>
      </w:r>
      <w:proofErr w:type="gramStart"/>
      <w:r w:rsidR="00B412BB">
        <w:rPr>
          <w:lang w:val="en-GB" w:eastAsia="en-GB"/>
        </w:rPr>
        <w:t>actually transmitted</w:t>
      </w:r>
      <w:proofErr w:type="gramEnd"/>
      <w:r w:rsidR="00B412BB">
        <w:rPr>
          <w:lang w:val="en-GB" w:eastAsia="en-GB"/>
        </w:rPr>
        <w:t xml:space="preserve">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lastRenderedPageBreak/>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proofErr w:type="spellStart"/>
            <w:r>
              <w:rPr>
                <w:rFonts w:eastAsia="DengXian"/>
                <w:lang w:eastAsia="zh-CN"/>
              </w:rPr>
              <w:t>Novamin</w:t>
            </w:r>
            <w:r>
              <w:t>t</w:t>
            </w:r>
            <w:proofErr w:type="spellEnd"/>
            <w:r>
              <w:t xml:space="preserve">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lastRenderedPageBreak/>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w:t>
            </w:r>
            <w:proofErr w:type="spellStart"/>
            <w:r w:rsidRPr="00D06892">
              <w:rPr>
                <w:rFonts w:eastAsia="DengXian"/>
              </w:rPr>
              <w:t>Koffset</w:t>
            </w:r>
            <w:proofErr w:type="spellEnd"/>
            <w:r w:rsidRPr="00D06892">
              <w:rPr>
                <w:rFonts w:eastAsia="DengXian"/>
              </w:rPr>
              <w:t xml:space="preserve">)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w:t>
      </w:r>
      <w:proofErr w:type="gramStart"/>
      <w:r>
        <w:rPr>
          <w:lang w:eastAsia="x-none"/>
        </w:rPr>
        <w:t>actually transmits</w:t>
      </w:r>
      <w:proofErr w:type="gramEnd"/>
      <w:r>
        <w:rPr>
          <w:lang w:eastAsia="x-none"/>
        </w:rPr>
        <w:t xml:space="preserve">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legacy restriction, </w:t>
            </w:r>
            <w:proofErr w:type="gramStart"/>
            <w:r w:rsidRPr="00B91C4B">
              <w:rPr>
                <w:lang w:val="en-GB"/>
              </w:rPr>
              <w:t>i.e.</w:t>
            </w:r>
            <w:proofErr w:type="gramEnd"/>
            <w:r w:rsidRPr="00B91C4B">
              <w:rPr>
                <w:lang w:val="en-GB"/>
              </w:rPr>
              <w:t xml:space="preserv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 xml:space="preserve">the PDCCH monitoring in </w:t>
            </w:r>
            <w:proofErr w:type="gramStart"/>
            <w:r w:rsidRPr="00163FC4">
              <w:rPr>
                <w:rFonts w:eastAsia="DengXian"/>
                <w:lang w:val="en-GB" w:eastAsia="zh-CN"/>
              </w:rPr>
              <w:t>DL;</w:t>
            </w:r>
            <w:proofErr w:type="gramEnd"/>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proofErr w:type="gramStart"/>
            <w:r>
              <w:t>specifications</w:t>
            </w:r>
            <w:r w:rsidRPr="00163FC4">
              <w:rPr>
                <w:rFonts w:eastAsia="DengXian"/>
                <w:lang w:val="en-GB" w:eastAsia="zh-CN"/>
              </w:rPr>
              <w:t>, because</w:t>
            </w:r>
            <w:proofErr w:type="gramEnd"/>
            <w:r w:rsidRPr="00163FC4">
              <w:rPr>
                <w:rFonts w:eastAsia="DengXian"/>
                <w:lang w:val="en-GB" w:eastAsia="zh-CN"/>
              </w:rPr>
              <w:t xml:space="preserv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proofErr w:type="spellStart"/>
            <w:r w:rsidRPr="008759AB">
              <w:rPr>
                <w:rFonts w:eastAsia="DengXian"/>
                <w:lang w:eastAsia="zh-CN"/>
              </w:rPr>
              <w:t>K_offset</w:t>
            </w:r>
            <w:proofErr w:type="spellEnd"/>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proofErr w:type="spellStart"/>
            <w:r w:rsidRPr="008759AB">
              <w:rPr>
                <w:rFonts w:eastAsia="DengXian"/>
                <w:lang w:eastAsia="zh-CN"/>
              </w:rPr>
              <w:t>K_offset</w:t>
            </w:r>
            <w:proofErr w:type="spellEnd"/>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proofErr w:type="spellStart"/>
            <w:r w:rsidRPr="008759AB">
              <w:rPr>
                <w:rFonts w:eastAsia="DengXian"/>
                <w:lang w:eastAsia="zh-CN"/>
              </w:rPr>
              <w:t>K_offset</w:t>
            </w:r>
            <w:proofErr w:type="spellEnd"/>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proofErr w:type="spellStart"/>
            <w:r w:rsidR="00A5143F" w:rsidRPr="008759AB">
              <w:rPr>
                <w:rFonts w:eastAsia="DengXian"/>
                <w:lang w:eastAsia="zh-CN"/>
              </w:rPr>
              <w:t>K_offset</w:t>
            </w:r>
            <w:proofErr w:type="spellEnd"/>
            <w:r w:rsidR="00A5143F">
              <w:rPr>
                <w:rFonts w:eastAsia="DengXian" w:hint="eastAsia"/>
                <w:lang w:eastAsia="zh-CN"/>
              </w:rPr>
              <w:t xml:space="preserve"> or cell-specific </w:t>
            </w:r>
            <w:proofErr w:type="spellStart"/>
            <w:r w:rsidR="00A5143F" w:rsidRPr="008759AB">
              <w:rPr>
                <w:rFonts w:eastAsia="DengXian"/>
                <w:lang w:eastAsia="zh-CN"/>
              </w:rPr>
              <w:t>K_offset</w:t>
            </w:r>
            <w:proofErr w:type="spellEnd"/>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r w:rsidR="000907FE" w:rsidRPr="008A4526" w14:paraId="27A07645" w14:textId="77777777" w:rsidTr="003B0A31">
        <w:tc>
          <w:tcPr>
            <w:tcW w:w="1741" w:type="dxa"/>
          </w:tcPr>
          <w:p w14:paraId="1467EF31" w14:textId="77777777" w:rsidR="000907FE" w:rsidRDefault="000907FE" w:rsidP="003B0A31">
            <w:pPr>
              <w:rPr>
                <w:rFonts w:eastAsia="DengXian"/>
                <w:lang w:eastAsia="zh-CN"/>
              </w:rPr>
            </w:pPr>
            <w:r>
              <w:rPr>
                <w:rFonts w:eastAsia="DengXian"/>
                <w:lang w:eastAsia="zh-CN"/>
              </w:rPr>
              <w:lastRenderedPageBreak/>
              <w:t>Nordic Semiconductor</w:t>
            </w:r>
          </w:p>
        </w:tc>
        <w:tc>
          <w:tcPr>
            <w:tcW w:w="7326" w:type="dxa"/>
          </w:tcPr>
          <w:p w14:paraId="724FEE89" w14:textId="77777777" w:rsidR="000907FE" w:rsidRDefault="000907FE" w:rsidP="003B0A31">
            <w:pPr>
              <w:rPr>
                <w:rFonts w:eastAsia="DengXian"/>
                <w:lang w:eastAsia="zh-CN"/>
              </w:rPr>
            </w:pPr>
            <w:r>
              <w:rPr>
                <w:rFonts w:eastAsia="DengXian"/>
                <w:lang w:eastAsia="zh-CN"/>
              </w:rPr>
              <w:t>We think that NPDCCH monitoring restrictions should be defined in terms of downlink subframe indices. Due to somewhat complicated relation of the start of UL transmission in terms of DL indices, could we simply refer (</w:t>
            </w:r>
            <w:proofErr w:type="spellStart"/>
            <w:r>
              <w:rPr>
                <w:rFonts w:eastAsia="DengXian"/>
                <w:lang w:eastAsia="zh-CN"/>
              </w:rPr>
              <w:t>implicitely</w:t>
            </w:r>
            <w:proofErr w:type="spellEnd"/>
            <w:r>
              <w:rPr>
                <w:rFonts w:eastAsia="DengXian"/>
                <w:lang w:eastAsia="zh-CN"/>
              </w:rPr>
              <w:t xml:space="preserve">) to the start of UL transmission. E.g. </w:t>
            </w:r>
          </w:p>
          <w:p w14:paraId="7F7EDF66" w14:textId="77777777" w:rsidR="000907FE" w:rsidRDefault="000907FE" w:rsidP="003B0A31">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r w:rsidRPr="00094912">
              <w:rPr>
                <w:i/>
                <w:highlight w:val="yellow"/>
              </w:rPr>
              <w:t>+K_offset</w:t>
            </w:r>
            <w:proofErr w:type="spellEnd"/>
            <w:r>
              <w:rPr>
                <w:i/>
              </w:rPr>
              <w:t>,</w:t>
            </w:r>
          </w:p>
          <w:p w14:paraId="414D3FF8" w14:textId="77777777" w:rsidR="000907FE" w:rsidRDefault="000907FE" w:rsidP="003B0A31">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 xml:space="preserve">the start of UL </w:t>
            </w:r>
            <w:proofErr w:type="gramStart"/>
            <w:r w:rsidRPr="00094912">
              <w:rPr>
                <w:highlight w:val="yellow"/>
              </w:rPr>
              <w:t>transmission</w:t>
            </w:r>
            <w:r>
              <w:t>;</w:t>
            </w:r>
            <w:proofErr w:type="gramEnd"/>
            <w:r>
              <w:t xml:space="preserve"> and</w:t>
            </w:r>
          </w:p>
          <w:p w14:paraId="4B9BE6EF" w14:textId="77777777" w:rsidR="000907FE" w:rsidRDefault="000907FE" w:rsidP="003B0A31">
            <w:pPr>
              <w:rPr>
                <w:rFonts w:eastAsia="DengXian"/>
                <w:lang w:eastAsia="zh-CN"/>
              </w:rPr>
            </w:pPr>
            <w:r>
              <w:rPr>
                <w:rFonts w:eastAsia="DengXian"/>
                <w:lang w:eastAsia="zh-CN"/>
              </w:rPr>
              <w:t>Or we could even leave the detailed formulation to the spec editor.</w:t>
            </w:r>
          </w:p>
          <w:p w14:paraId="36F7307F" w14:textId="77777777" w:rsidR="000907FE" w:rsidRDefault="000907FE" w:rsidP="003B0A31">
            <w:pPr>
              <w:rPr>
                <w:rFonts w:eastAsia="DengXian"/>
                <w:lang w:eastAsia="zh-CN"/>
              </w:rPr>
            </w:pPr>
            <w:r>
              <w:rPr>
                <w:rFonts w:eastAsia="DengXian"/>
                <w:lang w:eastAsia="zh-CN"/>
              </w:rPr>
              <w:t>But Type B half-duplex operation in NTN is maybe easier to define in terms of UL subframe indices. E.g.</w:t>
            </w:r>
          </w:p>
          <w:p w14:paraId="440C5187" w14:textId="77777777" w:rsidR="000907FE" w:rsidRPr="00787B96" w:rsidRDefault="000907FE" w:rsidP="003B0A31">
            <w:pPr>
              <w:rPr>
                <w:rFonts w:eastAsia="DengXian"/>
                <w:lang w:eastAsia="zh-CN"/>
              </w:rPr>
            </w:pPr>
            <w:r>
              <w:rPr>
                <w:i/>
                <w:iCs/>
              </w:rPr>
              <w:t xml:space="preserve">For </w:t>
            </w:r>
            <w:proofErr w:type="spellStart"/>
            <w:r>
              <w:rPr>
                <w:i/>
                <w:iCs/>
              </w:rPr>
              <w:t>eMTC</w:t>
            </w:r>
            <w:proofErr w:type="spellEnd"/>
            <w:r>
              <w:rPr>
                <w:i/>
                <w:iCs/>
              </w:rPr>
              <w:t xml:space="preserve">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DengXian"/>
                <w:lang w:eastAsia="zh-CN"/>
              </w:rPr>
            </w:pPr>
          </w:p>
        </w:tc>
        <w:tc>
          <w:tcPr>
            <w:tcW w:w="7326" w:type="dxa"/>
          </w:tcPr>
          <w:p w14:paraId="797381B6" w14:textId="77777777" w:rsidR="000907FE" w:rsidRDefault="000907FE" w:rsidP="00E92BEF">
            <w:pPr>
              <w:rPr>
                <w:rFonts w:eastAsia="DengXian"/>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DengXian"/>
                <w:i/>
              </w:rPr>
              <w:t>npusch</w:t>
            </w:r>
            <w:proofErr w:type="spellEnd"/>
            <w:r w:rsidRPr="00B90A2E">
              <w:rPr>
                <w:rFonts w:eastAsia="DengXian"/>
                <w:i/>
              </w:rPr>
              <w:t>-</w:t>
            </w:r>
            <w:proofErr w:type="spellStart"/>
            <w:r w:rsidRPr="00B90A2E">
              <w:rPr>
                <w:rFonts w:eastAsia="DengXian"/>
                <w:i/>
              </w:rPr>
              <w:t>MultiTB</w:t>
            </w:r>
            <w:proofErr w:type="spellEnd"/>
            <w:r w:rsidRPr="00B90A2E">
              <w:rPr>
                <w:rFonts w:eastAsia="DengXian"/>
                <w:i/>
              </w:rPr>
              <w:t>-Config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rPr>
                <w:i/>
              </w:rPr>
              <w:t>,</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r w:rsidRPr="00B90A2E">
              <w:t xml:space="preserve">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proofErr w:type="spellStart"/>
            <w:r w:rsidRPr="00B90A2E">
              <w:rPr>
                <w:i/>
              </w:rPr>
              <w:t>n+m</w:t>
            </w:r>
            <w:proofErr w:type="spellEnd"/>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w:t>
            </w:r>
            <w:proofErr w:type="gramStart"/>
            <w:r w:rsidRPr="00B90A2E">
              <w:t>random access</w:t>
            </w:r>
            <w:proofErr w:type="gramEnd"/>
            <w:r w:rsidRPr="00B90A2E">
              <w:t xml:space="preserve"> response grant ending in subframe </w:t>
            </w:r>
            <w:r w:rsidRPr="00B90A2E">
              <w:rPr>
                <w:i/>
              </w:rPr>
              <w:t>n</w:t>
            </w:r>
            <w:r w:rsidRPr="00B90A2E">
              <w:t xml:space="preserve">, and if the corresponding NPUSCH format 1 transmission ends in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proofErr w:type="spellStart"/>
            <w:r w:rsidRPr="00B90A2E">
              <w:rPr>
                <w:i/>
              </w:rPr>
              <w:t>n+k</w:t>
            </w:r>
            <w:proofErr w:type="spellEnd"/>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proofErr w:type="spellStart"/>
            <w:r w:rsidRPr="001A7C01">
              <w:rPr>
                <w:i/>
              </w:rPr>
              <w:t>twoHARQ-ProcessesConfig</w:t>
            </w:r>
            <w:proofErr w:type="spellEnd"/>
            <w:r w:rsidRPr="00D21977">
              <w:t xml:space="preserve"> </w:t>
            </w:r>
            <w:r>
              <w:t xml:space="preserve">or </w:t>
            </w:r>
            <w:proofErr w:type="spellStart"/>
            <w:r w:rsidRPr="00806DFF">
              <w:rPr>
                <w:rFonts w:eastAsia="DengXian"/>
                <w:i/>
              </w:rPr>
              <w:t>np</w:t>
            </w:r>
            <w:r>
              <w:rPr>
                <w:rFonts w:eastAsia="DengXian"/>
                <w:i/>
              </w:rPr>
              <w:t>u</w:t>
            </w:r>
            <w:r w:rsidRPr="00806DFF">
              <w:rPr>
                <w:rFonts w:eastAsia="DengXian"/>
                <w:i/>
              </w:rPr>
              <w:t>sch</w:t>
            </w:r>
            <w:proofErr w:type="spellEnd"/>
            <w:r w:rsidRPr="00806DFF">
              <w:rPr>
                <w:rFonts w:eastAsia="DengXian"/>
                <w:i/>
              </w:rPr>
              <w:t>-</w:t>
            </w:r>
            <w:proofErr w:type="spellStart"/>
            <w:r w:rsidRPr="00806DFF">
              <w:rPr>
                <w:rFonts w:eastAsia="DengXian"/>
                <w:i/>
              </w:rPr>
              <w:t>MultiTB</w:t>
            </w:r>
            <w:proofErr w:type="spellEnd"/>
            <w:r w:rsidRPr="00806DFF">
              <w:rPr>
                <w:rFonts w:eastAsia="DengXian"/>
                <w:i/>
              </w:rPr>
              <w:t>-Confi</w:t>
            </w:r>
            <w:r>
              <w:rPr>
                <w:rFonts w:eastAsia="DengXian"/>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proofErr w:type="spellStart"/>
            <w:r w:rsidRPr="006135BA">
              <w:rPr>
                <w:i/>
              </w:rPr>
              <w:t>n+k</w:t>
            </w:r>
            <w:proofErr w:type="spellEnd"/>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proofErr w:type="spellStart"/>
            <w:r w:rsidRPr="000B13C0">
              <w:rPr>
                <w:i/>
                <w:highlight w:val="yellow"/>
              </w:rPr>
              <w:t>n+k</w:t>
            </w:r>
            <w:proofErr w:type="spellEnd"/>
            <w:r w:rsidRPr="000B13C0">
              <w:rPr>
                <w:i/>
                <w:highlight w:val="yellow"/>
              </w:rPr>
              <w:t>-+</w:t>
            </w:r>
            <w:proofErr w:type="spellStart"/>
            <w:r w:rsidRPr="000B13C0">
              <w:rPr>
                <w:i/>
                <w:highlight w:val="yellow"/>
              </w:rPr>
              <w:t>K_offset</w:t>
            </w:r>
            <w:proofErr w:type="spellEnd"/>
            <w:r w:rsidRPr="000B13C0">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proofErr w:type="spellStart"/>
            <w:r w:rsidRPr="00E33DF2">
              <w:rPr>
                <w:i/>
                <w:highlight w:val="yellow"/>
              </w:rPr>
              <w:t>n+k+K_offset</w:t>
            </w:r>
            <w:proofErr w:type="spellEnd"/>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proofErr w:type="spellStart"/>
            <w:r w:rsidRPr="00E33DF2">
              <w:rPr>
                <w:i/>
                <w:highlight w:val="yellow"/>
              </w:rPr>
              <w:t>n+k+K_offset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E33DF2">
              <w:rPr>
                <w:i/>
                <w:highlight w:val="yellow"/>
              </w:rPr>
              <w:t xml:space="preserve">n+ </w:t>
            </w:r>
            <w:proofErr w:type="spellStart"/>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E33DF2">
              <w:rPr>
                <w:i/>
                <w:highlight w:val="yellow"/>
              </w:rPr>
              <w:t>n+m+K_offset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w:t>
            </w:r>
            <w:proofErr w:type="gramStart"/>
            <w:r w:rsidRPr="001A7C01">
              <w:t>random access</w:t>
            </w:r>
            <w:proofErr w:type="gramEnd"/>
            <w:r w:rsidRPr="001A7C01">
              <w:t xml:space="preserve"> response grant ending in subframe </w:t>
            </w:r>
            <w:r w:rsidRPr="001A7C01">
              <w:rPr>
                <w:i/>
              </w:rPr>
              <w:t>n</w:t>
            </w:r>
            <w:r w:rsidRPr="001A7C01">
              <w:t xml:space="preserve">, and if the corresponding NPUSCH format 1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w:t>
            </w:r>
            <w:r w:rsidRPr="00B90A2E">
              <w:t xml:space="preserve">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proofErr w:type="spellStart"/>
            <w:r w:rsidRPr="00DA362E">
              <w:rPr>
                <w:i/>
              </w:rPr>
              <w:t>n+k</w:t>
            </w:r>
            <w:proofErr w:type="spellEnd"/>
            <w:r w:rsidRPr="00DA362E">
              <w:t xml:space="preserve">, the UE is not required to monitor NPDCCH in any subframe starting from subframe </w:t>
            </w:r>
            <w:r w:rsidRPr="00DA362E">
              <w:rPr>
                <w:i/>
              </w:rPr>
              <w:t>n+1</w:t>
            </w:r>
            <w:r w:rsidRPr="00DA362E">
              <w:t xml:space="preserve"> to subframe </w:t>
            </w:r>
            <w:proofErr w:type="spellStart"/>
            <w:r w:rsidRPr="00DA362E">
              <w:rPr>
                <w:i/>
              </w:rPr>
              <w:t>n+k</w:t>
            </w:r>
            <w:proofErr w:type="spellEnd"/>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DengXian"/>
                <w:i/>
              </w:rPr>
              <w:t>npdsch</w:t>
            </w:r>
            <w:proofErr w:type="spellEnd"/>
            <w:r w:rsidRPr="00B90A2E">
              <w:rPr>
                <w:rFonts w:eastAsia="DengXian"/>
                <w:i/>
              </w:rPr>
              <w:t>-</w:t>
            </w:r>
            <w:proofErr w:type="spellStart"/>
            <w:r w:rsidRPr="00B90A2E">
              <w:rPr>
                <w:rFonts w:eastAsia="DengXian"/>
                <w:i/>
              </w:rPr>
              <w:t>MultiTB</w:t>
            </w:r>
            <w:proofErr w:type="spellEnd"/>
            <w:r w:rsidRPr="00B90A2E">
              <w:rPr>
                <w:rFonts w:eastAsia="DengXian"/>
                <w:i/>
              </w:rPr>
              <w:t>-Config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proofErr w:type="spellStart"/>
            <w:r w:rsidRPr="00B90A2E">
              <w:rPr>
                <w:i/>
              </w:rPr>
              <w:t>n+k</w:t>
            </w:r>
            <w:proofErr w:type="spellEnd"/>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SimSun" w:hint="eastAsia"/>
                <w:lang w:eastAsia="zh-CN"/>
              </w:rPr>
              <w:t xml:space="preserve"> determined by the </w:t>
            </w:r>
            <w:r w:rsidRPr="00B90A2E">
              <w:rPr>
                <w:rFonts w:hint="eastAsia"/>
                <w:lang w:eastAsia="zh-CN"/>
              </w:rPr>
              <w:t>Number of scheduled TB for Unicast</w:t>
            </w:r>
            <w:r w:rsidRPr="00B90A2E">
              <w:rPr>
                <w:rFonts w:eastAsia="SimSun" w:hint="eastAsia"/>
                <w:lang w:eastAsia="zh-CN"/>
              </w:rPr>
              <w:t xml:space="preserve"> </w:t>
            </w:r>
            <w:r w:rsidRPr="00B90A2E">
              <w:rPr>
                <w:rFonts w:eastAsia="SimSun"/>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w:t>
            </w:r>
            <w:proofErr w:type="gramStart"/>
            <w:r w:rsidRPr="00B90A2E">
              <w:rPr>
                <w:i/>
                <w:lang w:eastAsia="zh-CN"/>
              </w:rPr>
              <w:t>1</w:t>
            </w:r>
            <w:r w:rsidRPr="00B90A2E">
              <w:t>;</w:t>
            </w:r>
            <w:proofErr w:type="gramEnd"/>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w:t>
            </w:r>
            <w:proofErr w:type="gramStart"/>
            <w:r w:rsidRPr="00B90A2E">
              <w:rPr>
                <w:i/>
              </w:rPr>
              <w:t>1</w:t>
            </w:r>
            <w:r w:rsidRPr="00B90A2E">
              <w:t>;</w:t>
            </w:r>
            <w:proofErr w:type="gramEnd"/>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proofErr w:type="spellStart"/>
            <w:r w:rsidRPr="001A7C01">
              <w:rPr>
                <w:i/>
              </w:rPr>
              <w:t>twoHARQ-ProcessesConfig</w:t>
            </w:r>
            <w:proofErr w:type="spellEnd"/>
            <w:r w:rsidRPr="001A7C01">
              <w:t xml:space="preserve"> </w:t>
            </w:r>
            <w:r>
              <w:t xml:space="preserve">or </w:t>
            </w:r>
            <w:proofErr w:type="spellStart"/>
            <w:r w:rsidRPr="00806DFF">
              <w:rPr>
                <w:rFonts w:eastAsia="DengXian"/>
                <w:i/>
              </w:rPr>
              <w:t>np</w:t>
            </w:r>
            <w:r>
              <w:rPr>
                <w:rFonts w:eastAsia="DengXian"/>
                <w:i/>
              </w:rPr>
              <w:t>d</w:t>
            </w:r>
            <w:r w:rsidRPr="00806DFF">
              <w:rPr>
                <w:rFonts w:eastAsia="DengXian"/>
                <w:i/>
              </w:rPr>
              <w:t>sch</w:t>
            </w:r>
            <w:proofErr w:type="spellEnd"/>
            <w:r w:rsidRPr="00806DFF">
              <w:rPr>
                <w:rFonts w:eastAsia="DengXian"/>
                <w:i/>
              </w:rPr>
              <w:t>-</w:t>
            </w:r>
            <w:proofErr w:type="spellStart"/>
            <w:r w:rsidRPr="00806DFF">
              <w:rPr>
                <w:rFonts w:eastAsia="DengXian"/>
                <w:i/>
              </w:rPr>
              <w:t>MultiTB</w:t>
            </w:r>
            <w:proofErr w:type="spellEnd"/>
            <w:r w:rsidRPr="00806DFF">
              <w:rPr>
                <w:rFonts w:eastAsia="DengXian"/>
                <w:i/>
              </w:rPr>
              <w:t>-Confi</w:t>
            </w:r>
            <w:r>
              <w:rPr>
                <w:rFonts w:eastAsia="DengXian"/>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proofErr w:type="spellStart"/>
            <w:r w:rsidRPr="001A7C01">
              <w:rPr>
                <w:i/>
              </w:rPr>
              <w:t>n+k</w:t>
            </w:r>
            <w:proofErr w:type="spellEnd"/>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SimSun" w:hint="eastAsia"/>
                <w:lang w:eastAsia="zh-CN"/>
              </w:rPr>
              <w:t xml:space="preserve"> determined by the </w:t>
            </w:r>
            <w:r>
              <w:rPr>
                <w:rFonts w:hint="eastAsia"/>
                <w:lang w:eastAsia="zh-CN"/>
              </w:rPr>
              <w:t>Number of scheduled TB for Unicast</w:t>
            </w:r>
            <w:r w:rsidRPr="001A7C01">
              <w:rPr>
                <w:rFonts w:eastAsia="SimSun" w:hint="eastAsia"/>
                <w:lang w:eastAsia="zh-CN"/>
              </w:rPr>
              <w:t xml:space="preserve"> </w:t>
            </w:r>
            <w:r w:rsidRPr="001A7C01">
              <w:rPr>
                <w:rFonts w:eastAsia="SimSun"/>
                <w:lang w:eastAsia="zh-CN"/>
              </w:rPr>
              <w:t>field</w:t>
            </w:r>
            <w:r>
              <w:rPr>
                <w:rFonts w:eastAsia="SimSun"/>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proofErr w:type="spellStart"/>
            <w:r w:rsidRPr="00B90A2E">
              <w:rPr>
                <w:i/>
                <w:highlight w:val="yellow"/>
                <w:lang w:eastAsia="zh-CN"/>
              </w:rPr>
              <w:t>n+k</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w:t>
            </w:r>
            <w:proofErr w:type="gramStart"/>
            <w:r w:rsidRPr="00B90A2E">
              <w:rPr>
                <w:i/>
                <w:highlight w:val="yellow"/>
                <w:lang w:eastAsia="zh-CN"/>
              </w:rPr>
              <w:t>1</w:t>
            </w:r>
            <w:r w:rsidRPr="001A7C01">
              <w:t>;</w:t>
            </w:r>
            <w:proofErr w:type="gramEnd"/>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w:t>
            </w:r>
            <w:proofErr w:type="gramStart"/>
            <w:r w:rsidRPr="00B90A2E">
              <w:rPr>
                <w:i/>
                <w:highlight w:val="yellow"/>
              </w:rPr>
              <w:t>1</w:t>
            </w:r>
            <w:r w:rsidRPr="001A7C01">
              <w:t>;</w:t>
            </w:r>
            <w:proofErr w:type="gramEnd"/>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DengXian"/>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proofErr w:type="spellStart"/>
            <w:r w:rsidRPr="0091289A">
              <w:rPr>
                <w:i/>
                <w:highlight w:val="yellow"/>
              </w:rPr>
              <w:t>n+m</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B90A2E">
              <w:rPr>
                <w:i/>
                <w:highlight w:val="yellow"/>
              </w:rPr>
              <w:t>n+m+K_offset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proofErr w:type="spellStart"/>
            <w:r w:rsidRPr="00C50F5B">
              <w:rPr>
                <w:i/>
                <w:highlight w:val="yellow"/>
              </w:rPr>
              <w:t>n+k</w:t>
            </w:r>
            <w:r w:rsidR="00D24E2A">
              <w:rPr>
                <w:i/>
                <w:highlight w:val="yellow"/>
              </w:rPr>
              <w:t>+</w:t>
            </w:r>
            <w:r w:rsidR="00D24E2A" w:rsidRPr="00B90A2E">
              <w:rPr>
                <w:i/>
                <w:highlight w:val="yellow"/>
              </w:rPr>
              <w:t>K_offset</w:t>
            </w:r>
            <w:proofErr w:type="spellEnd"/>
            <w:r w:rsidR="00D24E2A"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proofErr w:type="spellStart"/>
            <w:r w:rsidRPr="00D24E2A">
              <w:rPr>
                <w:i/>
                <w:highlight w:val="yellow"/>
              </w:rPr>
              <w:t>n+k</w:t>
            </w:r>
            <w:proofErr w:type="spellEnd"/>
            <w:r w:rsidR="00D24E2A" w:rsidRPr="00D24E2A">
              <w:rPr>
                <w:i/>
                <w:highlight w:val="yellow"/>
              </w:rPr>
              <w:t xml:space="preserve">+ </w:t>
            </w:r>
            <w:proofErr w:type="spellStart"/>
            <w:r w:rsidR="00D24E2A" w:rsidRPr="00D24E2A">
              <w:rPr>
                <w:i/>
                <w:highlight w:val="yellow"/>
              </w:rPr>
              <w:t>K_offset</w:t>
            </w:r>
            <w:proofErr w:type="spellEnd"/>
            <w:r w:rsidR="00D24E2A" w:rsidRPr="00D24E2A">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proofErr w:type="spellStart"/>
      <w:r w:rsidRPr="00A607A5">
        <w:rPr>
          <w:b/>
          <w:bCs/>
          <w:i/>
          <w:iCs/>
          <w:highlight w:val="cyan"/>
        </w:rPr>
        <w:t>K_offset</w:t>
      </w:r>
      <w:proofErr w:type="spellEnd"/>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8"/>
        <w:gridCol w:w="1985"/>
        <w:gridCol w:w="5193"/>
      </w:tblGrid>
      <w:tr w:rsidR="00520A52" w14:paraId="06F7647B" w14:textId="77777777" w:rsidTr="003B0A31">
        <w:tc>
          <w:tcPr>
            <w:tcW w:w="1838" w:type="dxa"/>
            <w:shd w:val="clear" w:color="auto" w:fill="D9D9D9" w:themeFill="background1" w:themeFillShade="D9"/>
          </w:tcPr>
          <w:p w14:paraId="6A3B0DB7" w14:textId="77777777" w:rsidR="00520A52" w:rsidRDefault="00520A52" w:rsidP="003B0A31">
            <w:pPr>
              <w:jc w:val="center"/>
            </w:pPr>
            <w:r>
              <w:t>Company</w:t>
            </w:r>
          </w:p>
        </w:tc>
        <w:tc>
          <w:tcPr>
            <w:tcW w:w="1985" w:type="dxa"/>
            <w:shd w:val="clear" w:color="auto" w:fill="D9D9D9" w:themeFill="background1" w:themeFillShade="D9"/>
          </w:tcPr>
          <w:p w14:paraId="768A0B9B" w14:textId="77777777" w:rsidR="00520A52" w:rsidRDefault="00520A52" w:rsidP="003B0A31">
            <w:pPr>
              <w:jc w:val="center"/>
            </w:pPr>
            <w:r>
              <w:t>Agree/Not Agree</w:t>
            </w:r>
          </w:p>
        </w:tc>
        <w:tc>
          <w:tcPr>
            <w:tcW w:w="5193" w:type="dxa"/>
            <w:shd w:val="clear" w:color="auto" w:fill="D9D9D9" w:themeFill="background1" w:themeFillShade="D9"/>
          </w:tcPr>
          <w:p w14:paraId="28EC2941" w14:textId="77777777" w:rsidR="00520A52" w:rsidRDefault="00520A52" w:rsidP="003B0A31">
            <w:pPr>
              <w:jc w:val="center"/>
            </w:pPr>
            <w:r>
              <w:t>Comments and Proposal</w:t>
            </w:r>
          </w:p>
        </w:tc>
      </w:tr>
      <w:tr w:rsidR="00520A52" w14:paraId="42E65F53" w14:textId="77777777" w:rsidTr="003B0A31">
        <w:tc>
          <w:tcPr>
            <w:tcW w:w="1838" w:type="dxa"/>
          </w:tcPr>
          <w:p w14:paraId="5BD66932" w14:textId="77777777" w:rsidR="00520A52" w:rsidRDefault="00520A52" w:rsidP="003B0A31">
            <w:pPr>
              <w:jc w:val="center"/>
            </w:pPr>
          </w:p>
        </w:tc>
        <w:tc>
          <w:tcPr>
            <w:tcW w:w="1985" w:type="dxa"/>
          </w:tcPr>
          <w:p w14:paraId="4B8E8AF0" w14:textId="77777777" w:rsidR="00520A52" w:rsidRDefault="00520A52" w:rsidP="003B0A31">
            <w:pPr>
              <w:jc w:val="center"/>
            </w:pPr>
          </w:p>
        </w:tc>
        <w:tc>
          <w:tcPr>
            <w:tcW w:w="5193" w:type="dxa"/>
          </w:tcPr>
          <w:p w14:paraId="367508FB" w14:textId="77777777" w:rsidR="00520A52" w:rsidRDefault="00520A52" w:rsidP="003B0A31"/>
        </w:tc>
      </w:tr>
      <w:tr w:rsidR="00520A52" w14:paraId="7CE6AA12" w14:textId="77777777" w:rsidTr="003B0A31">
        <w:tc>
          <w:tcPr>
            <w:tcW w:w="1838" w:type="dxa"/>
          </w:tcPr>
          <w:p w14:paraId="1AE3BA56" w14:textId="77777777" w:rsidR="00520A52" w:rsidRDefault="00520A52" w:rsidP="003B0A31">
            <w:pPr>
              <w:jc w:val="center"/>
            </w:pPr>
          </w:p>
        </w:tc>
        <w:tc>
          <w:tcPr>
            <w:tcW w:w="1985" w:type="dxa"/>
          </w:tcPr>
          <w:p w14:paraId="2D703E26" w14:textId="77777777" w:rsidR="00520A52" w:rsidRDefault="00520A52" w:rsidP="003B0A31">
            <w:pPr>
              <w:jc w:val="center"/>
            </w:pPr>
          </w:p>
        </w:tc>
        <w:tc>
          <w:tcPr>
            <w:tcW w:w="5193" w:type="dxa"/>
          </w:tcPr>
          <w:p w14:paraId="460D0787" w14:textId="77777777" w:rsidR="00520A52" w:rsidRPr="0088756D" w:rsidRDefault="00520A52" w:rsidP="003B0A31">
            <w:pPr>
              <w:rPr>
                <w:rFonts w:eastAsia="DengXian"/>
              </w:rPr>
            </w:pPr>
          </w:p>
        </w:tc>
      </w:tr>
      <w:tr w:rsidR="00520A52" w14:paraId="62300252" w14:textId="77777777" w:rsidTr="003B0A31">
        <w:tc>
          <w:tcPr>
            <w:tcW w:w="1838" w:type="dxa"/>
          </w:tcPr>
          <w:p w14:paraId="38176130" w14:textId="77777777" w:rsidR="00520A52" w:rsidRPr="008E4D0A" w:rsidRDefault="00520A52" w:rsidP="003B0A31">
            <w:pPr>
              <w:jc w:val="center"/>
              <w:rPr>
                <w:rFonts w:eastAsia="DengXian"/>
              </w:rPr>
            </w:pPr>
          </w:p>
        </w:tc>
        <w:tc>
          <w:tcPr>
            <w:tcW w:w="1985" w:type="dxa"/>
          </w:tcPr>
          <w:p w14:paraId="73F83099" w14:textId="77777777" w:rsidR="00520A52" w:rsidRDefault="00520A52" w:rsidP="003B0A31">
            <w:pPr>
              <w:jc w:val="center"/>
            </w:pPr>
          </w:p>
        </w:tc>
        <w:tc>
          <w:tcPr>
            <w:tcW w:w="5193" w:type="dxa"/>
          </w:tcPr>
          <w:p w14:paraId="136D4656" w14:textId="77777777" w:rsidR="00520A52" w:rsidRDefault="00520A52" w:rsidP="003B0A31"/>
        </w:tc>
      </w:tr>
    </w:tbl>
    <w:p w14:paraId="66D5DCA7" w14:textId="77777777" w:rsidR="00520A52" w:rsidRPr="00942874" w:rsidRDefault="00520A52" w:rsidP="00520A52">
      <w:pPr>
        <w:spacing w:after="160" w:line="259" w:lineRule="auto"/>
      </w:pPr>
      <w:r>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proofErr w:type="spellStart"/>
      <w:r w:rsidRPr="00302003">
        <w:rPr>
          <w:rStyle w:val="Heading2Char"/>
        </w:rPr>
        <w:lastRenderedPageBreak/>
        <w:t>K_offset</w:t>
      </w:r>
      <w:proofErr w:type="spellEnd"/>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DF0368"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DF0368"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w:t>
            </w:r>
            <w:proofErr w:type="gramStart"/>
            <w:r w:rsidRPr="00221452">
              <w:rPr>
                <w:i/>
                <w:lang w:val="en-GB" w:eastAsia="en-US"/>
              </w:rPr>
              <w:t>TA</w:t>
            </w:r>
            <w:proofErr w:type="gramEnd"/>
            <w:r w:rsidRPr="00221452">
              <w:rPr>
                <w:i/>
                <w:lang w:val="en-GB" w:eastAsia="en-US"/>
              </w:rPr>
              <w:t xml:space="preserve">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proofErr w:type="spellStart"/>
            <w:r>
              <w:rPr>
                <w:rFonts w:eastAsia="DengXian"/>
                <w:lang w:eastAsia="zh-CN"/>
              </w:rPr>
              <w:t>Novamin</w:t>
            </w:r>
            <w:r>
              <w:t>t</w:t>
            </w:r>
            <w:proofErr w:type="spellEnd"/>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w:t>
      </w:r>
      <w:proofErr w:type="gramStart"/>
      <w:r>
        <w:t>in order to</w:t>
      </w:r>
      <w:proofErr w:type="gramEnd"/>
      <w:r>
        <w:t xml:space="preserve">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 xml:space="preserve">Huawei, </w:t>
            </w:r>
            <w:proofErr w:type="spellStart"/>
            <w:r>
              <w:rPr>
                <w:rFonts w:eastAsia="DengXian"/>
                <w:lang w:val="en-GB" w:eastAsia="zh-CN"/>
              </w:rPr>
              <w:t>HiSilicon</w:t>
            </w:r>
            <w:proofErr w:type="spellEnd"/>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 xml:space="preserve">The principle is OK </w:t>
            </w:r>
            <w:proofErr w:type="gramStart"/>
            <w:r>
              <w:rPr>
                <w:lang w:eastAsia="zh-CN"/>
              </w:rPr>
              <w:t>as long as</w:t>
            </w:r>
            <w:proofErr w:type="gramEnd"/>
            <w:r>
              <w:rPr>
                <w:lang w:eastAsia="zh-CN"/>
              </w:rPr>
              <w:t xml:space="preserve">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w:t>
            </w:r>
            <w:proofErr w:type="gramStart"/>
            <w:r w:rsidR="004E6E84">
              <w:rPr>
                <w:lang w:eastAsia="zh-CN"/>
              </w:rPr>
              <w:t>e.g.</w:t>
            </w:r>
            <w:proofErr w:type="gramEnd"/>
            <w:r w:rsidR="004E6E84">
              <w:rPr>
                <w:lang w:eastAsia="zh-CN"/>
              </w:rPr>
              <w:t xml:space="preserve">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DengXian"/>
                <w:lang w:eastAsia="zh-CN"/>
              </w:rPr>
            </w:pPr>
            <w:r>
              <w:rPr>
                <w:rFonts w:eastAsia="DengXian" w:hint="eastAsia"/>
                <w:lang w:eastAsia="zh-CN"/>
              </w:rPr>
              <w:t>CMCC</w:t>
            </w:r>
          </w:p>
        </w:tc>
        <w:tc>
          <w:tcPr>
            <w:tcW w:w="1985" w:type="dxa"/>
          </w:tcPr>
          <w:p w14:paraId="4BE8A66B" w14:textId="16C7DF3F" w:rsidR="00EA28ED" w:rsidRDefault="00EA28ED" w:rsidP="00FE026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 xml:space="preserve">sufficient because it </w:t>
      </w:r>
      <w:proofErr w:type="gramStart"/>
      <w:r>
        <w:t>has to</w:t>
      </w:r>
      <w:proofErr w:type="gramEnd"/>
      <w:r>
        <w:t xml:space="preserve">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proofErr w:type="gramStart"/>
      <w:r w:rsidR="006C74B5">
        <w:t xml:space="preserve">a </w:t>
      </w:r>
      <w:r>
        <w:t>majority of</w:t>
      </w:r>
      <w:proofErr w:type="gramEnd"/>
      <w:r>
        <w:t xml:space="preserve">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 xml:space="preserve">4, whether resource available for reporting, when </w:t>
            </w:r>
            <w:proofErr w:type="gramStart"/>
            <w:r>
              <w:t>e.g.</w:t>
            </w:r>
            <w:proofErr w:type="gramEnd"/>
            <w:r>
              <w:t xml:space="preserve">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 xml:space="preserve">We do not support “differential” TA. Differential TA is very problematic, since if the previous report(s) were not received </w:t>
            </w:r>
            <w:r w:rsidRPr="00E3043A">
              <w:rPr>
                <w:rFonts w:eastAsia="DengXian"/>
                <w:color w:val="C00000"/>
                <w:lang w:eastAsia="zh-CN"/>
              </w:rPr>
              <w:lastRenderedPageBreak/>
              <w:t>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lastRenderedPageBreak/>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DengXian"/>
                <w:color w:val="000000" w:themeColor="text1"/>
                <w:lang w:eastAsia="zh-CN"/>
              </w:rPr>
            </w:pPr>
            <w:r>
              <w:rPr>
                <w:rFonts w:eastAsia="DengXian" w:hint="eastAsia"/>
                <w:color w:val="000000" w:themeColor="text1"/>
                <w:lang w:eastAsia="zh-CN"/>
              </w:rPr>
              <w:t>C</w:t>
            </w:r>
            <w:r>
              <w:rPr>
                <w:rFonts w:eastAsia="DengXian"/>
                <w:color w:val="000000" w:themeColor="text1"/>
                <w:lang w:eastAsia="zh-CN"/>
              </w:rPr>
              <w:t>MCC</w:t>
            </w:r>
          </w:p>
        </w:tc>
        <w:tc>
          <w:tcPr>
            <w:tcW w:w="1985" w:type="dxa"/>
          </w:tcPr>
          <w:p w14:paraId="7CE18424" w14:textId="629D54A6" w:rsidR="00E16A96" w:rsidRPr="00302C12" w:rsidRDefault="00E16A96" w:rsidP="006A254F">
            <w:pPr>
              <w:jc w:val="center"/>
              <w:rPr>
                <w:rFonts w:eastAsia="DengXian"/>
                <w:lang w:eastAsia="zh-CN"/>
              </w:rPr>
            </w:pPr>
            <w:r>
              <w:t>Support</w:t>
            </w:r>
          </w:p>
        </w:tc>
        <w:tc>
          <w:tcPr>
            <w:tcW w:w="5193" w:type="dxa"/>
          </w:tcPr>
          <w:p w14:paraId="729764D1" w14:textId="1AA25501" w:rsidR="00E16A96" w:rsidRDefault="00E16A96" w:rsidP="005E76F1">
            <w:pPr>
              <w:rPr>
                <w:rFonts w:eastAsia="DengXian"/>
              </w:rPr>
            </w:pPr>
            <w:r>
              <w:rPr>
                <w:rFonts w:eastAsia="DengXian"/>
                <w:lang w:eastAsia="zh-CN"/>
              </w:rPr>
              <w:t>The network should be able to decide between the two contents of the report, as explained by Nokia</w:t>
            </w:r>
            <w:r w:rsidR="008C0B72">
              <w:rPr>
                <w:rFonts w:eastAsia="DengXian"/>
                <w:lang w:eastAsia="zh-CN"/>
              </w:rPr>
              <w:t xml:space="preserve"> and </w:t>
            </w:r>
            <w:r w:rsidR="00DC2B24">
              <w:rPr>
                <w:rFonts w:eastAsia="DengXian"/>
                <w:lang w:eastAsia="zh-CN"/>
              </w:rPr>
              <w:t>SONY</w:t>
            </w:r>
            <w:r>
              <w:rPr>
                <w:rFonts w:eastAsia="DengXian"/>
                <w:lang w:eastAsia="zh-CN"/>
              </w:rPr>
              <w:t>.</w:t>
            </w:r>
          </w:p>
        </w:tc>
      </w:tr>
      <w:tr w:rsidR="000907FE" w14:paraId="472C1288" w14:textId="77777777" w:rsidTr="003B0A31">
        <w:tc>
          <w:tcPr>
            <w:tcW w:w="1838" w:type="dxa"/>
          </w:tcPr>
          <w:p w14:paraId="1C0F5D40" w14:textId="77777777" w:rsidR="000907FE" w:rsidRDefault="000907FE" w:rsidP="003B0A31">
            <w:pPr>
              <w:rPr>
                <w:rFonts w:eastAsia="DengXian"/>
                <w:color w:val="000000" w:themeColor="text1"/>
                <w:lang w:eastAsia="zh-CN"/>
              </w:rPr>
            </w:pPr>
            <w:r>
              <w:rPr>
                <w:rFonts w:eastAsia="DengXian"/>
                <w:color w:val="000000" w:themeColor="text1"/>
                <w:lang w:eastAsia="zh-CN"/>
              </w:rPr>
              <w:t>Nordic Semiconductor</w:t>
            </w:r>
          </w:p>
        </w:tc>
        <w:tc>
          <w:tcPr>
            <w:tcW w:w="1985" w:type="dxa"/>
          </w:tcPr>
          <w:p w14:paraId="1479293C" w14:textId="77777777" w:rsidR="000907FE" w:rsidRDefault="000907FE" w:rsidP="003B0A31">
            <w:pPr>
              <w:jc w:val="center"/>
            </w:pPr>
          </w:p>
        </w:tc>
        <w:tc>
          <w:tcPr>
            <w:tcW w:w="5193" w:type="dxa"/>
          </w:tcPr>
          <w:p w14:paraId="072F9321" w14:textId="77777777" w:rsidR="000907FE" w:rsidRDefault="000907FE" w:rsidP="003B0A31">
            <w:pPr>
              <w:rPr>
                <w:rFonts w:eastAsia="DengXian"/>
                <w:lang w:eastAsia="zh-CN"/>
              </w:rPr>
            </w:pPr>
            <w:r>
              <w:rPr>
                <w:rFonts w:eastAsia="DengXian"/>
                <w:lang w:eastAsia="zh-CN"/>
              </w:rPr>
              <w:t xml:space="preserve">We prefer reporting of UE-specific TA (Option 1). Reporting of differential TA is more complicated since it would require feedbacked ACK from network </w:t>
            </w:r>
            <w:proofErr w:type="gramStart"/>
            <w:r>
              <w:rPr>
                <w:rFonts w:eastAsia="DengXian"/>
                <w:lang w:eastAsia="zh-CN"/>
              </w:rPr>
              <w:t>in order to</w:t>
            </w:r>
            <w:proofErr w:type="gramEnd"/>
            <w:r>
              <w:rPr>
                <w:rFonts w:eastAsia="DengXian"/>
                <w:lang w:eastAsia="zh-CN"/>
              </w:rPr>
              <w:t xml:space="preserve"> work properly.</w:t>
            </w:r>
          </w:p>
        </w:tc>
      </w:tr>
      <w:tr w:rsidR="000907FE" w14:paraId="3E213C34" w14:textId="77777777" w:rsidTr="00867955">
        <w:tc>
          <w:tcPr>
            <w:tcW w:w="1838" w:type="dxa"/>
          </w:tcPr>
          <w:p w14:paraId="22FB23A5" w14:textId="77777777" w:rsidR="000907FE" w:rsidRDefault="000907FE" w:rsidP="006A254F">
            <w:pPr>
              <w:rPr>
                <w:rFonts w:eastAsia="DengXian" w:hint="eastAsia"/>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DengXian"/>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 xml:space="preserve">On the issue of waiting for the SA3 response to the RAN2 LS, FL thinks we have a lot to work through if UE location </w:t>
      </w:r>
      <w:proofErr w:type="gramStart"/>
      <w:r>
        <w:t>has to</w:t>
      </w:r>
      <w:proofErr w:type="gramEnd"/>
      <w:r>
        <w:t xml:space="preserve">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E02F47" w14:paraId="7166EEFB" w14:textId="77777777" w:rsidTr="00A607A5">
        <w:tc>
          <w:tcPr>
            <w:tcW w:w="1838" w:type="dxa"/>
          </w:tcPr>
          <w:p w14:paraId="28A532B6" w14:textId="726897DE" w:rsidR="00E02F47" w:rsidRDefault="00E02F47" w:rsidP="00A607A5">
            <w:pPr>
              <w:jc w:val="center"/>
              <w:rPr>
                <w:lang w:eastAsia="zh-CN"/>
              </w:rPr>
            </w:pPr>
          </w:p>
        </w:tc>
        <w:tc>
          <w:tcPr>
            <w:tcW w:w="1985" w:type="dxa"/>
          </w:tcPr>
          <w:p w14:paraId="64973F2A" w14:textId="77777777" w:rsidR="00E02F47" w:rsidRDefault="00E02F47" w:rsidP="00A607A5">
            <w:pPr>
              <w:jc w:val="center"/>
            </w:pPr>
          </w:p>
        </w:tc>
        <w:tc>
          <w:tcPr>
            <w:tcW w:w="5193" w:type="dxa"/>
          </w:tcPr>
          <w:p w14:paraId="195F204D" w14:textId="7C0F4F78" w:rsidR="00E02F47" w:rsidRPr="00983931" w:rsidRDefault="00E02F47" w:rsidP="00A607A5">
            <w:pPr>
              <w:rPr>
                <w:rFonts w:eastAsiaTheme="minorEastAsia"/>
                <w:lang w:eastAsia="zh-CN"/>
              </w:rPr>
            </w:pPr>
          </w:p>
        </w:tc>
      </w:tr>
      <w:tr w:rsidR="00E02F47" w14:paraId="0557BB7F" w14:textId="77777777" w:rsidTr="00A607A5">
        <w:tc>
          <w:tcPr>
            <w:tcW w:w="1838" w:type="dxa"/>
          </w:tcPr>
          <w:p w14:paraId="14EAF831" w14:textId="79FD714C" w:rsidR="00E02F47" w:rsidRDefault="00E02F47" w:rsidP="00A607A5"/>
        </w:tc>
        <w:tc>
          <w:tcPr>
            <w:tcW w:w="1985" w:type="dxa"/>
          </w:tcPr>
          <w:p w14:paraId="15401D96" w14:textId="091EB474" w:rsidR="00E02F47" w:rsidRDefault="00E02F47" w:rsidP="00A607A5">
            <w:pPr>
              <w:jc w:val="center"/>
            </w:pPr>
          </w:p>
        </w:tc>
        <w:tc>
          <w:tcPr>
            <w:tcW w:w="5193" w:type="dxa"/>
          </w:tcPr>
          <w:p w14:paraId="466E0236" w14:textId="3197016E" w:rsidR="00E02F47" w:rsidRDefault="00E02F47" w:rsidP="00A607A5"/>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w:t>
            </w:r>
            <w:proofErr w:type="gramStart"/>
            <w:r>
              <w:rPr>
                <w:i/>
                <w:sz w:val="22"/>
                <w:szCs w:val="22"/>
                <w:lang w:val="en-GB"/>
              </w:rPr>
              <w:t>issue, since</w:t>
            </w:r>
            <w:proofErr w:type="gramEnd"/>
            <w:r>
              <w:rPr>
                <w:i/>
                <w:sz w:val="22"/>
                <w:szCs w:val="22"/>
                <w:lang w:val="en-GB"/>
              </w:rPr>
              <w:t xml:space="preserv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proofErr w:type="spellStart"/>
      <w:r>
        <w:t>Signaling</w:t>
      </w:r>
      <w:proofErr w:type="spellEnd"/>
      <w:r>
        <w:t xml:space="preserve">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w:t>
            </w:r>
            <w:r>
              <w:rPr>
                <w:i/>
              </w:rPr>
              <w:lastRenderedPageBreak/>
              <w:t xml:space="preserve">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lastRenderedPageBreak/>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lastRenderedPageBreak/>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 xml:space="preserve">We think that </w:t>
            </w:r>
            <w:proofErr w:type="gramStart"/>
            <w:r>
              <w:rPr>
                <w:rFonts w:eastAsia="DengXian"/>
                <w:lang w:eastAsia="zh-CN"/>
              </w:rPr>
              <w:t>this needs</w:t>
            </w:r>
            <w:proofErr w:type="gramEnd"/>
            <w:r>
              <w:rPr>
                <w:rFonts w:eastAsia="DengXian"/>
                <w:lang w:eastAsia="zh-CN"/>
              </w:rPr>
              <w:t xml:space="preserve">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w:t>
            </w:r>
            <w:proofErr w:type="gramStart"/>
            <w:r>
              <w:t xml:space="preserve">adaptations </w:t>
            </w:r>
            <w:r w:rsidRPr="004A66C2">
              <w:rPr>
                <w:rFonts w:hint="eastAsia"/>
              </w:rPr>
              <w:t xml:space="preserve"> </w:t>
            </w:r>
            <w:r w:rsidR="00394E50">
              <w:rPr>
                <w:rFonts w:eastAsia="DengXian" w:hint="eastAsia"/>
                <w:lang w:eastAsia="zh-CN"/>
              </w:rPr>
              <w:t>can</w:t>
            </w:r>
            <w:proofErr w:type="gramEnd"/>
            <w:r w:rsidR="00394E50">
              <w:rPr>
                <w:rFonts w:eastAsia="DengXian" w:hint="eastAsia"/>
                <w:lang w:eastAsia="zh-CN"/>
              </w:rPr>
              <w:t xml:space="preserve">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DengXian"/>
                <w:lang w:eastAsia="zh-CN"/>
              </w:rPr>
            </w:pPr>
            <w:r>
              <w:rPr>
                <w:rFonts w:eastAsia="DengXian" w:hint="eastAsia"/>
                <w:lang w:eastAsia="zh-CN"/>
              </w:rPr>
              <w:lastRenderedPageBreak/>
              <w:t>C</w:t>
            </w:r>
            <w:r>
              <w:rPr>
                <w:rFonts w:eastAsia="DengXian"/>
                <w:lang w:eastAsia="zh-CN"/>
              </w:rPr>
              <w:t>MCC</w:t>
            </w:r>
          </w:p>
        </w:tc>
        <w:tc>
          <w:tcPr>
            <w:tcW w:w="1980" w:type="dxa"/>
          </w:tcPr>
          <w:p w14:paraId="06280E3B" w14:textId="73991840" w:rsidR="000E43A1" w:rsidRDefault="000E43A1" w:rsidP="00A812A3">
            <w:pPr>
              <w:rPr>
                <w:rFonts w:eastAsia="DengXian"/>
                <w:lang w:eastAsia="zh-CN"/>
              </w:rPr>
            </w:pPr>
            <w:r>
              <w:rPr>
                <w:rFonts w:eastAsia="DengXian" w:hint="eastAsia"/>
                <w:lang w:eastAsia="zh-CN"/>
              </w:rPr>
              <w:t>N</w:t>
            </w:r>
            <w:r>
              <w:rPr>
                <w:rFonts w:eastAsia="DengXian"/>
                <w:lang w:eastAsia="zh-CN"/>
              </w:rPr>
              <w:t>o</w:t>
            </w:r>
          </w:p>
        </w:tc>
        <w:tc>
          <w:tcPr>
            <w:tcW w:w="5421" w:type="dxa"/>
          </w:tcPr>
          <w:p w14:paraId="7C50B7C1" w14:textId="77777777" w:rsidR="00CC355F" w:rsidRDefault="00CC355F" w:rsidP="00170130">
            <w:pPr>
              <w:rPr>
                <w:rFonts w:eastAsia="DengXian"/>
                <w:lang w:eastAsia="zh-CN"/>
              </w:rPr>
            </w:pPr>
            <w:r>
              <w:rPr>
                <w:rFonts w:eastAsia="DengXian" w:hint="eastAsia"/>
                <w:lang w:eastAsia="zh-CN"/>
              </w:rPr>
              <w:t>F</w:t>
            </w:r>
            <w:r>
              <w:rPr>
                <w:rFonts w:eastAsia="DengXian"/>
                <w:lang w:eastAsia="zh-CN"/>
              </w:rPr>
              <w:t>or RAN1 perspective, there seems no enhancement on WUS is needed.</w:t>
            </w:r>
          </w:p>
          <w:p w14:paraId="633FFC6A" w14:textId="36E36FEB" w:rsidR="00CF43F9" w:rsidRDefault="00CC355F" w:rsidP="00CE7170">
            <w:pPr>
              <w:rPr>
                <w:rFonts w:eastAsia="DengXian"/>
                <w:lang w:eastAsia="zh-CN"/>
              </w:rPr>
            </w:pPr>
            <w:r>
              <w:rPr>
                <w:rFonts w:eastAsia="DengXian"/>
                <w:lang w:eastAsia="zh-CN"/>
              </w:rPr>
              <w:t xml:space="preserve">Regarding </w:t>
            </w:r>
            <w:r w:rsidR="00801874">
              <w:rPr>
                <w:rFonts w:eastAsia="DengXian"/>
                <w:lang w:eastAsia="zh-CN"/>
              </w:rPr>
              <w:t>the</w:t>
            </w:r>
            <w:r w:rsidR="00A22585">
              <w:rPr>
                <w:rFonts w:eastAsia="DengXian"/>
                <w:lang w:eastAsia="zh-CN"/>
              </w:rPr>
              <w:t xml:space="preserve"> proposal </w:t>
            </w:r>
            <w:r w:rsidR="003D0097">
              <w:rPr>
                <w:rFonts w:eastAsia="DengXian"/>
                <w:lang w:eastAsia="zh-CN"/>
              </w:rPr>
              <w:t>of</w:t>
            </w:r>
            <w:r w:rsidR="00A22585">
              <w:rPr>
                <w:rFonts w:eastAsia="DengXian"/>
                <w:lang w:eastAsia="zh-CN"/>
              </w:rPr>
              <w:t xml:space="preserve"> </w:t>
            </w:r>
            <w:r>
              <w:rPr>
                <w:rFonts w:eastAsia="DengXian"/>
                <w:lang w:eastAsia="zh-CN"/>
              </w:rPr>
              <w:t>extend</w:t>
            </w:r>
            <w:r w:rsidR="003D0097">
              <w:rPr>
                <w:rFonts w:eastAsia="DengXian"/>
                <w:lang w:eastAsia="zh-CN"/>
              </w:rPr>
              <w:t>ing</w:t>
            </w:r>
            <w:r w:rsidR="00A22585">
              <w:rPr>
                <w:rFonts w:eastAsia="DengXian"/>
                <w:lang w:eastAsia="zh-CN"/>
              </w:rPr>
              <w:t xml:space="preserve"> the</w:t>
            </w:r>
            <w:r>
              <w:rPr>
                <w:rFonts w:eastAsia="DengXian"/>
                <w:lang w:eastAsia="zh-CN"/>
              </w:rPr>
              <w:t xml:space="preserve"> time interval between WUS and PO</w:t>
            </w:r>
            <w:r w:rsidR="00CF43F9">
              <w:rPr>
                <w:rFonts w:eastAsia="DengXian"/>
                <w:lang w:eastAsia="zh-CN"/>
              </w:rPr>
              <w:t xml:space="preserve">, we think UE is not needed to perform GNSS measurement between WUS and PO. In fact, UE can perform GNSS measurement after </w:t>
            </w:r>
            <w:r w:rsidR="00C75C70">
              <w:rPr>
                <w:rFonts w:eastAsia="DengXian"/>
                <w:lang w:eastAsia="zh-CN"/>
              </w:rPr>
              <w:t xml:space="preserve">PO, </w:t>
            </w:r>
            <w:r w:rsidR="003B6CEC">
              <w:rPr>
                <w:rFonts w:eastAsia="DengXian"/>
                <w:lang w:eastAsia="zh-CN"/>
              </w:rPr>
              <w:t xml:space="preserve">as </w:t>
            </w:r>
            <w:r w:rsidR="003B6CEC">
              <w:t>discussed in 8.15.1.</w:t>
            </w:r>
          </w:p>
          <w:p w14:paraId="4A44C8DA" w14:textId="77777777" w:rsidR="000E43A1" w:rsidRDefault="005326D7" w:rsidP="00CF43F9">
            <w:pPr>
              <w:rPr>
                <w:rFonts w:eastAsia="DengXian"/>
                <w:lang w:eastAsia="zh-CN"/>
              </w:rPr>
            </w:pPr>
            <w:r>
              <w:rPr>
                <w:rFonts w:eastAsia="DengXian"/>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DengXian"/>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7" w:name="_Toc85471203"/>
      <w:r>
        <w:t>RRC Parameters</w:t>
      </w:r>
      <w:bookmarkEnd w:id="67"/>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8" w:name="_Toc85471204"/>
      <w:r>
        <w:t>Companies’ views and proposals</w:t>
      </w:r>
      <w:bookmarkEnd w:id="68"/>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9" w:name="_Toc85471205"/>
      <w:r>
        <w:t>Appendix A</w:t>
      </w:r>
      <w:bookmarkEnd w:id="69"/>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lastRenderedPageBreak/>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0" w:name="_Toc85471206"/>
      <w:r>
        <w:t>Reference</w:t>
      </w:r>
      <w:r w:rsidR="00BE0157">
        <w:t>d Documents</w:t>
      </w:r>
      <w:bookmarkEnd w:id="70"/>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lastRenderedPageBreak/>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0677B" w14:textId="77777777" w:rsidR="00DF0368" w:rsidRDefault="00DF0368" w:rsidP="00EE1A16">
      <w:r>
        <w:separator/>
      </w:r>
    </w:p>
  </w:endnote>
  <w:endnote w:type="continuationSeparator" w:id="0">
    <w:p w14:paraId="2C5E33B5" w14:textId="77777777" w:rsidR="00DF0368" w:rsidRDefault="00DF0368" w:rsidP="00EE1A16">
      <w:r>
        <w:continuationSeparator/>
      </w:r>
    </w:p>
  </w:endnote>
  <w:endnote w:type="continuationNotice" w:id="1">
    <w:p w14:paraId="52EEFEE9" w14:textId="77777777" w:rsidR="00DF0368" w:rsidRDefault="00DF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FAD9" w14:textId="77777777" w:rsidR="00DF0368" w:rsidRDefault="00DF0368" w:rsidP="00EE1A16">
      <w:r>
        <w:separator/>
      </w:r>
    </w:p>
  </w:footnote>
  <w:footnote w:type="continuationSeparator" w:id="0">
    <w:p w14:paraId="69D9B131" w14:textId="77777777" w:rsidR="00DF0368" w:rsidRDefault="00DF0368" w:rsidP="00EE1A16">
      <w:r>
        <w:continuationSeparator/>
      </w:r>
    </w:p>
  </w:footnote>
  <w:footnote w:type="continuationNotice" w:id="1">
    <w:p w14:paraId="5545B522" w14:textId="77777777" w:rsidR="00DF0368" w:rsidRDefault="00DF0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1DBE"/>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uiPriority w:val="99"/>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C10EC-9943-4205-BE65-28B275647AAE}">
  <ds:schemaRefs>
    <ds:schemaRef ds:uri="http://schemas.openxmlformats.org/officeDocument/2006/bibliography"/>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16170</Words>
  <Characters>92169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108123</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Atungsiri, Samuel</cp:lastModifiedBy>
  <cp:revision>7</cp:revision>
  <dcterms:created xsi:type="dcterms:W3CDTF">2021-10-18T20:23:00Z</dcterms:created>
  <dcterms:modified xsi:type="dcterms:W3CDTF">2021-10-18T21:30:00Z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