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094912">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094912">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094912">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A5749D">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5pt;height:13.6pt;mso-width-percent:0;mso-height-percent:0;mso-width-percent:0;mso-height-percent:0" equationxml="&lt;">
                  <v:imagedata r:id="rId11" o:title="" chromakey="white"/>
                </v:shape>
              </w:pict>
            </w:r>
            <w:r>
              <w:rPr>
                <w:b/>
                <w:i/>
              </w:rPr>
              <w:t xml:space="preserve"> , UE determines the next available NPRACH occasion after uplink slot </w:t>
            </w:r>
            <w:r w:rsidR="00A5749D">
              <w:rPr>
                <w:rFonts w:cs="Times"/>
                <w:noProof/>
                <w:position w:val="-8"/>
                <w:lang w:val="en-GB" w:eastAsia="en-US"/>
              </w:rPr>
              <w:pict w14:anchorId="5975FDA4">
                <v:shape id="_x0000_i1026" type="#_x0000_t75" alt="" style="width:52.3pt;height:14.2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9pt;height:13.6pt;mso-width-percent:0;mso-height-percent:0;mso-width-percent:0;mso-height-percent:0" o:ole="">
            <v:imagedata r:id="rId14" o:title=""/>
          </v:shape>
          <o:OLEObject Type="Embed" ProgID="Equation.3" ShapeID="_x0000_i1027" DrawAspect="Content" ObjectID="_1696091851"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proofErr w:type="spellStart"/>
            <w:r>
              <w:rPr>
                <w:rFonts w:eastAsia="DengXian"/>
                <w:lang w:eastAsia="zh-CN"/>
              </w:rPr>
              <w:t>Novamin</w:t>
            </w:r>
            <w:r>
              <w:t>t</w:t>
            </w:r>
            <w:proofErr w:type="spellEnd"/>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w:t>
      </w:r>
      <w:proofErr w:type="gramStart"/>
      <w:r w:rsidRPr="00295F15">
        <w:rPr>
          <w:lang w:eastAsia="x-none"/>
        </w:rPr>
        <w:t>random access</w:t>
      </w:r>
      <w:proofErr w:type="gramEnd"/>
      <w:r w:rsidRPr="00295F15">
        <w:rPr>
          <w:lang w:eastAsia="x-none"/>
        </w:rPr>
        <w:t xml:space="preserve">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lastRenderedPageBreak/>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5"/>
        <w:gridCol w:w="1220"/>
        <w:gridCol w:w="636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Koffset as compared to current specifications. Therefore, we prefer to have </w:t>
            </w:r>
            <w:r>
              <w:lastRenderedPageBreak/>
              <w:t xml:space="preserve">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pt;height:91.7pt;mso-width-percent:0;mso-height-percent:0;mso-width-percent:0;mso-height-percent:0" o:ole="">
                  <v:imagedata r:id="rId17" o:title=""/>
                </v:shape>
                <o:OLEObject Type="Embed" ProgID="Visio.Drawing.15" ShapeID="_x0000_i1028" DrawAspect="Content" ObjectID="_1696091852"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K_offset</w:t>
            </w:r>
            <w:proofErr w:type="spellEnd"/>
            <w:r w:rsidR="00C00B51">
              <w:rPr>
                <w:rFonts w:eastAsia="DengXian"/>
                <w:lang w:eastAsia="zh-CN"/>
              </w:rPr>
              <w:t xml:space="preserve">, and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xml:space="preserve">, </w:t>
            </w:r>
            <w:proofErr w:type="spellStart"/>
            <w:r>
              <w:rPr>
                <w:rFonts w:eastAsia="DengXian"/>
                <w:lang w:eastAsia="zh-CN"/>
              </w:rPr>
              <w:t>MotoM</w:t>
            </w:r>
            <w:proofErr w:type="spellEnd"/>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9" type="#_x0000_t75" alt="" style="width:290.05pt;height:62.5pt;mso-width-percent:0;mso-height-percent:0;mso-width-percent:0;mso-height-percent:0" o:ole="">
                  <v:imagedata r:id="rId20" o:title=""/>
                </v:shape>
                <o:OLEObject Type="Embed" ProgID="Visio.Drawing.11" ShapeID="_x0000_i1029" DrawAspect="Content" ObjectID="_1696091853"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proofErr w:type="spellStart"/>
            <w:r>
              <w:rPr>
                <w:rFonts w:eastAsia="DengXian"/>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lastRenderedPageBreak/>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lastRenderedPageBreak/>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DengXian"/>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 xml:space="preserve">In the GTW session of Oct 14, 2021, </w:t>
      </w:r>
      <w:proofErr w:type="gramStart"/>
      <w:r>
        <w:t>these proposal</w:t>
      </w:r>
      <w:proofErr w:type="gramEnd"/>
      <w:r>
        <w:t xml:space="preserve">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094912" w:rsidRDefault="0009491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094912" w:rsidRDefault="0009491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094912" w:rsidRDefault="0009491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094912" w:rsidRDefault="0009491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proofErr w:type="spellStart"/>
            <w:r>
              <w:rPr>
                <w:rFonts w:eastAsia="DengXian"/>
                <w:lang w:eastAsia="zh-CN"/>
              </w:rPr>
              <w:lastRenderedPageBreak/>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proofErr w:type="spellStart"/>
            <w:r>
              <w:rPr>
                <w:rFonts w:eastAsia="DengXian"/>
                <w:lang w:eastAsia="zh-CN"/>
              </w:rPr>
              <w:t>Novamin</w:t>
            </w:r>
            <w:r>
              <w:t>t</w:t>
            </w:r>
            <w:proofErr w:type="spellEnd"/>
            <w:r>
              <w:t xml:space="preserve">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xml:space="preserve">, because </w:t>
            </w:r>
            <w:r w:rsidRPr="00163FC4">
              <w:rPr>
                <w:rFonts w:eastAsia="DengXian"/>
                <w:lang w:val="en-GB" w:eastAsia="zh-CN"/>
              </w:rPr>
              <w:lastRenderedPageBreak/>
              <w:t>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proofErr w:type="spellStart"/>
            <w:r w:rsidRPr="008759AB">
              <w:rPr>
                <w:rFonts w:eastAsia="DengXian"/>
                <w:lang w:eastAsia="zh-CN"/>
              </w:rPr>
              <w:t>K_offset</w:t>
            </w:r>
            <w:proofErr w:type="spellEnd"/>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proofErr w:type="spellStart"/>
            <w:r w:rsidRPr="008759AB">
              <w:rPr>
                <w:rFonts w:eastAsia="DengXian"/>
                <w:lang w:eastAsia="zh-CN"/>
              </w:rPr>
              <w:t>K_offset</w:t>
            </w:r>
            <w:proofErr w:type="spellEnd"/>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proofErr w:type="spellStart"/>
            <w:r w:rsidRPr="008759AB">
              <w:rPr>
                <w:rFonts w:eastAsia="DengXian"/>
                <w:lang w:eastAsia="zh-CN"/>
              </w:rPr>
              <w:t>K_offset</w:t>
            </w:r>
            <w:proofErr w:type="spellEnd"/>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proofErr w:type="spellStart"/>
            <w:r w:rsidR="00A5143F" w:rsidRPr="008759AB">
              <w:rPr>
                <w:rFonts w:eastAsia="DengXian"/>
                <w:lang w:eastAsia="zh-CN"/>
              </w:rPr>
              <w:t>K_offset</w:t>
            </w:r>
            <w:proofErr w:type="spellEnd"/>
            <w:r w:rsidR="00A5143F">
              <w:rPr>
                <w:rFonts w:eastAsia="DengXian" w:hint="eastAsia"/>
                <w:lang w:eastAsia="zh-CN"/>
              </w:rPr>
              <w:t xml:space="preserve"> or cell-specific </w:t>
            </w:r>
            <w:proofErr w:type="spellStart"/>
            <w:r w:rsidR="00A5143F" w:rsidRPr="008759AB">
              <w:rPr>
                <w:rFonts w:eastAsia="DengXian"/>
                <w:lang w:eastAsia="zh-CN"/>
              </w:rPr>
              <w:t>K_offset</w:t>
            </w:r>
            <w:proofErr w:type="spellEnd"/>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lastRenderedPageBreak/>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4912" w:rsidRPr="008A4526" w14:paraId="011B27C8" w14:textId="77777777" w:rsidTr="00E92BEF">
        <w:tc>
          <w:tcPr>
            <w:tcW w:w="1741" w:type="dxa"/>
          </w:tcPr>
          <w:p w14:paraId="65137A28" w14:textId="453060CA" w:rsidR="00094912" w:rsidRDefault="00094912" w:rsidP="00E92BEF">
            <w:pPr>
              <w:rPr>
                <w:rFonts w:eastAsia="DengXian"/>
                <w:lang w:eastAsia="zh-CN"/>
              </w:rPr>
            </w:pPr>
            <w:r>
              <w:rPr>
                <w:rFonts w:eastAsia="DengXian"/>
                <w:lang w:eastAsia="zh-CN"/>
              </w:rPr>
              <w:lastRenderedPageBreak/>
              <w:t>Nordic Semiconductor</w:t>
            </w:r>
          </w:p>
        </w:tc>
        <w:tc>
          <w:tcPr>
            <w:tcW w:w="7326" w:type="dxa"/>
          </w:tcPr>
          <w:p w14:paraId="74928F13" w14:textId="77777777" w:rsidR="00094912" w:rsidRDefault="00094912" w:rsidP="00E92BEF">
            <w:pPr>
              <w:rPr>
                <w:rFonts w:eastAsia="DengXian"/>
                <w:lang w:eastAsia="zh-CN"/>
              </w:rPr>
            </w:pPr>
            <w:r>
              <w:rPr>
                <w:rFonts w:eastAsia="DengXian"/>
                <w:lang w:eastAsia="zh-CN"/>
              </w:rPr>
              <w:t>We think that NPDCCH monitoring restrictions should be defined in terms of downlink subframe indices. Due to somewhat complicated relation of the start of UL transmission in terms of DL indices, could we simply refer (</w:t>
            </w:r>
            <w:proofErr w:type="spellStart"/>
            <w:r>
              <w:rPr>
                <w:rFonts w:eastAsia="DengXian"/>
                <w:lang w:eastAsia="zh-CN"/>
              </w:rPr>
              <w:t>implicitely</w:t>
            </w:r>
            <w:proofErr w:type="spellEnd"/>
            <w:r>
              <w:rPr>
                <w:rFonts w:eastAsia="DengXian"/>
                <w:lang w:eastAsia="zh-CN"/>
              </w:rPr>
              <w:t xml:space="preserve">) to the start of UL transmission. E.g. </w:t>
            </w:r>
          </w:p>
          <w:p w14:paraId="6EA61464" w14:textId="08B656C8" w:rsidR="00094912" w:rsidRDefault="00094912" w:rsidP="00094912">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r w:rsidRPr="00094912">
              <w:rPr>
                <w:i/>
                <w:highlight w:val="yellow"/>
              </w:rPr>
              <w:t>+K_offset</w:t>
            </w:r>
            <w:proofErr w:type="spellEnd"/>
            <w:r>
              <w:rPr>
                <w:i/>
              </w:rPr>
              <w:t>,</w:t>
            </w:r>
          </w:p>
          <w:p w14:paraId="74693896" w14:textId="15034877" w:rsidR="00094912" w:rsidRDefault="00094912" w:rsidP="00094912">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 xml:space="preserve">the start of UL </w:t>
            </w:r>
            <w:proofErr w:type="gramStart"/>
            <w:r w:rsidRPr="00094912">
              <w:rPr>
                <w:highlight w:val="yellow"/>
              </w:rPr>
              <w:t>transmission</w:t>
            </w:r>
            <w:r>
              <w:t>;</w:t>
            </w:r>
            <w:proofErr w:type="gramEnd"/>
            <w:r>
              <w:t xml:space="preserve"> and</w:t>
            </w:r>
          </w:p>
          <w:p w14:paraId="30305F15" w14:textId="77777777" w:rsidR="00094912" w:rsidRDefault="00787B96" w:rsidP="00E92BEF">
            <w:pPr>
              <w:rPr>
                <w:rFonts w:eastAsia="DengXian"/>
                <w:lang w:eastAsia="zh-CN"/>
              </w:rPr>
            </w:pPr>
            <w:r>
              <w:rPr>
                <w:rFonts w:eastAsia="DengXian"/>
                <w:lang w:eastAsia="zh-CN"/>
              </w:rPr>
              <w:t>Or we could even leave the detailed formulation to the spec editor.</w:t>
            </w:r>
          </w:p>
          <w:p w14:paraId="086BCAF2" w14:textId="77777777" w:rsidR="00787B96" w:rsidRDefault="00787B96" w:rsidP="00E92BEF">
            <w:pPr>
              <w:rPr>
                <w:rFonts w:eastAsia="DengXian"/>
                <w:lang w:eastAsia="zh-CN"/>
              </w:rPr>
            </w:pPr>
            <w:r>
              <w:rPr>
                <w:rFonts w:eastAsia="DengXian"/>
                <w:lang w:eastAsia="zh-CN"/>
              </w:rPr>
              <w:t>But Type B half-duplex operation in NTN is maybe easier to define in terms of UL subframe indices. E.g.</w:t>
            </w:r>
          </w:p>
          <w:p w14:paraId="37422F3E" w14:textId="4AD378F6" w:rsidR="00787B96" w:rsidRPr="00787B96" w:rsidRDefault="00787B96" w:rsidP="00787B96">
            <w:pPr>
              <w:rPr>
                <w:rFonts w:eastAsia="DengXian"/>
                <w:lang w:eastAsia="zh-CN"/>
              </w:rPr>
            </w:pPr>
            <w:r>
              <w:rPr>
                <w:i/>
                <w:iCs/>
              </w:rPr>
              <w:t xml:space="preserve">For </w:t>
            </w:r>
            <w:proofErr w:type="spellStart"/>
            <w:r>
              <w:rPr>
                <w:i/>
                <w:iCs/>
              </w:rPr>
              <w:t>eMTC</w:t>
            </w:r>
            <w:proofErr w:type="spellEnd"/>
            <w:r>
              <w:rPr>
                <w:i/>
                <w:iCs/>
              </w:rPr>
              <w:t xml:space="preserve">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w:t>
            </w:r>
            <w:proofErr w:type="spellStart"/>
            <w:r w:rsidRPr="00612B49">
              <w:rPr>
                <w:i/>
                <w:iCs/>
              </w:rPr>
              <w:t>en</w:t>
            </w:r>
            <w:proofErr w:type="spellEnd"/>
            <w:r w:rsidRPr="00612B49">
              <w:rPr>
                <w:i/>
                <w:iCs/>
              </w:rPr>
              <w:t xml:space="preserve">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bl>
    <w:p w14:paraId="3008F25B" w14:textId="615572FF" w:rsidR="00D31529" w:rsidRDefault="00D31529" w:rsidP="00D31529">
      <w:pPr>
        <w:rPr>
          <w:lang w:eastAsia="x-none"/>
        </w:rPr>
      </w:pPr>
    </w:p>
    <w:p w14:paraId="624660C0" w14:textId="77777777" w:rsidR="00D31529" w:rsidRDefault="00D31529" w:rsidP="00D31529">
      <w:pPr>
        <w:pStyle w:val="Heading1"/>
        <w:rPr>
          <w:rStyle w:val="Heading2Char"/>
        </w:rPr>
      </w:pPr>
      <w:bookmarkStart w:id="30" w:name="_Ref80215140"/>
      <w:bookmarkStart w:id="31" w:name="_Ref84837251"/>
      <w:bookmarkStart w:id="32" w:name="_Toc85092329"/>
      <w:proofErr w:type="spellStart"/>
      <w:r w:rsidRPr="00302003">
        <w:rPr>
          <w:rStyle w:val="Heading2Char"/>
        </w:rPr>
        <w:t>K_offset</w:t>
      </w:r>
      <w:proofErr w:type="spellEnd"/>
      <w:r>
        <w:rPr>
          <w:rStyle w:val="Heading2Char"/>
        </w:rPr>
        <w:t xml:space="preserve"> </w:t>
      </w:r>
      <w:bookmarkEnd w:id="30"/>
      <w:r>
        <w:rPr>
          <w:rStyle w:val="Heading2Char"/>
        </w:rPr>
        <w:t>handling</w:t>
      </w:r>
      <w:bookmarkEnd w:id="31"/>
      <w:bookmarkEnd w:id="32"/>
    </w:p>
    <w:p w14:paraId="40FAA1D5" w14:textId="77777777" w:rsidR="00D31529" w:rsidRDefault="00D31529" w:rsidP="00D31529">
      <w:pPr>
        <w:pStyle w:val="Heading3"/>
      </w:pPr>
      <w:r>
        <w:t xml:space="preserve"> </w:t>
      </w:r>
      <w:bookmarkStart w:id="33" w:name="_Toc85092330"/>
      <w:r>
        <w:t>Companies’ Observations and Proposals</w:t>
      </w:r>
      <w:bookmarkEnd w:id="33"/>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09491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09491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lastRenderedPageBreak/>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4" w:name="_Toc85092331"/>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lastRenderedPageBreak/>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proofErr w:type="spellStart"/>
            <w:r>
              <w:rPr>
                <w:rFonts w:eastAsia="DengXian"/>
                <w:lang w:eastAsia="zh-CN"/>
              </w:rPr>
              <w:t>GateHouse</w:t>
            </w:r>
            <w:proofErr w:type="spellEnd"/>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proofErr w:type="spellStart"/>
            <w:r>
              <w:rPr>
                <w:rFonts w:eastAsia="DengXian"/>
                <w:lang w:eastAsia="zh-CN"/>
              </w:rPr>
              <w:t>Novamin</w:t>
            </w:r>
            <w:r>
              <w:t>t</w:t>
            </w:r>
            <w:proofErr w:type="spellEnd"/>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5" w:name="_Toc85092332"/>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 xml:space="preserve">Huawei, </w:t>
            </w:r>
            <w:proofErr w:type="spellStart"/>
            <w:r>
              <w:rPr>
                <w:rFonts w:eastAsia="DengXian"/>
                <w:lang w:val="en-GB" w:eastAsia="zh-CN"/>
              </w:rPr>
              <w:t>HiSilicon</w:t>
            </w:r>
            <w:proofErr w:type="spellEnd"/>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6" w:name="_Toc85092333"/>
      <w:r>
        <w:rPr>
          <w:rStyle w:val="Heading2Char"/>
        </w:rPr>
        <w:t xml:space="preserve">UE-specific TA </w:t>
      </w:r>
      <w:r w:rsidR="007E4DCF">
        <w:rPr>
          <w:rStyle w:val="Heading2Char"/>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lastRenderedPageBreak/>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7"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7"/>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Heading2"/>
        <w:rPr>
          <w:b w:val="0"/>
          <w:bCs w:val="0"/>
        </w:rPr>
      </w:pPr>
      <w:bookmarkStart w:id="39" w:name="_Ref85041707"/>
      <w:bookmarkStart w:id="40" w:name="_Toc85092334"/>
      <w:bookmarkEnd w:id="38"/>
      <w:r>
        <w:rPr>
          <w:rStyle w:val="Heading2Char"/>
        </w:rPr>
        <w:t xml:space="preserve">Quantity to </w:t>
      </w:r>
      <w:r w:rsidR="005C327A">
        <w:rPr>
          <w:rStyle w:val="Heading2Char"/>
        </w:rPr>
        <w:t>Report</w:t>
      </w:r>
      <w:bookmarkEnd w:id="39"/>
      <w:bookmarkEnd w:id="40"/>
    </w:p>
    <w:p w14:paraId="4354C28F" w14:textId="4EFEF768" w:rsidR="006C227C" w:rsidRPr="00100D31" w:rsidRDefault="008B03A0" w:rsidP="00CA392C">
      <w:pPr>
        <w:pStyle w:val="Heading3"/>
      </w:pPr>
      <w:r>
        <w:t xml:space="preserve"> </w:t>
      </w:r>
      <w:bookmarkStart w:id="41" w:name="_Toc8509233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lastRenderedPageBreak/>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 xml:space="preserve">FGI, Asia Pacific </w:t>
            </w:r>
            <w:r w:rsidRPr="00630D37">
              <w:lastRenderedPageBreak/>
              <w:t>Telecom, III, ITRI</w:t>
            </w:r>
          </w:p>
        </w:tc>
        <w:tc>
          <w:tcPr>
            <w:tcW w:w="7036" w:type="dxa"/>
          </w:tcPr>
          <w:p w14:paraId="17F1F4AA" w14:textId="77777777" w:rsidR="00630D37" w:rsidRDefault="00630D37" w:rsidP="00E002A5">
            <w:pPr>
              <w:rPr>
                <w:lang w:eastAsia="zh-TW"/>
              </w:rPr>
            </w:pPr>
            <w:bookmarkStart w:id="42" w:name="_Toc82802847"/>
            <w:r>
              <w:rPr>
                <w:lang w:eastAsia="zh-TW"/>
              </w:rPr>
              <w:lastRenderedPageBreak/>
              <w:t xml:space="preserve">Proposal 1: Contents of UE-specific TA report shall wait for the outcome of the LS to </w:t>
            </w:r>
            <w:r>
              <w:rPr>
                <w:lang w:eastAsia="zh-TW"/>
              </w:rPr>
              <w:lastRenderedPageBreak/>
              <w:t>SA3 to ensure whether user consent for obtaining UE location by gNB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3"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4"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5" w:name="_Toc85092336"/>
      <w:r>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 xml:space="preserve">UE specific </w:t>
      </w:r>
      <w:proofErr w:type="gramStart"/>
      <w:r w:rsidR="008539FF" w:rsidRPr="005F0564">
        <w:rPr>
          <w:highlight w:val="cyan"/>
        </w:rPr>
        <w:t>TA</w:t>
      </w:r>
      <w:r w:rsidR="008539FF" w:rsidRPr="005F0564" w:rsidDel="008539FF">
        <w:rPr>
          <w:highlight w:val="cyan"/>
        </w:rPr>
        <w:t xml:space="preserve"> </w:t>
      </w:r>
      <w:r w:rsidR="008539FF">
        <w:rPr>
          <w:highlight w:val="cyan"/>
        </w:rPr>
        <w:t>,</w:t>
      </w:r>
      <w:proofErr w:type="gramEnd"/>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w:t>
            </w:r>
            <w:r w:rsidR="0081654B">
              <w:rPr>
                <w:lang w:eastAsia="zh-CN"/>
              </w:rPr>
              <w:lastRenderedPageBreak/>
              <w:t>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lastRenderedPageBreak/>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 xml:space="preserve">Generally fine with the agreement based on RAN2 agreement </w:t>
            </w:r>
            <w:r>
              <w:rPr>
                <w:rFonts w:eastAsia="DengXian"/>
              </w:rPr>
              <w:lastRenderedPageBreak/>
              <w:t>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w:t>
            </w:r>
            <w:proofErr w:type="gramStart"/>
            <w:r w:rsidR="001A3FBC">
              <w:rPr>
                <w:lang w:eastAsia="zh-CN"/>
              </w:rPr>
              <w:t xml:space="preserve">TA </w:t>
            </w:r>
            <w:r>
              <w:rPr>
                <w:lang w:eastAsia="zh-CN"/>
              </w:rPr>
              <w:t xml:space="preserve"> overhead</w:t>
            </w:r>
            <w:proofErr w:type="gramEnd"/>
            <w:r>
              <w:rPr>
                <w:lang w:eastAsia="zh-CN"/>
              </w:rPr>
              <w:t xml:space="preserve">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lastRenderedPageBreak/>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7508FF" w14:paraId="37C46943" w14:textId="77777777" w:rsidTr="00867955">
        <w:tc>
          <w:tcPr>
            <w:tcW w:w="1838" w:type="dxa"/>
          </w:tcPr>
          <w:p w14:paraId="762EBD14" w14:textId="245E1B3A" w:rsidR="007508FF" w:rsidRDefault="007508FF" w:rsidP="006A254F">
            <w:pPr>
              <w:rPr>
                <w:rFonts w:eastAsia="DengXian" w:hint="eastAsia"/>
                <w:color w:val="000000" w:themeColor="text1"/>
                <w:lang w:eastAsia="zh-CN"/>
              </w:rPr>
            </w:pPr>
            <w:r>
              <w:rPr>
                <w:rFonts w:eastAsia="DengXian"/>
                <w:color w:val="000000" w:themeColor="text1"/>
                <w:lang w:eastAsia="zh-CN"/>
              </w:rPr>
              <w:t>Nordic Semiconductor</w:t>
            </w:r>
          </w:p>
        </w:tc>
        <w:tc>
          <w:tcPr>
            <w:tcW w:w="1985" w:type="dxa"/>
          </w:tcPr>
          <w:p w14:paraId="7A18B1E8" w14:textId="77777777" w:rsidR="007508FF" w:rsidRDefault="007508FF" w:rsidP="006A254F">
            <w:pPr>
              <w:jc w:val="center"/>
            </w:pPr>
          </w:p>
        </w:tc>
        <w:tc>
          <w:tcPr>
            <w:tcW w:w="5193" w:type="dxa"/>
          </w:tcPr>
          <w:p w14:paraId="206E050C" w14:textId="67785457" w:rsidR="007508FF" w:rsidRDefault="007508FF" w:rsidP="005E76F1">
            <w:pPr>
              <w:rPr>
                <w:rFonts w:eastAsia="DengXian"/>
                <w:lang w:eastAsia="zh-CN"/>
              </w:rPr>
            </w:pPr>
            <w:r>
              <w:rPr>
                <w:rFonts w:eastAsia="DengXian"/>
                <w:lang w:eastAsia="zh-CN"/>
              </w:rPr>
              <w:t>We prefer reporting of UE-specific TA (Option 1). Reporting of differential TA is more complicated since it would require feedbacked ACK from network in order to work properly.</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6" w:name="_Toc85092337"/>
      <w:r w:rsidRPr="002F08B3">
        <w:rPr>
          <w:rStyle w:val="Heading2Char"/>
        </w:rPr>
        <w:t xml:space="preserve">The granularity of the </w:t>
      </w:r>
      <w:r w:rsidR="005C327A">
        <w:rPr>
          <w:rStyle w:val="Heading2Char"/>
        </w:rPr>
        <w:t>reported quantity</w:t>
      </w:r>
      <w:bookmarkEnd w:id="46"/>
    </w:p>
    <w:p w14:paraId="734E3F89" w14:textId="77777777" w:rsidR="002F08B3" w:rsidRPr="00100D31" w:rsidRDefault="002F08B3" w:rsidP="002F08B3">
      <w:pPr>
        <w:pStyle w:val="Heading3"/>
      </w:pPr>
      <w:r>
        <w:t xml:space="preserve"> </w:t>
      </w:r>
      <w:bookmarkStart w:id="47" w:name="_Toc85092338"/>
      <w:r>
        <w:t>Companies’ Observations and Proposals</w:t>
      </w:r>
      <w:bookmarkEnd w:id="47"/>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lastRenderedPageBreak/>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8" w:name="_Toc85092339"/>
      <w:r>
        <w:t>Signaling overhead</w:t>
      </w:r>
      <w:bookmarkEnd w:id="48"/>
    </w:p>
    <w:p w14:paraId="6FD22C9C" w14:textId="118E269B" w:rsidR="00D14C27" w:rsidRPr="00D14C27" w:rsidRDefault="00D14C27" w:rsidP="00D14C27">
      <w:pPr>
        <w:pStyle w:val="Heading3"/>
      </w:pPr>
      <w:bookmarkStart w:id="49" w:name="_Toc85092340"/>
      <w:r w:rsidRPr="00D14C27">
        <w:t>Companies’ Observations and Proposals</w:t>
      </w:r>
      <w:bookmarkEnd w:id="49"/>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lastRenderedPageBreak/>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0" w:name="_Toc85092341"/>
      <w:r>
        <w:t>Frequency of reporting</w:t>
      </w:r>
      <w:bookmarkEnd w:id="50"/>
    </w:p>
    <w:p w14:paraId="680DCEEF" w14:textId="77777777" w:rsidR="00D14C27" w:rsidRPr="00D14C27" w:rsidRDefault="00D14C27" w:rsidP="00D14C27">
      <w:pPr>
        <w:pStyle w:val="Heading3"/>
      </w:pPr>
      <w:bookmarkStart w:id="51" w:name="_Toc85092342"/>
      <w:r w:rsidRPr="00D14C27">
        <w:t>Companies’ Observations and Proposals</w:t>
      </w:r>
      <w:bookmarkEnd w:id="51"/>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w:t>
            </w:r>
            <w:r w:rsidRPr="00602022">
              <w:rPr>
                <w:i/>
              </w:rPr>
              <w:lastRenderedPageBreak/>
              <w:t>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lastRenderedPageBreak/>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 xml:space="preserve">Support one of the following alternatives to decrease UE-specific TA reporting </w:t>
            </w:r>
            <w:r>
              <w:lastRenderedPageBreak/>
              <w:t>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lastRenderedPageBreak/>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2" w:name="_Toc85092343"/>
      <w:r w:rsidRPr="00D4093D">
        <w:t>Means of reporting</w:t>
      </w:r>
      <w:bookmarkEnd w:id="52"/>
    </w:p>
    <w:p w14:paraId="74C898A3" w14:textId="77777777" w:rsidR="00D14C27" w:rsidRPr="00D14C27" w:rsidRDefault="00D14C27" w:rsidP="00D14C27">
      <w:pPr>
        <w:pStyle w:val="Heading3"/>
      </w:pPr>
      <w:bookmarkStart w:id="53" w:name="_Toc85092344"/>
      <w:r w:rsidRPr="00D14C27">
        <w:t>Companies’ Observations and Proposals</w:t>
      </w:r>
      <w:bookmarkEnd w:id="53"/>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4" w:name="_Toc85092345"/>
      <w:bookmarkStart w:id="55" w:name="_Hlk80030196"/>
      <w:r>
        <w:rPr>
          <w:rStyle w:val="Heading2Char"/>
        </w:rPr>
        <w:t>Others</w:t>
      </w:r>
      <w:bookmarkEnd w:id="54"/>
    </w:p>
    <w:p w14:paraId="42659363" w14:textId="04D49564" w:rsidR="006B24DB" w:rsidRDefault="006B24DB" w:rsidP="006B24DB">
      <w:pPr>
        <w:pStyle w:val="Heading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Heading3"/>
      </w:pPr>
      <w:bookmarkStart w:id="58" w:name="_Toc85092347"/>
      <w:bookmarkEnd w:id="55"/>
      <w:r>
        <w:t>Companies’ Observations and Proposals</w:t>
      </w:r>
      <w:bookmarkEnd w:id="58"/>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current WUS/</w:t>
            </w:r>
            <w:proofErr w:type="gramStart"/>
            <w:r>
              <w:t xml:space="preserve">NWUS </w:t>
            </w:r>
            <w:r w:rsidR="00157E82">
              <w:t>.</w:t>
            </w:r>
            <w:proofErr w:type="gramEnd"/>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 xml:space="preserve">We think that </w:t>
            </w:r>
            <w:proofErr w:type="gramStart"/>
            <w:r>
              <w:rPr>
                <w:rFonts w:eastAsia="DengXian"/>
                <w:lang w:eastAsia="zh-CN"/>
              </w:rPr>
              <w:t>this needs</w:t>
            </w:r>
            <w:proofErr w:type="gramEnd"/>
            <w:r>
              <w:rPr>
                <w:rFonts w:eastAsia="DengXian"/>
                <w:lang w:eastAsia="zh-CN"/>
              </w:rPr>
              <w:t xml:space="preserve">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w:t>
            </w:r>
            <w:proofErr w:type="gramStart"/>
            <w:r>
              <w:t xml:space="preserve">adaptations </w:t>
            </w:r>
            <w:r w:rsidRPr="004A66C2">
              <w:rPr>
                <w:rFonts w:hint="eastAsia"/>
              </w:rPr>
              <w:t xml:space="preserve"> </w:t>
            </w:r>
            <w:r w:rsidR="00394E50">
              <w:rPr>
                <w:rFonts w:eastAsia="DengXian" w:hint="eastAsia"/>
                <w:lang w:eastAsia="zh-CN"/>
              </w:rPr>
              <w:t>can</w:t>
            </w:r>
            <w:proofErr w:type="gramEnd"/>
            <w:r w:rsidR="00394E50">
              <w:rPr>
                <w:rFonts w:eastAsia="DengXian" w:hint="eastAsia"/>
                <w:lang w:eastAsia="zh-CN"/>
              </w:rPr>
              <w:t xml:space="preserve">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w:t>
            </w:r>
            <w:r w:rsidR="00170130">
              <w:lastRenderedPageBreak/>
              <w:t xml:space="preserve">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lastRenderedPageBreak/>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77777777" w:rsidR="004C1C7A" w:rsidRDefault="004C1C7A" w:rsidP="001366E2"/>
    <w:p w14:paraId="724074B2" w14:textId="326BFC55" w:rsidR="00981B18" w:rsidRDefault="004E316B" w:rsidP="007F69E8">
      <w:pPr>
        <w:pStyle w:val="Heading2"/>
      </w:pPr>
      <w:bookmarkStart w:id="60" w:name="_Toc85092349"/>
      <w:r>
        <w:t>UL-DL Collision Handling for HD UE</w:t>
      </w:r>
      <w:bookmarkEnd w:id="6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1" w:name="_Toc85092350"/>
      <w:r>
        <w:t>Companies’ views and proposals</w:t>
      </w:r>
      <w:bookmarkEnd w:id="6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2" w:name="_Toc85092351"/>
      <w:r>
        <w:lastRenderedPageBreak/>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3" w:name="_Toc85092352"/>
      <w:r>
        <w:t>Companies’ views and proposals</w:t>
      </w:r>
      <w:bookmarkEnd w:id="6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5" w:name="_Toc85092354"/>
      <w:r>
        <w:t>Reference</w:t>
      </w:r>
      <w:r w:rsidR="00BE0157">
        <w:t>d Documents</w:t>
      </w:r>
      <w:bookmarkEnd w:id="65"/>
    </w:p>
    <w:p w14:paraId="22FD40B0" w14:textId="77777777" w:rsidR="0037687D" w:rsidRDefault="0037687D" w:rsidP="00E656FF">
      <w:pPr>
        <w:pStyle w:val="NoSpacing"/>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NoSpacing"/>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w:t>
      </w:r>
      <w:proofErr w:type="spellStart"/>
      <w:r>
        <w:t>eMTC</w:t>
      </w:r>
      <w:proofErr w:type="spellEnd"/>
      <w:r>
        <w:t xml:space="preserve"> over </w:t>
      </w:r>
      <w:proofErr w:type="gramStart"/>
      <w:r>
        <w:t>NTN  Nokia</w:t>
      </w:r>
      <w:proofErr w:type="gramEnd"/>
      <w:r>
        <w:t>,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A392" w14:textId="77777777" w:rsidR="007E5A35" w:rsidRDefault="007E5A35" w:rsidP="00EE1A16">
      <w:r>
        <w:separator/>
      </w:r>
    </w:p>
  </w:endnote>
  <w:endnote w:type="continuationSeparator" w:id="0">
    <w:p w14:paraId="66264726" w14:textId="77777777" w:rsidR="007E5A35" w:rsidRDefault="007E5A35" w:rsidP="00EE1A16">
      <w:r>
        <w:continuationSeparator/>
      </w:r>
    </w:p>
  </w:endnote>
  <w:endnote w:type="continuationNotice" w:id="1">
    <w:p w14:paraId="22C8B4EC" w14:textId="77777777" w:rsidR="007E5A35" w:rsidRDefault="007E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E207" w14:textId="77777777" w:rsidR="007E5A35" w:rsidRDefault="007E5A35" w:rsidP="00EE1A16">
      <w:r>
        <w:separator/>
      </w:r>
    </w:p>
  </w:footnote>
  <w:footnote w:type="continuationSeparator" w:id="0">
    <w:p w14:paraId="5841443B" w14:textId="77777777" w:rsidR="007E5A35" w:rsidRDefault="007E5A35" w:rsidP="00EE1A16">
      <w:r>
        <w:continuationSeparator/>
      </w:r>
    </w:p>
  </w:footnote>
  <w:footnote w:type="continuationNotice" w:id="1">
    <w:p w14:paraId="6254AD38" w14:textId="77777777" w:rsidR="007E5A35" w:rsidRDefault="007E5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193F"/>
    <w:rsid w:val="000920DD"/>
    <w:rsid w:val="000927C8"/>
    <w:rsid w:val="00092C1B"/>
    <w:rsid w:val="00092FBA"/>
    <w:rsid w:val="00094912"/>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08FF"/>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87B9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5A35"/>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49D"/>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193C"/>
    <w:rsid w:val="00CE3568"/>
    <w:rsid w:val="00CE4AA6"/>
    <w:rsid w:val="00CE52B8"/>
    <w:rsid w:val="00CE5392"/>
    <w:rsid w:val="00CE5649"/>
    <w:rsid w:val="00CE7170"/>
    <w:rsid w:val="00CE7881"/>
    <w:rsid w:val="00CF1AC6"/>
    <w:rsid w:val="00CF1D04"/>
    <w:rsid w:val="00CF3682"/>
    <w:rsid w:val="00CF393D"/>
    <w:rsid w:val="00CF43F9"/>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normaltextrun">
    <w:name w:val="normaltextrun"/>
    <w:basedOn w:val="DefaultParagraphFont"/>
    <w:rsid w:val="00787B96"/>
  </w:style>
  <w:style w:type="character" w:customStyle="1" w:styleId="mathspan">
    <w:name w:val="mathspan"/>
    <w:basedOn w:val="DefaultParagraphFont"/>
    <w:rsid w:val="00787B96"/>
  </w:style>
  <w:style w:type="character" w:customStyle="1" w:styleId="mi">
    <w:name w:val="mi"/>
    <w:basedOn w:val="DefaultParagraphFont"/>
    <w:rsid w:val="00787B96"/>
  </w:style>
  <w:style w:type="character" w:customStyle="1" w:styleId="mjxassistivemathml">
    <w:name w:val="mjx_assistive_mathml"/>
    <w:basedOn w:val="DefaultParagraphFont"/>
    <w:rsid w:val="00787B96"/>
  </w:style>
  <w:style w:type="character" w:customStyle="1" w:styleId="eop">
    <w:name w:val="eop"/>
    <w:basedOn w:val="DefaultParagraphFont"/>
    <w:rsid w:val="0078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38002036">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402C10EC-9943-4205-BE65-28B275647AAE}">
  <ds:schemaRefs>
    <ds:schemaRef ds:uri="http://schemas.openxmlformats.org/officeDocument/2006/bibliography"/>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10799</Words>
  <Characters>87479</Characters>
  <Application>Microsoft Office Word</Application>
  <DocSecurity>0</DocSecurity>
  <Lines>728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98082</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Nissilä, Mauri</cp:lastModifiedBy>
  <cp:revision>3</cp:revision>
  <dcterms:created xsi:type="dcterms:W3CDTF">2021-10-18T15:55:00Z</dcterms:created>
  <dcterms:modified xsi:type="dcterms:W3CDTF">2021-10-18T16:34:00Z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