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Default Extension="emf" ContentType="image/x-emf"/>
  <Default Extension="vsd" ContentType="application/vnd.visio"/>
  <Default Extension="bin" ContentType="application/vnd.openxmlformats-officedocument.oleObjec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A84298">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A84298">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A84298">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1C7F87">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5pt" equationxml="&lt;">
                  <v:imagedata r:id="rId11" o:title="" chromakey="white"/>
                </v:shape>
              </w:pict>
            </w:r>
            <w:r>
              <w:rPr>
                <w:b/>
                <w:i/>
              </w:rPr>
              <w:t xml:space="preserve"> , UE determines the next available NPRACH occasion after uplink slot </w:t>
            </w:r>
            <w:r w:rsidR="001C7F87">
              <w:rPr>
                <w:rFonts w:cs="Times"/>
                <w:position w:val="-8"/>
                <w:lang w:val="en-GB" w:eastAsia="en-US"/>
              </w:rPr>
              <w:pict w14:anchorId="7A716991">
                <v:shape id="_x0000_i1026" type="#_x0000_t75" style="width:52.6pt;height:14.4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en-US"/>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8pt;height:13.15pt" o:ole="">
            <v:imagedata r:id="rId14" o:title=""/>
          </v:shape>
          <o:OLEObject Type="Embed" ProgID="Equation.3" ShapeID="_x0000_i1027" DrawAspect="Content" ObjectID="_1695670603"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en-US"/>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en-US"/>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A84298" w14:paraId="71A7D11C" w14:textId="77777777" w:rsidTr="003372FB">
        <w:tc>
          <w:tcPr>
            <w:tcW w:w="1838" w:type="dxa"/>
          </w:tcPr>
          <w:p w14:paraId="71001BEB" w14:textId="0F71B0A4" w:rsidR="00A84298" w:rsidRDefault="00A84298" w:rsidP="00DD773D">
            <w:pPr>
              <w:jc w:val="center"/>
              <w:rPr>
                <w:rFonts w:eastAsia="DengXian"/>
                <w:lang w:eastAsia="zh-CN"/>
              </w:rPr>
            </w:pPr>
            <w:r>
              <w:rPr>
                <w:rFonts w:eastAsia="DengXian"/>
                <w:lang w:eastAsia="zh-CN"/>
              </w:rPr>
              <w:t>Novamin</w:t>
            </w:r>
            <w:r>
              <w:t>t</w:t>
            </w:r>
          </w:p>
        </w:tc>
        <w:tc>
          <w:tcPr>
            <w:tcW w:w="1985" w:type="dxa"/>
          </w:tcPr>
          <w:p w14:paraId="2C3BFA5D" w14:textId="5058E3DE" w:rsidR="00A84298" w:rsidRDefault="00A84298" w:rsidP="00DD773D">
            <w:pPr>
              <w:jc w:val="center"/>
              <w:rPr>
                <w:rFonts w:eastAsia="DengXian"/>
                <w:lang w:eastAsia="zh-CN"/>
              </w:rPr>
            </w:pPr>
            <w:r>
              <w:rPr>
                <w:rFonts w:eastAsia="DengXian"/>
                <w:lang w:eastAsia="zh-CN"/>
              </w:rPr>
              <w:t>Suppor</w:t>
            </w:r>
            <w:r>
              <w:t xml:space="preserve">t </w:t>
            </w:r>
          </w:p>
        </w:tc>
        <w:tc>
          <w:tcPr>
            <w:tcW w:w="5193" w:type="dxa"/>
          </w:tcPr>
          <w:p w14:paraId="14007C28" w14:textId="77777777" w:rsidR="00A84298" w:rsidRDefault="00A84298" w:rsidP="00DD773D"/>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 xml:space="preserve">For NB-IoT in NTN, not support to enhance the timing relationship of </w:t>
            </w:r>
            <w:r w:rsidRPr="005F0D85">
              <w:rPr>
                <w:b/>
                <w:i/>
              </w:rPr>
              <w:lastRenderedPageBreak/>
              <w:t>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lastRenderedPageBreak/>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lastRenderedPageBreak/>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5"/>
        <w:gridCol w:w="1220"/>
        <w:gridCol w:w="6361"/>
      </w:tblGrid>
      <w:tr w:rsidR="006F3EF0" w14:paraId="28B283E7" w14:textId="77777777" w:rsidTr="00C559F4">
        <w:tc>
          <w:tcPr>
            <w:tcW w:w="1554" w:type="dxa"/>
            <w:shd w:val="clear" w:color="auto" w:fill="D9D9D9" w:themeFill="background1" w:themeFillShade="D9"/>
          </w:tcPr>
          <w:p w14:paraId="4F15479D" w14:textId="77777777" w:rsidR="006F3EF0" w:rsidRDefault="006F3EF0" w:rsidP="00295DFC">
            <w:pPr>
              <w:jc w:val="center"/>
            </w:pPr>
            <w:r>
              <w:t>Company</w:t>
            </w:r>
          </w:p>
        </w:tc>
        <w:tc>
          <w:tcPr>
            <w:tcW w:w="1445" w:type="dxa"/>
            <w:shd w:val="clear" w:color="auto" w:fill="D9D9D9" w:themeFill="background1" w:themeFillShade="D9"/>
          </w:tcPr>
          <w:p w14:paraId="7E692A72" w14:textId="77777777" w:rsidR="006F3EF0" w:rsidRDefault="006F3EF0" w:rsidP="00295DFC">
            <w:pPr>
              <w:jc w:val="center"/>
            </w:pPr>
            <w:r>
              <w:t>Support/Not Support</w:t>
            </w:r>
          </w:p>
        </w:tc>
        <w:tc>
          <w:tcPr>
            <w:tcW w:w="6017"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C559F4">
        <w:tc>
          <w:tcPr>
            <w:tcW w:w="1554" w:type="dxa"/>
          </w:tcPr>
          <w:p w14:paraId="637B02FE" w14:textId="17EA9787" w:rsidR="006F3EF0" w:rsidRDefault="00981484" w:rsidP="00295DFC">
            <w:pPr>
              <w:jc w:val="center"/>
            </w:pPr>
            <w:r>
              <w:t>SONY</w:t>
            </w:r>
          </w:p>
        </w:tc>
        <w:tc>
          <w:tcPr>
            <w:tcW w:w="1445" w:type="dxa"/>
          </w:tcPr>
          <w:p w14:paraId="012EAE75" w14:textId="5B18875B" w:rsidR="006F3EF0" w:rsidRDefault="00210036" w:rsidP="00295DFC">
            <w:pPr>
              <w:jc w:val="center"/>
            </w:pPr>
            <w:r>
              <w:t>Support</w:t>
            </w:r>
          </w:p>
        </w:tc>
        <w:tc>
          <w:tcPr>
            <w:tcW w:w="6017"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C559F4">
        <w:tc>
          <w:tcPr>
            <w:tcW w:w="1554" w:type="dxa"/>
          </w:tcPr>
          <w:p w14:paraId="33575FC3" w14:textId="4B869DC8" w:rsidR="00F05923" w:rsidRDefault="00F05923" w:rsidP="00F05923">
            <w:pPr>
              <w:jc w:val="center"/>
            </w:pPr>
            <w:r>
              <w:rPr>
                <w:lang w:val="en-GB"/>
              </w:rPr>
              <w:t>Ericsson</w:t>
            </w:r>
          </w:p>
        </w:tc>
        <w:tc>
          <w:tcPr>
            <w:tcW w:w="1445" w:type="dxa"/>
          </w:tcPr>
          <w:p w14:paraId="3A019A40" w14:textId="065FE3D1" w:rsidR="00F05923" w:rsidRDefault="00F05923" w:rsidP="00F05923">
            <w:pPr>
              <w:jc w:val="center"/>
            </w:pPr>
            <w:r>
              <w:t>Not Support</w:t>
            </w:r>
          </w:p>
        </w:tc>
        <w:tc>
          <w:tcPr>
            <w:tcW w:w="6017"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existing timing relationship in NB-</w:t>
            </w:r>
            <w:r w:rsidR="005F4553">
              <w:lastRenderedPageBreak/>
              <w:t xml:space="preserve">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4pt;height:91.4pt" o:ole="">
                  <v:imagedata r:id="rId17" o:title=""/>
                </v:shape>
                <o:OLEObject Type="Embed" ProgID="Visio.Drawing.15" ShapeID="_x0000_i1028" DrawAspect="Content" ObjectID="_1695670604" r:id="rId18"/>
              </w:object>
            </w:r>
          </w:p>
        </w:tc>
      </w:tr>
      <w:tr w:rsidR="006F3EF0" w14:paraId="5EEFCFA8" w14:textId="77777777" w:rsidTr="00C559F4">
        <w:tc>
          <w:tcPr>
            <w:tcW w:w="1554"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445" w:type="dxa"/>
          </w:tcPr>
          <w:p w14:paraId="0FEBD544" w14:textId="4DC3B7AC" w:rsidR="006F3EF0" w:rsidRPr="002F083F" w:rsidRDefault="002F083F" w:rsidP="002F083F">
            <w:pPr>
              <w:jc w:val="center"/>
            </w:pPr>
            <w:r w:rsidRPr="002F083F">
              <w:rPr>
                <w:rFonts w:hint="eastAsia"/>
              </w:rPr>
              <w:t>Support</w:t>
            </w:r>
          </w:p>
        </w:tc>
        <w:tc>
          <w:tcPr>
            <w:tcW w:w="6017"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C559F4">
        <w:tc>
          <w:tcPr>
            <w:tcW w:w="1554" w:type="dxa"/>
          </w:tcPr>
          <w:p w14:paraId="1D143AC3" w14:textId="6C9C544D" w:rsidR="00865A26" w:rsidRPr="002F083F" w:rsidRDefault="00865A26" w:rsidP="002F083F">
            <w:pPr>
              <w:jc w:val="center"/>
            </w:pPr>
            <w:r>
              <w:rPr>
                <w:lang w:eastAsia="zh-CN"/>
              </w:rPr>
              <w:t>CATT</w:t>
            </w:r>
          </w:p>
        </w:tc>
        <w:tc>
          <w:tcPr>
            <w:tcW w:w="1445" w:type="dxa"/>
          </w:tcPr>
          <w:p w14:paraId="2C1F02BD" w14:textId="445B1059" w:rsidR="00865A26" w:rsidRPr="002F083F" w:rsidRDefault="00865A26" w:rsidP="002F083F">
            <w:pPr>
              <w:jc w:val="center"/>
            </w:pPr>
            <w:r>
              <w:t>Support</w:t>
            </w:r>
          </w:p>
        </w:tc>
        <w:tc>
          <w:tcPr>
            <w:tcW w:w="6017"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C559F4">
        <w:tc>
          <w:tcPr>
            <w:tcW w:w="1554" w:type="dxa"/>
          </w:tcPr>
          <w:p w14:paraId="30BC69C7" w14:textId="21C067EC" w:rsidR="008972D7" w:rsidRDefault="008972D7" w:rsidP="002F083F">
            <w:pPr>
              <w:jc w:val="center"/>
              <w:rPr>
                <w:lang w:eastAsia="zh-CN"/>
              </w:rPr>
            </w:pPr>
            <w:r>
              <w:rPr>
                <w:lang w:eastAsia="zh-CN"/>
              </w:rPr>
              <w:t>Mavenir</w:t>
            </w:r>
          </w:p>
        </w:tc>
        <w:tc>
          <w:tcPr>
            <w:tcW w:w="1445" w:type="dxa"/>
          </w:tcPr>
          <w:p w14:paraId="4732C392" w14:textId="3CE63994" w:rsidR="008972D7" w:rsidRDefault="008972D7" w:rsidP="002F083F">
            <w:pPr>
              <w:jc w:val="center"/>
            </w:pPr>
            <w:r>
              <w:t>Support</w:t>
            </w:r>
          </w:p>
        </w:tc>
        <w:tc>
          <w:tcPr>
            <w:tcW w:w="6017"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C559F4">
        <w:tc>
          <w:tcPr>
            <w:tcW w:w="1554" w:type="dxa"/>
          </w:tcPr>
          <w:p w14:paraId="5CF2B323" w14:textId="04E9E471" w:rsidR="00E10251" w:rsidRDefault="00E10251" w:rsidP="002F083F">
            <w:pPr>
              <w:jc w:val="center"/>
              <w:rPr>
                <w:lang w:eastAsia="zh-CN"/>
              </w:rPr>
            </w:pPr>
            <w:r>
              <w:rPr>
                <w:lang w:eastAsia="zh-CN"/>
              </w:rPr>
              <w:t>Samsung</w:t>
            </w:r>
          </w:p>
        </w:tc>
        <w:tc>
          <w:tcPr>
            <w:tcW w:w="1445" w:type="dxa"/>
          </w:tcPr>
          <w:p w14:paraId="65CF28EB" w14:textId="094ADFAC" w:rsidR="00E10251" w:rsidRDefault="00E10251" w:rsidP="002F083F">
            <w:pPr>
              <w:jc w:val="center"/>
            </w:pPr>
            <w:r>
              <w:t>Support</w:t>
            </w:r>
          </w:p>
        </w:tc>
        <w:tc>
          <w:tcPr>
            <w:tcW w:w="6017"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C559F4">
        <w:tc>
          <w:tcPr>
            <w:tcW w:w="1554"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445" w:type="dxa"/>
          </w:tcPr>
          <w:p w14:paraId="5FD4E9CD" w14:textId="2B477342" w:rsidR="00D32544" w:rsidRDefault="00D32544" w:rsidP="002F083F">
            <w:pPr>
              <w:jc w:val="center"/>
            </w:pPr>
            <w:r w:rsidRPr="00D32544">
              <w:t>Support</w:t>
            </w:r>
          </w:p>
        </w:tc>
        <w:tc>
          <w:tcPr>
            <w:tcW w:w="6017" w:type="dxa"/>
          </w:tcPr>
          <w:p w14:paraId="061A3525" w14:textId="77777777" w:rsidR="00D32544" w:rsidRDefault="00D32544" w:rsidP="00CC6DBC">
            <w:pPr>
              <w:rPr>
                <w:rFonts w:eastAsia="DengXian"/>
                <w:lang w:eastAsia="zh-CN"/>
              </w:rPr>
            </w:pPr>
          </w:p>
        </w:tc>
      </w:tr>
      <w:tr w:rsidR="006F0656" w14:paraId="75C68180" w14:textId="77777777" w:rsidTr="00C559F4">
        <w:tc>
          <w:tcPr>
            <w:tcW w:w="1554"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445" w:type="dxa"/>
          </w:tcPr>
          <w:p w14:paraId="1ED7F9D1" w14:textId="4EF7D713" w:rsidR="006F0656" w:rsidRPr="00D32544" w:rsidRDefault="006F0656" w:rsidP="006F0656">
            <w:pPr>
              <w:jc w:val="center"/>
            </w:pPr>
          </w:p>
        </w:tc>
        <w:tc>
          <w:tcPr>
            <w:tcW w:w="6017"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en-US"/>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C559F4">
        <w:tc>
          <w:tcPr>
            <w:tcW w:w="1554"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MotoM</w:t>
            </w:r>
          </w:p>
        </w:tc>
        <w:tc>
          <w:tcPr>
            <w:tcW w:w="1445"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017"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C559F4">
        <w:tc>
          <w:tcPr>
            <w:tcW w:w="1554"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445" w:type="dxa"/>
          </w:tcPr>
          <w:p w14:paraId="39B4DB9A" w14:textId="36BD1E82" w:rsidR="00DD773D" w:rsidRPr="00DA7791" w:rsidRDefault="00DD773D" w:rsidP="00DD773D">
            <w:pPr>
              <w:jc w:val="center"/>
              <w:rPr>
                <w:color w:val="C00000"/>
              </w:rPr>
            </w:pPr>
            <w:r w:rsidRPr="00DA7791">
              <w:rPr>
                <w:color w:val="C00000"/>
              </w:rPr>
              <w:t>Support for eMTC</w:t>
            </w:r>
          </w:p>
        </w:tc>
        <w:tc>
          <w:tcPr>
            <w:tcW w:w="6017"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C559F4">
        <w:tc>
          <w:tcPr>
            <w:tcW w:w="1554"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lastRenderedPageBreak/>
              <w:t>H</w:t>
            </w:r>
            <w:r>
              <w:rPr>
                <w:rFonts w:eastAsia="DengXian"/>
                <w:lang w:eastAsia="zh-CN"/>
              </w:rPr>
              <w:t>uawei, HiSilicon</w:t>
            </w:r>
          </w:p>
        </w:tc>
        <w:tc>
          <w:tcPr>
            <w:tcW w:w="1445"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017"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C559F4">
        <w:tc>
          <w:tcPr>
            <w:tcW w:w="1554"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445" w:type="dxa"/>
          </w:tcPr>
          <w:p w14:paraId="543176F5" w14:textId="46495E8B" w:rsidR="00DD773D" w:rsidRDefault="00DD773D" w:rsidP="00DD773D">
            <w:pPr>
              <w:jc w:val="center"/>
              <w:rPr>
                <w:rFonts w:eastAsia="DengXian"/>
                <w:lang w:eastAsia="zh-CN"/>
              </w:rPr>
            </w:pPr>
          </w:p>
        </w:tc>
        <w:tc>
          <w:tcPr>
            <w:tcW w:w="6017"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C559F4">
        <w:tc>
          <w:tcPr>
            <w:tcW w:w="1554"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445" w:type="dxa"/>
          </w:tcPr>
          <w:p w14:paraId="1B6A3FD6" w14:textId="77777777" w:rsidR="00DD773D" w:rsidRDefault="00DD773D" w:rsidP="00DD773D">
            <w:pPr>
              <w:jc w:val="center"/>
              <w:rPr>
                <w:rFonts w:eastAsia="DengXian"/>
                <w:lang w:eastAsia="zh-CN"/>
              </w:rPr>
            </w:pPr>
          </w:p>
        </w:tc>
        <w:tc>
          <w:tcPr>
            <w:tcW w:w="6017"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C559F4">
        <w:tc>
          <w:tcPr>
            <w:tcW w:w="1554"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445"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017"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C559F4">
        <w:tc>
          <w:tcPr>
            <w:tcW w:w="1554"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445" w:type="dxa"/>
          </w:tcPr>
          <w:p w14:paraId="56D05095" w14:textId="27A7395D" w:rsidR="00B97CEF" w:rsidRDefault="00B97CEF" w:rsidP="00B97CEF">
            <w:pPr>
              <w:jc w:val="center"/>
              <w:rPr>
                <w:rFonts w:eastAsia="DengXian"/>
                <w:lang w:eastAsia="zh-CN"/>
              </w:rPr>
            </w:pPr>
            <w:r>
              <w:t>Not Support</w:t>
            </w:r>
          </w:p>
        </w:tc>
        <w:tc>
          <w:tcPr>
            <w:tcW w:w="6017"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9" type="#_x0000_t75" style="width:289.9pt;height:63.25pt" o:ole="">
                  <v:imagedata r:id="rId20" o:title=""/>
                </v:shape>
                <o:OLEObject Type="Embed" ProgID="Visio.Drawing.11" ShapeID="_x0000_i1029" DrawAspect="Content" ObjectID="_1695670605" r:id="rId21"/>
              </w:object>
            </w:r>
            <w:r>
              <w:rPr>
                <w:rFonts w:eastAsia="DengXian"/>
                <w:lang w:eastAsia="zh-CN"/>
              </w:rPr>
              <w:t xml:space="preserve"> </w:t>
            </w:r>
          </w:p>
        </w:tc>
      </w:tr>
      <w:tr w:rsidR="00C559F4" w14:paraId="44E0112D" w14:textId="77777777" w:rsidTr="00C559F4">
        <w:tc>
          <w:tcPr>
            <w:tcW w:w="1554"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445" w:type="dxa"/>
          </w:tcPr>
          <w:p w14:paraId="1247D86B" w14:textId="3CE69F22" w:rsidR="00C559F4" w:rsidRDefault="00C559F4" w:rsidP="00C559F4">
            <w:pPr>
              <w:jc w:val="center"/>
            </w:pPr>
            <w:r>
              <w:t>Support with comment</w:t>
            </w:r>
          </w:p>
        </w:tc>
        <w:tc>
          <w:tcPr>
            <w:tcW w:w="6017"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lastRenderedPageBreak/>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FSS: other issues needing common understanding</w:t>
      </w:r>
      <w:r w:rsidR="007A41D8">
        <w:t>Companies’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 xml:space="preserve">if the UE initiates an PUSCH transmission using pre-configured uplink resource ending in </w:t>
            </w:r>
            <w:r>
              <w:lastRenderedPageBreak/>
              <w:t>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lastRenderedPageBreak/>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lastRenderedPageBreak/>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lastRenderedPageBreak/>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A84298" w14:paraId="16D6C9F3" w14:textId="77777777" w:rsidTr="00460443">
        <w:tc>
          <w:tcPr>
            <w:tcW w:w="1838" w:type="dxa"/>
          </w:tcPr>
          <w:p w14:paraId="71EC9BC2" w14:textId="4018839C" w:rsidR="00A84298" w:rsidRDefault="00A84298" w:rsidP="00DD773D">
            <w:pPr>
              <w:rPr>
                <w:rFonts w:eastAsia="DengXian"/>
                <w:lang w:eastAsia="zh-CN"/>
              </w:rPr>
            </w:pPr>
            <w:r>
              <w:rPr>
                <w:rFonts w:eastAsia="DengXian"/>
                <w:lang w:eastAsia="zh-CN"/>
              </w:rPr>
              <w:t>Novamin</w:t>
            </w:r>
            <w:r>
              <w:t>t</w:t>
            </w:r>
          </w:p>
        </w:tc>
        <w:tc>
          <w:tcPr>
            <w:tcW w:w="1985" w:type="dxa"/>
          </w:tcPr>
          <w:p w14:paraId="1D205026" w14:textId="255B6C32" w:rsidR="00A84298" w:rsidRDefault="00A84298" w:rsidP="00DD773D">
            <w:pPr>
              <w:rPr>
                <w:rFonts w:eastAsia="DengXian"/>
                <w:lang w:eastAsia="zh-CN"/>
              </w:rPr>
            </w:pPr>
            <w:r>
              <w:rPr>
                <w:rFonts w:eastAsia="DengXian"/>
                <w:lang w:eastAsia="zh-CN"/>
              </w:rPr>
              <w:t>Suppor</w:t>
            </w:r>
            <w:r>
              <w:t xml:space="preserve">t </w:t>
            </w:r>
          </w:p>
        </w:tc>
        <w:tc>
          <w:tcPr>
            <w:tcW w:w="5193" w:type="dxa"/>
          </w:tcPr>
          <w:p w14:paraId="7BAF8037" w14:textId="137308B7" w:rsidR="00A84298" w:rsidRPr="00C559F4" w:rsidRDefault="00A84298" w:rsidP="00DD773D">
            <w:pPr>
              <w:rPr>
                <w:rFonts w:eastAsia="DengXian"/>
                <w:lang w:eastAsia="zh-CN"/>
              </w:rPr>
            </w:pPr>
            <w:r>
              <w:rPr>
                <w:rFonts w:eastAsia="DengXian"/>
                <w:lang w:eastAsia="zh-CN"/>
              </w:rPr>
              <w:t>Agree wi</w:t>
            </w:r>
            <w:r>
              <w:t>th Sony</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lastRenderedPageBreak/>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 xml:space="preserve">As a result, in a “K_mac-free” world, we wouldn’t need any </w:t>
            </w:r>
            <w:r w:rsidRPr="002E0844">
              <w:rPr>
                <w:rFonts w:eastAsia="DengXian"/>
                <w:color w:val="C00000"/>
              </w:rPr>
              <w:lastRenderedPageBreak/>
              <w:t>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lastRenderedPageBreak/>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C559F4" w:rsidRPr="008A4526" w14:paraId="3A3B72D3" w14:textId="77777777" w:rsidTr="00460443">
        <w:tc>
          <w:tcPr>
            <w:tcW w:w="1838" w:type="dxa"/>
          </w:tcPr>
          <w:p w14:paraId="151BA25A" w14:textId="73D6372B" w:rsidR="00C559F4" w:rsidRPr="00955E37" w:rsidRDefault="00A84298" w:rsidP="00DD773D">
            <w:pPr>
              <w:rPr>
                <w:rFonts w:eastAsia="DengXian"/>
                <w:lang w:eastAsia="zh-CN"/>
              </w:rPr>
            </w:pPr>
            <w:r>
              <w:rPr>
                <w:rFonts w:eastAsia="DengXian"/>
                <w:lang w:eastAsia="zh-CN"/>
              </w:rPr>
              <w:t>Novamin</w:t>
            </w:r>
            <w:r>
              <w:t>t</w:t>
            </w:r>
          </w:p>
        </w:tc>
        <w:tc>
          <w:tcPr>
            <w:tcW w:w="1985" w:type="dxa"/>
          </w:tcPr>
          <w:p w14:paraId="603003BA" w14:textId="731FD6D1" w:rsidR="00C559F4" w:rsidRDefault="00A84298" w:rsidP="00DD773D">
            <w:pPr>
              <w:rPr>
                <w:rFonts w:eastAsia="DengXian"/>
                <w:lang w:eastAsia="zh-CN"/>
              </w:rPr>
            </w:pPr>
            <w:r>
              <w:rPr>
                <w:rFonts w:eastAsia="DengXian"/>
                <w:lang w:eastAsia="zh-CN"/>
              </w:rPr>
              <w:t>Suppor</w:t>
            </w:r>
            <w:r>
              <w:t>t</w:t>
            </w:r>
          </w:p>
        </w:tc>
        <w:tc>
          <w:tcPr>
            <w:tcW w:w="5193" w:type="dxa"/>
          </w:tcPr>
          <w:p w14:paraId="2D0BD6C8" w14:textId="2780F95A" w:rsidR="00C559F4" w:rsidRDefault="00A84298" w:rsidP="00DD773D">
            <w:pPr>
              <w:rPr>
                <w:rFonts w:eastAsia="DengXian"/>
              </w:rPr>
            </w:pPr>
            <w:r>
              <w:rPr>
                <w:rFonts w:eastAsia="DengXian"/>
              </w:rPr>
              <w:t>Same as for NB</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A84298" w:rsidRPr="008A4526" w14:paraId="403BE210" w14:textId="77777777" w:rsidTr="00295DFC">
        <w:tc>
          <w:tcPr>
            <w:tcW w:w="1838" w:type="dxa"/>
          </w:tcPr>
          <w:p w14:paraId="316F7F6C" w14:textId="43A0CA32" w:rsidR="00A84298" w:rsidRDefault="00A84298" w:rsidP="00DD773D">
            <w:r>
              <w:t>Novamint</w:t>
            </w:r>
          </w:p>
        </w:tc>
        <w:tc>
          <w:tcPr>
            <w:tcW w:w="1985" w:type="dxa"/>
          </w:tcPr>
          <w:p w14:paraId="1D7816A5" w14:textId="77777777" w:rsidR="00A84298" w:rsidRDefault="00A84298" w:rsidP="00DD773D"/>
        </w:tc>
        <w:tc>
          <w:tcPr>
            <w:tcW w:w="5193" w:type="dxa"/>
          </w:tcPr>
          <w:p w14:paraId="23098B90" w14:textId="215FFD5E" w:rsidR="00A84298" w:rsidRPr="004224CD" w:rsidRDefault="00A84298" w:rsidP="00DD773D">
            <w:pPr>
              <w:pStyle w:val="CommentText"/>
            </w:pPr>
            <w:r>
              <w:t>We would prefer to support PUR for both GEO and non-GEO cases as pointed by many other companies</w:t>
            </w:r>
            <w:r w:rsidR="00481D86">
              <w:t xml:space="preserve">. If found </w:t>
            </w:r>
            <w:r w:rsidR="00481D86">
              <w:t>t</w:t>
            </w:r>
            <w:r w:rsidR="00481D86">
              <w:t>ha</w:t>
            </w:r>
            <w:r w:rsidR="00481D86">
              <w:t>t</w:t>
            </w:r>
            <w:r w:rsidR="00481D86">
              <w:t xml:space="preserve"> </w:t>
            </w:r>
            <w:r w:rsidR="00481D86">
              <w:t>t</w:t>
            </w:r>
            <w:r w:rsidR="00481D86">
              <w:t>here are significan</w:t>
            </w:r>
            <w:r w:rsidR="00481D86">
              <w:t>t</w:t>
            </w:r>
            <w:r w:rsidR="00481D86">
              <w:t xml:space="preserve"> more impac</w:t>
            </w:r>
            <w:r w:rsidR="00481D86">
              <w:t>t</w:t>
            </w:r>
            <w:r w:rsidR="00481D86">
              <w:t xml:space="preserve">s on </w:t>
            </w:r>
            <w:r w:rsidR="00481D86">
              <w:t>t</w:t>
            </w:r>
            <w:r w:rsidR="00481D86">
              <w:t>he specifica</w:t>
            </w:r>
            <w:r w:rsidR="00481D86">
              <w:t>t</w:t>
            </w:r>
            <w:r w:rsidR="00481D86">
              <w:t xml:space="preserve">ions for LEO, we could </w:t>
            </w:r>
            <w:r w:rsidR="00481D86">
              <w:t>t</w:t>
            </w:r>
            <w:r w:rsidR="00481D86">
              <w:t xml:space="preserve">hen reduce </w:t>
            </w:r>
            <w:r w:rsidR="00481D86">
              <w:t>t</w:t>
            </w:r>
            <w:r w:rsidR="00481D86">
              <w:t xml:space="preserve">his </w:t>
            </w:r>
            <w:r w:rsidR="00481D86">
              <w:t>t</w:t>
            </w:r>
            <w:r w:rsidR="00481D86">
              <w:t>o GEO.</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en-US"/>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A84298" w:rsidRDefault="00A8429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84298" w:rsidRDefault="00A8429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0,0l0,21600,21600,21600,21600,0xe">
                <v:stroke joinstyle="miter"/>
                <v:path gradientshapeok="t" o:connecttype="rect"/>
              </v:shapetype>
              <v:shape id="Text_x0020_Box_x0020_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siUCAABHBAAADgAAAGRycy9lMm9Eb2MueG1srFPbbtswDH0fsH8Q9L74srhJjThFly7DgO4C&#10;tPsAWZZjYZLoSUrs7OtLyWkWdNvLMD0IokgdkeeQq5tRK3IQ1kkwFc1mKSXCcGik2VX02+P2zZIS&#10;55lpmAIjKnoUjt6sX79aDX0pcuhANcISBDGuHPqKdt73ZZI43gnN3Ax6YdDZgtXMo2l3SWPZgOha&#10;JXmaXiUD2Ka3wIVzeHs3Oek64ret4P5L2zrhiaoo5ubjbuNehz1Zr1i5s6zvJD+lwf4hC82kwU/P&#10;UHfMM7K38jcoLbkFB62fcdAJtK3kItaA1WTpi2oeOtaLWAuS4/ozTe7/wfLPh6+WyKaiebagxDCN&#10;Ij2K0ZN3MJI88DP0rsSwhx4D/YjXqHOs1fX3wL87YmDTMbMTt9bC0AnWYH5ZeJlcPJ1wXACph0/Q&#10;4Dds7yECja3VgTykgyA66nQ8axNS4XhZvL0qsqyghKMvS/PlIo3qJax8ft5b5z8I0CQcKmpR/AjP&#10;DvfOh3RY+RwSfnOgZLOVSkXD7uqNsuTAsFG2ccUKXoQpQ4aKXhd5MTHwV4g0rj9BaOmx45XUFV2e&#10;g1gZeHtvmtiPnkk1nTFlZU5EBu4mFv1YjydhamiOSKmFqbNxEvHQgf1JyYBdXVH3Y8+soER9NCjL&#10;dTafhzGIxrxY5GjYS0996WGGI1RFPSXTcePj6ATCDNyifK2MxAadp0xOuWK3Rr5PkxXG4dKOUb/m&#10;f/0EAAD//wMAUEsDBBQABgAIAAAAIQBBUbR03wAAAAgBAAAPAAAAZHJzL2Rvd25yZXYueG1sTI/B&#10;TsMwEETvSPyDtUhcEHWaQBpCNhVCAtEbFARXN9kmEfY62G4a/h5zguNoRjNvqvVstJjI+cEywnKR&#10;gCBubDtwh/D2+nBZgPBBcau0ZUL4Jg/r+vSkUmVrj/xC0zZ0IpawLxVCH8JYSumbnozyCzsSR29v&#10;nVEhStfJ1qljLDdapkmSS6MGjgu9Gum+p+ZzezAIxdXT9OE32fN7k+/1TbhYTY9fDvH8bL67BRFo&#10;Dn9h+MWP6FBHpp09cOuFRlilMYiQFxmIaBfX6RLEDiHNkgxkXcn/B+ofAAAA//8DAFBLAQItABQA&#10;BgAIAAAAIQDkmcPA+wAAAOEBAAATAAAAAAAAAAAAAAAAAAAAAABbQ29udGVudF9UeXBlc10ueG1s&#10;UEsBAi0AFAAGAAgAAAAhACOyauHXAAAAlAEAAAsAAAAAAAAAAAAAAAAALAEAAF9yZWxzLy5yZWxz&#10;UEsBAi0AFAAGAAgAAAAhAP8PibIlAgAARwQAAA4AAAAAAAAAAAAAAAAALAIAAGRycy9lMm9Eb2Mu&#10;eG1sUEsBAi0AFAAGAAgAAAAhAEFRtHTfAAAACAEAAA8AAAAAAAAAAAAAAAAAfQQAAGRycy9kb3du&#10;cmV2LnhtbFBLBQYAAAAABAAEAPMAAACJBQAAAAA=&#10;">
                <v:textbox>
                  <w:txbxContent>
                    <w:p w14:paraId="40652513" w14:textId="77777777" w:rsidR="00A84298" w:rsidRDefault="00A8429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84298" w:rsidRDefault="00A8429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lastRenderedPageBreak/>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lastRenderedPageBreak/>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lastRenderedPageBreak/>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1327FE" w14:paraId="63629A3B" w14:textId="77777777" w:rsidTr="002140A4">
        <w:tc>
          <w:tcPr>
            <w:tcW w:w="1838" w:type="dxa"/>
          </w:tcPr>
          <w:p w14:paraId="7DB1A503" w14:textId="4363956F" w:rsidR="001327FE" w:rsidRDefault="001327FE" w:rsidP="005E7710">
            <w:pPr>
              <w:rPr>
                <w:rFonts w:eastAsia="DengXian"/>
                <w:lang w:eastAsia="zh-CN"/>
              </w:rPr>
            </w:pPr>
            <w:r>
              <w:rPr>
                <w:rFonts w:eastAsia="DengXian"/>
                <w:lang w:eastAsia="zh-CN"/>
              </w:rPr>
              <w:t>Novamin</w:t>
            </w:r>
            <w:r>
              <w:t>t</w:t>
            </w:r>
            <w:r>
              <w:t xml:space="preserve"> </w:t>
            </w:r>
          </w:p>
        </w:tc>
        <w:tc>
          <w:tcPr>
            <w:tcW w:w="1985" w:type="dxa"/>
          </w:tcPr>
          <w:p w14:paraId="23145DA0" w14:textId="38B16B36" w:rsidR="001327FE" w:rsidRDefault="001327FE" w:rsidP="005E7710">
            <w:pPr>
              <w:rPr>
                <w:rFonts w:eastAsia="DengXian"/>
                <w:lang w:eastAsia="zh-CN"/>
              </w:rPr>
            </w:pPr>
            <w:r>
              <w:rPr>
                <w:rFonts w:eastAsia="DengXian"/>
                <w:lang w:eastAsia="zh-CN"/>
              </w:rPr>
              <w:t>Change needed</w:t>
            </w:r>
          </w:p>
        </w:tc>
        <w:tc>
          <w:tcPr>
            <w:tcW w:w="5193" w:type="dxa"/>
          </w:tcPr>
          <w:p w14:paraId="5F588E94" w14:textId="655EEF58" w:rsidR="001327FE" w:rsidRDefault="001327FE" w:rsidP="005E7710">
            <w:pPr>
              <w:rPr>
                <w:rFonts w:eastAsia="DengXian"/>
                <w:iCs/>
              </w:rPr>
            </w:pPr>
            <w:r>
              <w:rPr>
                <w:rFonts w:eastAsia="DengXian"/>
                <w:iCs/>
              </w:rPr>
              <w:t>Agree wi</w:t>
            </w:r>
            <w:r>
              <w:t>t</w:t>
            </w:r>
            <w:r>
              <w:t>h Sony</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r w:rsidRPr="00302003">
        <w:rPr>
          <w:rStyle w:val="Heading2Char"/>
        </w:rPr>
        <w:t>K_offset</w:t>
      </w:r>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A84298"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A84298"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lastRenderedPageBreak/>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lastRenderedPageBreak/>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257830" w:rsidRPr="008A65FA" w14:paraId="58CDFDF5" w14:textId="77777777" w:rsidTr="00295DFC">
        <w:tc>
          <w:tcPr>
            <w:tcW w:w="1838" w:type="dxa"/>
          </w:tcPr>
          <w:p w14:paraId="3A580EB1" w14:textId="6AD64553" w:rsidR="00257830" w:rsidRDefault="00257830" w:rsidP="007726B6">
            <w:pPr>
              <w:jc w:val="center"/>
              <w:rPr>
                <w:rFonts w:eastAsia="DengXian"/>
                <w:lang w:eastAsia="zh-CN"/>
              </w:rPr>
            </w:pPr>
            <w:r>
              <w:rPr>
                <w:rFonts w:eastAsia="DengXian"/>
                <w:lang w:eastAsia="zh-CN"/>
              </w:rPr>
              <w:t>Novamin</w:t>
            </w:r>
            <w:r>
              <w:t>t</w:t>
            </w:r>
          </w:p>
        </w:tc>
        <w:tc>
          <w:tcPr>
            <w:tcW w:w="1985" w:type="dxa"/>
          </w:tcPr>
          <w:p w14:paraId="5F386521" w14:textId="45A16EC6" w:rsidR="00257830" w:rsidRDefault="00257830" w:rsidP="007726B6">
            <w:pPr>
              <w:jc w:val="center"/>
              <w:rPr>
                <w:rFonts w:eastAsia="DengXian"/>
                <w:lang w:eastAsia="zh-CN"/>
              </w:rPr>
            </w:pPr>
            <w:r>
              <w:rPr>
                <w:rFonts w:eastAsia="DengXian"/>
                <w:lang w:eastAsia="zh-CN"/>
              </w:rPr>
              <w:t>Suppor</w:t>
            </w:r>
            <w:r>
              <w:t>t</w:t>
            </w:r>
          </w:p>
        </w:tc>
        <w:tc>
          <w:tcPr>
            <w:tcW w:w="5193" w:type="dxa"/>
          </w:tcPr>
          <w:p w14:paraId="118C921C" w14:textId="0CD9D687" w:rsidR="00257830" w:rsidRPr="004224CD" w:rsidRDefault="00257830" w:rsidP="007726B6">
            <w:pPr>
              <w:rPr>
                <w:rFonts w:eastAsia="DengXian"/>
                <w:lang w:eastAsia="zh-CN"/>
              </w:rPr>
            </w:pPr>
            <w:r>
              <w:rPr>
                <w:rFonts w:eastAsia="DengXian"/>
                <w:lang w:eastAsia="zh-CN"/>
              </w:rPr>
              <w:t>Agree as well wi</w:t>
            </w:r>
            <w:r>
              <w:t>t</w:t>
            </w:r>
            <w:r>
              <w:t xml:space="preserve">h </w:t>
            </w:r>
            <w:r>
              <w:t>t</w:t>
            </w:r>
            <w:r>
              <w:t>he poin</w:t>
            </w:r>
            <w:r>
              <w:t>t</w:t>
            </w:r>
            <w:r>
              <w:t xml:space="preserve"> made by Ga</w:t>
            </w:r>
            <w:r>
              <w:t>t</w:t>
            </w:r>
            <w:r>
              <w:t xml:space="preserve">eHouse as </w:t>
            </w:r>
            <w:r>
              <w:t>t</w:t>
            </w:r>
            <w:r>
              <w:t>here could be a need for revision</w:t>
            </w:r>
            <w:bookmarkStart w:id="31" w:name="_GoBack"/>
            <w:bookmarkEnd w:id="31"/>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2" w:name="_Toc84850801"/>
      <w:r>
        <w:rPr>
          <w:rStyle w:val="Heading2Char"/>
        </w:rPr>
        <w:t xml:space="preserve">UE-specific TA </w:t>
      </w:r>
      <w:r w:rsidR="007E4DCF">
        <w:rPr>
          <w:rStyle w:val="Heading2Char"/>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lastRenderedPageBreak/>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3"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3"/>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Heading2"/>
        <w:rPr>
          <w:b w:val="0"/>
          <w:bCs w:val="0"/>
        </w:rPr>
      </w:pPr>
      <w:bookmarkStart w:id="35" w:name="_Toc84850802"/>
      <w:bookmarkEnd w:id="34"/>
      <w:r>
        <w:rPr>
          <w:rStyle w:val="Heading2Char"/>
        </w:rPr>
        <w:t xml:space="preserve">Quantity to </w:t>
      </w:r>
      <w:r w:rsidR="005C327A">
        <w:rPr>
          <w:rStyle w:val="Heading2Char"/>
        </w:rPr>
        <w:t>Report</w:t>
      </w:r>
      <w:bookmarkEnd w:id="35"/>
    </w:p>
    <w:p w14:paraId="4354C28F" w14:textId="4EFEF768" w:rsidR="006C227C" w:rsidRPr="00100D31" w:rsidRDefault="008B03A0" w:rsidP="00CA392C">
      <w:pPr>
        <w:pStyle w:val="Heading3"/>
      </w:pPr>
      <w:r>
        <w:t xml:space="preserve"> </w:t>
      </w:r>
      <w:bookmarkStart w:id="36" w:name="_Toc84850803"/>
      <w:r>
        <w:t>Companies’ Observations and Proposals</w:t>
      </w:r>
      <w:bookmarkEnd w:id="36"/>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 xml:space="preserve">Proposal 3: As UE location reporting is already agreed and utilized in RAN2 and RAN3 for multiple purpose, UE location reporting should be specified for IoT </w:t>
            </w:r>
            <w:r>
              <w:rPr>
                <w:b/>
                <w:bCs/>
              </w:rPr>
              <w:lastRenderedPageBreak/>
              <w:t>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9" w:name="_Toc83979776"/>
            <w:r>
              <w:t xml:space="preserve">Proposal 4: The mechanism for UE specific TA maintenance and reporting can follow the decision in NR_NTN_Solutions WI and reuse the agreements therein for IoT NTN </w:t>
            </w:r>
            <w:r>
              <w:lastRenderedPageBreak/>
              <w:t>with minimum changes if any.</w:t>
            </w:r>
            <w:bookmarkEnd w:id="39"/>
          </w:p>
        </w:tc>
      </w:tr>
      <w:tr w:rsidR="00E459E7" w14:paraId="118435EA" w14:textId="77777777" w:rsidTr="00C264F2">
        <w:tc>
          <w:tcPr>
            <w:tcW w:w="1980" w:type="dxa"/>
          </w:tcPr>
          <w:p w14:paraId="63EF27B6" w14:textId="6BBA890F" w:rsidR="00E459E7" w:rsidRDefault="00E459E7" w:rsidP="00C264F2">
            <w:r>
              <w:lastRenderedPageBreak/>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40" w:name="_Toc84850804"/>
      <w:r w:rsidRPr="002F08B3">
        <w:rPr>
          <w:rStyle w:val="Heading2Char"/>
        </w:rPr>
        <w:t xml:space="preserve">The granularity of the </w:t>
      </w:r>
      <w:r w:rsidR="005C327A">
        <w:rPr>
          <w:rStyle w:val="Heading2Char"/>
        </w:rPr>
        <w:t>reported quantity</w:t>
      </w:r>
      <w:bookmarkEnd w:id="40"/>
    </w:p>
    <w:p w14:paraId="734E3F89" w14:textId="77777777" w:rsidR="002F08B3" w:rsidRPr="00100D31" w:rsidRDefault="002F08B3" w:rsidP="002F08B3">
      <w:pPr>
        <w:pStyle w:val="Heading3"/>
      </w:pPr>
      <w:r>
        <w:t xml:space="preserve"> </w:t>
      </w:r>
      <w:bookmarkStart w:id="41" w:name="_Toc8485080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 xml:space="preserve">Nokia, Nokia </w:t>
            </w:r>
            <w:r w:rsidRPr="000D66C5">
              <w:lastRenderedPageBreak/>
              <w:t>Shanghai Bell</w:t>
            </w:r>
          </w:p>
        </w:tc>
        <w:tc>
          <w:tcPr>
            <w:tcW w:w="7036" w:type="dxa"/>
          </w:tcPr>
          <w:p w14:paraId="70E4611C" w14:textId="5B398CF1" w:rsidR="002F08B3" w:rsidRPr="00E86B69" w:rsidRDefault="002F08B3" w:rsidP="00E86B69">
            <w:pPr>
              <w:rPr>
                <w:b/>
                <w:bCs/>
                <w:lang w:val="en-GB"/>
              </w:rPr>
            </w:pPr>
            <w:r>
              <w:rPr>
                <w:b/>
                <w:bCs/>
              </w:rPr>
              <w:lastRenderedPageBreak/>
              <w:t xml:space="preserve">Observation 6: Defining a TA reference, based on UE location, can minimize signalling overhead, because network and UE can both predict TA. UE only </w:t>
            </w:r>
            <w:r>
              <w:rPr>
                <w:b/>
                <w:bCs/>
              </w:rPr>
              <w:lastRenderedPageBreak/>
              <w:t>needs to report if it has moved.</w:t>
            </w:r>
          </w:p>
        </w:tc>
      </w:tr>
      <w:tr w:rsidR="002F08B3" w14:paraId="49C18B98" w14:textId="77777777" w:rsidTr="00295DFC">
        <w:tc>
          <w:tcPr>
            <w:tcW w:w="1980" w:type="dxa"/>
          </w:tcPr>
          <w:p w14:paraId="19DC1CD5" w14:textId="77777777" w:rsidR="002F08B3" w:rsidRPr="000D66C5" w:rsidRDefault="002F08B3" w:rsidP="00295DFC">
            <w:r>
              <w:lastRenderedPageBreak/>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2" w:name="_Toc84850806"/>
      <w:r>
        <w:t>Signaling overhead</w:t>
      </w:r>
      <w:bookmarkEnd w:id="42"/>
    </w:p>
    <w:p w14:paraId="6FD22C9C" w14:textId="118E269B" w:rsidR="00D14C27" w:rsidRPr="00D14C27" w:rsidRDefault="00D14C27" w:rsidP="00D14C27">
      <w:pPr>
        <w:pStyle w:val="Heading3"/>
      </w:pPr>
      <w:bookmarkStart w:id="43" w:name="_Toc84850807"/>
      <w:r w:rsidRPr="00D14C27">
        <w:t>Companies’ Observations and Proposals</w:t>
      </w:r>
      <w:bookmarkEnd w:id="43"/>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w:t>
            </w:r>
            <w:r>
              <w:rPr>
                <w:b/>
                <w:bCs/>
              </w:rPr>
              <w:lastRenderedPageBreak/>
              <w:t xml:space="preserve">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4" w:name="_Toc84850808"/>
      <w:r>
        <w:t>Frequency of reporting</w:t>
      </w:r>
      <w:bookmarkEnd w:id="44"/>
    </w:p>
    <w:p w14:paraId="680DCEEF" w14:textId="77777777" w:rsidR="00D14C27" w:rsidRPr="00D14C27" w:rsidRDefault="00D14C27" w:rsidP="00D14C27">
      <w:pPr>
        <w:pStyle w:val="Heading3"/>
      </w:pPr>
      <w:bookmarkStart w:id="45" w:name="_Toc84850809"/>
      <w:r w:rsidRPr="00D14C27">
        <w:t>Companies’ Observations and Proposals</w:t>
      </w:r>
      <w:bookmarkEnd w:id="45"/>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w:t>
            </w:r>
            <w:r>
              <w:rPr>
                <w:i/>
              </w:rPr>
              <w:lastRenderedPageBreak/>
              <w:t xml:space="preserve">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6" w:name="_Toc84850810"/>
      <w:r w:rsidRPr="00D4093D">
        <w:t>Means of reporting</w:t>
      </w:r>
      <w:bookmarkEnd w:id="46"/>
    </w:p>
    <w:p w14:paraId="74C898A3" w14:textId="77777777" w:rsidR="00D14C27" w:rsidRPr="00D14C27" w:rsidRDefault="00D14C27" w:rsidP="00D14C27">
      <w:pPr>
        <w:pStyle w:val="Heading3"/>
      </w:pPr>
      <w:bookmarkStart w:id="47" w:name="_Toc84850811"/>
      <w:r w:rsidRPr="00D14C27">
        <w:t>Companies’ Observations and Proposals</w:t>
      </w:r>
      <w:bookmarkEnd w:id="47"/>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lastRenderedPageBreak/>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8" w:name="_Toc84850812"/>
      <w:bookmarkStart w:id="49" w:name="_Hlk80030196"/>
      <w:r>
        <w:rPr>
          <w:rStyle w:val="Heading2Char"/>
        </w:rPr>
        <w:t>WUS</w:t>
      </w:r>
      <w:bookmarkEnd w:id="48"/>
    </w:p>
    <w:p w14:paraId="01094F74" w14:textId="0054EC82" w:rsidR="007E4DCF" w:rsidRPr="00100D31" w:rsidRDefault="007E4DCF" w:rsidP="00956E28">
      <w:pPr>
        <w:pStyle w:val="Heading3"/>
      </w:pPr>
      <w:bookmarkStart w:id="50" w:name="_Toc84850813"/>
      <w:bookmarkEnd w:id="49"/>
      <w:r>
        <w:t>Companies’ Observations and Proposals</w:t>
      </w:r>
      <w:bookmarkEnd w:id="50"/>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1" w:name="_Toc84850814"/>
      <w:r>
        <w:t>UL-DL Collision Handling for HD UE</w:t>
      </w:r>
      <w:bookmarkEnd w:id="51"/>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w:t>
      </w:r>
      <w:r w:rsidRPr="004E316B">
        <w:rPr>
          <w:highlight w:val="yellow"/>
        </w:rPr>
        <w:lastRenderedPageBreak/>
        <w:t>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2" w:name="_Toc84850815"/>
      <w:r>
        <w:t>Companies’ views and proposals</w:t>
      </w:r>
      <w:bookmarkEnd w:id="52"/>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4" w:name="_Toc84850817"/>
      <w:r>
        <w:t>Companies’ views and proposals</w:t>
      </w:r>
      <w:bookmarkEnd w:id="54"/>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lastRenderedPageBreak/>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en-US"/>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lastRenderedPageBreak/>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en-US"/>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6" w:name="_Toc84850819"/>
      <w:r>
        <w:t>Reference</w:t>
      </w:r>
      <w:r w:rsidR="00BE0157">
        <w:t>d Documents</w:t>
      </w:r>
      <w:bookmarkEnd w:id="56"/>
    </w:p>
    <w:p w14:paraId="00EBD5D4" w14:textId="77777777" w:rsidR="00B36881" w:rsidRDefault="00A84298" w:rsidP="00B36881">
      <w:pPr>
        <w:rPr>
          <w:lang w:eastAsia="x-none"/>
        </w:rPr>
      </w:pPr>
      <w:hyperlink r:id="rId26"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A84298" w:rsidP="00B36881">
      <w:pPr>
        <w:rPr>
          <w:lang w:eastAsia="x-none"/>
        </w:rPr>
      </w:pPr>
      <w:hyperlink r:id="rId27"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A84298" w:rsidP="00B36881">
      <w:pPr>
        <w:rPr>
          <w:lang w:eastAsia="x-none"/>
        </w:rPr>
      </w:pPr>
      <w:hyperlink r:id="rId28" w:history="1">
        <w:r w:rsidR="00B36881">
          <w:rPr>
            <w:rStyle w:val="Hyperlink"/>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A84298" w:rsidP="00B36881">
      <w:pPr>
        <w:rPr>
          <w:lang w:eastAsia="x-none"/>
        </w:rPr>
      </w:pPr>
      <w:hyperlink r:id="rId29"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A84298" w:rsidP="00B36881">
      <w:pPr>
        <w:rPr>
          <w:lang w:eastAsia="x-none"/>
        </w:rPr>
      </w:pPr>
      <w:hyperlink r:id="rId30"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A84298" w:rsidP="00B36881">
      <w:pPr>
        <w:rPr>
          <w:lang w:eastAsia="x-none"/>
        </w:rPr>
      </w:pPr>
      <w:hyperlink r:id="rId31"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A84298" w:rsidP="00B36881">
      <w:pPr>
        <w:rPr>
          <w:lang w:eastAsia="x-none"/>
        </w:rPr>
      </w:pPr>
      <w:hyperlink r:id="rId32"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A84298" w:rsidP="00B36881">
      <w:pPr>
        <w:rPr>
          <w:lang w:eastAsia="x-none"/>
        </w:rPr>
      </w:pPr>
      <w:hyperlink r:id="rId33"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A84298" w:rsidP="00B36881">
      <w:pPr>
        <w:rPr>
          <w:lang w:eastAsia="x-none"/>
        </w:rPr>
      </w:pPr>
      <w:hyperlink r:id="rId34" w:history="1">
        <w:r w:rsidR="00B36881">
          <w:rPr>
            <w:rStyle w:val="Hyperlink"/>
            <w:lang w:eastAsia="x-none"/>
          </w:rPr>
          <w:t>R1-2109266</w:t>
        </w:r>
      </w:hyperlink>
      <w:r w:rsidR="00B36881">
        <w:rPr>
          <w:lang w:eastAsia="x-none"/>
        </w:rPr>
        <w:tab/>
        <w:t>Timing relationship enhancements for NB-IoT/eMTC over NTN  Nokia, Nokia Shanghai Bell</w:t>
      </w:r>
    </w:p>
    <w:p w14:paraId="07212C59" w14:textId="1E5181F8" w:rsidR="00B36881" w:rsidRDefault="00A84298" w:rsidP="00B36881">
      <w:pPr>
        <w:rPr>
          <w:lang w:eastAsia="x-none"/>
        </w:rPr>
      </w:pPr>
      <w:hyperlink r:id="rId35"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A84298" w:rsidP="00B36881">
      <w:pPr>
        <w:rPr>
          <w:lang w:eastAsia="x-none"/>
        </w:rPr>
      </w:pPr>
      <w:hyperlink r:id="rId36"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A84298" w:rsidP="00B36881">
      <w:pPr>
        <w:rPr>
          <w:lang w:eastAsia="x-none"/>
        </w:rPr>
      </w:pPr>
      <w:hyperlink r:id="rId37"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A84298" w:rsidP="00B36881">
      <w:pPr>
        <w:rPr>
          <w:lang w:eastAsia="x-none"/>
        </w:rPr>
      </w:pPr>
      <w:hyperlink r:id="rId38"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A84298" w:rsidP="00B36881">
      <w:pPr>
        <w:rPr>
          <w:lang w:eastAsia="x-none"/>
        </w:rPr>
      </w:pPr>
      <w:hyperlink r:id="rId39" w:history="1">
        <w:r w:rsidR="00B36881">
          <w:rPr>
            <w:rStyle w:val="Hyperlink"/>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A84298" w:rsidP="00B36881">
      <w:pPr>
        <w:rPr>
          <w:lang w:eastAsia="x-none"/>
        </w:rPr>
      </w:pPr>
      <w:hyperlink r:id="rId40"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A84298" w:rsidP="00B36881">
      <w:pPr>
        <w:rPr>
          <w:lang w:eastAsia="x-none"/>
        </w:rPr>
      </w:pPr>
      <w:hyperlink r:id="rId41"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A84298" w:rsidP="00B36881">
      <w:pPr>
        <w:rPr>
          <w:lang w:eastAsia="x-none"/>
        </w:rPr>
      </w:pPr>
      <w:hyperlink r:id="rId42"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A84298" w:rsidP="00B36881">
      <w:pPr>
        <w:rPr>
          <w:lang w:eastAsia="x-none"/>
        </w:rPr>
      </w:pPr>
      <w:hyperlink r:id="rId43"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A84298" w:rsidP="00B36881">
      <w:pPr>
        <w:rPr>
          <w:lang w:eastAsia="x-none"/>
        </w:rPr>
      </w:pPr>
      <w:hyperlink r:id="rId44"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A84298" w:rsidP="00B36881">
      <w:pPr>
        <w:rPr>
          <w:lang w:eastAsia="x-none"/>
        </w:rPr>
      </w:pPr>
      <w:hyperlink r:id="rId45"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CE8D" w14:textId="77777777" w:rsidR="00CE0E71" w:rsidRDefault="00CE0E71" w:rsidP="00EE1A16">
      <w:r>
        <w:separator/>
      </w:r>
    </w:p>
  </w:endnote>
  <w:endnote w:type="continuationSeparator" w:id="0">
    <w:p w14:paraId="599F69F9" w14:textId="77777777" w:rsidR="00CE0E71" w:rsidRDefault="00CE0E71" w:rsidP="00EE1A16">
      <w:r>
        <w:continuationSeparator/>
      </w:r>
    </w:p>
  </w:endnote>
  <w:endnote w:type="continuationNotice" w:id="1">
    <w:p w14:paraId="540B0A7B" w14:textId="77777777" w:rsidR="00CE0E71" w:rsidRDefault="00CE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charset w:val="80"/>
    <w:family w:val="auto"/>
    <w:pitch w:val="variable"/>
    <w:sig w:usb0="800002E7" w:usb1="2AC7FCFF" w:usb2="00000012" w:usb3="00000000" w:csb0="000200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Segoe UI">
    <w:altName w:val="Calibri"/>
    <w:charset w:val="00"/>
    <w:family w:val="swiss"/>
    <w:pitch w:val="variable"/>
    <w:sig w:usb0="E4002EFF" w:usb1="C000E47F" w:usb2="00000009" w:usb3="00000000" w:csb0="000001FF" w:csb1="00000000"/>
  </w:font>
  <w:font w:name="Batang">
    <w:panose1 w:val="02030600000101010101"/>
    <w:charset w:val="81"/>
    <w:family w:val="auto"/>
    <w:pitch w:val="variable"/>
    <w:sig w:usb0="B00002AF" w:usb1="69D77CFB" w:usb2="00000030" w:usb3="00000000" w:csb0="0008009F" w:csb1="00000000"/>
  </w:font>
  <w:font w:name="SimHei">
    <w:panose1 w:val="02010609060101010101"/>
    <w:charset w:val="86"/>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auto"/>
    <w:pitch w:val="variable"/>
    <w:sig w:usb0="9000002F" w:usb1="2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E7D29" w14:textId="77777777" w:rsidR="00CE0E71" w:rsidRDefault="00CE0E71" w:rsidP="00EE1A16">
      <w:r>
        <w:separator/>
      </w:r>
    </w:p>
  </w:footnote>
  <w:footnote w:type="continuationSeparator" w:id="0">
    <w:p w14:paraId="733B08A2" w14:textId="77777777" w:rsidR="00CE0E71" w:rsidRDefault="00CE0E71" w:rsidP="00EE1A16">
      <w:r>
        <w:continuationSeparator/>
      </w:r>
    </w:p>
  </w:footnote>
  <w:footnote w:type="continuationNotice" w:id="1">
    <w:p w14:paraId="0728750B" w14:textId="77777777" w:rsidR="00CE0E71" w:rsidRDefault="00CE0E7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2"/>
  </w:num>
  <w:num w:numId="10">
    <w:abstractNumId w:val="6"/>
  </w:num>
  <w:num w:numId="11">
    <w:abstractNumId w:val="18"/>
  </w:num>
  <w:num w:numId="12">
    <w:abstractNumId w:val="2"/>
  </w:num>
  <w:num w:numId="13">
    <w:abstractNumId w:val="23"/>
  </w:num>
  <w:num w:numId="14">
    <w:abstractNumId w:val="17"/>
  </w:num>
  <w:num w:numId="15">
    <w:abstractNumId w:val="7"/>
  </w:num>
  <w:num w:numId="16">
    <w:abstractNumId w:val="9"/>
  </w:num>
  <w:num w:numId="17">
    <w:abstractNumId w:val="10"/>
  </w:num>
  <w:num w:numId="18">
    <w:abstractNumId w:val="5"/>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1"/>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2D82"/>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27FE"/>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C7F8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830"/>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1D86"/>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298"/>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0E71"/>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978"/>
    <w:rsid w:val="00D11BA3"/>
    <w:rsid w:val="00D139BA"/>
    <w:rsid w:val="00D14179"/>
    <w:rsid w:val="00D14C27"/>
    <w:rsid w:val="00D159BC"/>
    <w:rsid w:val="00D159E0"/>
    <w:rsid w:val="00D175A8"/>
    <w:rsid w:val="00D200AD"/>
    <w:rsid w:val="00D20AC4"/>
    <w:rsid w:val="00D211DA"/>
    <w:rsid w:val="00D22916"/>
    <w:rsid w:val="00D22D40"/>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8.emf"/><Relationship Id="rId21" Type="http://schemas.openxmlformats.org/officeDocument/2006/relationships/oleObject" Target="embeddings/Microsoft_Visio_2003-2010_Drawing1.vsd"/><Relationship Id="rId22" Type="http://schemas.openxmlformats.org/officeDocument/2006/relationships/image" Target="media/image9.jpeg"/><Relationship Id="rId23" Type="http://schemas.openxmlformats.org/officeDocument/2006/relationships/image" Target="cid:image018.jpg@01D79A67.FC7D2D50" TargetMode="External"/><Relationship Id="rId24" Type="http://schemas.openxmlformats.org/officeDocument/2006/relationships/image" Target="media/image10.jpeg"/><Relationship Id="rId25" Type="http://schemas.openxmlformats.org/officeDocument/2006/relationships/image" Target="cid:image003.jpg@01D79B8A.8C924FB0" TargetMode="External"/><Relationship Id="rId26"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012.zip" TargetMode="External"/><Relationship Id="rId29" Type="http://schemas.openxmlformats.org/officeDocument/2006/relationships/hyperlink" Target="file:///C:\Users\gbatungs\Documents\sam\stds\3GPP\RAN\RAN1\Docs\R1-2109081.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file:///C:\Users\gbatungs\Documents\sam\stds\3GPP\RAN\RAN1\Docs\R1-2109116.zip" TargetMode="External"/><Relationship Id="rId31" Type="http://schemas.openxmlformats.org/officeDocument/2006/relationships/hyperlink" Target="file:///C:\Users\gbatungs\Documents\sam\stds\3GPP\RAN\RAN1\Docs\R1-2109172.zip" TargetMode="External"/><Relationship Id="rId32" Type="http://schemas.openxmlformats.org/officeDocument/2006/relationships/hyperlink" Target="file:///C:\Users\gbatungs\Documents\sam\stds\3GPP\RAN\RAN1\Docs\R1-2109177.zip" TargetMode="Externa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file:///C:\Users\gbatungs\Documents\sam\stds\3GPP\RAN\RAN1\Docs\R1-2109202.zip" TargetMode="External"/><Relationship Id="rId34"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309.zip" TargetMode="External"/><Relationship Id="rId36" Type="http://schemas.openxmlformats.org/officeDocument/2006/relationships/hyperlink" Target="file:///C:\Users\gbatungs\Documents\sam\stds\3GPP\RAN\RAN1\Docs\R1-2109322.zip" TargetMode="Externa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wmf"/><Relationship Id="rId14" Type="http://schemas.openxmlformats.org/officeDocument/2006/relationships/image" Target="media/image4.wmf"/><Relationship Id="rId15" Type="http://schemas.openxmlformats.org/officeDocument/2006/relationships/oleObject" Target="embeddings/oleObject1.bin"/><Relationship Id="rId16" Type="http://schemas.openxmlformats.org/officeDocument/2006/relationships/image" Target="media/image5.wmf"/><Relationship Id="rId17" Type="http://schemas.openxmlformats.org/officeDocument/2006/relationships/image" Target="media/image6.emf"/><Relationship Id="rId18" Type="http://schemas.openxmlformats.org/officeDocument/2006/relationships/package" Target="embeddings/Microsoft_Visio_Drawing1.vsdx"/><Relationship Id="rId19" Type="http://schemas.openxmlformats.org/officeDocument/2006/relationships/image" Target="media/image7.wmf"/><Relationship Id="rId37"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523.zip" TargetMode="External"/><Relationship Id="rId39" Type="http://schemas.openxmlformats.org/officeDocument/2006/relationships/hyperlink" Target="file:///C:\Users\gbatungs\Documents\sam\stds\3GPP\RAN\RAN1\Docs\R1-2109641.zip" TargetMode="External"/><Relationship Id="rId40" Type="http://schemas.openxmlformats.org/officeDocument/2006/relationships/hyperlink" Target="file:///C:\Users\gbatungs\Documents\sam\stds\3GPP\RAN\RAN1\Docs\R1-2109805.zip" TargetMode="External"/><Relationship Id="rId41" Type="http://schemas.openxmlformats.org/officeDocument/2006/relationships/hyperlink" Target="file:///C:\Users\gbatungs\Documents\sam\stds\3GPP\RAN\RAN1\Docs\R1-2109830.zip" TargetMode="External"/><Relationship Id="rId42" Type="http://schemas.openxmlformats.org/officeDocument/2006/relationships/hyperlink" Target="file:///C:\Users\gbatungs\Documents\sam\stds\3GPP\RAN\RAN1\Docs\R1-2109848.zip" TargetMode="External"/><Relationship Id="rId43" Type="http://schemas.openxmlformats.org/officeDocument/2006/relationships/hyperlink" Target="file:///C:\Users\gbatungs\Documents\sam\stds\3GPP\RAN\RAN1\Docs\R1-2109957.zip" TargetMode="External"/><Relationship Id="rId44" Type="http://schemas.openxmlformats.org/officeDocument/2006/relationships/hyperlink" Target="file:///C:\Users\gbatungs\Documents\sam\stds\3GPP\RAN\RAN1\Docs\R1-2110064.zip" TargetMode="External"/><Relationship Id="rId45" Type="http://schemas.openxmlformats.org/officeDocument/2006/relationships/hyperlink" Target="file:///C:\Users\gbatungs\Documents\sam\stds\3GPP\RAN\RAN1\Docs\R1-21102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04BFD-6837-644D-BD38-F9DB8E61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11545</Words>
  <Characters>65811</Characters>
  <Application>Microsoft Macintosh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77202</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Thierry Berisot</cp:lastModifiedBy>
  <cp:revision>5</cp:revision>
  <dcterms:created xsi:type="dcterms:W3CDTF">2021-10-13T20:36:00Z</dcterms:created>
  <dcterms:modified xsi:type="dcterms:W3CDTF">2021-10-13T20:49:00Z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