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990D34">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990D34">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990D34">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990D34">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990D34">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990D34">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990D34">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990D34">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990D34">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990D34">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990D34">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990D34">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990D34">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990D34">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990D34">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990D34">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990D34">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990D34">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990D34">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990D34">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5pt" equationxml="&lt;">
                  <v:imagedata r:id="rId11" o:title="" chromakey="white"/>
                </v:shape>
              </w:pict>
            </w:r>
            <w:r>
              <w:rPr>
                <w:b/>
                <w:i/>
              </w:rPr>
              <w:t xml:space="preserve"> , UE determines the next available NPRACH occasion after uplink slot </w:t>
            </w:r>
            <w:r w:rsidR="00990D34">
              <w:rPr>
                <w:rFonts w:cs="Times"/>
                <w:position w:val="-8"/>
                <w:lang w:val="en-GB" w:eastAsia="en-US"/>
              </w:rPr>
              <w:pict w14:anchorId="7A716991">
                <v:shape id="_x0000_i1026" type="#_x0000_t75" style="width:52.3pt;height:14.4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45pt" o:ole="">
            <v:imagedata r:id="rId14" o:title=""/>
          </v:shape>
          <o:OLEObject Type="Embed" ProgID="Equation.3" ShapeID="_x0000_i1027" DrawAspect="Content" ObjectID="_1695650556"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 xml:space="preserve">Huawei, </w:t>
            </w:r>
            <w:proofErr w:type="spellStart"/>
            <w:r>
              <w:rPr>
                <w:rFonts w:eastAsia="DengXian"/>
              </w:rPr>
              <w:t>HiSilicon</w:t>
            </w:r>
            <w:proofErr w:type="spellEnd"/>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proofErr w:type="spellStart"/>
            <w:r>
              <w:rPr>
                <w:rFonts w:eastAsia="DengXian"/>
                <w:lang w:eastAsia="zh-CN"/>
              </w:rPr>
              <w:t>GateHouse</w:t>
            </w:r>
            <w:proofErr w:type="spellEnd"/>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w:t>
      </w:r>
      <w:proofErr w:type="spellStart"/>
      <w:r>
        <w:rPr>
          <w:rFonts w:eastAsia="SimSun"/>
          <w:lang w:eastAsia="zh-CN"/>
        </w:rPr>
        <w:t>eMTC</w:t>
      </w:r>
      <w:proofErr w:type="spellEnd"/>
      <w:r>
        <w:rPr>
          <w:rFonts w:eastAsia="SimSun"/>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Spreadtrum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lastRenderedPageBreak/>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w:t>
      </w:r>
      <w:r w:rsidR="002D501D">
        <w:lastRenderedPageBreak/>
        <w:t xml:space="preserve">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5"/>
        <w:gridCol w:w="1220"/>
        <w:gridCol w:w="6361"/>
      </w:tblGrid>
      <w:tr w:rsidR="006F3EF0" w14:paraId="28B283E7" w14:textId="77777777" w:rsidTr="00C559F4">
        <w:tc>
          <w:tcPr>
            <w:tcW w:w="1554" w:type="dxa"/>
            <w:shd w:val="clear" w:color="auto" w:fill="D9D9D9" w:themeFill="background1" w:themeFillShade="D9"/>
          </w:tcPr>
          <w:p w14:paraId="4F15479D" w14:textId="77777777" w:rsidR="006F3EF0" w:rsidRDefault="006F3EF0" w:rsidP="00295DFC">
            <w:pPr>
              <w:jc w:val="center"/>
            </w:pPr>
            <w:r>
              <w:t>Company</w:t>
            </w:r>
          </w:p>
        </w:tc>
        <w:tc>
          <w:tcPr>
            <w:tcW w:w="1445" w:type="dxa"/>
            <w:shd w:val="clear" w:color="auto" w:fill="D9D9D9" w:themeFill="background1" w:themeFillShade="D9"/>
          </w:tcPr>
          <w:p w14:paraId="7E692A72" w14:textId="77777777" w:rsidR="006F3EF0" w:rsidRDefault="006F3EF0" w:rsidP="00295DFC">
            <w:pPr>
              <w:jc w:val="center"/>
            </w:pPr>
            <w:r>
              <w:t>Support/Not Support</w:t>
            </w:r>
          </w:p>
        </w:tc>
        <w:tc>
          <w:tcPr>
            <w:tcW w:w="6017"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C559F4">
        <w:tc>
          <w:tcPr>
            <w:tcW w:w="1554" w:type="dxa"/>
          </w:tcPr>
          <w:p w14:paraId="637B02FE" w14:textId="17EA9787" w:rsidR="006F3EF0" w:rsidRDefault="00981484" w:rsidP="00295DFC">
            <w:pPr>
              <w:jc w:val="center"/>
            </w:pPr>
            <w:r>
              <w:t>SONY</w:t>
            </w:r>
          </w:p>
        </w:tc>
        <w:tc>
          <w:tcPr>
            <w:tcW w:w="1445" w:type="dxa"/>
          </w:tcPr>
          <w:p w14:paraId="012EAE75" w14:textId="5B18875B" w:rsidR="006F3EF0" w:rsidRDefault="00210036" w:rsidP="00295DFC">
            <w:pPr>
              <w:jc w:val="center"/>
            </w:pPr>
            <w:r>
              <w:t>Support</w:t>
            </w:r>
          </w:p>
        </w:tc>
        <w:tc>
          <w:tcPr>
            <w:tcW w:w="6017"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C559F4">
        <w:tc>
          <w:tcPr>
            <w:tcW w:w="1554" w:type="dxa"/>
          </w:tcPr>
          <w:p w14:paraId="33575FC3" w14:textId="4B869DC8" w:rsidR="00F05923" w:rsidRDefault="00F05923" w:rsidP="00F05923">
            <w:pPr>
              <w:jc w:val="center"/>
            </w:pPr>
            <w:r>
              <w:rPr>
                <w:lang w:val="en-GB"/>
              </w:rPr>
              <w:t>Ericsson</w:t>
            </w:r>
          </w:p>
        </w:tc>
        <w:tc>
          <w:tcPr>
            <w:tcW w:w="1445" w:type="dxa"/>
          </w:tcPr>
          <w:p w14:paraId="3A019A40" w14:textId="065FE3D1" w:rsidR="00F05923" w:rsidRDefault="00F05923" w:rsidP="00F05923">
            <w:pPr>
              <w:jc w:val="center"/>
            </w:pPr>
            <w:r>
              <w:t>Not Support</w:t>
            </w:r>
          </w:p>
        </w:tc>
        <w:tc>
          <w:tcPr>
            <w:tcW w:w="6017"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 xml:space="preserve">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NB-IoT and </w:t>
            </w:r>
            <w:proofErr w:type="spellStart"/>
            <w:r>
              <w:t>eMTC</w:t>
            </w:r>
            <w:proofErr w:type="spellEnd"/>
            <w:r>
              <w:t>.</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object w:dxaOrig="9910" w:dyaOrig="2961" w14:anchorId="6A211B6A">
                <v:shape id="_x0000_i1029" type="#_x0000_t75" style="width:307.1pt;height:91.7pt" o:ole="">
                  <v:imagedata r:id="rId17" o:title=""/>
                </v:shape>
                <o:OLEObject Type="Embed" ProgID="Visio.Drawing.15" ShapeID="_x0000_i1029" DrawAspect="Content" ObjectID="_1695650557" r:id="rId18"/>
              </w:object>
            </w:r>
          </w:p>
        </w:tc>
      </w:tr>
      <w:tr w:rsidR="006F3EF0" w14:paraId="5EEFCFA8" w14:textId="77777777" w:rsidTr="00C559F4">
        <w:tc>
          <w:tcPr>
            <w:tcW w:w="1554"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445" w:type="dxa"/>
          </w:tcPr>
          <w:p w14:paraId="0FEBD544" w14:textId="4DC3B7AC" w:rsidR="006F3EF0" w:rsidRPr="002F083F" w:rsidRDefault="002F083F" w:rsidP="002F083F">
            <w:pPr>
              <w:jc w:val="center"/>
            </w:pPr>
            <w:r w:rsidRPr="002F083F">
              <w:rPr>
                <w:rFonts w:hint="eastAsia"/>
              </w:rPr>
              <w:t>Support</w:t>
            </w:r>
          </w:p>
        </w:tc>
        <w:tc>
          <w:tcPr>
            <w:tcW w:w="6017"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C559F4">
        <w:tc>
          <w:tcPr>
            <w:tcW w:w="1554" w:type="dxa"/>
          </w:tcPr>
          <w:p w14:paraId="1D143AC3" w14:textId="6C9C544D" w:rsidR="00865A26" w:rsidRPr="002F083F" w:rsidRDefault="00865A26" w:rsidP="002F083F">
            <w:pPr>
              <w:jc w:val="center"/>
            </w:pPr>
            <w:r>
              <w:rPr>
                <w:lang w:eastAsia="zh-CN"/>
              </w:rPr>
              <w:t>CATT</w:t>
            </w:r>
          </w:p>
        </w:tc>
        <w:tc>
          <w:tcPr>
            <w:tcW w:w="1445" w:type="dxa"/>
          </w:tcPr>
          <w:p w14:paraId="2C1F02BD" w14:textId="445B1059" w:rsidR="00865A26" w:rsidRPr="002F083F" w:rsidRDefault="00865A26" w:rsidP="002F083F">
            <w:pPr>
              <w:jc w:val="center"/>
            </w:pPr>
            <w:r>
              <w:t>Support</w:t>
            </w:r>
          </w:p>
        </w:tc>
        <w:tc>
          <w:tcPr>
            <w:tcW w:w="6017"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C559F4">
        <w:tc>
          <w:tcPr>
            <w:tcW w:w="1554"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445" w:type="dxa"/>
          </w:tcPr>
          <w:p w14:paraId="4732C392" w14:textId="3CE63994" w:rsidR="008972D7" w:rsidRDefault="008972D7" w:rsidP="002F083F">
            <w:pPr>
              <w:jc w:val="center"/>
            </w:pPr>
            <w:r>
              <w:t>Support</w:t>
            </w:r>
          </w:p>
        </w:tc>
        <w:tc>
          <w:tcPr>
            <w:tcW w:w="6017"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 xml:space="preserve">consistency with other agreements on timing relationships regarding </w:t>
            </w:r>
            <w:proofErr w:type="spellStart"/>
            <w:r w:rsidR="00CE4AA6">
              <w:rPr>
                <w:rFonts w:eastAsia="DengXian"/>
                <w:lang w:eastAsia="zh-CN"/>
              </w:rPr>
              <w:t>K_offset</w:t>
            </w:r>
            <w:proofErr w:type="spellEnd"/>
            <w:r w:rsidR="00C00B51">
              <w:rPr>
                <w:rFonts w:eastAsia="DengXian"/>
                <w:lang w:eastAsia="zh-CN"/>
              </w:rPr>
              <w:t xml:space="preserve">, and using </w:t>
            </w:r>
            <w:proofErr w:type="spellStart"/>
            <w:r w:rsidR="00C00B51">
              <w:rPr>
                <w:rFonts w:eastAsia="DengXian"/>
                <w:lang w:eastAsia="zh-CN"/>
              </w:rPr>
              <w:t>K_offset</w:t>
            </w:r>
            <w:proofErr w:type="spellEnd"/>
            <w:r w:rsidR="00C00B51">
              <w:rPr>
                <w:rFonts w:eastAsia="DengXian"/>
                <w:lang w:eastAsia="zh-CN"/>
              </w:rPr>
              <w:t xml:space="preserve"> for PRACH retransmission for both NB-IoT and </w:t>
            </w:r>
            <w:proofErr w:type="spellStart"/>
            <w:r w:rsidR="00C00B51">
              <w:rPr>
                <w:rFonts w:eastAsia="DengXian"/>
                <w:lang w:eastAsia="zh-CN"/>
              </w:rPr>
              <w:t>eMTC</w:t>
            </w:r>
            <w:proofErr w:type="spellEnd"/>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C559F4">
        <w:tc>
          <w:tcPr>
            <w:tcW w:w="1554" w:type="dxa"/>
          </w:tcPr>
          <w:p w14:paraId="5CF2B323" w14:textId="04E9E471" w:rsidR="00E10251" w:rsidRDefault="00E10251" w:rsidP="002F083F">
            <w:pPr>
              <w:jc w:val="center"/>
              <w:rPr>
                <w:lang w:eastAsia="zh-CN"/>
              </w:rPr>
            </w:pPr>
            <w:r>
              <w:rPr>
                <w:lang w:eastAsia="zh-CN"/>
              </w:rPr>
              <w:t>Samsung</w:t>
            </w:r>
          </w:p>
        </w:tc>
        <w:tc>
          <w:tcPr>
            <w:tcW w:w="1445" w:type="dxa"/>
          </w:tcPr>
          <w:p w14:paraId="65CF28EB" w14:textId="094ADFAC" w:rsidR="00E10251" w:rsidRDefault="00E10251" w:rsidP="002F083F">
            <w:pPr>
              <w:jc w:val="center"/>
            </w:pPr>
            <w:r>
              <w:t>Support</w:t>
            </w:r>
          </w:p>
        </w:tc>
        <w:tc>
          <w:tcPr>
            <w:tcW w:w="6017"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C559F4">
        <w:tc>
          <w:tcPr>
            <w:tcW w:w="1554"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445" w:type="dxa"/>
          </w:tcPr>
          <w:p w14:paraId="5FD4E9CD" w14:textId="2B477342" w:rsidR="00D32544" w:rsidRDefault="00D32544" w:rsidP="002F083F">
            <w:pPr>
              <w:jc w:val="center"/>
            </w:pPr>
            <w:r w:rsidRPr="00D32544">
              <w:t>Support</w:t>
            </w:r>
          </w:p>
        </w:tc>
        <w:tc>
          <w:tcPr>
            <w:tcW w:w="6017" w:type="dxa"/>
          </w:tcPr>
          <w:p w14:paraId="061A3525" w14:textId="77777777" w:rsidR="00D32544" w:rsidRDefault="00D32544" w:rsidP="00CC6DBC">
            <w:pPr>
              <w:rPr>
                <w:rFonts w:eastAsia="DengXian"/>
                <w:lang w:eastAsia="zh-CN"/>
              </w:rPr>
            </w:pPr>
          </w:p>
        </w:tc>
      </w:tr>
      <w:tr w:rsidR="006F0656" w14:paraId="75C68180" w14:textId="77777777" w:rsidTr="00C559F4">
        <w:tc>
          <w:tcPr>
            <w:tcW w:w="1554"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445" w:type="dxa"/>
          </w:tcPr>
          <w:p w14:paraId="1ED7F9D1" w14:textId="4EF7D713" w:rsidR="006F0656" w:rsidRPr="00D32544" w:rsidRDefault="006F0656" w:rsidP="006F0656">
            <w:pPr>
              <w:jc w:val="center"/>
            </w:pPr>
          </w:p>
        </w:tc>
        <w:tc>
          <w:tcPr>
            <w:tcW w:w="6017"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C559F4">
        <w:tc>
          <w:tcPr>
            <w:tcW w:w="1554" w:type="dxa"/>
          </w:tcPr>
          <w:p w14:paraId="0F2554B0" w14:textId="763A4219" w:rsidR="00DD773D" w:rsidRDefault="00DD773D" w:rsidP="00DD773D">
            <w:pPr>
              <w:jc w:val="cente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445"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017"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w:t>
            </w:r>
            <w:proofErr w:type="spellStart"/>
            <w:r>
              <w:rPr>
                <w:rFonts w:eastAsia="DengXian"/>
                <w:lang w:eastAsia="zh-CN"/>
              </w:rPr>
              <w:t>NBIoT</w:t>
            </w:r>
            <w:proofErr w:type="spellEnd"/>
            <w:r>
              <w:rPr>
                <w:rFonts w:eastAsia="DengXian"/>
                <w:lang w:eastAsia="zh-CN"/>
              </w:rPr>
              <w:t xml:space="preserve"> and “</w:t>
            </w:r>
            <w:r>
              <w:t>subframe n+5</w:t>
            </w:r>
            <w:r>
              <w:rPr>
                <w:rFonts w:eastAsia="DengXian"/>
                <w:lang w:eastAsia="zh-CN"/>
              </w:rPr>
              <w:t xml:space="preserve">” in </w:t>
            </w:r>
            <w:proofErr w:type="spellStart"/>
            <w:r>
              <w:rPr>
                <w:rFonts w:eastAsia="DengXian"/>
                <w:lang w:eastAsia="zh-CN"/>
              </w:rPr>
              <w:t>eMTC</w:t>
            </w:r>
            <w:proofErr w:type="spellEnd"/>
            <w:r>
              <w:rPr>
                <w:rFonts w:eastAsia="DengXian"/>
                <w:lang w:eastAsia="zh-CN"/>
              </w:rPr>
              <w:t xml:space="preserve"> are Uplink subframe n, so </w:t>
            </w:r>
            <w:proofErr w:type="spellStart"/>
            <w:r>
              <w:rPr>
                <w:rFonts w:eastAsia="DengXian" w:hint="eastAsia"/>
                <w:lang w:eastAsia="zh-CN"/>
              </w:rPr>
              <w:t>K</w:t>
            </w:r>
            <w:r>
              <w:rPr>
                <w:rFonts w:eastAsia="DengXian"/>
                <w:lang w:eastAsia="zh-CN"/>
              </w:rPr>
              <w:t>_offset</w:t>
            </w:r>
            <w:proofErr w:type="spellEnd"/>
            <w:r>
              <w:rPr>
                <w:rFonts w:eastAsia="DengXian"/>
                <w:lang w:eastAsia="zh-CN"/>
              </w:rPr>
              <w:t xml:space="preserve"> should be needed.</w:t>
            </w:r>
          </w:p>
        </w:tc>
      </w:tr>
      <w:tr w:rsidR="00DD773D" w14:paraId="0614FCB2" w14:textId="77777777" w:rsidTr="00C559F4">
        <w:tc>
          <w:tcPr>
            <w:tcW w:w="1554"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445"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017"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C559F4">
        <w:tc>
          <w:tcPr>
            <w:tcW w:w="1554"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445"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017"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w:t>
            </w:r>
            <w:r>
              <w:rPr>
                <w:rFonts w:eastAsia="DengXian"/>
                <w:lang w:eastAsia="zh-CN"/>
              </w:rPr>
              <w:lastRenderedPageBreak/>
              <w:t xml:space="preserve">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C559F4">
        <w:tc>
          <w:tcPr>
            <w:tcW w:w="1554" w:type="dxa"/>
          </w:tcPr>
          <w:p w14:paraId="10637FFB" w14:textId="7ABFE917" w:rsidR="00DD773D" w:rsidRDefault="00DD773D" w:rsidP="00DD773D">
            <w:pPr>
              <w:jc w:val="center"/>
              <w:rPr>
                <w:rFonts w:eastAsia="DengXian"/>
                <w:lang w:eastAsia="zh-CN"/>
              </w:rPr>
            </w:pPr>
            <w:r>
              <w:rPr>
                <w:rFonts w:eastAsia="DengXian" w:hint="eastAsia"/>
                <w:lang w:eastAsia="zh-CN"/>
              </w:rPr>
              <w:lastRenderedPageBreak/>
              <w:t>X</w:t>
            </w:r>
            <w:r>
              <w:rPr>
                <w:rFonts w:eastAsia="DengXian"/>
                <w:lang w:eastAsia="zh-CN"/>
              </w:rPr>
              <w:t>iaomi</w:t>
            </w:r>
          </w:p>
        </w:tc>
        <w:tc>
          <w:tcPr>
            <w:tcW w:w="1445" w:type="dxa"/>
          </w:tcPr>
          <w:p w14:paraId="543176F5" w14:textId="46495E8B" w:rsidR="00DD773D" w:rsidRDefault="00DD773D" w:rsidP="00DD773D">
            <w:pPr>
              <w:jc w:val="center"/>
              <w:rPr>
                <w:rFonts w:eastAsia="DengXian"/>
                <w:lang w:eastAsia="zh-CN"/>
              </w:rPr>
            </w:pPr>
          </w:p>
        </w:tc>
        <w:tc>
          <w:tcPr>
            <w:tcW w:w="6017" w:type="dxa"/>
          </w:tcPr>
          <w:p w14:paraId="08AD6661" w14:textId="2008FF0C" w:rsidR="00DD773D" w:rsidRDefault="00DD773D" w:rsidP="00DD773D">
            <w:pPr>
              <w:rPr>
                <w:rFonts w:eastAsia="DengXian"/>
                <w:lang w:eastAsia="zh-CN"/>
              </w:rPr>
            </w:pPr>
            <w:r>
              <w:rPr>
                <w:rFonts w:eastAsia="DengXian"/>
                <w:lang w:eastAsia="zh-CN"/>
              </w:rPr>
              <w:t xml:space="preserve">For NB-IoT, as widely discussed during the GTW, the issue lays on how to interpreter the subframe n. If common understanding is it refers to a DL subframe, we are fine to accept that the </w:t>
            </w:r>
            <w:proofErr w:type="spellStart"/>
            <w:r>
              <w:rPr>
                <w:rFonts w:eastAsia="DengXian"/>
                <w:lang w:eastAsia="zh-CN"/>
              </w:rPr>
              <w:t>Koffset</w:t>
            </w:r>
            <w:proofErr w:type="spellEnd"/>
            <w:r>
              <w:rPr>
                <w:rFonts w:eastAsia="DengXian"/>
                <w:lang w:eastAsia="zh-CN"/>
              </w:rPr>
              <w:t xml:space="preserve"> is not needed for NB-IoT.</w:t>
            </w:r>
          </w:p>
        </w:tc>
      </w:tr>
      <w:tr w:rsidR="00DD773D" w14:paraId="16F8645B" w14:textId="77777777" w:rsidTr="00C559F4">
        <w:tc>
          <w:tcPr>
            <w:tcW w:w="1554"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445" w:type="dxa"/>
          </w:tcPr>
          <w:p w14:paraId="1B6A3FD6" w14:textId="77777777" w:rsidR="00DD773D" w:rsidRDefault="00DD773D" w:rsidP="00DD773D">
            <w:pPr>
              <w:jc w:val="center"/>
              <w:rPr>
                <w:rFonts w:eastAsia="DengXian"/>
                <w:lang w:eastAsia="zh-CN"/>
              </w:rPr>
            </w:pPr>
          </w:p>
        </w:tc>
        <w:tc>
          <w:tcPr>
            <w:tcW w:w="6017"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C559F4">
        <w:tc>
          <w:tcPr>
            <w:tcW w:w="1554"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445"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 xml:space="preserve">upport for </w:t>
            </w:r>
            <w:proofErr w:type="spellStart"/>
            <w:r>
              <w:rPr>
                <w:rFonts w:eastAsia="DengXian"/>
                <w:lang w:eastAsia="zh-CN"/>
              </w:rPr>
              <w:t>eMTC</w:t>
            </w:r>
            <w:proofErr w:type="spellEnd"/>
          </w:p>
        </w:tc>
        <w:tc>
          <w:tcPr>
            <w:tcW w:w="6017" w:type="dxa"/>
          </w:tcPr>
          <w:p w14:paraId="0DF50D5B" w14:textId="6B0068D8" w:rsidR="00DD773D" w:rsidRDefault="00DD773D" w:rsidP="00DD773D">
            <w:r>
              <w:rPr>
                <w:rFonts w:eastAsia="DengXian"/>
                <w:lang w:eastAsia="zh-CN"/>
              </w:rPr>
              <w:t xml:space="preserve">For NB-IoT, subframe n is a DL subframe, thus, delayed by </w:t>
            </w:r>
            <w:proofErr w:type="spellStart"/>
            <w:r>
              <w:rPr>
                <w:rFonts w:eastAsia="DengXian"/>
                <w:lang w:eastAsia="zh-CN"/>
              </w:rPr>
              <w:t>Koffset</w:t>
            </w:r>
            <w:proofErr w:type="spellEnd"/>
            <w:r>
              <w:rPr>
                <w:rFonts w:eastAsia="DengXian"/>
                <w:lang w:eastAsia="zh-CN"/>
              </w:rPr>
              <w:t xml:space="preserve"> seems not needed for NB-IoT.</w:t>
            </w:r>
          </w:p>
        </w:tc>
      </w:tr>
      <w:tr w:rsidR="00B97CEF" w14:paraId="587374A8" w14:textId="77777777" w:rsidTr="00C559F4">
        <w:tc>
          <w:tcPr>
            <w:tcW w:w="1554"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445" w:type="dxa"/>
          </w:tcPr>
          <w:p w14:paraId="56D05095" w14:textId="27A7395D" w:rsidR="00B97CEF" w:rsidRDefault="00B97CEF" w:rsidP="00B97CEF">
            <w:pPr>
              <w:jc w:val="center"/>
              <w:rPr>
                <w:rFonts w:eastAsia="DengXian"/>
                <w:lang w:eastAsia="zh-CN"/>
              </w:rPr>
            </w:pPr>
            <w:r>
              <w:t>Not Support</w:t>
            </w:r>
          </w:p>
        </w:tc>
        <w:tc>
          <w:tcPr>
            <w:tcW w:w="6017"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B97CEF" w:rsidP="00B97CEF">
            <w:pPr>
              <w:rPr>
                <w:rFonts w:eastAsia="DengXian"/>
                <w:lang w:eastAsia="zh-CN"/>
              </w:rPr>
            </w:pPr>
            <w:r>
              <w:rPr>
                <w:lang w:val="en-GB"/>
              </w:rPr>
              <w:object w:dxaOrig="24580" w:dyaOrig="5330" w14:anchorId="55505AA8">
                <v:shape id="_x0000_i1028" type="#_x0000_t75" style="width:290.2pt;height:63.25pt" o:ole="">
                  <v:imagedata r:id="rId20" o:title=""/>
                </v:shape>
                <o:OLEObject Type="Embed" ProgID="Visio.Drawing.11" ShapeID="_x0000_i1028" DrawAspect="Content" ObjectID="_1695650558" r:id="rId21"/>
              </w:object>
            </w:r>
            <w:r>
              <w:rPr>
                <w:rFonts w:eastAsia="DengXian"/>
                <w:lang w:eastAsia="zh-CN"/>
              </w:rPr>
              <w:t xml:space="preserve"> </w:t>
            </w:r>
          </w:p>
        </w:tc>
      </w:tr>
      <w:tr w:rsidR="00C559F4" w14:paraId="44E0112D" w14:textId="77777777" w:rsidTr="00C559F4">
        <w:tc>
          <w:tcPr>
            <w:tcW w:w="1554" w:type="dxa"/>
          </w:tcPr>
          <w:p w14:paraId="6BBB7A18" w14:textId="41F15618" w:rsidR="00C559F4" w:rsidRDefault="00C559F4" w:rsidP="00C559F4">
            <w:pPr>
              <w:jc w:val="center"/>
              <w:rPr>
                <w:rFonts w:eastAsia="DengXian"/>
                <w:lang w:eastAsia="zh-CN"/>
              </w:rPr>
            </w:pPr>
            <w:proofErr w:type="spellStart"/>
            <w:r>
              <w:rPr>
                <w:rFonts w:eastAsia="DengXian"/>
                <w:lang w:eastAsia="zh-CN"/>
              </w:rPr>
              <w:t>GateHouse</w:t>
            </w:r>
            <w:proofErr w:type="spellEnd"/>
          </w:p>
        </w:tc>
        <w:tc>
          <w:tcPr>
            <w:tcW w:w="1445" w:type="dxa"/>
          </w:tcPr>
          <w:p w14:paraId="1247D86B" w14:textId="3CE69F22" w:rsidR="00C559F4" w:rsidRDefault="00C559F4" w:rsidP="00C559F4">
            <w:pPr>
              <w:jc w:val="center"/>
            </w:pPr>
            <w:r>
              <w:t>Support with comment</w:t>
            </w:r>
          </w:p>
        </w:tc>
        <w:tc>
          <w:tcPr>
            <w:tcW w:w="6017"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xml:space="preserve">, UE is ready to </w:t>
            </w:r>
            <w:proofErr w:type="spellStart"/>
            <w:r>
              <w:t>tx</w:t>
            </w:r>
            <w:proofErr w:type="spellEnd"/>
            <w:r>
              <w:t xml:space="preserve">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t>We agree with ZTE that a joint solution should be possible.</w:t>
            </w: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lastRenderedPageBreak/>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 xml:space="preserve">For </w:t>
            </w:r>
            <w:proofErr w:type="spellStart"/>
            <w:r>
              <w:rPr>
                <w:rFonts w:eastAsia="SimSun"/>
                <w:b/>
                <w:i/>
              </w:rPr>
              <w:t>eMTC</w:t>
            </w:r>
            <w:proofErr w:type="spellEnd"/>
            <w:r>
              <w:rPr>
                <w:rFonts w:eastAsia="SimSun"/>
                <w:b/>
                <w:i/>
              </w:rPr>
              <w:t>, if the UE has initiated a PUSCH transmission using pre-configured uplink resource ending in subframe n, the time at which the UE shall start to monitor the MPDCCH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 xml:space="preserve">if the UE initiates an PUSCH transmission using pre-configured uplink resource ending in </w:t>
            </w:r>
            <w:r>
              <w:lastRenderedPageBreak/>
              <w:t>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lastRenderedPageBreak/>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 compared to current specification.</w:t>
            </w:r>
            <w:r>
              <w:rPr>
                <w:b/>
                <w:bCs/>
                <w:i/>
                <w:iCs/>
                <w:lang w:val="en-GB"/>
              </w:rPr>
              <w:t xml:space="preserve">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is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lastRenderedPageBreak/>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proofErr w:type="spellStart"/>
            <w:r>
              <w:rPr>
                <w:rFonts w:eastAsia="DengXian"/>
              </w:rPr>
              <w:t>Mavenir</w:t>
            </w:r>
            <w:proofErr w:type="spellEnd"/>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DengXian"/>
              </w:rPr>
            </w:pPr>
            <w:r>
              <w:rPr>
                <w:rFonts w:eastAsia="DengXian"/>
              </w:rPr>
              <w:t xml:space="preserve">Also, </w:t>
            </w:r>
            <w:r w:rsidR="00A3338B">
              <w:rPr>
                <w:rFonts w:eastAsia="DengXian"/>
              </w:rPr>
              <w:t xml:space="preserve">it seems that there has been no agreement on introducing </w:t>
            </w:r>
            <w:proofErr w:type="spellStart"/>
            <w:r w:rsidR="00A3338B">
              <w:rPr>
                <w:rFonts w:eastAsia="DengXian"/>
              </w:rPr>
              <w:t>K_mac</w:t>
            </w:r>
            <w:proofErr w:type="spellEnd"/>
            <w:r w:rsidR="00A3338B">
              <w:rPr>
                <w:rFonts w:eastAsia="DengXian"/>
              </w:rPr>
              <w:t xml:space="preserve"> in IoT NTN (which is needed to complete the spec for IoT NTN). We suggest to re-use the relevant NR NTN agreements on </w:t>
            </w:r>
            <w:proofErr w:type="spellStart"/>
            <w:r w:rsidR="00A3338B">
              <w:rPr>
                <w:rFonts w:eastAsia="DengXian"/>
              </w:rPr>
              <w:t>K_mac</w:t>
            </w:r>
            <w:proofErr w:type="spellEnd"/>
            <w:r w:rsidR="00A3338B">
              <w:rPr>
                <w:rFonts w:eastAsia="DengXian"/>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lastRenderedPageBreak/>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 xml:space="preserve">downlink subframe n + 4 + </w:t>
            </w:r>
            <w:proofErr w:type="spellStart"/>
            <w:r w:rsidRPr="000C7A11">
              <w:rPr>
                <w:rFonts w:eastAsia="DengXian"/>
              </w:rPr>
              <w:t>K_mac</w:t>
            </w:r>
            <w:proofErr w:type="spellEnd"/>
            <w:r w:rsidRPr="000C7A11">
              <w:rPr>
                <w:rFonts w:eastAsia="DengXian"/>
              </w:rPr>
              <w:t xml:space="preserve">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proofErr w:type="spellStart"/>
            <w:r>
              <w:rPr>
                <w:rFonts w:eastAsia="DengXian"/>
              </w:rPr>
              <w:t>Mavenir</w:t>
            </w:r>
            <w:proofErr w:type="spellEnd"/>
            <w:r>
              <w:rPr>
                <w:rFonts w:eastAsia="DengXian"/>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 xml:space="preserve">gree with Ericsson that </w:t>
            </w:r>
            <w:proofErr w:type="spellStart"/>
            <w:r>
              <w:rPr>
                <w:rFonts w:eastAsia="DengXian"/>
                <w:lang w:eastAsia="zh-CN"/>
              </w:rPr>
              <w:t>K_mac</w:t>
            </w:r>
            <w:proofErr w:type="spellEnd"/>
            <w:r>
              <w:rPr>
                <w:rFonts w:eastAsia="DengXian"/>
                <w:lang w:eastAsia="zh-CN"/>
              </w:rPr>
              <w:t xml:space="preserve">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proofErr w:type="spellStart"/>
            <w:r>
              <w:rPr>
                <w:rFonts w:eastAsia="DengXian"/>
                <w:lang w:eastAsia="zh-CN"/>
              </w:rPr>
              <w:t>GateHouse</w:t>
            </w:r>
            <w:proofErr w:type="spellEnd"/>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lastRenderedPageBreak/>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proofErr w:type="spellStart"/>
            <w:r>
              <w:rPr>
                <w:rFonts w:eastAsia="DengXian"/>
              </w:rPr>
              <w:t>Mavenir</w:t>
            </w:r>
            <w:proofErr w:type="spellEnd"/>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DengXian"/>
                <w:lang w:eastAsia="zh-CN"/>
              </w:rPr>
            </w:pPr>
            <w:r>
              <w:rPr>
                <w:rFonts w:eastAsia="DengXian"/>
              </w:rPr>
              <w:t xml:space="preserve">Also, it seems that there has been no agreement on introducing </w:t>
            </w:r>
            <w:proofErr w:type="spellStart"/>
            <w:r>
              <w:rPr>
                <w:rFonts w:eastAsia="DengXian"/>
              </w:rPr>
              <w:t>K_mac</w:t>
            </w:r>
            <w:proofErr w:type="spellEnd"/>
            <w:r>
              <w:rPr>
                <w:rFonts w:eastAsia="DengXian"/>
              </w:rPr>
              <w:t xml:space="preserve"> in </w:t>
            </w:r>
            <w:proofErr w:type="spellStart"/>
            <w:r>
              <w:rPr>
                <w:rFonts w:eastAsia="DengXian"/>
              </w:rPr>
              <w:t>eMTC</w:t>
            </w:r>
            <w:proofErr w:type="spellEnd"/>
            <w:r>
              <w:rPr>
                <w:rFonts w:eastAsia="DengXian"/>
              </w:rPr>
              <w:t xml:space="preserve"> NTN (which is needed to complete the spec for </w:t>
            </w:r>
            <w:proofErr w:type="spellStart"/>
            <w:r>
              <w:rPr>
                <w:rFonts w:eastAsia="DengXian"/>
              </w:rPr>
              <w:t>eMTC</w:t>
            </w:r>
            <w:proofErr w:type="spellEnd"/>
            <w:r>
              <w:rPr>
                <w:rFonts w:eastAsia="DengXian"/>
              </w:rPr>
              <w:t xml:space="preserve"> NTN). We suggest to re-use the relevant NR NTN agreements on </w:t>
            </w:r>
            <w:proofErr w:type="spellStart"/>
            <w:r>
              <w:rPr>
                <w:rFonts w:eastAsia="DengXian"/>
              </w:rPr>
              <w:t>K_mac</w:t>
            </w:r>
            <w:proofErr w:type="spellEnd"/>
            <w:r>
              <w:rPr>
                <w:rFonts w:eastAsia="DengXian"/>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w:t>
            </w:r>
            <w:r>
              <w:rPr>
                <w:rFonts w:eastAsia="DengXian" w:hint="eastAsia"/>
                <w:lang w:eastAsia="zh-CN"/>
              </w:rPr>
              <w:t>oM</w:t>
            </w:r>
            <w:proofErr w:type="spellEnd"/>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proofErr w:type="spellStart"/>
            <w:r>
              <w:rPr>
                <w:rFonts w:eastAsia="DengXian"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w:t>
            </w:r>
            <w:r w:rsidRPr="002E0844">
              <w:rPr>
                <w:rFonts w:eastAsia="DengXian"/>
                <w:color w:val="C00000"/>
              </w:rPr>
              <w:lastRenderedPageBreak/>
              <w:t xml:space="preserve">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lastRenderedPageBreak/>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 xml:space="preserve">Same considerations as for PUR for NB-IoT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C559F4" w:rsidRPr="008A4526" w14:paraId="3A3B72D3" w14:textId="77777777" w:rsidTr="00460443">
        <w:tc>
          <w:tcPr>
            <w:tcW w:w="1838" w:type="dxa"/>
          </w:tcPr>
          <w:p w14:paraId="151BA25A" w14:textId="7D765B42" w:rsidR="00C559F4" w:rsidRPr="00955E37" w:rsidRDefault="00C559F4" w:rsidP="00DD773D">
            <w:pPr>
              <w:rPr>
                <w:rFonts w:eastAsia="DengXian"/>
                <w:lang w:eastAsia="zh-CN"/>
              </w:rPr>
            </w:pPr>
          </w:p>
        </w:tc>
        <w:tc>
          <w:tcPr>
            <w:tcW w:w="1985" w:type="dxa"/>
          </w:tcPr>
          <w:p w14:paraId="603003BA" w14:textId="1E4FFBAA" w:rsidR="00C559F4" w:rsidRDefault="00C559F4" w:rsidP="00DD773D">
            <w:pPr>
              <w:rPr>
                <w:rFonts w:eastAsia="DengXian"/>
                <w:lang w:eastAsia="zh-CN"/>
              </w:rPr>
            </w:pPr>
          </w:p>
        </w:tc>
        <w:tc>
          <w:tcPr>
            <w:tcW w:w="5193" w:type="dxa"/>
          </w:tcPr>
          <w:p w14:paraId="2D0BD6C8" w14:textId="12BE0199" w:rsidR="00C559F4" w:rsidRDefault="00C559F4" w:rsidP="00DD773D">
            <w:pPr>
              <w:rPr>
                <w:rFonts w:eastAsia="DengXian"/>
              </w:rPr>
            </w:pP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lastRenderedPageBreak/>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C559F4" w:rsidRDefault="00C559F4"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C559F4" w:rsidRDefault="00C559F4"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C559F4" w:rsidRDefault="00C559F4"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C559F4" w:rsidRDefault="00C559F4"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lastRenderedPageBreak/>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 xml:space="preserve">or two HARQ-Processes, introduce </w:t>
            </w:r>
            <w:proofErr w:type="spellStart"/>
            <w:r w:rsidRPr="00EB429E">
              <w:rPr>
                <w:rFonts w:eastAsia="DengXian" w:hint="eastAsia"/>
              </w:rPr>
              <w:t>K_offset</w:t>
            </w:r>
            <w:proofErr w:type="spellEnd"/>
            <w:r w:rsidRPr="00EB429E">
              <w:rPr>
                <w:rFonts w:eastAsia="DengXian"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w:t>
            </w:r>
            <w:proofErr w:type="spellStart"/>
            <w:r>
              <w:rPr>
                <w:rFonts w:eastAsia="DengXian"/>
                <w:lang w:eastAsia="zh-CN"/>
              </w:rPr>
              <w:t>K_offset</w:t>
            </w:r>
            <w:proofErr w:type="spellEnd"/>
            <w:r>
              <w:rPr>
                <w:rFonts w:eastAsia="DengXian"/>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 xml:space="preserve">We agree with SONY’s comments above. In addition, we think that </w:t>
            </w:r>
            <w:proofErr w:type="spellStart"/>
            <w:r>
              <w:rPr>
                <w:rFonts w:eastAsia="DengXian"/>
              </w:rPr>
              <w:t>eMTC</w:t>
            </w:r>
            <w:proofErr w:type="spellEnd"/>
            <w:r>
              <w:rPr>
                <w:rFonts w:eastAsia="DengXian"/>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 xml:space="preserve">“For type B half-duplex FDD operation, guard periods, each referred to as a half-duplex guard subframe, are created by the </w:t>
            </w:r>
            <w:r>
              <w:lastRenderedPageBreak/>
              <w:t>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lastRenderedPageBreak/>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 xml:space="preserve">e share the same view with Huawei that with the introduction of TA reporting and the UE-specific </w:t>
            </w:r>
            <w:proofErr w:type="spellStart"/>
            <w:r>
              <w:rPr>
                <w:rFonts w:eastAsia="DengXian"/>
                <w:lang w:eastAsia="zh-CN"/>
              </w:rPr>
              <w:t>K_offset</w:t>
            </w:r>
            <w:proofErr w:type="spellEnd"/>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proofErr w:type="spellStart"/>
            <w:r>
              <w:rPr>
                <w:rFonts w:eastAsia="DengXian"/>
                <w:lang w:eastAsia="zh-CN"/>
              </w:rPr>
              <w:t>GateHouse</w:t>
            </w:r>
            <w:proofErr w:type="spellEnd"/>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proofErr w:type="spellStart"/>
      <w:r w:rsidRPr="00302003">
        <w:rPr>
          <w:rStyle w:val="Heading2Char"/>
        </w:rPr>
        <w:t>K_offset</w:t>
      </w:r>
      <w:proofErr w:type="spellEnd"/>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990D34"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990D34"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 xml:space="preserve">a </w:t>
            </w:r>
            <w:r>
              <w:rPr>
                <w:color w:val="000000"/>
              </w:rPr>
              <w:lastRenderedPageBreak/>
              <w:t>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of  </w:t>
      </w:r>
      <w:proofErr w:type="spellStart"/>
      <w:r>
        <w:t>K_offset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proofErr w:type="spellStart"/>
            <w:r>
              <w:rPr>
                <w:rFonts w:eastAsia="DengXian"/>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issues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proofErr w:type="spellStart"/>
            <w:r>
              <w:rPr>
                <w:rFonts w:eastAsia="DengXian"/>
                <w:lang w:eastAsia="zh-CN"/>
              </w:rPr>
              <w:t>GateHouse</w:t>
            </w:r>
            <w:proofErr w:type="spellEnd"/>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 xml:space="preserve">its for </w:t>
            </w:r>
            <w:proofErr w:type="spellStart"/>
            <w:r w:rsidRPr="004224CD">
              <w:rPr>
                <w:rFonts w:eastAsia="DengXian"/>
                <w:lang w:eastAsia="zh-CN"/>
              </w:rPr>
              <w:t>smallsats</w:t>
            </w:r>
            <w:proofErr w:type="spellEnd"/>
            <w:r w:rsidRPr="004224CD">
              <w:rPr>
                <w:rFonts w:eastAsia="DengXian"/>
                <w:lang w:eastAsia="zh-CN"/>
              </w:rPr>
              <w:t xml:space="preserve"> - are not covered.</w:t>
            </w:r>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1" w:name="_Toc84850801"/>
      <w:r>
        <w:rPr>
          <w:rStyle w:val="Heading2Char"/>
        </w:rPr>
        <w:t xml:space="preserve">UE-specific TA </w:t>
      </w:r>
      <w:r w:rsidR="007E4DCF">
        <w:rPr>
          <w:rStyle w:val="Heading2Char"/>
        </w:rPr>
        <w:t>Handling</w:t>
      </w:r>
      <w:bookmarkEnd w:id="31"/>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2" w:name="_Hlk84601102"/>
      <w:proofErr w:type="spellStart"/>
      <w:r>
        <w:t>Signaling</w:t>
      </w:r>
      <w:proofErr w:type="spellEnd"/>
      <w:r>
        <w:t xml:space="preserve">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2"/>
    <w:p w14:paraId="6DFD96FB" w14:textId="07230DE6" w:rsidR="00D439DD" w:rsidRDefault="00D439DD" w:rsidP="001059A7">
      <w:pPr>
        <w:pStyle w:val="ListParagraph"/>
        <w:numPr>
          <w:ilvl w:val="0"/>
          <w:numId w:val="5"/>
        </w:numPr>
        <w:ind w:firstLineChars="0"/>
        <w:rPr>
          <w:lang w:eastAsia="x-none"/>
        </w:rPr>
      </w:pPr>
      <w:r>
        <w:lastRenderedPageBreak/>
        <w:t>Frequency of reporting</w:t>
      </w:r>
    </w:p>
    <w:p w14:paraId="66D8D2F2" w14:textId="419F3196" w:rsidR="00290DFE" w:rsidRDefault="00290DFE" w:rsidP="001059A7">
      <w:pPr>
        <w:pStyle w:val="ListParagraph"/>
        <w:numPr>
          <w:ilvl w:val="0"/>
          <w:numId w:val="5"/>
        </w:numPr>
        <w:ind w:firstLineChars="0"/>
        <w:rPr>
          <w:lang w:eastAsia="x-none"/>
        </w:rPr>
      </w:pPr>
      <w:bookmarkStart w:id="33" w:name="_Hlk84607160"/>
      <w:r>
        <w:t>Means of reporting</w:t>
      </w:r>
    </w:p>
    <w:p w14:paraId="5FC87295" w14:textId="428B525A" w:rsidR="00CA392C" w:rsidRPr="00FA4A09" w:rsidRDefault="007516B7" w:rsidP="00CA392C">
      <w:pPr>
        <w:pStyle w:val="Heading2"/>
        <w:rPr>
          <w:b w:val="0"/>
          <w:bCs w:val="0"/>
        </w:rPr>
      </w:pPr>
      <w:bookmarkStart w:id="34" w:name="_Toc84850802"/>
      <w:bookmarkEnd w:id="33"/>
      <w:r>
        <w:rPr>
          <w:rStyle w:val="Heading2Char"/>
        </w:rPr>
        <w:t xml:space="preserve">Quantity to </w:t>
      </w:r>
      <w:r w:rsidR="005C327A">
        <w:rPr>
          <w:rStyle w:val="Heading2Char"/>
        </w:rPr>
        <w:t>Report</w:t>
      </w:r>
      <w:bookmarkEnd w:id="34"/>
    </w:p>
    <w:p w14:paraId="4354C28F" w14:textId="4EFEF768" w:rsidR="006C227C" w:rsidRPr="00100D31" w:rsidRDefault="008B03A0" w:rsidP="00CA392C">
      <w:pPr>
        <w:pStyle w:val="Heading3"/>
      </w:pPr>
      <w:r>
        <w:t xml:space="preserve"> </w:t>
      </w:r>
      <w:bookmarkStart w:id="35" w:name="_Toc84850803"/>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lastRenderedPageBreak/>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lastRenderedPageBreak/>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6" w:name="_Toc82802847"/>
            <w:r>
              <w:rPr>
                <w:lang w:eastAsia="zh-TW"/>
              </w:rPr>
              <w:t>Proposal 1: Contents of UE-specific TA report shall wait for the outcome of the LS to SA3 to ensure whether user consent for obtaining UE location by gNB is needed.</w:t>
            </w:r>
            <w:bookmarkEnd w:id="36"/>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8"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w:t>
            </w:r>
            <w:r w:rsidRPr="00E459E7">
              <w:rPr>
                <w:i/>
                <w:highlight w:val="yellow"/>
                <w:lang w:eastAsia="x-none"/>
              </w:rPr>
              <w:lastRenderedPageBreak/>
              <w:t xml:space="preserve">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lastRenderedPageBreak/>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39" w:name="_Toc84850804"/>
      <w:r w:rsidRPr="002F08B3">
        <w:rPr>
          <w:rStyle w:val="Heading2Char"/>
        </w:rPr>
        <w:t xml:space="preserve">The granularity of the </w:t>
      </w:r>
      <w:r w:rsidR="005C327A">
        <w:rPr>
          <w:rStyle w:val="Heading2Char"/>
        </w:rPr>
        <w:t>reported quantity</w:t>
      </w:r>
      <w:bookmarkEnd w:id="39"/>
    </w:p>
    <w:p w14:paraId="734E3F89" w14:textId="77777777" w:rsidR="002F08B3" w:rsidRPr="00100D31" w:rsidRDefault="002F08B3" w:rsidP="002F08B3">
      <w:pPr>
        <w:pStyle w:val="Heading3"/>
      </w:pPr>
      <w:r>
        <w:t xml:space="preserve"> </w:t>
      </w:r>
      <w:bookmarkStart w:id="40" w:name="_Toc8485080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w:t>
            </w:r>
            <w:r>
              <w:rPr>
                <w:i/>
              </w:rPr>
              <w:lastRenderedPageBreak/>
              <w:t xml:space="preserve">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1" w:name="_Toc84850806"/>
      <w:proofErr w:type="spellStart"/>
      <w:r>
        <w:t>Signaling</w:t>
      </w:r>
      <w:proofErr w:type="spellEnd"/>
      <w:r>
        <w:t xml:space="preserve"> overhead</w:t>
      </w:r>
      <w:bookmarkEnd w:id="41"/>
    </w:p>
    <w:p w14:paraId="6FD22C9C" w14:textId="118E269B" w:rsidR="00D14C27" w:rsidRPr="00D14C27" w:rsidRDefault="00D14C27" w:rsidP="00D14C27">
      <w:pPr>
        <w:pStyle w:val="Heading3"/>
      </w:pPr>
      <w:bookmarkStart w:id="42" w:name="_Toc84850807"/>
      <w:r w:rsidRPr="00D14C27">
        <w:t>Companies’ Observations and Proposals</w:t>
      </w:r>
      <w:bookmarkEnd w:id="42"/>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signalling overhead, because network and UE can both predict TA. UE only </w:t>
            </w:r>
            <w:r>
              <w:rPr>
                <w:b/>
                <w:bCs/>
              </w:rPr>
              <w:lastRenderedPageBreak/>
              <w:t>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3" w:name="_Toc84850808"/>
      <w:r>
        <w:t>Frequency of reporting</w:t>
      </w:r>
      <w:bookmarkEnd w:id="43"/>
    </w:p>
    <w:p w14:paraId="680DCEEF" w14:textId="77777777" w:rsidR="00D14C27" w:rsidRPr="00D14C27" w:rsidRDefault="00D14C27" w:rsidP="00D14C27">
      <w:pPr>
        <w:pStyle w:val="Heading3"/>
      </w:pPr>
      <w:bookmarkStart w:id="44" w:name="_Toc84850809"/>
      <w:r w:rsidRPr="00D14C27">
        <w:t>Companies’ Observations and Proposals</w:t>
      </w:r>
      <w:bookmarkEnd w:id="44"/>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 xml:space="preserve">complexity and security issues associated with reporting, processing, and latency of </w:t>
            </w:r>
            <w:r>
              <w:rPr>
                <w:i/>
              </w:rPr>
              <w:lastRenderedPageBreak/>
              <w:t>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5" w:name="_Toc84850810"/>
      <w:r w:rsidRPr="00D4093D">
        <w:t>Means of reporting</w:t>
      </w:r>
      <w:bookmarkEnd w:id="45"/>
    </w:p>
    <w:p w14:paraId="74C898A3" w14:textId="77777777" w:rsidR="00D14C27" w:rsidRPr="00D14C27" w:rsidRDefault="00D14C27" w:rsidP="00D14C27">
      <w:pPr>
        <w:pStyle w:val="Heading3"/>
      </w:pPr>
      <w:bookmarkStart w:id="46" w:name="_Toc84850811"/>
      <w:r w:rsidRPr="00D14C27">
        <w:t>Companies’ Observations and Proposals</w:t>
      </w:r>
      <w:bookmarkEnd w:id="46"/>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w:t>
            </w:r>
            <w:r>
              <w:rPr>
                <w:i/>
                <w:iCs/>
                <w:color w:val="000000"/>
              </w:rPr>
              <w:lastRenderedPageBreak/>
              <w:t>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lastRenderedPageBreak/>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7" w:name="_Toc84850812"/>
      <w:bookmarkStart w:id="48" w:name="_Hlk80030196"/>
      <w:r>
        <w:rPr>
          <w:rStyle w:val="Heading2Char"/>
        </w:rPr>
        <w:t>WUS</w:t>
      </w:r>
      <w:bookmarkEnd w:id="47"/>
    </w:p>
    <w:p w14:paraId="01094F74" w14:textId="0054EC82" w:rsidR="007E4DCF" w:rsidRPr="00100D31" w:rsidRDefault="007E4DCF" w:rsidP="00956E28">
      <w:pPr>
        <w:pStyle w:val="Heading3"/>
      </w:pPr>
      <w:bookmarkStart w:id="49" w:name="_Toc84850813"/>
      <w:bookmarkEnd w:id="48"/>
      <w:r>
        <w:t>Companies’ Observations and Proposals</w:t>
      </w:r>
      <w:bookmarkEnd w:id="49"/>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0" w:name="_Toc84850814"/>
      <w:r>
        <w:t>UL-DL Collision Handling for HD UE</w:t>
      </w:r>
      <w:bookmarkEnd w:id="50"/>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1" w:name="_Toc84850815"/>
      <w:r>
        <w:lastRenderedPageBreak/>
        <w:t>Companies’ views and proposals</w:t>
      </w:r>
      <w:bookmarkEnd w:id="5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2" w:name="_Toc84850816"/>
      <w:r>
        <w:t>RRC Parameters</w:t>
      </w:r>
      <w:bookmarkEnd w:id="5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3" w:name="_Toc84850817"/>
      <w:r>
        <w:t>Companies’ views and proposals</w:t>
      </w:r>
      <w:bookmarkEnd w:id="5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4" w:name="_Toc84850818"/>
      <w:r>
        <w:t>Appendix A</w:t>
      </w:r>
      <w:bookmarkEnd w:id="5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lastRenderedPageBreak/>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lastRenderedPageBreak/>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r>
        <w:t xml:space="preserve">So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5" w:name="_Toc84850819"/>
      <w:r>
        <w:t>Reference</w:t>
      </w:r>
      <w:r w:rsidR="00BE0157">
        <w:t>d Documents</w:t>
      </w:r>
      <w:bookmarkEnd w:id="55"/>
    </w:p>
    <w:p w14:paraId="00EBD5D4" w14:textId="77777777" w:rsidR="00B36881" w:rsidRDefault="00990D34" w:rsidP="00B36881">
      <w:pPr>
        <w:rPr>
          <w:lang w:eastAsia="x-none"/>
        </w:rPr>
      </w:pPr>
      <w:hyperlink r:id="rId26"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990D34" w:rsidP="00B36881">
      <w:pPr>
        <w:rPr>
          <w:lang w:eastAsia="x-none"/>
        </w:rPr>
      </w:pPr>
      <w:hyperlink r:id="rId27"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t>Spreadtrum Communications</w:t>
      </w:r>
    </w:p>
    <w:p w14:paraId="55DB78ED" w14:textId="77777777" w:rsidR="00B36881" w:rsidRDefault="00990D34" w:rsidP="00B36881">
      <w:pPr>
        <w:rPr>
          <w:lang w:eastAsia="x-none"/>
        </w:rPr>
      </w:pPr>
      <w:hyperlink r:id="rId28" w:history="1">
        <w:r w:rsidR="00B36881">
          <w:rPr>
            <w:rStyle w:val="Hyperlink"/>
            <w:lang w:eastAsia="x-none"/>
          </w:rPr>
          <w:t>R1-2109012</w:t>
        </w:r>
      </w:hyperlink>
      <w:r w:rsidR="00B36881">
        <w:rPr>
          <w:lang w:eastAsia="x-none"/>
        </w:rPr>
        <w:tab/>
        <w:t>Discussion on timing relationship enhancements for NB-IoT/</w:t>
      </w:r>
      <w:proofErr w:type="spellStart"/>
      <w:r w:rsidR="00B36881">
        <w:rPr>
          <w:lang w:eastAsia="x-none"/>
        </w:rPr>
        <w:t>eMTC</w:t>
      </w:r>
      <w:proofErr w:type="spellEnd"/>
      <w:r w:rsidR="00B36881">
        <w:rPr>
          <w:lang w:eastAsia="x-none"/>
        </w:rPr>
        <w:t xml:space="preserve"> over NTN</w:t>
      </w:r>
      <w:r w:rsidR="00B36881">
        <w:rPr>
          <w:lang w:eastAsia="x-none"/>
        </w:rPr>
        <w:tab/>
        <w:t>vivo</w:t>
      </w:r>
    </w:p>
    <w:p w14:paraId="5FBB0538" w14:textId="77777777" w:rsidR="00B36881" w:rsidRDefault="00990D34" w:rsidP="00B36881">
      <w:pPr>
        <w:rPr>
          <w:lang w:eastAsia="x-none"/>
        </w:rPr>
      </w:pPr>
      <w:hyperlink r:id="rId29"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990D34" w:rsidP="00B36881">
      <w:pPr>
        <w:rPr>
          <w:lang w:eastAsia="x-none"/>
        </w:rPr>
      </w:pPr>
      <w:hyperlink r:id="rId30"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990D34" w:rsidP="00B36881">
      <w:pPr>
        <w:rPr>
          <w:lang w:eastAsia="x-none"/>
        </w:rPr>
      </w:pPr>
      <w:hyperlink r:id="rId31"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990D34" w:rsidP="00B36881">
      <w:pPr>
        <w:rPr>
          <w:lang w:eastAsia="x-none"/>
        </w:rPr>
      </w:pPr>
      <w:hyperlink r:id="rId32"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990D34" w:rsidP="00B36881">
      <w:pPr>
        <w:rPr>
          <w:lang w:eastAsia="x-none"/>
        </w:rPr>
      </w:pPr>
      <w:hyperlink r:id="rId33"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990D34" w:rsidP="00B36881">
      <w:pPr>
        <w:rPr>
          <w:lang w:eastAsia="x-none"/>
        </w:rPr>
      </w:pPr>
      <w:hyperlink r:id="rId34" w:history="1">
        <w:r w:rsidR="00B36881">
          <w:rPr>
            <w:rStyle w:val="Hyperlink"/>
            <w:lang w:eastAsia="x-none"/>
          </w:rPr>
          <w:t>R1-2109266</w:t>
        </w:r>
      </w:hyperlink>
      <w:r w:rsidR="00B36881">
        <w:rPr>
          <w:lang w:eastAsia="x-none"/>
        </w:rPr>
        <w:tab/>
        <w:t>Timing relationship enhancements for NB-IoT/</w:t>
      </w:r>
      <w:proofErr w:type="spellStart"/>
      <w:r w:rsidR="00B36881">
        <w:rPr>
          <w:lang w:eastAsia="x-none"/>
        </w:rPr>
        <w:t>eMTC</w:t>
      </w:r>
      <w:proofErr w:type="spellEnd"/>
      <w:r w:rsidR="00B36881">
        <w:rPr>
          <w:lang w:eastAsia="x-none"/>
        </w:rPr>
        <w:t xml:space="preserve"> over NTN  Nokia, Nokia Shanghai Bell</w:t>
      </w:r>
    </w:p>
    <w:p w14:paraId="07212C59" w14:textId="1E5181F8" w:rsidR="00B36881" w:rsidRDefault="00990D34" w:rsidP="00B36881">
      <w:pPr>
        <w:rPr>
          <w:lang w:eastAsia="x-none"/>
        </w:rPr>
      </w:pPr>
      <w:hyperlink r:id="rId35"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990D34" w:rsidP="00B36881">
      <w:pPr>
        <w:rPr>
          <w:lang w:eastAsia="x-none"/>
        </w:rPr>
      </w:pPr>
      <w:hyperlink r:id="rId36"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990D34" w:rsidP="00B36881">
      <w:pPr>
        <w:rPr>
          <w:lang w:eastAsia="x-none"/>
        </w:rPr>
      </w:pPr>
      <w:hyperlink r:id="rId37"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990D34" w:rsidP="00B36881">
      <w:pPr>
        <w:rPr>
          <w:lang w:eastAsia="x-none"/>
        </w:rPr>
      </w:pPr>
      <w:hyperlink r:id="rId38"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990D34" w:rsidP="00B36881">
      <w:pPr>
        <w:rPr>
          <w:lang w:eastAsia="x-none"/>
        </w:rPr>
      </w:pPr>
      <w:hyperlink r:id="rId39" w:history="1">
        <w:r w:rsidR="00B36881">
          <w:rPr>
            <w:rStyle w:val="Hyperlink"/>
            <w:lang w:eastAsia="x-none"/>
          </w:rPr>
          <w:t>R1-2109641</w:t>
        </w:r>
      </w:hyperlink>
      <w:r w:rsidR="00B36881">
        <w:rPr>
          <w:lang w:eastAsia="x-none"/>
        </w:rPr>
        <w:tab/>
        <w:t xml:space="preserve">On timing relationship for NB-IoT and </w:t>
      </w:r>
      <w:proofErr w:type="spellStart"/>
      <w:r w:rsidR="00B36881">
        <w:rPr>
          <w:lang w:eastAsia="x-none"/>
        </w:rPr>
        <w:t>eMTC</w:t>
      </w:r>
      <w:proofErr w:type="spellEnd"/>
      <w:r w:rsidR="00B36881">
        <w:rPr>
          <w:lang w:eastAsia="x-none"/>
        </w:rPr>
        <w:t xml:space="preserve"> NTN</w:t>
      </w:r>
      <w:r w:rsidR="00B36881">
        <w:rPr>
          <w:lang w:eastAsia="x-none"/>
        </w:rPr>
        <w:tab/>
        <w:t>Intel Corporation</w:t>
      </w:r>
    </w:p>
    <w:p w14:paraId="389E81A6" w14:textId="77777777" w:rsidR="00B36881" w:rsidRDefault="00990D34" w:rsidP="00B36881">
      <w:pPr>
        <w:rPr>
          <w:lang w:eastAsia="x-none"/>
        </w:rPr>
      </w:pPr>
      <w:hyperlink r:id="rId40"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990D34" w:rsidP="00B36881">
      <w:pPr>
        <w:rPr>
          <w:lang w:eastAsia="x-none"/>
        </w:rPr>
      </w:pPr>
      <w:hyperlink r:id="rId41"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990D34" w:rsidP="00B36881">
      <w:pPr>
        <w:rPr>
          <w:lang w:eastAsia="x-none"/>
        </w:rPr>
      </w:pPr>
      <w:hyperlink r:id="rId42"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990D34" w:rsidP="00B36881">
      <w:pPr>
        <w:rPr>
          <w:lang w:eastAsia="x-none"/>
        </w:rPr>
      </w:pPr>
      <w:hyperlink r:id="rId43"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990D34" w:rsidP="00B36881">
      <w:pPr>
        <w:rPr>
          <w:lang w:eastAsia="x-none"/>
        </w:rPr>
      </w:pPr>
      <w:hyperlink r:id="rId44"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990D34" w:rsidP="00B36881">
      <w:pPr>
        <w:rPr>
          <w:lang w:eastAsia="x-none"/>
        </w:rPr>
      </w:pPr>
      <w:hyperlink r:id="rId45"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28263" w14:textId="77777777" w:rsidR="00D067F2" w:rsidRDefault="00D067F2" w:rsidP="00EE1A16">
      <w:r>
        <w:separator/>
      </w:r>
    </w:p>
  </w:endnote>
  <w:endnote w:type="continuationSeparator" w:id="0">
    <w:p w14:paraId="0C8E4715" w14:textId="77777777" w:rsidR="00D067F2" w:rsidRDefault="00D067F2" w:rsidP="00EE1A16">
      <w:r>
        <w:continuationSeparator/>
      </w:r>
    </w:p>
  </w:endnote>
  <w:endnote w:type="continuationNotice" w:id="1">
    <w:p w14:paraId="2B9C154A" w14:textId="77777777" w:rsidR="00D067F2" w:rsidRDefault="00D06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56B8A" w14:textId="77777777" w:rsidR="00D067F2" w:rsidRDefault="00D067F2" w:rsidP="00EE1A16">
      <w:r>
        <w:separator/>
      </w:r>
    </w:p>
  </w:footnote>
  <w:footnote w:type="continuationSeparator" w:id="0">
    <w:p w14:paraId="2C59D92F" w14:textId="77777777" w:rsidR="00D067F2" w:rsidRDefault="00D067F2" w:rsidP="00EE1A16">
      <w:r>
        <w:continuationSeparator/>
      </w:r>
    </w:p>
  </w:footnote>
  <w:footnote w:type="continuationNotice" w:id="1">
    <w:p w14:paraId="7449F472" w14:textId="77777777" w:rsidR="00D067F2" w:rsidRDefault="00D067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2"/>
  </w:num>
  <w:num w:numId="10">
    <w:abstractNumId w:val="6"/>
  </w:num>
  <w:num w:numId="11">
    <w:abstractNumId w:val="18"/>
  </w:num>
  <w:num w:numId="12">
    <w:abstractNumId w:val="2"/>
  </w:num>
  <w:num w:numId="13">
    <w:abstractNumId w:val="23"/>
  </w:num>
  <w:num w:numId="14">
    <w:abstractNumId w:val="17"/>
  </w:num>
  <w:num w:numId="15">
    <w:abstractNumId w:val="7"/>
  </w:num>
  <w:num w:numId="16">
    <w:abstractNumId w:val="9"/>
  </w:num>
  <w:num w:numId="17">
    <w:abstractNumId w:val="10"/>
  </w:num>
  <w:num w:numId="18">
    <w:abstractNumId w:val="5"/>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1"/>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C12"/>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139"/>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4C0"/>
    <w:rsid w:val="009818C8"/>
    <w:rsid w:val="00981B18"/>
    <w:rsid w:val="009823CD"/>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4E85"/>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978"/>
    <w:rsid w:val="00D11BA3"/>
    <w:rsid w:val="00D139BA"/>
    <w:rsid w:val="00D14179"/>
    <w:rsid w:val="00D14C27"/>
    <w:rsid w:val="00D159BC"/>
    <w:rsid w:val="00D159E0"/>
    <w:rsid w:val="00D175A8"/>
    <w:rsid w:val="00D200AD"/>
    <w:rsid w:val="00D20AC4"/>
    <w:rsid w:val="00D211DA"/>
    <w:rsid w:val="00D22916"/>
    <w:rsid w:val="00D22D40"/>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列表段落"/>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hyperlink" Target="file:///C:\Users\gbatungs\Documents\sam\stds\3GPP\RAN\RAN1\Docs\R1-2108751.zip" TargetMode="External"/><Relationship Id="rId39" Type="http://schemas.openxmlformats.org/officeDocument/2006/relationships/hyperlink" Target="file:///C:\Users\gbatungs\Documents\sam\stds\3GPP\RAN\RAN1\Docs\R1-2109641.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hyperlink" Target="file:///C:\Users\gbatungs\Documents\sam\stds\3GPP\RAN\RAN1\Docs\R1-2109266.zip" TargetMode="External"/><Relationship Id="rId42" Type="http://schemas.openxmlformats.org/officeDocument/2006/relationships/hyperlink" Target="file:///C:\Users\gbatungs\Documents\sam\stds\3GPP\RAN\RAN1\Docs\R1-2109848.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cid:image003.jpg@01D79B8A.8C924FB0" TargetMode="External"/><Relationship Id="rId33" Type="http://schemas.openxmlformats.org/officeDocument/2006/relationships/hyperlink" Target="file:///C:\Users\gbatungs\Documents\sam\stds\3GPP\RAN\RAN1\Docs\R1-2109202.zip" TargetMode="External"/><Relationship Id="rId38" Type="http://schemas.openxmlformats.org/officeDocument/2006/relationships/hyperlink" Target="file:///C:\Users\gbatungs\Documents\sam\stds\3GPP\RAN\RAN1\Docs\R1-210952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hyperlink" Target="file:///C:\Users\gbatungs\Documents\sam\stds\3GPP\RAN\RAN1\Docs\R1-2109081.zip" TargetMode="External"/><Relationship Id="rId41" Type="http://schemas.openxmlformats.org/officeDocument/2006/relationships/hyperlink" Target="file:///C:\Users\gbatungs\Documents\sam\stds\3GPP\RAN\RAN1\Docs\R1-210983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hyperlink" Target="file:///C:\Users\gbatungs\Documents\sam\stds\3GPP\RAN\RAN1\Docs\R1-2109177.zip" TargetMode="External"/><Relationship Id="rId37" Type="http://schemas.openxmlformats.org/officeDocument/2006/relationships/hyperlink" Target="file:///C:\Users\gbatungs\Documents\sam\stds\3GPP\RAN\RAN1\Docs\R1-2109397.zip" TargetMode="External"/><Relationship Id="rId40" Type="http://schemas.openxmlformats.org/officeDocument/2006/relationships/hyperlink" Target="file:///C:\Users\gbatungs\Documents\sam\stds\3GPP\RAN\RAN1\Docs\R1-2109805.zip" TargetMode="External"/><Relationship Id="rId45" Type="http://schemas.openxmlformats.org/officeDocument/2006/relationships/hyperlink" Target="file:///C:\Users\gbatungs\Documents\sam\stds\3GPP\RAN\RAN1\Docs\R1-2110262.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cid:image018.jpg@01D79A67.FC7D2D50" TargetMode="External"/><Relationship Id="rId28" Type="http://schemas.openxmlformats.org/officeDocument/2006/relationships/hyperlink" Target="file:///C:\Users\gbatungs\Documents\sam\stds\3GPP\RAN\RAN1\Docs\R1-2109012.zip" TargetMode="External"/><Relationship Id="rId36" Type="http://schemas.openxmlformats.org/officeDocument/2006/relationships/hyperlink" Target="file:///C:\Users\gbatungs\Documents\sam\stds\3GPP\RAN\RAN1\Docs\R1-2109322.zip" TargetMode="Externa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hyperlink" Target="file:///C:\Users\gbatungs\Documents\sam\stds\3GPP\RAN\RAN1\Docs\R1-2109172.zip" TargetMode="External"/><Relationship Id="rId44" Type="http://schemas.openxmlformats.org/officeDocument/2006/relationships/hyperlink" Target="file:///C:\Users\gbatungs\Documents\sam\stds\3GPP\RAN\RAN1\Docs\R1-21100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jpeg"/><Relationship Id="rId27" Type="http://schemas.openxmlformats.org/officeDocument/2006/relationships/hyperlink" Target="file:///C:\Users\gbatungs\Documents\sam\stds\3GPP\RAN\RAN1\Docs\R1-2108932.zip" TargetMode="External"/><Relationship Id="rId30" Type="http://schemas.openxmlformats.org/officeDocument/2006/relationships/hyperlink" Target="file:///C:\Users\gbatungs\Documents\sam\stds\3GPP\RAN\RAN1\Docs\R1-2109116.zip" TargetMode="External"/><Relationship Id="rId35" Type="http://schemas.openxmlformats.org/officeDocument/2006/relationships/hyperlink" Target="file:///C:\Users\gbatungs\Documents\sam\stds\3GPP\RAN\RAN1\Docs\R1-2109309.zip" TargetMode="External"/><Relationship Id="rId43" Type="http://schemas.openxmlformats.org/officeDocument/2006/relationships/hyperlink" Target="file:///C:\Users\gbatungs\Documents\sam\stds\3GPP\RAN\RAN1\Docs\R1-21099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3CE9888B-5E73-4F9B-AABC-5757A0BE23A0}">
  <ds:schemaRefs>
    <ds:schemaRef ds:uri="http://schemas.openxmlformats.org/officeDocument/2006/bibliography"/>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11478</Words>
  <Characters>65428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76753</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Zhilan Xiong</cp:lastModifiedBy>
  <cp:revision>28</cp:revision>
  <dcterms:created xsi:type="dcterms:W3CDTF">2021-10-13T10:11:00Z</dcterms:created>
  <dcterms:modified xsi:type="dcterms:W3CDTF">2021-10-13T15:52:00Z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