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273A6A">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273A6A">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273A6A">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706FC1">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85pt" equationxml="&lt;">
                  <v:imagedata r:id="rId11" o:title="" chromakey="white"/>
                </v:shape>
              </w:pict>
            </w:r>
            <w:r>
              <w:rPr>
                <w:b/>
                <w:i/>
              </w:rPr>
              <w:t xml:space="preserve"> , UE determines the next available NPRACH occasion after uplink slot </w:t>
            </w:r>
            <w:r w:rsidR="00706FC1">
              <w:rPr>
                <w:rFonts w:cs="Times"/>
                <w:position w:val="-8"/>
                <w:lang w:val="en-GB" w:eastAsia="en-US"/>
              </w:rPr>
              <w:pict w14:anchorId="7A716991">
                <v:shape id="_x0000_i1026" type="#_x0000_t75" style="width:52.6pt;height:14.4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ja-JP"/>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45pt" o:ole="">
            <v:imagedata r:id="rId14" o:title=""/>
          </v:shape>
          <o:OLEObject Type="Embed" ProgID="Equation.3" ShapeID="_x0000_i1027" DrawAspect="Content" ObjectID="_1695618482"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ja-JP"/>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ja-JP"/>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7726B6" w14:paraId="2282A501" w14:textId="77777777" w:rsidTr="003372FB">
        <w:tc>
          <w:tcPr>
            <w:tcW w:w="1838" w:type="dxa"/>
          </w:tcPr>
          <w:p w14:paraId="4EF934EF" w14:textId="1765E0A7" w:rsidR="007726B6" w:rsidRDefault="007726B6" w:rsidP="007726B6">
            <w:pPr>
              <w:jc w:val="center"/>
            </w:pPr>
            <w:r>
              <w:rPr>
                <w:rFonts w:eastAsia="DengXian"/>
              </w:rPr>
              <w:t>Huawei, HiSilicon</w:t>
            </w:r>
          </w:p>
        </w:tc>
        <w:tc>
          <w:tcPr>
            <w:tcW w:w="1985" w:type="dxa"/>
          </w:tcPr>
          <w:p w14:paraId="4970849F" w14:textId="3A6827E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7C9CB2C2" w14:textId="77777777" w:rsidR="007726B6" w:rsidRDefault="007726B6" w:rsidP="007726B6"/>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w:t>
            </w:r>
            <w:r>
              <w:rPr>
                <w:b/>
                <w:lang w:eastAsia="x-none"/>
              </w:rPr>
              <w:lastRenderedPageBreak/>
              <w:t>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 xml:space="preserve">has to be extended to allow the UE to use (and the eNB to search for) the right preamble format </w:t>
      </w:r>
      <w:r>
        <w:lastRenderedPageBreak/>
        <w:t>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w:t>
            </w:r>
            <w:r>
              <w:rPr>
                <w:rFonts w:eastAsia="DengXian"/>
                <w:lang w:eastAsia="zh-CN"/>
              </w:rPr>
              <w:lastRenderedPageBreak/>
              <w:t xml:space="preserve">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r>
              <w:rPr>
                <w:lang w:eastAsia="zh-CN"/>
              </w:rPr>
              <w:lastRenderedPageBreak/>
              <w:t>Mavenir</w:t>
            </w:r>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DengXian"/>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ja-JP"/>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A7791" w14:paraId="0614FCB2" w14:textId="77777777" w:rsidTr="00295DFC">
        <w:tc>
          <w:tcPr>
            <w:tcW w:w="1838" w:type="dxa"/>
          </w:tcPr>
          <w:p w14:paraId="1E8D9C60" w14:textId="724A9AD1" w:rsidR="00DA7791" w:rsidRPr="00DA7791" w:rsidRDefault="00DA7791" w:rsidP="006F0656">
            <w:pPr>
              <w:jc w:val="center"/>
              <w:rPr>
                <w:rFonts w:eastAsia="DengXian"/>
                <w:color w:val="C00000"/>
                <w:lang w:eastAsia="zh-CN"/>
              </w:rPr>
            </w:pPr>
            <w:r w:rsidRPr="00DA7791">
              <w:rPr>
                <w:rFonts w:eastAsia="DengXian"/>
                <w:color w:val="C00000"/>
                <w:lang w:eastAsia="zh-CN"/>
              </w:rPr>
              <w:t>Qualcomm</w:t>
            </w:r>
          </w:p>
        </w:tc>
        <w:tc>
          <w:tcPr>
            <w:tcW w:w="1985" w:type="dxa"/>
          </w:tcPr>
          <w:p w14:paraId="39B4DB9A" w14:textId="36BD1E82" w:rsidR="00DA7791" w:rsidRPr="00DA7791" w:rsidRDefault="00DA7791" w:rsidP="006F0656">
            <w:pPr>
              <w:jc w:val="center"/>
              <w:rPr>
                <w:color w:val="C00000"/>
              </w:rPr>
            </w:pPr>
            <w:r w:rsidRPr="00DA7791">
              <w:rPr>
                <w:color w:val="C00000"/>
              </w:rPr>
              <w:t>Support for eMTC</w:t>
            </w:r>
          </w:p>
        </w:tc>
        <w:tc>
          <w:tcPr>
            <w:tcW w:w="5193" w:type="dxa"/>
          </w:tcPr>
          <w:p w14:paraId="6A597CC8" w14:textId="594F33C1" w:rsidR="00DA7791" w:rsidRPr="00DA7791" w:rsidRDefault="00DA7791" w:rsidP="006F0656">
            <w:pPr>
              <w:rPr>
                <w:color w:val="C00000"/>
              </w:rPr>
            </w:pPr>
            <w:r w:rsidRPr="00DA7791">
              <w:rPr>
                <w:color w:val="C00000"/>
              </w:rPr>
              <w:t>As was extensively discussed in the GTW session, this change is needed for eMTC, due to the way the spec is written. For NB-IoT, it seems that current language is OK.</w:t>
            </w:r>
          </w:p>
        </w:tc>
      </w:tr>
      <w:tr w:rsidR="007726B6" w14:paraId="2B8851DF" w14:textId="77777777" w:rsidTr="00295DFC">
        <w:tc>
          <w:tcPr>
            <w:tcW w:w="1838" w:type="dxa"/>
          </w:tcPr>
          <w:p w14:paraId="476EBF75" w14:textId="205277C0" w:rsidR="007726B6" w:rsidRPr="00DA7791" w:rsidRDefault="007726B6" w:rsidP="007726B6">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7EB3C8F0" w14:textId="174C3FD3" w:rsidR="007726B6" w:rsidRPr="00DA7791" w:rsidRDefault="007726B6" w:rsidP="007726B6">
            <w:pPr>
              <w:jc w:val="center"/>
              <w:rPr>
                <w:color w:val="C00000"/>
              </w:rPr>
            </w:pPr>
            <w:r>
              <w:rPr>
                <w:rFonts w:eastAsia="DengXian" w:hint="eastAsia"/>
                <w:lang w:eastAsia="zh-CN"/>
              </w:rPr>
              <w:t>N</w:t>
            </w:r>
            <w:r>
              <w:rPr>
                <w:rFonts w:eastAsia="DengXian"/>
                <w:lang w:eastAsia="zh-CN"/>
              </w:rPr>
              <w:t>ot support for NB-IoT</w:t>
            </w:r>
          </w:p>
        </w:tc>
        <w:tc>
          <w:tcPr>
            <w:tcW w:w="5193" w:type="dxa"/>
          </w:tcPr>
          <w:p w14:paraId="52308C6F" w14:textId="73B860C5" w:rsidR="007726B6" w:rsidRPr="00DA7791" w:rsidRDefault="007726B6" w:rsidP="007726B6">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lastRenderedPageBreak/>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FSS: other issues needing common understanding</w:t>
      </w:r>
      <w:r w:rsidR="007A41D8">
        <w:t>Companies’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lastRenderedPageBreak/>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lastRenderedPageBreak/>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 xml:space="preserve">On OPPO comment, PUR is a natural feature for IoT NTN as the UE will have a valid TA based on UE-specific TA and common TA when it decides to transmit data during idle. It should not be issue for UE to acquire ephemeris and common </w:t>
            </w:r>
            <w:r>
              <w:rPr>
                <w:rFonts w:eastAsia="DengXian"/>
              </w:rPr>
              <w:lastRenderedPageBreak/>
              <w:t>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lastRenderedPageBreak/>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783535" w14:paraId="42C1969F" w14:textId="77777777" w:rsidTr="00460443">
        <w:tc>
          <w:tcPr>
            <w:tcW w:w="1838" w:type="dxa"/>
          </w:tcPr>
          <w:p w14:paraId="51CF4C5F" w14:textId="14671F3A" w:rsidR="00783535" w:rsidRDefault="00783535" w:rsidP="00783535">
            <w:pPr>
              <w:rPr>
                <w:rFonts w:eastAsia="DengXian"/>
                <w:lang w:eastAsia="zh-CN"/>
              </w:rPr>
            </w:pPr>
            <w:r w:rsidRPr="002E0844">
              <w:rPr>
                <w:rFonts w:eastAsia="DengXian"/>
                <w:color w:val="C00000"/>
                <w:lang w:eastAsia="zh-CN"/>
              </w:rPr>
              <w:t>Qualcomm</w:t>
            </w:r>
          </w:p>
        </w:tc>
        <w:tc>
          <w:tcPr>
            <w:tcW w:w="1985" w:type="dxa"/>
          </w:tcPr>
          <w:p w14:paraId="18B1BF51" w14:textId="5325AFDD" w:rsidR="00783535" w:rsidRDefault="00783535" w:rsidP="00783535">
            <w:r w:rsidRPr="002E0844">
              <w:rPr>
                <w:color w:val="C00000"/>
              </w:rPr>
              <w:t>Only need K_mac update</w:t>
            </w:r>
          </w:p>
        </w:tc>
        <w:tc>
          <w:tcPr>
            <w:tcW w:w="5193" w:type="dxa"/>
          </w:tcPr>
          <w:p w14:paraId="67D8892D" w14:textId="77777777" w:rsidR="00783535" w:rsidRPr="002E0844" w:rsidRDefault="00783535" w:rsidP="00783535">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783535" w:rsidRDefault="00783535" w:rsidP="00783535">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7726B6" w14:paraId="418250AD" w14:textId="77777777" w:rsidTr="00460443">
        <w:tc>
          <w:tcPr>
            <w:tcW w:w="1838" w:type="dxa"/>
          </w:tcPr>
          <w:p w14:paraId="5E0789B4" w14:textId="3F6217DA" w:rsidR="007726B6" w:rsidRPr="002E0844" w:rsidRDefault="007726B6" w:rsidP="007726B6">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7726B6" w:rsidRPr="002E0844" w:rsidRDefault="007726B6" w:rsidP="007726B6">
            <w:pPr>
              <w:rPr>
                <w:color w:val="C00000"/>
              </w:rPr>
            </w:pPr>
            <w:r>
              <w:rPr>
                <w:rFonts w:eastAsia="DengXian"/>
                <w:lang w:eastAsia="zh-CN"/>
              </w:rPr>
              <w:t>Fine to support</w:t>
            </w:r>
          </w:p>
        </w:tc>
        <w:tc>
          <w:tcPr>
            <w:tcW w:w="5193" w:type="dxa"/>
          </w:tcPr>
          <w:p w14:paraId="7FF6FE2F" w14:textId="15CD1A01" w:rsidR="007726B6" w:rsidRPr="002E0844" w:rsidRDefault="007726B6" w:rsidP="007726B6">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MPDCCH UE-specific search space </w:t>
            </w:r>
            <w:r>
              <w:lastRenderedPageBreak/>
              <w:t>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3E7139" w:rsidRPr="008A4526" w14:paraId="0128729A" w14:textId="77777777" w:rsidTr="00460443">
        <w:tc>
          <w:tcPr>
            <w:tcW w:w="1838" w:type="dxa"/>
          </w:tcPr>
          <w:p w14:paraId="4F460256" w14:textId="155B7688" w:rsidR="003E7139" w:rsidRPr="002E0844" w:rsidRDefault="003E7139" w:rsidP="00D32544">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3E7139" w:rsidRPr="002E0844" w:rsidRDefault="003E7139" w:rsidP="00D32544">
            <w:pPr>
              <w:rPr>
                <w:color w:val="C00000"/>
              </w:rPr>
            </w:pPr>
            <w:r w:rsidRPr="002E0844">
              <w:rPr>
                <w:color w:val="C00000"/>
              </w:rPr>
              <w:t>Only need K_mac</w:t>
            </w:r>
            <w:r w:rsidR="002E0844" w:rsidRPr="002E0844">
              <w:rPr>
                <w:color w:val="C00000"/>
              </w:rPr>
              <w:t xml:space="preserve"> update</w:t>
            </w:r>
          </w:p>
        </w:tc>
        <w:tc>
          <w:tcPr>
            <w:tcW w:w="5193" w:type="dxa"/>
          </w:tcPr>
          <w:p w14:paraId="0AE8B6C6" w14:textId="77777777" w:rsidR="003E7139" w:rsidRPr="002E0844" w:rsidRDefault="002E0844" w:rsidP="00F67776">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2E0844" w:rsidRPr="002E0844" w:rsidRDefault="002E0844" w:rsidP="00F67776">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lastRenderedPageBreak/>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632EC8" w:rsidRPr="008A4526" w14:paraId="1505DBD9" w14:textId="77777777" w:rsidTr="00295DFC">
        <w:tc>
          <w:tcPr>
            <w:tcW w:w="1838" w:type="dxa"/>
          </w:tcPr>
          <w:p w14:paraId="16C09D81" w14:textId="26D57E16" w:rsidR="00632EC8" w:rsidRPr="00632EC8" w:rsidRDefault="00632EC8" w:rsidP="00D32544">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632EC8" w:rsidRPr="00632EC8" w:rsidRDefault="00632EC8" w:rsidP="00D32544">
            <w:pPr>
              <w:rPr>
                <w:color w:val="C00000"/>
              </w:rPr>
            </w:pPr>
            <w:r w:rsidRPr="00632EC8">
              <w:rPr>
                <w:color w:val="C00000"/>
              </w:rPr>
              <w:t>Support for GEO</w:t>
            </w:r>
          </w:p>
        </w:tc>
        <w:tc>
          <w:tcPr>
            <w:tcW w:w="5193" w:type="dxa"/>
          </w:tcPr>
          <w:p w14:paraId="6C6FB87F" w14:textId="3A01F276" w:rsidR="00632EC8" w:rsidRDefault="00632EC8" w:rsidP="00F67776">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7726B6" w:rsidRPr="008A4526" w14:paraId="1902B256" w14:textId="77777777" w:rsidTr="00295DFC">
        <w:tc>
          <w:tcPr>
            <w:tcW w:w="1838" w:type="dxa"/>
          </w:tcPr>
          <w:p w14:paraId="7BBC057C" w14:textId="5DBC5E05" w:rsidR="007726B6" w:rsidRPr="00632EC8" w:rsidRDefault="007726B6" w:rsidP="007726B6">
            <w:pPr>
              <w:rPr>
                <w:rFonts w:eastAsia="DengXian"/>
                <w:color w:val="C00000"/>
                <w:lang w:eastAsia="zh-CN"/>
              </w:rPr>
            </w:pPr>
            <w:r w:rsidRPr="00ED0EAB">
              <w:t>Huawei, HiSilicon</w:t>
            </w:r>
          </w:p>
        </w:tc>
        <w:tc>
          <w:tcPr>
            <w:tcW w:w="1985" w:type="dxa"/>
          </w:tcPr>
          <w:p w14:paraId="772B5922" w14:textId="7BD8D08D" w:rsidR="007726B6" w:rsidRPr="00632EC8" w:rsidRDefault="007726B6" w:rsidP="007726B6">
            <w:pPr>
              <w:rPr>
                <w:color w:val="C00000"/>
              </w:rPr>
            </w:pPr>
            <w:r w:rsidRPr="00ED0EAB">
              <w:t>Partly support</w:t>
            </w:r>
          </w:p>
        </w:tc>
        <w:tc>
          <w:tcPr>
            <w:tcW w:w="5193" w:type="dxa"/>
          </w:tcPr>
          <w:p w14:paraId="55076D8E" w14:textId="3F9427A7" w:rsidR="007726B6" w:rsidRPr="00632EC8" w:rsidRDefault="007726B6" w:rsidP="007726B6">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eastAsia="ja-JP"/>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200AD" w:rsidRDefault="00D200A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D200AD" w:rsidRDefault="00D200A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xml:space="preserve">: The definition of downlink interrupted subframes (e.g., those before and after a PUSCH, PRACH, PUCCH, and half-duplex guard periods), where a half-duplex UE is not expected to monitor PDCCH, is modified, in accordance </w:t>
            </w:r>
            <w:r>
              <w:rPr>
                <w:b/>
                <w:bCs/>
              </w:rPr>
              <w:lastRenderedPageBreak/>
              <w:t>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lastRenderedPageBreak/>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4847D1" w14:paraId="359EE051" w14:textId="77777777" w:rsidTr="002140A4">
        <w:tc>
          <w:tcPr>
            <w:tcW w:w="1838" w:type="dxa"/>
          </w:tcPr>
          <w:p w14:paraId="7139390C" w14:textId="1FC15623" w:rsidR="004847D1" w:rsidRPr="004847D1" w:rsidRDefault="004847D1" w:rsidP="00237583">
            <w:pPr>
              <w:rPr>
                <w:rFonts w:eastAsia="DengXian"/>
                <w:color w:val="C00000"/>
              </w:rPr>
            </w:pPr>
            <w:r w:rsidRPr="004847D1">
              <w:rPr>
                <w:rFonts w:eastAsia="DengXian"/>
                <w:color w:val="C00000"/>
              </w:rPr>
              <w:lastRenderedPageBreak/>
              <w:t>Qualcomm</w:t>
            </w:r>
          </w:p>
        </w:tc>
        <w:tc>
          <w:tcPr>
            <w:tcW w:w="1985" w:type="dxa"/>
          </w:tcPr>
          <w:p w14:paraId="3B4E6C0F" w14:textId="49C7D8EF" w:rsidR="004847D1" w:rsidRPr="004847D1" w:rsidRDefault="004847D1" w:rsidP="00237583">
            <w:pPr>
              <w:rPr>
                <w:color w:val="C00000"/>
              </w:rPr>
            </w:pPr>
            <w:r w:rsidRPr="004847D1">
              <w:rPr>
                <w:color w:val="C00000"/>
              </w:rPr>
              <w:t>Change needed</w:t>
            </w:r>
          </w:p>
        </w:tc>
        <w:tc>
          <w:tcPr>
            <w:tcW w:w="5193" w:type="dxa"/>
          </w:tcPr>
          <w:p w14:paraId="08AFABD8" w14:textId="77777777" w:rsidR="004847D1" w:rsidRDefault="004847D1" w:rsidP="00237583">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6F6378" w:rsidRDefault="006F6378" w:rsidP="00237583">
            <w:pPr>
              <w:rPr>
                <w:rFonts w:eastAsia="DengXian"/>
                <w:color w:val="C00000"/>
              </w:rPr>
            </w:pPr>
            <w:r>
              <w:rPr>
                <w:rFonts w:eastAsia="DengXian"/>
                <w:color w:val="C00000"/>
              </w:rPr>
              <w:t>To being with, we can try along the lines of our proposal (others can modify), for an agreement:</w:t>
            </w:r>
          </w:p>
          <w:p w14:paraId="02EF56A0" w14:textId="366E4343" w:rsidR="006F6378" w:rsidRPr="006F6378" w:rsidRDefault="006F6378" w:rsidP="00237583">
            <w:pPr>
              <w:rPr>
                <w:rFonts w:eastAsia="DengXian"/>
                <w:b/>
                <w:bCs/>
                <w:i/>
                <w:iCs/>
                <w:color w:val="C00000"/>
                <w:u w:val="single"/>
              </w:rPr>
            </w:pPr>
            <w:r w:rsidRPr="006F6378">
              <w:rPr>
                <w:rFonts w:eastAsia="DengXian"/>
                <w:b/>
                <w:bCs/>
                <w:i/>
                <w:iCs/>
                <w:color w:val="C00000"/>
                <w:u w:val="single"/>
              </w:rPr>
              <w:t>Potential Agreement:</w:t>
            </w:r>
          </w:p>
          <w:p w14:paraId="4A94481A" w14:textId="64A0242D" w:rsidR="006F6378" w:rsidRPr="006F6378" w:rsidRDefault="006F6378" w:rsidP="00237583">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7726B6" w14:paraId="71847C33" w14:textId="77777777" w:rsidTr="002140A4">
        <w:tc>
          <w:tcPr>
            <w:tcW w:w="1838" w:type="dxa"/>
          </w:tcPr>
          <w:p w14:paraId="79C1DFD8" w14:textId="5ED05B6B" w:rsidR="007726B6" w:rsidRPr="004847D1" w:rsidRDefault="007726B6" w:rsidP="007726B6">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7726B6" w:rsidRPr="004847D1" w:rsidRDefault="007726B6" w:rsidP="007726B6">
            <w:pPr>
              <w:rPr>
                <w:color w:val="C00000"/>
              </w:rPr>
            </w:pPr>
            <w:r>
              <w:rPr>
                <w:rFonts w:eastAsia="DengXian"/>
                <w:lang w:eastAsia="zh-CN"/>
              </w:rPr>
              <w:t>Not changed</w:t>
            </w:r>
          </w:p>
        </w:tc>
        <w:tc>
          <w:tcPr>
            <w:tcW w:w="5193" w:type="dxa"/>
          </w:tcPr>
          <w:p w14:paraId="503A8EC8" w14:textId="6823C2D9" w:rsidR="007726B6" w:rsidRPr="004847D1" w:rsidRDefault="007726B6" w:rsidP="007726B6">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r w:rsidRPr="00302003">
        <w:rPr>
          <w:rStyle w:val="Heading2Char"/>
        </w:rPr>
        <w:t>K_offset</w:t>
      </w:r>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273A6A"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273A6A"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K_offset can be updated at </w:t>
            </w:r>
            <w:r>
              <w:rPr>
                <w:i/>
                <w:color w:val="000000"/>
              </w:rPr>
              <w:lastRenderedPageBreak/>
              <w:t>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lastRenderedPageBreak/>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bookmarkStart w:id="32" w:name="_GoBack"/>
      <w:bookmarkEnd w:id="32"/>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3"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3"/>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4" w:name="_Hlk84607160"/>
      <w:r>
        <w:t>Means of reporting</w:t>
      </w:r>
    </w:p>
    <w:p w14:paraId="5FC87295" w14:textId="428B525A" w:rsidR="00CA392C" w:rsidRPr="00FA4A09" w:rsidRDefault="007516B7" w:rsidP="00CA392C">
      <w:pPr>
        <w:pStyle w:val="Heading2"/>
        <w:rPr>
          <w:b w:val="0"/>
          <w:bCs w:val="0"/>
        </w:rPr>
      </w:pPr>
      <w:bookmarkStart w:id="35" w:name="_Toc84850802"/>
      <w:bookmarkEnd w:id="34"/>
      <w:r>
        <w:rPr>
          <w:rStyle w:val="Heading2Char"/>
        </w:rPr>
        <w:t xml:space="preserve">Quantity to </w:t>
      </w:r>
      <w:r w:rsidR="005C327A">
        <w:rPr>
          <w:rStyle w:val="Heading2Char"/>
        </w:rPr>
        <w:t>Report</w:t>
      </w:r>
      <w:bookmarkEnd w:id="35"/>
    </w:p>
    <w:p w14:paraId="4354C28F" w14:textId="4EFEF768" w:rsidR="006C227C" w:rsidRPr="00100D31" w:rsidRDefault="008B03A0" w:rsidP="00CA392C">
      <w:pPr>
        <w:pStyle w:val="Heading3"/>
      </w:pPr>
      <w:r>
        <w:t xml:space="preserve"> </w:t>
      </w:r>
      <w:bookmarkStart w:id="36" w:name="_Toc84850803"/>
      <w:r>
        <w:t>Companies’ Observations and Proposals</w:t>
      </w:r>
      <w:bookmarkEnd w:id="36"/>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lastRenderedPageBreak/>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lastRenderedPageBreak/>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lastRenderedPageBreak/>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7" w:name="_Toc82802847"/>
            <w:r>
              <w:rPr>
                <w:lang w:eastAsia="zh-TW"/>
              </w:rPr>
              <w:t>Proposal 1: Contents of UE-specific TA report shall wait for the outcome of the LS to SA3 to ensure whether user consent for obtaining UE location by gNB is needed.</w:t>
            </w:r>
            <w:bookmarkEnd w:id="37"/>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8"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8"/>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9" w:name="_Toc83979776"/>
            <w:r>
              <w:t>Proposal 4: The mechanism for UE specific TA maintenance and reporting can follow the decision in NR_NTN_Solutions WI and reuse the agreements therein for IoT NTN with minimum changes if any.</w:t>
            </w:r>
            <w:bookmarkEnd w:id="39"/>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40" w:name="_Toc84850804"/>
      <w:r w:rsidRPr="002F08B3">
        <w:rPr>
          <w:rStyle w:val="Heading2Char"/>
        </w:rPr>
        <w:lastRenderedPageBreak/>
        <w:t xml:space="preserve">The granularity of the </w:t>
      </w:r>
      <w:r w:rsidR="005C327A">
        <w:rPr>
          <w:rStyle w:val="Heading2Char"/>
        </w:rPr>
        <w:t>reported quantity</w:t>
      </w:r>
      <w:bookmarkEnd w:id="40"/>
    </w:p>
    <w:p w14:paraId="734E3F89" w14:textId="77777777" w:rsidR="002F08B3" w:rsidRPr="00100D31" w:rsidRDefault="002F08B3" w:rsidP="002F08B3">
      <w:pPr>
        <w:pStyle w:val="Heading3"/>
      </w:pPr>
      <w:r>
        <w:t xml:space="preserve"> </w:t>
      </w:r>
      <w:bookmarkStart w:id="41" w:name="_Toc8485080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2" w:name="_Toc84850806"/>
      <w:r>
        <w:t>Signaling overhead</w:t>
      </w:r>
      <w:bookmarkEnd w:id="42"/>
    </w:p>
    <w:p w14:paraId="6FD22C9C" w14:textId="118E269B" w:rsidR="00D14C27" w:rsidRPr="00D14C27" w:rsidRDefault="00D14C27" w:rsidP="00D14C27">
      <w:pPr>
        <w:pStyle w:val="Heading3"/>
      </w:pPr>
      <w:bookmarkStart w:id="43" w:name="_Toc84850807"/>
      <w:r w:rsidRPr="00D14C27">
        <w:t>Companies’ Observations and Proposals</w:t>
      </w:r>
      <w:bookmarkEnd w:id="43"/>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w:t>
            </w:r>
            <w:r>
              <w:rPr>
                <w:i/>
              </w:rPr>
              <w:lastRenderedPageBreak/>
              <w:t>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lastRenderedPageBreak/>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4" w:name="_Toc84850808"/>
      <w:r>
        <w:t>Frequency of reporting</w:t>
      </w:r>
      <w:bookmarkEnd w:id="44"/>
    </w:p>
    <w:p w14:paraId="680DCEEF" w14:textId="77777777" w:rsidR="00D14C27" w:rsidRPr="00D14C27" w:rsidRDefault="00D14C27" w:rsidP="00D14C27">
      <w:pPr>
        <w:pStyle w:val="Heading3"/>
      </w:pPr>
      <w:bookmarkStart w:id="45" w:name="_Toc84850809"/>
      <w:r w:rsidRPr="00D14C27">
        <w:t>Companies’ Observations and Proposals</w:t>
      </w:r>
      <w:bookmarkEnd w:id="45"/>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lastRenderedPageBreak/>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6" w:name="_Toc84850810"/>
      <w:r w:rsidRPr="00D4093D">
        <w:t>Means of reporting</w:t>
      </w:r>
      <w:bookmarkEnd w:id="46"/>
    </w:p>
    <w:p w14:paraId="74C898A3" w14:textId="77777777" w:rsidR="00D14C27" w:rsidRPr="00D14C27" w:rsidRDefault="00D14C27" w:rsidP="00D14C27">
      <w:pPr>
        <w:pStyle w:val="Heading3"/>
      </w:pPr>
      <w:bookmarkStart w:id="47" w:name="_Toc84850811"/>
      <w:r w:rsidRPr="00D14C27">
        <w:t>Companies’ Observations and Proposals</w:t>
      </w:r>
      <w:bookmarkEnd w:id="47"/>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lastRenderedPageBreak/>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8" w:name="_Toc84850812"/>
      <w:bookmarkStart w:id="49" w:name="_Hlk80030196"/>
      <w:r>
        <w:rPr>
          <w:rStyle w:val="Heading2Char"/>
        </w:rPr>
        <w:t>WUS</w:t>
      </w:r>
      <w:bookmarkEnd w:id="48"/>
    </w:p>
    <w:p w14:paraId="01094F74" w14:textId="0054EC82" w:rsidR="007E4DCF" w:rsidRPr="00100D31" w:rsidRDefault="007E4DCF" w:rsidP="00956E28">
      <w:pPr>
        <w:pStyle w:val="Heading3"/>
      </w:pPr>
      <w:bookmarkStart w:id="50" w:name="_Toc84850813"/>
      <w:bookmarkEnd w:id="49"/>
      <w:r>
        <w:t>Companies’ Observations and Proposals</w:t>
      </w:r>
      <w:bookmarkEnd w:id="50"/>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1" w:name="_Toc84850814"/>
      <w:r>
        <w:t>UL-DL Collision Handling for HD UE</w:t>
      </w:r>
      <w:bookmarkEnd w:id="51"/>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2" w:name="_Toc84850815"/>
      <w:r>
        <w:t>Companies’ views and proposals</w:t>
      </w:r>
      <w:bookmarkEnd w:id="52"/>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 xml:space="preserve">Nordic </w:t>
            </w:r>
            <w:r w:rsidRPr="00136DD6">
              <w:lastRenderedPageBreak/>
              <w:t>Semiconductor ASA</w:t>
            </w:r>
          </w:p>
        </w:tc>
        <w:tc>
          <w:tcPr>
            <w:tcW w:w="7036" w:type="dxa"/>
          </w:tcPr>
          <w:p w14:paraId="0645A6A0" w14:textId="77777777" w:rsidR="00136DD6" w:rsidRDefault="00136DD6" w:rsidP="00136DD6">
            <w:pPr>
              <w:rPr>
                <w:i/>
                <w:iCs/>
                <w:szCs w:val="22"/>
              </w:rPr>
            </w:pPr>
            <w:r>
              <w:rPr>
                <w:b/>
                <w:bCs/>
                <w:i/>
                <w:iCs/>
              </w:rPr>
              <w:lastRenderedPageBreak/>
              <w:t>Proposal-1</w:t>
            </w:r>
            <w:r>
              <w:rPr>
                <w:i/>
                <w:iCs/>
              </w:rPr>
              <w:t xml:space="preserve">: For eMTC and NB-IoT NTN, when switching from DL to UL, a guard </w:t>
            </w:r>
            <w:r>
              <w:rPr>
                <w:i/>
                <w:iCs/>
              </w:rPr>
              <w:lastRenderedPageBreak/>
              <w:t xml:space="preserve">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3" w:name="_Toc84850816"/>
      <w:r>
        <w:t>RRC Parameters</w:t>
      </w:r>
      <w:bookmarkEnd w:id="5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4" w:name="_Toc84850817"/>
      <w:r>
        <w:t>Companies’ views and proposals</w:t>
      </w:r>
      <w:bookmarkEnd w:id="54"/>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5" w:name="_Toc84850818"/>
      <w:r>
        <w:t>Appendix A</w:t>
      </w:r>
      <w:bookmarkEnd w:id="5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ja-JP"/>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eastAsia="ja-JP"/>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6" w:name="_Toc84850819"/>
      <w:r>
        <w:t>Reference</w:t>
      </w:r>
      <w:r w:rsidR="00BE0157">
        <w:t>d Documents</w:t>
      </w:r>
      <w:bookmarkEnd w:id="56"/>
    </w:p>
    <w:p w14:paraId="00EBD5D4" w14:textId="77777777" w:rsidR="00B36881" w:rsidRDefault="00273A6A" w:rsidP="00B36881">
      <w:pPr>
        <w:rPr>
          <w:lang w:eastAsia="x-none"/>
        </w:rPr>
      </w:pPr>
      <w:hyperlink r:id="rId22"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273A6A" w:rsidP="00B36881">
      <w:pPr>
        <w:rPr>
          <w:lang w:eastAsia="x-none"/>
        </w:rPr>
      </w:pPr>
      <w:hyperlink r:id="rId23"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273A6A" w:rsidP="00B36881">
      <w:pPr>
        <w:rPr>
          <w:lang w:eastAsia="x-none"/>
        </w:rPr>
      </w:pPr>
      <w:hyperlink r:id="rId24" w:history="1">
        <w:r w:rsidR="00B36881">
          <w:rPr>
            <w:rStyle w:val="Hyperlink"/>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273A6A" w:rsidP="00B36881">
      <w:pPr>
        <w:rPr>
          <w:lang w:eastAsia="x-none"/>
        </w:rPr>
      </w:pPr>
      <w:hyperlink r:id="rId25"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273A6A" w:rsidP="00B36881">
      <w:pPr>
        <w:rPr>
          <w:lang w:eastAsia="x-none"/>
        </w:rPr>
      </w:pPr>
      <w:hyperlink r:id="rId26"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273A6A" w:rsidP="00B36881">
      <w:pPr>
        <w:rPr>
          <w:lang w:eastAsia="x-none"/>
        </w:rPr>
      </w:pPr>
      <w:hyperlink r:id="rId27"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273A6A" w:rsidP="00B36881">
      <w:pPr>
        <w:rPr>
          <w:lang w:eastAsia="x-none"/>
        </w:rPr>
      </w:pPr>
      <w:hyperlink r:id="rId28"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273A6A" w:rsidP="00B36881">
      <w:pPr>
        <w:rPr>
          <w:lang w:eastAsia="x-none"/>
        </w:rPr>
      </w:pPr>
      <w:hyperlink r:id="rId29"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273A6A" w:rsidP="00B36881">
      <w:pPr>
        <w:rPr>
          <w:lang w:eastAsia="x-none"/>
        </w:rPr>
      </w:pPr>
      <w:hyperlink r:id="rId30" w:history="1">
        <w:r w:rsidR="00B36881">
          <w:rPr>
            <w:rStyle w:val="Hyperlink"/>
            <w:lang w:eastAsia="x-none"/>
          </w:rPr>
          <w:t>R1-2109266</w:t>
        </w:r>
      </w:hyperlink>
      <w:r w:rsidR="00B36881">
        <w:rPr>
          <w:lang w:eastAsia="x-none"/>
        </w:rPr>
        <w:tab/>
        <w:t>Timing relationship enhancements for NB-IoT/eMTC over NTN  Nokia, Nokia Shanghai Bell</w:t>
      </w:r>
    </w:p>
    <w:p w14:paraId="07212C59" w14:textId="1E5181F8" w:rsidR="00B36881" w:rsidRDefault="00273A6A" w:rsidP="00B36881">
      <w:pPr>
        <w:rPr>
          <w:lang w:eastAsia="x-none"/>
        </w:rPr>
      </w:pPr>
      <w:hyperlink r:id="rId31"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273A6A" w:rsidP="00B36881">
      <w:pPr>
        <w:rPr>
          <w:lang w:eastAsia="x-none"/>
        </w:rPr>
      </w:pPr>
      <w:hyperlink r:id="rId32"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273A6A" w:rsidP="00B36881">
      <w:pPr>
        <w:rPr>
          <w:lang w:eastAsia="x-none"/>
        </w:rPr>
      </w:pPr>
      <w:hyperlink r:id="rId33"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273A6A" w:rsidP="00B36881">
      <w:pPr>
        <w:rPr>
          <w:lang w:eastAsia="x-none"/>
        </w:rPr>
      </w:pPr>
      <w:hyperlink r:id="rId34"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273A6A" w:rsidP="00B36881">
      <w:pPr>
        <w:rPr>
          <w:lang w:eastAsia="x-none"/>
        </w:rPr>
      </w:pPr>
      <w:hyperlink r:id="rId35" w:history="1">
        <w:r w:rsidR="00B36881">
          <w:rPr>
            <w:rStyle w:val="Hyperlink"/>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273A6A" w:rsidP="00B36881">
      <w:pPr>
        <w:rPr>
          <w:lang w:eastAsia="x-none"/>
        </w:rPr>
      </w:pPr>
      <w:hyperlink r:id="rId36"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273A6A" w:rsidP="00B36881">
      <w:pPr>
        <w:rPr>
          <w:lang w:eastAsia="x-none"/>
        </w:rPr>
      </w:pPr>
      <w:hyperlink r:id="rId37"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273A6A" w:rsidP="00B36881">
      <w:pPr>
        <w:rPr>
          <w:lang w:eastAsia="x-none"/>
        </w:rPr>
      </w:pPr>
      <w:hyperlink r:id="rId38"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273A6A" w:rsidP="00B36881">
      <w:pPr>
        <w:rPr>
          <w:lang w:eastAsia="x-none"/>
        </w:rPr>
      </w:pPr>
      <w:hyperlink r:id="rId39"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273A6A" w:rsidP="00B36881">
      <w:pPr>
        <w:rPr>
          <w:lang w:eastAsia="x-none"/>
        </w:rPr>
      </w:pPr>
      <w:hyperlink r:id="rId40"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273A6A" w:rsidP="00B36881">
      <w:pPr>
        <w:rPr>
          <w:lang w:eastAsia="x-none"/>
        </w:rPr>
      </w:pPr>
      <w:hyperlink r:id="rId41"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A1715" w14:textId="77777777" w:rsidR="00273A6A" w:rsidRDefault="00273A6A" w:rsidP="00EE1A16">
      <w:r>
        <w:separator/>
      </w:r>
    </w:p>
  </w:endnote>
  <w:endnote w:type="continuationSeparator" w:id="0">
    <w:p w14:paraId="22B61268" w14:textId="77777777" w:rsidR="00273A6A" w:rsidRDefault="00273A6A" w:rsidP="00EE1A16">
      <w:r>
        <w:continuationSeparator/>
      </w:r>
    </w:p>
  </w:endnote>
  <w:endnote w:type="continuationNotice" w:id="1">
    <w:p w14:paraId="468A61EF" w14:textId="77777777" w:rsidR="00273A6A" w:rsidRDefault="0027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panose1 w:val="00000000000000000000"/>
    <w:charset w:val="86"/>
    <w:family w:val="roman"/>
    <w:notTrueType/>
    <w:pitch w:val="default"/>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3EC6B" w14:textId="77777777" w:rsidR="00273A6A" w:rsidRDefault="00273A6A" w:rsidP="00EE1A16">
      <w:r>
        <w:separator/>
      </w:r>
    </w:p>
  </w:footnote>
  <w:footnote w:type="continuationSeparator" w:id="0">
    <w:p w14:paraId="61AC7794" w14:textId="77777777" w:rsidR="00273A6A" w:rsidRDefault="00273A6A" w:rsidP="00EE1A16">
      <w:r>
        <w:continuationSeparator/>
      </w:r>
    </w:p>
  </w:footnote>
  <w:footnote w:type="continuationNotice" w:id="1">
    <w:p w14:paraId="7BF48EE2" w14:textId="77777777" w:rsidR="00273A6A" w:rsidRDefault="00273A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6B6"/>
    <w:rsid w:val="00772CB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DBE33A61-320E-4C7C-A14E-8FC6D626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10700</Words>
  <Characters>60992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71549</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Jussi Kahtava</cp:lastModifiedBy>
  <cp:revision>3</cp:revision>
  <dcterms:created xsi:type="dcterms:W3CDTF">2021-10-13T07:07:00Z</dcterms:created>
  <dcterms:modified xsi:type="dcterms:W3CDTF">2021-10-13T07:15:00Z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