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751C09DE"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00763DA7" w14:textId="5EA1D72B" w:rsidR="00D7771A" w:rsidRDefault="00F44333">
          <w:pPr>
            <w:pStyle w:val="10"/>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a9"/>
                <w:noProof/>
                <w:lang w:val="en-US" w:eastAsia="zh-CN"/>
              </w:rPr>
              <w:t>1</w:t>
            </w:r>
            <w:r w:rsidR="00D7771A">
              <w:rPr>
                <w:rFonts w:asciiTheme="minorHAnsi" w:eastAsiaTheme="minorEastAsia" w:hAnsiTheme="minorHAnsi" w:cstheme="minorBidi"/>
                <w:noProof/>
                <w:sz w:val="22"/>
                <w:szCs w:val="22"/>
              </w:rPr>
              <w:tab/>
            </w:r>
            <w:r w:rsidR="00D7771A" w:rsidRPr="003E36FB">
              <w:rPr>
                <w:rStyle w:val="a9"/>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2E2E06">
          <w:pPr>
            <w:pStyle w:val="10"/>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a9"/>
                <w:noProof/>
                <w:lang w:val="en-US" w:eastAsia="zh-CN"/>
              </w:rPr>
              <w:t>2</w:t>
            </w:r>
            <w:r w:rsidR="00D7771A">
              <w:rPr>
                <w:rFonts w:asciiTheme="minorHAnsi" w:eastAsiaTheme="minorEastAsia" w:hAnsiTheme="minorHAnsi" w:cstheme="minorBidi"/>
                <w:noProof/>
                <w:sz w:val="22"/>
                <w:szCs w:val="22"/>
              </w:rPr>
              <w:tab/>
            </w:r>
            <w:r w:rsidR="00D7771A" w:rsidRPr="003E36FB">
              <w:rPr>
                <w:rStyle w:val="a9"/>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2E2E06">
          <w:pPr>
            <w:pStyle w:val="10"/>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a9"/>
                <w:noProof/>
                <w:lang w:val="en-US"/>
              </w:rPr>
              <w:t>3</w:t>
            </w:r>
            <w:r w:rsidR="00D7771A">
              <w:rPr>
                <w:rFonts w:asciiTheme="minorHAnsi" w:eastAsiaTheme="minorEastAsia" w:hAnsiTheme="minorHAnsi" w:cstheme="minorBidi"/>
                <w:noProof/>
                <w:sz w:val="22"/>
                <w:szCs w:val="22"/>
              </w:rPr>
              <w:tab/>
            </w:r>
            <w:r w:rsidR="00D7771A" w:rsidRPr="003E36FB">
              <w:rPr>
                <w:rStyle w:val="a9"/>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a9"/>
                <w:noProof/>
                <w:lang w:val="en-US"/>
              </w:rPr>
              <w:t>3.1</w:t>
            </w:r>
            <w:r w:rsidR="00D7771A">
              <w:rPr>
                <w:rFonts w:asciiTheme="minorHAnsi" w:eastAsiaTheme="minorEastAsia" w:hAnsiTheme="minorHAnsi" w:cstheme="minorBidi"/>
                <w:noProof/>
                <w:sz w:val="22"/>
                <w:szCs w:val="22"/>
              </w:rPr>
              <w:tab/>
            </w:r>
            <w:r w:rsidR="00D7771A" w:rsidRPr="003E36FB">
              <w:rPr>
                <w:rStyle w:val="a9"/>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a9"/>
                <w:noProof/>
              </w:rPr>
              <w:t>3.1.1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a9"/>
                <w:noProof/>
                <w:lang w:eastAsia="zh-CN"/>
              </w:rPr>
              <w:t>3.1.2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a9"/>
                <w:noProof/>
                <w:lang w:eastAsia="zh-CN"/>
              </w:rPr>
              <w:t>3.2</w:t>
            </w:r>
            <w:r w:rsidR="00D7771A">
              <w:rPr>
                <w:rFonts w:asciiTheme="minorHAnsi" w:eastAsiaTheme="minorEastAsia" w:hAnsiTheme="minorHAnsi" w:cstheme="minorBidi"/>
                <w:noProof/>
                <w:sz w:val="22"/>
                <w:szCs w:val="22"/>
              </w:rPr>
              <w:tab/>
            </w:r>
            <w:r w:rsidR="00D7771A" w:rsidRPr="003E36FB">
              <w:rPr>
                <w:rStyle w:val="a9"/>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a9"/>
                <w:noProof/>
              </w:rPr>
              <w:t>3.2.1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a9"/>
                <w:noProof/>
                <w:lang w:eastAsia="zh-CN"/>
              </w:rPr>
              <w:t>3.2.2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a9"/>
                <w:noProof/>
              </w:rPr>
              <w:t>3.3</w:t>
            </w:r>
            <w:r w:rsidR="00D7771A">
              <w:rPr>
                <w:rFonts w:asciiTheme="minorHAnsi" w:eastAsiaTheme="minorEastAsia" w:hAnsiTheme="minorHAnsi" w:cstheme="minorBidi"/>
                <w:noProof/>
                <w:sz w:val="22"/>
                <w:szCs w:val="22"/>
              </w:rPr>
              <w:tab/>
            </w:r>
            <w:r w:rsidR="00D7771A" w:rsidRPr="003E36FB">
              <w:rPr>
                <w:rStyle w:val="a9"/>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a9"/>
                <w:noProof/>
              </w:rPr>
              <w:t>3.3.1</w:t>
            </w:r>
            <w:r w:rsidR="00D7771A">
              <w:rPr>
                <w:rFonts w:asciiTheme="minorHAnsi" w:eastAsiaTheme="minorEastAsia" w:hAnsiTheme="minorHAnsi" w:cstheme="minorBidi"/>
                <w:noProof/>
                <w:sz w:val="22"/>
                <w:szCs w:val="22"/>
              </w:rPr>
              <w:tab/>
            </w:r>
            <w:r w:rsidR="00D7771A" w:rsidRPr="003E36FB">
              <w:rPr>
                <w:rStyle w:val="a9"/>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a9"/>
                <w:noProof/>
                <w:lang w:eastAsia="zh-CN"/>
              </w:rPr>
              <w:t>3.3.2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a9"/>
                <w:noProof/>
                <w:lang w:val="en-US"/>
              </w:rPr>
              <w:t>3.4</w:t>
            </w:r>
            <w:r w:rsidR="00D7771A">
              <w:rPr>
                <w:rFonts w:asciiTheme="minorHAnsi" w:eastAsiaTheme="minorEastAsia" w:hAnsiTheme="minorHAnsi" w:cstheme="minorBidi"/>
                <w:noProof/>
                <w:sz w:val="22"/>
                <w:szCs w:val="22"/>
              </w:rPr>
              <w:tab/>
            </w:r>
            <w:r w:rsidR="00D7771A" w:rsidRPr="003E36FB">
              <w:rPr>
                <w:rStyle w:val="a9"/>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a9"/>
                <w:noProof/>
              </w:rPr>
              <w:t>3.4.1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a9"/>
                <w:noProof/>
                <w:lang w:eastAsia="zh-CN"/>
              </w:rPr>
              <w:t>3.4.2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2E2E06">
          <w:pPr>
            <w:pStyle w:val="10"/>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a9"/>
                <w:noProof/>
                <w:lang w:val="en-US"/>
              </w:rPr>
              <w:t>4</w:t>
            </w:r>
            <w:r w:rsidR="00D7771A">
              <w:rPr>
                <w:rFonts w:asciiTheme="minorHAnsi" w:eastAsiaTheme="minorEastAsia" w:hAnsiTheme="minorHAnsi" w:cstheme="minorBidi"/>
                <w:noProof/>
                <w:sz w:val="22"/>
                <w:szCs w:val="22"/>
              </w:rPr>
              <w:tab/>
            </w:r>
            <w:r w:rsidR="00D7771A" w:rsidRPr="003E36FB">
              <w:rPr>
                <w:rStyle w:val="a9"/>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a9"/>
                <w:noProof/>
              </w:rPr>
              <w:t>4.1.1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a9"/>
                <w:noProof/>
                <w:lang w:eastAsia="zh-CN"/>
              </w:rPr>
              <w:t>4.1.2</w:t>
            </w:r>
            <w:r w:rsidR="00D7771A">
              <w:rPr>
                <w:rFonts w:asciiTheme="minorHAnsi" w:eastAsiaTheme="minorEastAsia" w:hAnsiTheme="minorHAnsi" w:cstheme="minorBidi"/>
                <w:noProof/>
                <w:sz w:val="22"/>
                <w:szCs w:val="22"/>
              </w:rPr>
              <w:tab/>
            </w:r>
            <w:r w:rsidR="00D7771A" w:rsidRPr="003E36FB">
              <w:rPr>
                <w:rStyle w:val="a9"/>
                <w:noProof/>
              </w:rPr>
              <w:t xml:space="preserve">FIRST ROUND Discussion on </w:t>
            </w:r>
            <w:r w:rsidR="00D7771A" w:rsidRPr="003E36FB">
              <w:rPr>
                <w:rStyle w:val="a9"/>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2E2E06">
          <w:pPr>
            <w:pStyle w:val="10"/>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a9"/>
                <w:noProof/>
                <w:lang w:val="en-US"/>
              </w:rPr>
              <w:t>5</w:t>
            </w:r>
            <w:r w:rsidR="00D7771A">
              <w:rPr>
                <w:rFonts w:asciiTheme="minorHAnsi" w:eastAsiaTheme="minorEastAsia" w:hAnsiTheme="minorHAnsi" w:cstheme="minorBidi"/>
                <w:noProof/>
                <w:sz w:val="22"/>
                <w:szCs w:val="22"/>
              </w:rPr>
              <w:tab/>
            </w:r>
            <w:r w:rsidR="00D7771A" w:rsidRPr="003E36FB">
              <w:rPr>
                <w:rStyle w:val="a9"/>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a9"/>
                <w:noProof/>
              </w:rPr>
              <w:t>5.1</w:t>
            </w:r>
            <w:r w:rsidR="00D7771A">
              <w:rPr>
                <w:rFonts w:asciiTheme="minorHAnsi" w:eastAsiaTheme="minorEastAsia" w:hAnsiTheme="minorHAnsi" w:cstheme="minorBidi"/>
                <w:noProof/>
                <w:sz w:val="22"/>
                <w:szCs w:val="22"/>
              </w:rPr>
              <w:tab/>
            </w:r>
            <w:r w:rsidR="00D7771A" w:rsidRPr="003E36FB">
              <w:rPr>
                <w:rStyle w:val="a9"/>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a9"/>
                <w:noProof/>
              </w:rPr>
              <w:t>5.1.1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a9"/>
                <w:noProof/>
                <w:lang w:val="en-US"/>
              </w:rPr>
              <w:t>5.2</w:t>
            </w:r>
            <w:r w:rsidR="00D7771A">
              <w:rPr>
                <w:rFonts w:asciiTheme="minorHAnsi" w:eastAsiaTheme="minorEastAsia" w:hAnsiTheme="minorHAnsi" w:cstheme="minorBidi"/>
                <w:noProof/>
                <w:sz w:val="22"/>
                <w:szCs w:val="22"/>
              </w:rPr>
              <w:tab/>
            </w:r>
            <w:r w:rsidR="00D7771A" w:rsidRPr="003E36FB">
              <w:rPr>
                <w:rStyle w:val="a9"/>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a9"/>
                <w:noProof/>
              </w:rPr>
              <w:t>5.2.1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a9"/>
                <w:noProof/>
              </w:rPr>
              <w:t>5.3</w:t>
            </w:r>
            <w:r w:rsidR="00D7771A">
              <w:rPr>
                <w:rFonts w:asciiTheme="minorHAnsi" w:eastAsiaTheme="minorEastAsia" w:hAnsiTheme="minorHAnsi" w:cstheme="minorBidi"/>
                <w:noProof/>
                <w:sz w:val="22"/>
                <w:szCs w:val="22"/>
              </w:rPr>
              <w:tab/>
            </w:r>
            <w:r w:rsidR="00D7771A" w:rsidRPr="003E36FB">
              <w:rPr>
                <w:rStyle w:val="a9"/>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a9"/>
                <w:noProof/>
              </w:rPr>
              <w:t>5.3.1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a9"/>
                <w:noProof/>
              </w:rPr>
              <w:t>5.4</w:t>
            </w:r>
            <w:r w:rsidR="00D7771A">
              <w:rPr>
                <w:rFonts w:asciiTheme="minorHAnsi" w:eastAsiaTheme="minorEastAsia" w:hAnsiTheme="minorHAnsi" w:cstheme="minorBidi"/>
                <w:noProof/>
                <w:sz w:val="22"/>
                <w:szCs w:val="22"/>
              </w:rPr>
              <w:tab/>
            </w:r>
            <w:r w:rsidR="00D7771A" w:rsidRPr="003E36FB">
              <w:rPr>
                <w:rStyle w:val="a9"/>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a9"/>
                <w:noProof/>
              </w:rPr>
              <w:t>5.4.1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a9"/>
                <w:noProof/>
              </w:rPr>
              <w:t>5.5</w:t>
            </w:r>
            <w:r w:rsidR="00D7771A">
              <w:rPr>
                <w:rFonts w:asciiTheme="minorHAnsi" w:eastAsiaTheme="minorEastAsia" w:hAnsiTheme="minorHAnsi" w:cstheme="minorBidi"/>
                <w:noProof/>
                <w:sz w:val="22"/>
                <w:szCs w:val="22"/>
              </w:rPr>
              <w:tab/>
            </w:r>
            <w:r w:rsidR="00D7771A" w:rsidRPr="003E36FB">
              <w:rPr>
                <w:rStyle w:val="a9"/>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a9"/>
                <w:noProof/>
              </w:rPr>
              <w:t>5.5.1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2E2E06">
          <w:pPr>
            <w:pStyle w:val="10"/>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a9"/>
                <w:noProof/>
                <w:lang w:val="en-US"/>
              </w:rPr>
              <w:t>6</w:t>
            </w:r>
            <w:r w:rsidR="00D7771A">
              <w:rPr>
                <w:rFonts w:asciiTheme="minorHAnsi" w:eastAsiaTheme="minorEastAsia" w:hAnsiTheme="minorHAnsi" w:cstheme="minorBidi"/>
                <w:noProof/>
                <w:sz w:val="22"/>
                <w:szCs w:val="22"/>
              </w:rPr>
              <w:tab/>
            </w:r>
            <w:r w:rsidR="00D7771A" w:rsidRPr="003E36FB">
              <w:rPr>
                <w:rStyle w:val="a9"/>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a9"/>
                <w:noProof/>
              </w:rPr>
              <w:t>6.1.1</w:t>
            </w:r>
            <w:r w:rsidR="00D7771A">
              <w:rPr>
                <w:rFonts w:asciiTheme="minorHAnsi" w:eastAsiaTheme="minorEastAsia" w:hAnsiTheme="minorHAnsi" w:cstheme="minorBidi"/>
                <w:noProof/>
                <w:sz w:val="22"/>
                <w:szCs w:val="22"/>
              </w:rPr>
              <w:tab/>
            </w:r>
            <w:r w:rsidR="00D7771A" w:rsidRPr="003E36FB">
              <w:rPr>
                <w:rStyle w:val="a9"/>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a9"/>
                <w:noProof/>
              </w:rPr>
              <w:t>6.2</w:t>
            </w:r>
            <w:r w:rsidR="00D7771A">
              <w:rPr>
                <w:rFonts w:asciiTheme="minorHAnsi" w:eastAsiaTheme="minorEastAsia" w:hAnsiTheme="minorHAnsi" w:cstheme="minorBidi"/>
                <w:noProof/>
                <w:sz w:val="22"/>
                <w:szCs w:val="22"/>
              </w:rPr>
              <w:tab/>
            </w:r>
            <w:r w:rsidR="00D7771A" w:rsidRPr="003E36FB">
              <w:rPr>
                <w:rStyle w:val="a9"/>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a9"/>
                <w:noProof/>
              </w:rPr>
              <w:t>6.2.1</w:t>
            </w:r>
            <w:r w:rsidR="00D7771A">
              <w:rPr>
                <w:rFonts w:asciiTheme="minorHAnsi" w:eastAsiaTheme="minorEastAsia" w:hAnsiTheme="minorHAnsi" w:cstheme="minorBidi"/>
                <w:noProof/>
                <w:sz w:val="22"/>
                <w:szCs w:val="22"/>
              </w:rPr>
              <w:tab/>
            </w:r>
            <w:r w:rsidR="00D7771A" w:rsidRPr="003E36FB">
              <w:rPr>
                <w:rStyle w:val="a9"/>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2E2E06">
          <w:pPr>
            <w:pStyle w:val="21"/>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a9"/>
                <w:noProof/>
              </w:rPr>
              <w:t>6.3</w:t>
            </w:r>
            <w:r w:rsidR="00D7771A">
              <w:rPr>
                <w:rFonts w:asciiTheme="minorHAnsi" w:eastAsiaTheme="minorEastAsia" w:hAnsiTheme="minorHAnsi" w:cstheme="minorBidi"/>
                <w:noProof/>
                <w:sz w:val="22"/>
                <w:szCs w:val="22"/>
              </w:rPr>
              <w:tab/>
            </w:r>
            <w:r w:rsidR="00D7771A" w:rsidRPr="003E36FB">
              <w:rPr>
                <w:rStyle w:val="a9"/>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2E2E06">
          <w:pPr>
            <w:pStyle w:val="30"/>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a9"/>
                <w:noProof/>
              </w:rPr>
              <w:t>6.3.1</w:t>
            </w:r>
            <w:r w:rsidR="00D7771A">
              <w:rPr>
                <w:rFonts w:asciiTheme="minorHAnsi" w:eastAsiaTheme="minorEastAsia" w:hAnsiTheme="minorHAnsi" w:cstheme="minorBidi"/>
                <w:noProof/>
                <w:sz w:val="22"/>
                <w:szCs w:val="22"/>
              </w:rPr>
              <w:tab/>
            </w:r>
            <w:r w:rsidR="00D7771A" w:rsidRPr="003E36FB">
              <w:rPr>
                <w:rStyle w:val="a9"/>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2E2E06">
          <w:pPr>
            <w:pStyle w:val="10"/>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a9"/>
                <w:noProof/>
                <w:lang w:val="en-US"/>
              </w:rPr>
              <w:t>7</w:t>
            </w:r>
            <w:r w:rsidR="00D7771A">
              <w:rPr>
                <w:rFonts w:asciiTheme="minorHAnsi" w:eastAsiaTheme="minorEastAsia" w:hAnsiTheme="minorHAnsi" w:cstheme="minorBidi"/>
                <w:noProof/>
                <w:sz w:val="22"/>
                <w:szCs w:val="22"/>
              </w:rPr>
              <w:tab/>
            </w:r>
            <w:r w:rsidR="00D7771A" w:rsidRPr="003E36FB">
              <w:rPr>
                <w:rStyle w:val="a9"/>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2E2E06">
          <w:pPr>
            <w:pStyle w:val="10"/>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a9"/>
                <w:noProof/>
                <w:lang w:val="en-US"/>
              </w:rPr>
              <w:t>8</w:t>
            </w:r>
            <w:r w:rsidR="00D7771A">
              <w:rPr>
                <w:rFonts w:asciiTheme="minorHAnsi" w:eastAsiaTheme="minorEastAsia" w:hAnsiTheme="minorHAnsi" w:cstheme="minorBidi"/>
                <w:noProof/>
                <w:sz w:val="22"/>
                <w:szCs w:val="22"/>
              </w:rPr>
              <w:tab/>
            </w:r>
            <w:r w:rsidR="00D7771A" w:rsidRPr="003E36FB">
              <w:rPr>
                <w:rStyle w:val="a9"/>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8"/>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8"/>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a6"/>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a6"/>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a6"/>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a6"/>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a6"/>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a6"/>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1"/>
        <w:rPr>
          <w:rStyle w:val="2Char"/>
        </w:rPr>
      </w:pPr>
      <w:bookmarkStart w:id="2" w:name="_Toc84850785"/>
      <w:r>
        <w:rPr>
          <w:rStyle w:val="2Char"/>
        </w:rPr>
        <w:t>Outstanding</w:t>
      </w:r>
      <w:r w:rsidR="004650AB">
        <w:rPr>
          <w:rStyle w:val="2Char"/>
        </w:rPr>
        <w:t xml:space="preserve"> </w:t>
      </w:r>
      <w:r w:rsidR="00D06978">
        <w:rPr>
          <w:rStyle w:val="2Char"/>
        </w:rPr>
        <w:t xml:space="preserve">Timing Relationships for </w:t>
      </w:r>
      <w:r>
        <w:rPr>
          <w:rStyle w:val="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Char"/>
        </w:rPr>
      </w:pPr>
      <w:bookmarkStart w:id="3" w:name="_Ref84837182"/>
      <w:bookmarkStart w:id="4" w:name="_Toc84850786"/>
      <w:r w:rsidRPr="00D06978">
        <w:rPr>
          <w:rStyle w:val="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4850787"/>
      <w:r>
        <w:t>Companies’ Observations and Proposals</w:t>
      </w:r>
      <w:bookmarkEnd w:id="5"/>
    </w:p>
    <w:tbl>
      <w:tblPr>
        <w:tblStyle w:val="a5"/>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宋体"/>
                <w:b/>
                <w:i/>
              </w:rPr>
              <w:t>k_offset</w:t>
            </w:r>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6"/>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D32544">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equationxml="&lt;">
                  <v:imagedata r:id="rId11" o:title="" chromakey="white"/>
                </v:shape>
              </w:pict>
            </w:r>
            <w:r>
              <w:rPr>
                <w:b/>
                <w:i/>
              </w:rPr>
              <w:t xml:space="preserve"> , UE determines the next available NPRACH occasion after uplink slot </w:t>
            </w:r>
            <w:r w:rsidR="00D32544">
              <w:rPr>
                <w:rFonts w:cs="Times"/>
                <w:position w:val="-8"/>
                <w:lang w:val="en-GB" w:eastAsia="en-US"/>
              </w:rPr>
              <w:pict w14:anchorId="7A716991">
                <v:shape id="_x0000_i1026" type="#_x0000_t75" style="width:52.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a6"/>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8"/>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a8"/>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621407"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5"/>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4850790"/>
      <w:r>
        <w:t>Companies’ Observations and Proposals</w:t>
      </w:r>
      <w:bookmarkEnd w:id="12"/>
    </w:p>
    <w:tbl>
      <w:tblPr>
        <w:tblStyle w:val="a5"/>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 xml:space="preserve">Proposal 1: For NB-IoT in NTN, timing enhancement of preamble </w:t>
            </w:r>
            <w:r>
              <w:rPr>
                <w:b/>
                <w:noProof/>
              </w:rPr>
              <w:lastRenderedPageBreak/>
              <w:t>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lastRenderedPageBreak/>
              <w:t>OPPO</w:t>
            </w:r>
          </w:p>
        </w:tc>
        <w:tc>
          <w:tcPr>
            <w:tcW w:w="7036" w:type="dxa"/>
          </w:tcPr>
          <w:p w14:paraId="23CB8591" w14:textId="77777777" w:rsidR="006F3EF0" w:rsidRPr="00E725E0" w:rsidRDefault="006F3EF0" w:rsidP="00295DFC">
            <w:pPr>
              <w:pStyle w:val="a7"/>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6"/>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lastRenderedPageBreak/>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5"/>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w:t>
            </w:r>
            <w:r>
              <w:rPr>
                <w:rFonts w:eastAsia="等线"/>
                <w:lang w:eastAsia="zh-CN"/>
              </w:rPr>
              <w:lastRenderedPageBreak/>
              <w:t xml:space="preserve">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K_offset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295DFC">
        <w:tc>
          <w:tcPr>
            <w:tcW w:w="1838" w:type="dxa"/>
          </w:tcPr>
          <w:p w14:paraId="30BC69C7" w14:textId="21C067EC" w:rsidR="008972D7" w:rsidRDefault="008972D7" w:rsidP="002F083F">
            <w:pPr>
              <w:jc w:val="center"/>
              <w:rPr>
                <w:lang w:eastAsia="zh-CN"/>
              </w:rPr>
            </w:pPr>
            <w:r>
              <w:rPr>
                <w:lang w:eastAsia="zh-CN"/>
              </w:rPr>
              <w:lastRenderedPageBreak/>
              <w:t>Mavenir</w:t>
            </w:r>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consistency with other agreements on timing relationships regarding K_offset</w:t>
            </w:r>
            <w:r w:rsidR="00C00B51">
              <w:rPr>
                <w:rFonts w:eastAsia="等线"/>
                <w:lang w:eastAsia="zh-CN"/>
              </w:rPr>
              <w:t>, and using K_offset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等线" w:hint="eastAsia"/>
                <w:lang w:eastAsia="zh-CN"/>
              </w:rPr>
            </w:pPr>
            <w:r>
              <w:rPr>
                <w:rFonts w:eastAsia="等线" w:hint="eastAsia"/>
                <w:lang w:eastAsia="zh-CN"/>
              </w:rPr>
              <w:t>Spreadtrum</w:t>
            </w:r>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等线"/>
                <w:lang w:eastAsia="zh-CN"/>
              </w:rPr>
            </w:pP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8" w:name="_Toc84850793"/>
      <w:r w:rsidRPr="0074688D">
        <w:rPr>
          <w:sz w:val="21"/>
          <w:szCs w:val="21"/>
        </w:rPr>
        <w:t>FSS: other issues needing common understanding</w:t>
      </w:r>
      <w:r w:rsidR="007A41D8">
        <w:t>Companies’ Observations and Proposals</w:t>
      </w:r>
      <w:bookmarkEnd w:id="18"/>
    </w:p>
    <w:tbl>
      <w:tblPr>
        <w:tblStyle w:val="a5"/>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8"/>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a8"/>
              <w:rPr>
                <w:lang w:val="en-GB"/>
              </w:rPr>
            </w:pPr>
            <w:bookmarkStart w:id="20" w:name="_Toc82802851"/>
          </w:p>
          <w:p w14:paraId="7D3B7E5E" w14:textId="0C053E38" w:rsidR="00A87150" w:rsidRDefault="00A87150" w:rsidP="00A87150">
            <w:pPr>
              <w:pStyle w:val="a8"/>
              <w:rPr>
                <w:lang w:val="en-GB"/>
              </w:rPr>
            </w:pPr>
            <w:r>
              <w:rPr>
                <w:lang w:val="en-GB"/>
              </w:rPr>
              <w:t>Proposal 5: PUR for NB-IoT over NTN shall be supported at least for the GEO scenario.</w:t>
            </w:r>
            <w:bookmarkEnd w:id="20"/>
          </w:p>
          <w:p w14:paraId="4030A3AA" w14:textId="250388E0" w:rsidR="00A556F1" w:rsidRDefault="00A556F1" w:rsidP="00A87150">
            <w:pPr>
              <w:pStyle w:val="a8"/>
              <w:rPr>
                <w:lang w:val="en-GB"/>
              </w:rPr>
            </w:pPr>
          </w:p>
          <w:p w14:paraId="13A6C43B" w14:textId="749CD726" w:rsidR="00A556F1" w:rsidRDefault="00A556F1" w:rsidP="00A87150">
            <w:pPr>
              <w:pStyle w:val="a8"/>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a8"/>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 xml:space="preserve">For NB-IoT, if the UE has initiated an NPUSCH transmission using pre-configured uplink resource ending in subframe n, the time at which the UE shall start to monitor the NPDCCH UE-specific search space shall be delayed by </w:t>
            </w:r>
            <w:r>
              <w:rPr>
                <w:rFonts w:eastAsia="宋体"/>
                <w:b/>
                <w:i/>
              </w:rPr>
              <w:lastRenderedPageBreak/>
              <w:t>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lastRenderedPageBreak/>
              <w:t>OPPO</w:t>
            </w:r>
          </w:p>
        </w:tc>
        <w:tc>
          <w:tcPr>
            <w:tcW w:w="7036" w:type="dxa"/>
          </w:tcPr>
          <w:p w14:paraId="483F0B4E" w14:textId="292A3D1A" w:rsidR="007A41D8" w:rsidRPr="00064BCB" w:rsidRDefault="00064BCB" w:rsidP="00064BCB">
            <w:pPr>
              <w:pStyle w:val="a7"/>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7"/>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7"/>
              <w:rPr>
                <w:b/>
                <w:bCs/>
                <w:i/>
                <w:iCs/>
              </w:rPr>
            </w:pPr>
            <w:r w:rsidRPr="00221452">
              <w:rPr>
                <w:b/>
                <w:bCs/>
                <w:i/>
                <w:iCs/>
              </w:rPr>
              <w:t xml:space="preserve">Proposal 4: </w:t>
            </w:r>
          </w:p>
          <w:p w14:paraId="1532F13A" w14:textId="114704CB" w:rsidR="00221452" w:rsidRPr="00221452" w:rsidRDefault="00221452" w:rsidP="00221452">
            <w:pPr>
              <w:pStyle w:val="a7"/>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7"/>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a7"/>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w:t>
            </w:r>
            <w:r w:rsidRPr="004A6276">
              <w:rPr>
                <w:b/>
                <w:bCs/>
                <w:i/>
                <w:iCs/>
              </w:rPr>
              <w:lastRenderedPageBreak/>
              <w:t xml:space="preserve">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8"/>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8"/>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a8"/>
        <w:numPr>
          <w:ilvl w:val="0"/>
          <w:numId w:val="15"/>
        </w:numPr>
      </w:pPr>
      <w:r>
        <w:t>Support PUR only for GEO in Rel17 IoT NTN</w:t>
      </w:r>
      <w:r w:rsidR="00FD1FCC">
        <w:t>: FGI, Spreadtrum, Nokia, Intel</w:t>
      </w:r>
    </w:p>
    <w:p w14:paraId="72230144" w14:textId="123D6EC4" w:rsidR="00D80C6D" w:rsidRDefault="00D80C6D" w:rsidP="00D80C6D">
      <w:pPr>
        <w:pStyle w:val="a8"/>
      </w:pPr>
      <w:r>
        <w:t xml:space="preserve"> </w:t>
      </w:r>
    </w:p>
    <w:p w14:paraId="343F4977" w14:textId="1F5E76F8" w:rsidR="00563104" w:rsidRDefault="00FD1FCC" w:rsidP="00563104">
      <w:pPr>
        <w:pStyle w:val="a7"/>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7"/>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5"/>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xml:space="preserve">. In this </w:t>
            </w:r>
            <w:r>
              <w:lastRenderedPageBreak/>
              <w:t>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lastRenderedPageBreak/>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r>
              <w:rPr>
                <w:rFonts w:eastAsia="等线"/>
              </w:rPr>
              <w:t>Mavenir</w:t>
            </w:r>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等线"/>
              </w:rPr>
            </w:pPr>
            <w:r>
              <w:rPr>
                <w:rFonts w:eastAsia="等线"/>
              </w:rPr>
              <w:t xml:space="preserve">Also, </w:t>
            </w:r>
            <w:r w:rsidR="00A3338B">
              <w:rPr>
                <w:rFonts w:eastAsia="等线"/>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downlink subframe n + 4 + K_mac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r>
              <w:rPr>
                <w:rFonts w:eastAsia="等线" w:hint="eastAsia"/>
                <w:lang w:eastAsia="zh-CN"/>
              </w:rPr>
              <w:t>Spreadtrum</w:t>
            </w:r>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bl>
    <w:p w14:paraId="44DE8247" w14:textId="77777777" w:rsidR="00497D2D" w:rsidRDefault="00497D2D">
      <w:pPr>
        <w:spacing w:after="160" w:line="259" w:lineRule="auto"/>
      </w:pPr>
    </w:p>
    <w:p w14:paraId="7A8E0B53" w14:textId="4FBD6F04" w:rsidR="00652668" w:rsidRPr="00563104" w:rsidRDefault="00652668" w:rsidP="00295DFC">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5"/>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 xml:space="preserve">Maybe we could try to agree the timing relationship for PUR as a working assumption. The working assumption could be </w:t>
            </w:r>
            <w:r>
              <w:lastRenderedPageBreak/>
              <w:t>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7"/>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r>
              <w:rPr>
                <w:rFonts w:eastAsia="等线"/>
              </w:rPr>
              <w:t>Mavenir</w:t>
            </w:r>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等线"/>
                <w:lang w:eastAsia="zh-CN"/>
              </w:rPr>
            </w:pPr>
            <w:r>
              <w:rPr>
                <w:rFonts w:eastAsia="等线"/>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r>
              <w:rPr>
                <w:rFonts w:eastAsia="等线" w:hint="eastAsia"/>
                <w:lang w:eastAsia="zh-CN"/>
              </w:rPr>
              <w:t>Spreadtrum</w:t>
            </w:r>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bl>
    <w:p w14:paraId="3678EF3A" w14:textId="42717746" w:rsidR="00497D2D" w:rsidRDefault="00497D2D">
      <w:pPr>
        <w:spacing w:after="160" w:line="259" w:lineRule="auto"/>
      </w:pPr>
    </w:p>
    <w:p w14:paraId="23FFA0A2" w14:textId="3158C1A6" w:rsidR="00652668" w:rsidRPr="00652668" w:rsidRDefault="00652668" w:rsidP="00652668">
      <w:pPr>
        <w:pStyle w:val="a7"/>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5"/>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 xml:space="preserve">was </w:t>
            </w:r>
            <w:r w:rsidR="006F417A">
              <w:lastRenderedPageBreak/>
              <w:t>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lastRenderedPageBreak/>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r>
              <w:rPr>
                <w:rFonts w:eastAsia="等线" w:hint="eastAsia"/>
                <w:lang w:eastAsia="zh-CN"/>
              </w:rPr>
              <w:t>Spreadtrum</w:t>
            </w:r>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bl>
    <w:p w14:paraId="15F99CC3" w14:textId="77777777" w:rsidR="00652668" w:rsidRDefault="00652668">
      <w:pPr>
        <w:spacing w:after="160" w:line="259" w:lineRule="auto"/>
      </w:pPr>
    </w:p>
    <w:p w14:paraId="72C9697B" w14:textId="01035669" w:rsidR="00F177C5" w:rsidRDefault="00AB3F82" w:rsidP="00F177C5">
      <w:pPr>
        <w:pStyle w:val="2"/>
        <w:rPr>
          <w:rStyle w:val="2Char"/>
        </w:rPr>
      </w:pPr>
      <w:bookmarkStart w:id="22" w:name="_Ref84837235"/>
      <w:bookmarkStart w:id="23" w:name="_Toc84850795"/>
      <w:r>
        <w:rPr>
          <w:rStyle w:val="2Char"/>
        </w:rPr>
        <w:t>N</w:t>
      </w:r>
      <w:r w:rsidR="00F177C5" w:rsidRPr="00D06978">
        <w:rPr>
          <w:rStyle w:val="2Char"/>
        </w:rPr>
        <w:t xml:space="preserve">PDCCH </w:t>
      </w:r>
      <w:r w:rsidR="00F177C5">
        <w:rPr>
          <w:rStyle w:val="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604AE8" w:rsidRDefault="00604AE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604AE8" w:rsidRDefault="00604AE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604AE8" w:rsidRDefault="00604AE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604AE8" w:rsidRDefault="00604AE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4" w:name="_Toc84850796"/>
      <w:r>
        <w:t>Companies’ Observations and Proposals</w:t>
      </w:r>
      <w:bookmarkEnd w:id="24"/>
    </w:p>
    <w:tbl>
      <w:tblPr>
        <w:tblStyle w:val="a5"/>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7"/>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7"/>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7"/>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a8"/>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t>
      </w:r>
      <w:r w:rsidR="00B412BB">
        <w:rPr>
          <w:lang w:val="en-GB" w:eastAsia="en-GB"/>
        </w:rPr>
        <w:lastRenderedPageBreak/>
        <w:t xml:space="preserve">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8"/>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5"/>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1"/>
        <w:rPr>
          <w:rStyle w:val="2Char"/>
        </w:rPr>
      </w:pPr>
      <w:bookmarkStart w:id="26" w:name="_Ref80215140"/>
      <w:bookmarkStart w:id="27" w:name="_Ref84837251"/>
      <w:bookmarkStart w:id="28" w:name="_Toc84850798"/>
      <w:r w:rsidRPr="00302003">
        <w:rPr>
          <w:rStyle w:val="2Char"/>
        </w:rPr>
        <w:t>K_offset</w:t>
      </w:r>
      <w:r>
        <w:rPr>
          <w:rStyle w:val="2Char"/>
        </w:rPr>
        <w:t xml:space="preserve"> </w:t>
      </w:r>
      <w:bookmarkEnd w:id="26"/>
      <w:r>
        <w:rPr>
          <w:rStyle w:val="2Char"/>
        </w:rPr>
        <w:t>handling</w:t>
      </w:r>
      <w:bookmarkEnd w:id="27"/>
      <w:bookmarkEnd w:id="28"/>
    </w:p>
    <w:p w14:paraId="40FAA1D5" w14:textId="77777777" w:rsidR="00D31529" w:rsidRDefault="00D31529" w:rsidP="00D31529">
      <w:pPr>
        <w:pStyle w:val="3"/>
      </w:pPr>
      <w:r>
        <w:t xml:space="preserve"> </w:t>
      </w:r>
      <w:bookmarkStart w:id="29" w:name="_Toc84850799"/>
      <w:r>
        <w:t>Companies’ Observations and Proposals</w:t>
      </w:r>
      <w:bookmarkEnd w:id="29"/>
    </w:p>
    <w:tbl>
      <w:tblPr>
        <w:tblStyle w:val="a5"/>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2E2E06"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2E2E06"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lastRenderedPageBreak/>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a7"/>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7"/>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a7"/>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a7"/>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signalling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signalling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0" w:name="_Toc84850800"/>
      <w:r>
        <w:lastRenderedPageBreak/>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a6"/>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a6"/>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a5"/>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r>
              <w:rPr>
                <w:rFonts w:eastAsia="等线"/>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bookmarkStart w:id="31" w:name="_GoBack" w:colFirst="0" w:colLast="0"/>
            <w:r>
              <w:rPr>
                <w:rFonts w:eastAsia="等线"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bookmarkEnd w:id="31"/>
    </w:tbl>
    <w:p w14:paraId="43DDD388" w14:textId="77777777" w:rsidR="00D31529" w:rsidRDefault="00D31529">
      <w:pPr>
        <w:spacing w:after="160" w:line="259" w:lineRule="auto"/>
      </w:pPr>
    </w:p>
    <w:p w14:paraId="5E00A447" w14:textId="7EECA1B9" w:rsidR="007E4DCF" w:rsidRDefault="00EE4DDE" w:rsidP="007E4DCF">
      <w:pPr>
        <w:pStyle w:val="1"/>
        <w:rPr>
          <w:rStyle w:val="2Char"/>
        </w:rPr>
      </w:pPr>
      <w:bookmarkStart w:id="32" w:name="_Toc84850801"/>
      <w:r>
        <w:rPr>
          <w:rStyle w:val="2Char"/>
        </w:rPr>
        <w:t xml:space="preserve">UE-specific TA </w:t>
      </w:r>
      <w:r w:rsidR="007E4DCF">
        <w:rPr>
          <w:rStyle w:val="2Char"/>
        </w:rPr>
        <w:t>Handling</w:t>
      </w:r>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6"/>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a6"/>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a6"/>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6"/>
        <w:ind w:left="360" w:firstLineChars="0" w:firstLine="0"/>
        <w:rPr>
          <w:lang w:eastAsia="x-none"/>
        </w:rPr>
      </w:pPr>
      <w:r>
        <w:t>FFS whether to down select including combining options</w:t>
      </w:r>
    </w:p>
    <w:p w14:paraId="2D0028CB" w14:textId="297F5979" w:rsidR="00D439DD" w:rsidRDefault="00725387" w:rsidP="001059A7">
      <w:pPr>
        <w:pStyle w:val="a6"/>
        <w:numPr>
          <w:ilvl w:val="0"/>
          <w:numId w:val="5"/>
        </w:numPr>
        <w:ind w:firstLineChars="0"/>
        <w:rPr>
          <w:lang w:eastAsia="x-none"/>
        </w:rPr>
      </w:pPr>
      <w:bookmarkStart w:id="33" w:name="_Hlk84601102"/>
      <w:r>
        <w:t>Signaling overhead</w:t>
      </w:r>
    </w:p>
    <w:p w14:paraId="15983048" w14:textId="4C248D2C" w:rsidR="00725387" w:rsidRDefault="00725387" w:rsidP="001059A7">
      <w:pPr>
        <w:pStyle w:val="a6"/>
        <w:numPr>
          <w:ilvl w:val="0"/>
          <w:numId w:val="5"/>
        </w:numPr>
        <w:ind w:firstLineChars="0"/>
        <w:rPr>
          <w:lang w:eastAsia="x-none"/>
        </w:rPr>
      </w:pPr>
      <w:r>
        <w:lastRenderedPageBreak/>
        <w:t>Granularity of report</w:t>
      </w:r>
    </w:p>
    <w:bookmarkEnd w:id="33"/>
    <w:p w14:paraId="6DFD96FB" w14:textId="07230DE6" w:rsidR="00D439DD" w:rsidRDefault="00D439DD" w:rsidP="001059A7">
      <w:pPr>
        <w:pStyle w:val="a6"/>
        <w:numPr>
          <w:ilvl w:val="0"/>
          <w:numId w:val="5"/>
        </w:numPr>
        <w:ind w:firstLineChars="0"/>
        <w:rPr>
          <w:lang w:eastAsia="x-none"/>
        </w:rPr>
      </w:pPr>
      <w:r>
        <w:t>Frequency of reporting</w:t>
      </w:r>
    </w:p>
    <w:p w14:paraId="66D8D2F2" w14:textId="419F3196" w:rsidR="00290DFE" w:rsidRDefault="00290DFE" w:rsidP="001059A7">
      <w:pPr>
        <w:pStyle w:val="a6"/>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2"/>
        <w:rPr>
          <w:b w:val="0"/>
          <w:bCs w:val="0"/>
        </w:rPr>
      </w:pPr>
      <w:bookmarkStart w:id="35" w:name="_Toc84850802"/>
      <w:bookmarkEnd w:id="34"/>
      <w:r>
        <w:rPr>
          <w:rStyle w:val="2Char"/>
        </w:rPr>
        <w:t xml:space="preserve">Quantity to </w:t>
      </w:r>
      <w:r w:rsidR="005C327A">
        <w:rPr>
          <w:rStyle w:val="2Char"/>
        </w:rPr>
        <w:t>Report</w:t>
      </w:r>
      <w:bookmarkEnd w:id="35"/>
    </w:p>
    <w:p w14:paraId="4354C28F" w14:textId="4EFEF768" w:rsidR="006C227C" w:rsidRPr="00100D31" w:rsidRDefault="008B03A0" w:rsidP="00CA392C">
      <w:pPr>
        <w:pStyle w:val="3"/>
      </w:pPr>
      <w:r>
        <w:t xml:space="preserve"> </w:t>
      </w:r>
      <w:bookmarkStart w:id="36" w:name="_Toc84850803"/>
      <w:r>
        <w:t>Companies’ Observations and Proposals</w:t>
      </w:r>
      <w:bookmarkEnd w:id="36"/>
    </w:p>
    <w:tbl>
      <w:tblPr>
        <w:tblStyle w:val="a5"/>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7"/>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7"/>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7"/>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w:t>
            </w:r>
            <w:r>
              <w:rPr>
                <w:bCs/>
                <w:iCs/>
              </w:rPr>
              <w:lastRenderedPageBreak/>
              <w:t>compensation, at least one of the following options is supported.</w:t>
            </w:r>
          </w:p>
          <w:p w14:paraId="1D56C557"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lastRenderedPageBreak/>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8"/>
              <w:rPr>
                <w:szCs w:val="22"/>
                <w:lang w:val="en-GB"/>
              </w:rPr>
            </w:pPr>
            <w:r>
              <w:t xml:space="preserve">Proposal 2: </w:t>
            </w:r>
          </w:p>
          <w:p w14:paraId="51C89E4D" w14:textId="77777777" w:rsidR="007F599D" w:rsidRDefault="007F599D" w:rsidP="007F599D">
            <w:pPr>
              <w:pStyle w:val="a8"/>
            </w:pPr>
            <w:r>
              <w:t>Support one of the following alternatives to decrease UE-specific TA reporting overhead</w:t>
            </w:r>
          </w:p>
          <w:p w14:paraId="186DCFBC" w14:textId="77777777" w:rsidR="007F599D" w:rsidRDefault="007F599D" w:rsidP="001059A7">
            <w:pPr>
              <w:pStyle w:val="a8"/>
              <w:numPr>
                <w:ilvl w:val="0"/>
                <w:numId w:val="13"/>
              </w:numPr>
            </w:pPr>
            <w:r>
              <w:t>Alt 1. Reporting of information to extrapolate/interpolate UE-specific TA</w:t>
            </w:r>
          </w:p>
          <w:p w14:paraId="47C71804" w14:textId="77777777" w:rsidR="007F599D" w:rsidRDefault="007F599D" w:rsidP="007F599D">
            <w:pPr>
              <w:pStyle w:val="a8"/>
              <w:ind w:left="720"/>
            </w:pPr>
            <w:r>
              <w:t>E.g. series of values with differential encoding scheme</w:t>
            </w:r>
          </w:p>
          <w:p w14:paraId="3BF13E8D" w14:textId="77777777" w:rsidR="007F599D" w:rsidRDefault="007F599D" w:rsidP="001059A7">
            <w:pPr>
              <w:pStyle w:val="a8"/>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8"/>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Proposal 1: Contents of UE-specific TA report shall wait for the outcome of the LS to SA3 to ensure whether user consent for obtaining UE location by gNB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a8"/>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8"/>
              <w:rPr>
                <w:rFonts w:ascii="Arial" w:hAnsi="Arial" w:cs="Arial"/>
                <w:i/>
                <w:iCs/>
                <w:lang w:val="en-GB"/>
              </w:rPr>
            </w:pPr>
            <w:bookmarkStart w:id="39" w:name="_Toc83979776"/>
            <w:r>
              <w:t>Proposal 4: The mechanism for UE specific TA maintenance and reporting can follow the decision in NR_NTN_Solutions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8"/>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8"/>
            </w:pPr>
          </w:p>
        </w:tc>
      </w:tr>
      <w:tr w:rsidR="00136DD6" w14:paraId="36700930" w14:textId="77777777" w:rsidTr="00C264F2">
        <w:tc>
          <w:tcPr>
            <w:tcW w:w="1980" w:type="dxa"/>
          </w:tcPr>
          <w:p w14:paraId="311B4CDD" w14:textId="5556F82F" w:rsidR="00136DD6" w:rsidRDefault="00136DD6" w:rsidP="00C264F2">
            <w:r w:rsidRPr="00136DD6">
              <w:lastRenderedPageBreak/>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2"/>
        <w:rPr>
          <w:rStyle w:val="2Char"/>
        </w:rPr>
      </w:pPr>
      <w:bookmarkStart w:id="40" w:name="_Toc84850804"/>
      <w:r w:rsidRPr="002F08B3">
        <w:rPr>
          <w:rStyle w:val="2Char"/>
        </w:rPr>
        <w:t xml:space="preserve">The granularity of the </w:t>
      </w:r>
      <w:r w:rsidR="005C327A">
        <w:rPr>
          <w:rStyle w:val="2Char"/>
        </w:rPr>
        <w:t>reported quantity</w:t>
      </w:r>
      <w:bookmarkEnd w:id="40"/>
    </w:p>
    <w:p w14:paraId="734E3F89" w14:textId="77777777" w:rsidR="002F08B3" w:rsidRPr="00100D31" w:rsidRDefault="002F08B3" w:rsidP="002F08B3">
      <w:pPr>
        <w:pStyle w:val="3"/>
      </w:pPr>
      <w:r>
        <w:t xml:space="preserve"> </w:t>
      </w:r>
      <w:bookmarkStart w:id="41" w:name="_Toc84850805"/>
      <w:r>
        <w:t>Companies’ Observations and Proposals</w:t>
      </w:r>
      <w:bookmarkEnd w:id="41"/>
    </w:p>
    <w:tbl>
      <w:tblPr>
        <w:tblStyle w:val="a5"/>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7"/>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8"/>
            </w:pPr>
            <w:r>
              <w:t>Proposal 1</w:t>
            </w:r>
            <w:r>
              <w:rPr>
                <w:iCs/>
              </w:rPr>
              <w:t xml:space="preserve">: </w:t>
            </w:r>
            <w:r>
              <w:t xml:space="preserve">Coarse granularity can be considered for reporting of UE-specific TA (e.g. </w:t>
            </w:r>
            <w:r>
              <w:lastRenderedPageBreak/>
              <w:t>one subframe or slot)</w:t>
            </w:r>
          </w:p>
        </w:tc>
      </w:tr>
      <w:tr w:rsidR="002F08B3" w14:paraId="44A765FB" w14:textId="77777777" w:rsidTr="00295DFC">
        <w:tc>
          <w:tcPr>
            <w:tcW w:w="1980" w:type="dxa"/>
          </w:tcPr>
          <w:p w14:paraId="152708CE" w14:textId="77777777" w:rsidR="002F08B3" w:rsidRDefault="002F08B3" w:rsidP="00295DFC">
            <w:r>
              <w:lastRenderedPageBreak/>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2" w:name="_Toc84850806"/>
      <w:r>
        <w:t>Signaling overhead</w:t>
      </w:r>
      <w:bookmarkEnd w:id="42"/>
    </w:p>
    <w:p w14:paraId="6FD22C9C" w14:textId="118E269B" w:rsidR="00D14C27" w:rsidRPr="00D14C27" w:rsidRDefault="00D14C27" w:rsidP="00D14C27">
      <w:pPr>
        <w:pStyle w:val="3"/>
      </w:pPr>
      <w:bookmarkStart w:id="43" w:name="_Toc84850807"/>
      <w:r w:rsidRPr="00D14C27">
        <w:t>Companies’ Observations and Proposals</w:t>
      </w:r>
      <w:bookmarkEnd w:id="43"/>
    </w:p>
    <w:tbl>
      <w:tblPr>
        <w:tblStyle w:val="a5"/>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8"/>
              <w:rPr>
                <w:lang w:val="en-GB"/>
              </w:rPr>
            </w:pPr>
          </w:p>
          <w:p w14:paraId="5AD56B4C" w14:textId="483427AD" w:rsidR="00564A7E" w:rsidRPr="00E86B69" w:rsidRDefault="00564A7E" w:rsidP="00E86B69">
            <w:pPr>
              <w:pStyle w:val="a8"/>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r>
              <w:rPr>
                <w:b/>
                <w:bCs/>
              </w:rPr>
              <w:lastRenderedPageBreak/>
              <w:t>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a7"/>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8"/>
              <w:rPr>
                <w:szCs w:val="22"/>
                <w:lang w:val="en-GB"/>
              </w:rPr>
            </w:pPr>
            <w:r>
              <w:t xml:space="preserve">Proposal 2: </w:t>
            </w:r>
          </w:p>
          <w:p w14:paraId="5719609D" w14:textId="77777777" w:rsidR="00564A7E" w:rsidRDefault="00564A7E" w:rsidP="00295DFC">
            <w:pPr>
              <w:pStyle w:val="a8"/>
            </w:pPr>
            <w:r>
              <w:t>Support one of the following alternatives to decrease UE-specific TA reporting overhead</w:t>
            </w:r>
          </w:p>
          <w:p w14:paraId="039C4513" w14:textId="77777777" w:rsidR="00564A7E" w:rsidRDefault="00564A7E" w:rsidP="001059A7">
            <w:pPr>
              <w:pStyle w:val="a8"/>
              <w:numPr>
                <w:ilvl w:val="0"/>
                <w:numId w:val="13"/>
              </w:numPr>
            </w:pPr>
            <w:r>
              <w:t>Alt 1. Reporting of information to extrapolate/interpolate UE-specific TA</w:t>
            </w:r>
          </w:p>
          <w:p w14:paraId="1D129BCF" w14:textId="77777777" w:rsidR="00564A7E" w:rsidRDefault="00564A7E" w:rsidP="00295DFC">
            <w:pPr>
              <w:pStyle w:val="a8"/>
              <w:ind w:left="720"/>
            </w:pPr>
            <w:r>
              <w:t>E.g. series of values with differential encoding scheme</w:t>
            </w:r>
          </w:p>
          <w:p w14:paraId="2C3B0B55" w14:textId="6D7FE966" w:rsidR="00564A7E" w:rsidRPr="00D4093D" w:rsidRDefault="00564A7E" w:rsidP="001059A7">
            <w:pPr>
              <w:pStyle w:val="a8"/>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44" w:name="_Toc84850808"/>
      <w:r>
        <w:t>Frequency of reporting</w:t>
      </w:r>
      <w:bookmarkEnd w:id="44"/>
    </w:p>
    <w:p w14:paraId="680DCEEF" w14:textId="77777777" w:rsidR="00D14C27" w:rsidRPr="00D14C27" w:rsidRDefault="00D14C27" w:rsidP="00D14C27">
      <w:pPr>
        <w:pStyle w:val="3"/>
      </w:pPr>
      <w:bookmarkStart w:id="45" w:name="_Toc84850809"/>
      <w:r w:rsidRPr="00D14C27">
        <w:t>Companies’ Observations and Proposals</w:t>
      </w:r>
      <w:bookmarkEnd w:id="45"/>
    </w:p>
    <w:p w14:paraId="24E10872" w14:textId="77777777" w:rsidR="00D14C27" w:rsidRPr="00D14C27" w:rsidRDefault="00D14C27" w:rsidP="00D14C27"/>
    <w:tbl>
      <w:tblPr>
        <w:tblStyle w:val="a5"/>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lastRenderedPageBreak/>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7"/>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8"/>
              <w:rPr>
                <w:szCs w:val="22"/>
                <w:lang w:val="en-GB"/>
              </w:rPr>
            </w:pPr>
            <w:r>
              <w:t xml:space="preserve">Proposal 2: </w:t>
            </w:r>
          </w:p>
          <w:p w14:paraId="03953676" w14:textId="77777777" w:rsidR="00602022" w:rsidRDefault="00602022" w:rsidP="00295DFC">
            <w:pPr>
              <w:pStyle w:val="a8"/>
            </w:pPr>
            <w:r>
              <w:t>Support one of the following alternatives to decrease UE-specific TA reporting overhead</w:t>
            </w:r>
          </w:p>
          <w:p w14:paraId="0E570AFC" w14:textId="77777777" w:rsidR="00602022" w:rsidRDefault="00602022" w:rsidP="001059A7">
            <w:pPr>
              <w:pStyle w:val="a8"/>
              <w:numPr>
                <w:ilvl w:val="0"/>
                <w:numId w:val="13"/>
              </w:numPr>
            </w:pPr>
            <w:r>
              <w:t>Alt 1. Reporting of information to extrapolate/interpolate UE-specific TA</w:t>
            </w:r>
          </w:p>
          <w:p w14:paraId="3C4D2F47" w14:textId="77777777" w:rsidR="00602022" w:rsidRDefault="00602022" w:rsidP="00295DFC">
            <w:pPr>
              <w:pStyle w:val="a8"/>
              <w:ind w:left="720"/>
            </w:pPr>
            <w:r>
              <w:t>E.g. series of values with differential encoding scheme</w:t>
            </w:r>
          </w:p>
          <w:p w14:paraId="781B8670" w14:textId="77777777" w:rsidR="00602022" w:rsidRDefault="00602022" w:rsidP="001059A7">
            <w:pPr>
              <w:pStyle w:val="a8"/>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8"/>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46" w:name="_Toc84850810"/>
      <w:r w:rsidRPr="00D4093D">
        <w:t>Means of reporting</w:t>
      </w:r>
      <w:bookmarkEnd w:id="46"/>
    </w:p>
    <w:p w14:paraId="74C898A3" w14:textId="77777777" w:rsidR="00D14C27" w:rsidRPr="00D14C27" w:rsidRDefault="00D14C27" w:rsidP="00D14C27">
      <w:pPr>
        <w:pStyle w:val="3"/>
      </w:pPr>
      <w:bookmarkStart w:id="47" w:name="_Toc84850811"/>
      <w:r w:rsidRPr="00D14C27">
        <w:t>Companies’ Observations and Proposals</w:t>
      </w:r>
      <w:bookmarkEnd w:id="47"/>
    </w:p>
    <w:p w14:paraId="718825DD" w14:textId="77777777" w:rsidR="00602022" w:rsidRPr="00602022" w:rsidRDefault="00602022" w:rsidP="00602022"/>
    <w:tbl>
      <w:tblPr>
        <w:tblStyle w:val="a5"/>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7"/>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lastRenderedPageBreak/>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1"/>
        <w:rPr>
          <w:rStyle w:val="2Char"/>
        </w:rPr>
      </w:pPr>
      <w:bookmarkStart w:id="48" w:name="_Toc84850812"/>
      <w:bookmarkStart w:id="49" w:name="_Hlk80030196"/>
      <w:r>
        <w:rPr>
          <w:rStyle w:val="2Char"/>
        </w:rPr>
        <w:t>WUS</w:t>
      </w:r>
      <w:bookmarkEnd w:id="48"/>
    </w:p>
    <w:p w14:paraId="01094F74" w14:textId="0054EC82" w:rsidR="007E4DCF" w:rsidRPr="00100D31" w:rsidRDefault="007E4DCF" w:rsidP="00956E28">
      <w:pPr>
        <w:pStyle w:val="3"/>
      </w:pPr>
      <w:bookmarkStart w:id="50" w:name="_Toc84850813"/>
      <w:bookmarkEnd w:id="49"/>
      <w:r>
        <w:t>Companies’ Observations and Proposals</w:t>
      </w:r>
      <w:bookmarkEnd w:id="50"/>
    </w:p>
    <w:tbl>
      <w:tblPr>
        <w:tblStyle w:val="a5"/>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2"/>
      </w:pPr>
      <w:bookmarkStart w:id="51" w:name="_Toc84850814"/>
      <w:r>
        <w:t>UL-DL Collision Handling for HD UE</w:t>
      </w:r>
      <w:bookmarkEnd w:id="51"/>
    </w:p>
    <w:p w14:paraId="00088E3E" w14:textId="77777777" w:rsidR="004E316B" w:rsidRDefault="004E316B" w:rsidP="004E316B">
      <w:pPr>
        <w:pStyle w:val="a8"/>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52" w:name="_Toc84850815"/>
      <w:r>
        <w:lastRenderedPageBreak/>
        <w:t>Companies’ views and proposals</w:t>
      </w:r>
      <w:bookmarkEnd w:id="52"/>
    </w:p>
    <w:p w14:paraId="25EA8FD8" w14:textId="681EFC8F" w:rsidR="00981B18" w:rsidRPr="00100D31" w:rsidRDefault="00981B18" w:rsidP="004E316B">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54" w:name="_Toc84850817"/>
      <w:r>
        <w:t>Companies’ views and proposals</w:t>
      </w:r>
      <w:bookmarkEnd w:id="54"/>
    </w:p>
    <w:p w14:paraId="33D19F47" w14:textId="77777777" w:rsidR="00194D85" w:rsidRPr="00100D31" w:rsidRDefault="00194D85" w:rsidP="00194D85">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lastRenderedPageBreak/>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8"/>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7"/>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a7"/>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8"/>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8"/>
        <w:numPr>
          <w:ilvl w:val="0"/>
          <w:numId w:val="23"/>
        </w:numPr>
      </w:pPr>
      <w:r>
        <w:lastRenderedPageBreak/>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a8"/>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56" w:name="_Toc84850819"/>
      <w:r>
        <w:t>Reference</w:t>
      </w:r>
      <w:r w:rsidR="00BE0157">
        <w:t>d Documents</w:t>
      </w:r>
      <w:bookmarkEnd w:id="56"/>
    </w:p>
    <w:p w14:paraId="00EBD5D4" w14:textId="77777777" w:rsidR="00B36881" w:rsidRDefault="002E2E06" w:rsidP="00B36881">
      <w:pPr>
        <w:rPr>
          <w:lang w:eastAsia="x-none"/>
        </w:rPr>
      </w:pPr>
      <w:hyperlink r:id="rId21" w:history="1">
        <w:r w:rsidR="00B36881">
          <w:rPr>
            <w:rStyle w:val="a9"/>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2E2E06" w:rsidP="00B36881">
      <w:pPr>
        <w:rPr>
          <w:lang w:eastAsia="x-none"/>
        </w:rPr>
      </w:pPr>
      <w:hyperlink r:id="rId22" w:history="1">
        <w:r w:rsidR="00B36881">
          <w:rPr>
            <w:rStyle w:val="a9"/>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2E2E06" w:rsidP="00B36881">
      <w:pPr>
        <w:rPr>
          <w:lang w:eastAsia="x-none"/>
        </w:rPr>
      </w:pPr>
      <w:hyperlink r:id="rId23" w:history="1">
        <w:r w:rsidR="00B36881">
          <w:rPr>
            <w:rStyle w:val="a9"/>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2E2E06" w:rsidP="00B36881">
      <w:pPr>
        <w:rPr>
          <w:lang w:eastAsia="x-none"/>
        </w:rPr>
      </w:pPr>
      <w:hyperlink r:id="rId24" w:history="1">
        <w:r w:rsidR="00B36881">
          <w:rPr>
            <w:rStyle w:val="a9"/>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2E2E06" w:rsidP="00B36881">
      <w:pPr>
        <w:rPr>
          <w:lang w:eastAsia="x-none"/>
        </w:rPr>
      </w:pPr>
      <w:hyperlink r:id="rId25" w:history="1">
        <w:r w:rsidR="00B36881">
          <w:rPr>
            <w:rStyle w:val="a9"/>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2E2E06" w:rsidP="00B36881">
      <w:pPr>
        <w:rPr>
          <w:lang w:eastAsia="x-none"/>
        </w:rPr>
      </w:pPr>
      <w:hyperlink r:id="rId26" w:history="1">
        <w:r w:rsidR="00B36881">
          <w:rPr>
            <w:rStyle w:val="a9"/>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2E2E06" w:rsidP="00B36881">
      <w:pPr>
        <w:rPr>
          <w:lang w:eastAsia="x-none"/>
        </w:rPr>
      </w:pPr>
      <w:hyperlink r:id="rId27" w:history="1">
        <w:r w:rsidR="00B36881">
          <w:rPr>
            <w:rStyle w:val="a9"/>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2E2E06" w:rsidP="00B36881">
      <w:pPr>
        <w:rPr>
          <w:lang w:eastAsia="x-none"/>
        </w:rPr>
      </w:pPr>
      <w:hyperlink r:id="rId28" w:history="1">
        <w:r w:rsidR="00B36881">
          <w:rPr>
            <w:rStyle w:val="a9"/>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2E2E06" w:rsidP="00B36881">
      <w:pPr>
        <w:rPr>
          <w:lang w:eastAsia="x-none"/>
        </w:rPr>
      </w:pPr>
      <w:hyperlink r:id="rId29" w:history="1">
        <w:r w:rsidR="00B36881">
          <w:rPr>
            <w:rStyle w:val="a9"/>
            <w:lang w:eastAsia="x-none"/>
          </w:rPr>
          <w:t>R1-2109266</w:t>
        </w:r>
      </w:hyperlink>
      <w:r w:rsidR="00B36881">
        <w:rPr>
          <w:lang w:eastAsia="x-none"/>
        </w:rPr>
        <w:tab/>
        <w:t>Timing relationship enhancements for NB-IoT/eMTC over NTN  Nokia, Nokia Shanghai Bell</w:t>
      </w:r>
    </w:p>
    <w:p w14:paraId="07212C59" w14:textId="1E5181F8" w:rsidR="00B36881" w:rsidRDefault="002E2E06" w:rsidP="00B36881">
      <w:pPr>
        <w:rPr>
          <w:lang w:eastAsia="x-none"/>
        </w:rPr>
      </w:pPr>
      <w:hyperlink r:id="rId30" w:history="1">
        <w:r w:rsidR="00B36881">
          <w:rPr>
            <w:rStyle w:val="a9"/>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2E2E06" w:rsidP="00B36881">
      <w:pPr>
        <w:rPr>
          <w:lang w:eastAsia="x-none"/>
        </w:rPr>
      </w:pPr>
      <w:hyperlink r:id="rId31" w:history="1">
        <w:r w:rsidR="00B36881">
          <w:rPr>
            <w:rStyle w:val="a9"/>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2E2E06" w:rsidP="00B36881">
      <w:pPr>
        <w:rPr>
          <w:lang w:eastAsia="x-none"/>
        </w:rPr>
      </w:pPr>
      <w:hyperlink r:id="rId32" w:history="1">
        <w:r w:rsidR="00B36881">
          <w:rPr>
            <w:rStyle w:val="a9"/>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2E2E06" w:rsidP="00B36881">
      <w:pPr>
        <w:rPr>
          <w:lang w:eastAsia="x-none"/>
        </w:rPr>
      </w:pPr>
      <w:hyperlink r:id="rId33" w:history="1">
        <w:r w:rsidR="00B36881">
          <w:rPr>
            <w:rStyle w:val="a9"/>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2E2E06" w:rsidP="00B36881">
      <w:pPr>
        <w:rPr>
          <w:lang w:eastAsia="x-none"/>
        </w:rPr>
      </w:pPr>
      <w:hyperlink r:id="rId34" w:history="1">
        <w:r w:rsidR="00B36881">
          <w:rPr>
            <w:rStyle w:val="a9"/>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2E2E06" w:rsidP="00B36881">
      <w:pPr>
        <w:rPr>
          <w:lang w:eastAsia="x-none"/>
        </w:rPr>
      </w:pPr>
      <w:hyperlink r:id="rId35" w:history="1">
        <w:r w:rsidR="00B36881">
          <w:rPr>
            <w:rStyle w:val="a9"/>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2E2E06" w:rsidP="00B36881">
      <w:pPr>
        <w:rPr>
          <w:lang w:eastAsia="x-none"/>
        </w:rPr>
      </w:pPr>
      <w:hyperlink r:id="rId36" w:history="1">
        <w:r w:rsidR="00B36881">
          <w:rPr>
            <w:rStyle w:val="a9"/>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2E2E06" w:rsidP="00B36881">
      <w:pPr>
        <w:rPr>
          <w:lang w:eastAsia="x-none"/>
        </w:rPr>
      </w:pPr>
      <w:hyperlink r:id="rId37" w:history="1">
        <w:r w:rsidR="00B36881">
          <w:rPr>
            <w:rStyle w:val="a9"/>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2E2E06" w:rsidP="00B36881">
      <w:pPr>
        <w:rPr>
          <w:lang w:eastAsia="x-none"/>
        </w:rPr>
      </w:pPr>
      <w:hyperlink r:id="rId38" w:history="1">
        <w:r w:rsidR="00B36881">
          <w:rPr>
            <w:rStyle w:val="a9"/>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2E2E06" w:rsidP="00B36881">
      <w:pPr>
        <w:rPr>
          <w:lang w:eastAsia="x-none"/>
        </w:rPr>
      </w:pPr>
      <w:hyperlink r:id="rId39" w:history="1">
        <w:r w:rsidR="00B36881">
          <w:rPr>
            <w:rStyle w:val="a9"/>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2E2E06" w:rsidP="00B36881">
      <w:pPr>
        <w:rPr>
          <w:lang w:eastAsia="x-none"/>
        </w:rPr>
      </w:pPr>
      <w:hyperlink r:id="rId40" w:history="1">
        <w:r w:rsidR="00B36881">
          <w:rPr>
            <w:rStyle w:val="a9"/>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AB57" w14:textId="77777777" w:rsidR="002E2E06" w:rsidRDefault="002E2E06" w:rsidP="00EE1A16">
      <w:r>
        <w:separator/>
      </w:r>
    </w:p>
  </w:endnote>
  <w:endnote w:type="continuationSeparator" w:id="0">
    <w:p w14:paraId="2ADBB4CD" w14:textId="77777777" w:rsidR="002E2E06" w:rsidRDefault="002E2E06" w:rsidP="00EE1A16">
      <w:r>
        <w:continuationSeparator/>
      </w:r>
    </w:p>
  </w:endnote>
  <w:endnote w:type="continuationNotice" w:id="1">
    <w:p w14:paraId="16BE1B18" w14:textId="77777777" w:rsidR="002E2E06" w:rsidRDefault="002E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8"/>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BD849" w14:textId="77777777" w:rsidR="002E2E06" w:rsidRDefault="002E2E06" w:rsidP="00EE1A16">
      <w:r>
        <w:separator/>
      </w:r>
    </w:p>
  </w:footnote>
  <w:footnote w:type="continuationSeparator" w:id="0">
    <w:p w14:paraId="62C56FCA" w14:textId="77777777" w:rsidR="002E2E06" w:rsidRDefault="002E2E06" w:rsidP="00EE1A16">
      <w:r>
        <w:continuationSeparator/>
      </w:r>
    </w:p>
  </w:footnote>
  <w:footnote w:type="continuationNotice" w:id="1">
    <w:p w14:paraId="04AC3FB7" w14:textId="77777777" w:rsidR="002E2E06" w:rsidRDefault="002E2E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CE5"/>
    <w:rsid w:val="006F16C2"/>
    <w:rsid w:val="006F3DBA"/>
    <w:rsid w:val="006F3EF0"/>
    <w:rsid w:val="006F417A"/>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nhideWhenUsed/>
    <w:rsid w:val="0012077F"/>
    <w:pPr>
      <w:overflowPunct w:val="0"/>
      <w:autoSpaceDE w:val="0"/>
      <w:autoSpaceDN w:val="0"/>
      <w:adjustRightInd w:val="0"/>
      <w:snapToGrid w:val="0"/>
      <w:spacing w:after="120"/>
      <w:jc w:val="both"/>
    </w:pPr>
    <w:rPr>
      <w:rFonts w:eastAsia="宋体"/>
    </w:rPr>
  </w:style>
  <w:style w:type="character" w:customStyle="1" w:styleId="Char4">
    <w:name w:val="批注文字 Char"/>
    <w:basedOn w:val="a0"/>
    <w:link w:val="ad"/>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cid:image018.jpg@01D79A67.FC7D2D50" TargetMode="External"/><Relationship Id="rId26" Type="http://schemas.openxmlformats.org/officeDocument/2006/relationships/hyperlink" Target="file:///C:\Users\gbatungs\Documents\sam\stds\3GPP\RAN\RAN1\Docs\R1-2109172.zip" TargetMode="External"/><Relationship Id="rId39" Type="http://schemas.openxmlformats.org/officeDocument/2006/relationships/hyperlink" Target="file:///C:\Users\gbatungs\Documents\sam\stds\3GPP\RAN\RAN1\Docs\R1-2110064.zip" TargetMode="External"/><Relationship Id="rId3" Type="http://schemas.openxmlformats.org/officeDocument/2006/relationships/customXml" Target="../customXml/item3.xml"/><Relationship Id="rId21" Type="http://schemas.openxmlformats.org/officeDocument/2006/relationships/hyperlink" Target="file:///C:\Users\gbatungs\Documents\sam\stds\3GPP\RAN\RAN1\Docs\R1-2108751.zip" TargetMode="External"/><Relationship Id="rId34" Type="http://schemas.openxmlformats.org/officeDocument/2006/relationships/hyperlink" Target="file:///C:\Users\gbatungs\Documents\sam\stds\3GPP\RAN\RAN1\Docs\R1-2109641.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file:///C:\Users\gbatungs\Documents\sam\stds\3GPP\RAN\RAN1\Docs\R1-2109116.zip" TargetMode="External"/><Relationship Id="rId33" Type="http://schemas.openxmlformats.org/officeDocument/2006/relationships/hyperlink" Target="file:///C:\Users\gbatungs\Documents\sam\stds\3GPP\RAN\RAN1\Docs\R1-2109523.zip" TargetMode="External"/><Relationship Id="rId38" Type="http://schemas.openxmlformats.org/officeDocument/2006/relationships/hyperlink" Target="file:///C:\Users\gbatungs\Documents\sam\stds\3GPP\RAN\RAN1\Docs\R1-2109957.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cid:image003.jpg@01D79B8A.8C924FB0" TargetMode="External"/><Relationship Id="rId29" Type="http://schemas.openxmlformats.org/officeDocument/2006/relationships/hyperlink" Target="file:///C:\Users\gbatungs\Documents\sam\stds\3GPP\RAN\RAN1\Docs\R1-210926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81.zip" TargetMode="External"/><Relationship Id="rId32" Type="http://schemas.openxmlformats.org/officeDocument/2006/relationships/hyperlink" Target="file:///C:\Users\gbatungs\Documents\sam\stds\3GPP\RAN\RAN1\Docs\R1-2109397.zip" TargetMode="External"/><Relationship Id="rId37" Type="http://schemas.openxmlformats.org/officeDocument/2006/relationships/hyperlink" Target="file:///C:\Users\gbatungs\Documents\sam\stds\3GPP\RAN\RAN1\Docs\R1-2109848.zip" TargetMode="External"/><Relationship Id="rId40"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9012.zip" TargetMode="External"/><Relationship Id="rId28" Type="http://schemas.openxmlformats.org/officeDocument/2006/relationships/hyperlink" Target="file:///C:\Users\gbatungs\Documents\sam\stds\3GPP\RAN\RAN1\Docs\R1-2109202.zip" TargetMode="External"/><Relationship Id="rId36" Type="http://schemas.openxmlformats.org/officeDocument/2006/relationships/hyperlink" Target="file:///C:\Users\gbatungs\Documents\sam\stds\3GPP\RAN\RAN1\Docs\R1-2109830.zi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file:///C:\Users\gbatungs\Documents\sam\stds\3GPP\RAN\RAN1\Docs\R1-2109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932.zip" TargetMode="External"/><Relationship Id="rId27" Type="http://schemas.openxmlformats.org/officeDocument/2006/relationships/hyperlink" Target="file:///C:\Users\gbatungs\Documents\sam\stds\3GPP\RAN\RAN1\Docs\R1-2109177.zip" TargetMode="External"/><Relationship Id="rId30" Type="http://schemas.openxmlformats.org/officeDocument/2006/relationships/hyperlink" Target="file:///C:\Users\gbatungs\Documents\sam\stds\3GPP\RAN\RAN1\Docs\R1-2109309.zip" TargetMode="External"/><Relationship Id="rId35" Type="http://schemas.openxmlformats.org/officeDocument/2006/relationships/hyperlink" Target="file:///C:\Users\gbatungs\Documents\sam\stds\3GPP\RAN\RAN1\Docs\R1-21098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B0B3A380-52D1-40C6-84A8-BB38ABB9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9998</Words>
  <Characters>56995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66860</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Lei, Reven (雷珍珠)</cp:lastModifiedBy>
  <cp:revision>5</cp:revision>
  <dcterms:created xsi:type="dcterms:W3CDTF">2021-10-12T21:01:00Z</dcterms:created>
  <dcterms:modified xsi:type="dcterms:W3CDTF">2021-10-13T01:10:00Z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