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Heading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Heading1"/>
        <w:jc w:val="both"/>
        <w:rPr>
          <w:rFonts w:cs="Arial"/>
          <w:lang w:val="en-US"/>
        </w:rPr>
      </w:pPr>
      <w:r>
        <w:rPr>
          <w:rFonts w:cs="Arial"/>
          <w:lang w:val="en-US"/>
        </w:rPr>
        <w:t>2. Discussion</w:t>
      </w:r>
    </w:p>
    <w:p w14:paraId="28BE8972" w14:textId="77777777" w:rsidR="00F713FE" w:rsidRDefault="00853400">
      <w:pPr>
        <w:pStyle w:val="Heading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Heading4"/>
      </w:pPr>
      <w:r w:rsidRPr="00513AFF">
        <w:t>2.1.1.1</w:t>
      </w:r>
      <w:r w:rsidR="00805384">
        <w:tab/>
      </w:r>
      <w:r>
        <w:t xml:space="preserve">Type B </w:t>
      </w:r>
      <w:r w:rsidRPr="00513AFF">
        <w:t>BD/CCE limits</w:t>
      </w:r>
    </w:p>
    <w:p w14:paraId="798F5021" w14:textId="3B25746E" w:rsidR="00F713FE" w:rsidRDefault="00853400">
      <w:pPr>
        <w:pStyle w:val="ListParagraph"/>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4A395A"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4A395A"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ListParagraph"/>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ListParagraph"/>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Heading4"/>
      </w:pPr>
      <w:r>
        <w:t>2.1.1.2</w:t>
      </w:r>
      <w:r>
        <w:tab/>
        <w:t>Type A PDCCH monitoring and BD/CCE limits</w:t>
      </w:r>
    </w:p>
    <w:p w14:paraId="0C3C283B" w14:textId="77777777" w:rsidR="00583D33" w:rsidRDefault="00583D33" w:rsidP="00602FB0">
      <w:pPr>
        <w:pStyle w:val="ListParagraph"/>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ListParagraph"/>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ListParagraph"/>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ListParagraph"/>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ListParagraph"/>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ListParagraph"/>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ListParagraph"/>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ListParagraph"/>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ListParagraph"/>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ListParagraph"/>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ListParagraph"/>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ListParagraph"/>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ListParagraph"/>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Heading2"/>
      </w:pPr>
      <w:r>
        <w:t>2.2</w:t>
      </w:r>
      <w:r>
        <w:tab/>
        <w:t>Proposals</w:t>
      </w:r>
    </w:p>
    <w:p w14:paraId="01FB7A09" w14:textId="77777777" w:rsidR="00F713FE" w:rsidRDefault="00853400">
      <w:pPr>
        <w:pStyle w:val="Heading3"/>
        <w:rPr>
          <w:lang w:val="en-US" w:eastAsia="zh-CN"/>
        </w:rPr>
      </w:pPr>
      <w:r>
        <w:rPr>
          <w:lang w:val="en-US" w:eastAsia="zh-CN"/>
        </w:rPr>
        <w:t>Proposal 1</w:t>
      </w:r>
    </w:p>
    <w:p w14:paraId="05CBA2ED" w14:textId="179D7C99"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6DDD4B5"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ListParagraph"/>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ListParagraph"/>
              <w:spacing w:line="240" w:lineRule="auto"/>
              <w:ind w:left="360"/>
              <w:rPr>
                <w:rFonts w:eastAsia="MS Mincho"/>
                <w:lang w:val="en-US" w:eastAsia="ja-JP"/>
              </w:rPr>
            </w:pPr>
          </w:p>
          <w:p w14:paraId="52466AE0"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089C7775"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14:paraId="71CB36AA"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ListParagraph"/>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7C082C75" w14:textId="4A64C19E"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w:t>
            </w:r>
            <w:r>
              <w:rPr>
                <w:rFonts w:eastAsia="MS Mincho"/>
                <w:lang w:val="en-US" w:eastAsia="ja-JP"/>
              </w:rPr>
              <w:t xml:space="preserve">Figure 1 in </w:t>
            </w:r>
            <w:r>
              <w:rPr>
                <w:rFonts w:eastAsia="MS Mincho"/>
                <w:lang w:val="en-US" w:eastAsia="ja-JP"/>
              </w:rPr>
              <w:t>our document [10],</w:t>
            </w:r>
            <w:r>
              <w:rPr>
                <w:rFonts w:eastAsia="MS Mincho"/>
                <w:lang w:val="en-US" w:eastAsia="ja-JP"/>
              </w:rPr>
              <w:t xml:space="preserve">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BF2F55"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77777777" w:rsidR="00BF2F55" w:rsidRPr="00BF2F55" w:rsidRDefault="00BF2F55">
            <w:pPr>
              <w:spacing w:after="120"/>
              <w:jc w:val="both"/>
              <w:rPr>
                <w:rFonts w:eastAsia="MS Mincho"/>
                <w:lang w:eastAsia="ja-JP"/>
              </w:rPr>
            </w:pPr>
          </w:p>
        </w:tc>
        <w:tc>
          <w:tcPr>
            <w:tcW w:w="8010" w:type="dxa"/>
            <w:tcBorders>
              <w:top w:val="single" w:sz="4" w:space="0" w:color="auto"/>
              <w:left w:val="single" w:sz="4" w:space="0" w:color="auto"/>
              <w:bottom w:val="single" w:sz="4" w:space="0" w:color="auto"/>
              <w:right w:val="single" w:sz="4" w:space="0" w:color="auto"/>
            </w:tcBorders>
          </w:tcPr>
          <w:p w14:paraId="67FCEF65" w14:textId="77777777" w:rsidR="00BF2F55" w:rsidRDefault="00BF2F55">
            <w:pPr>
              <w:spacing w:line="240" w:lineRule="auto"/>
              <w:rPr>
                <w:rFonts w:eastAsia="MS Mincho"/>
                <w:lang w:val="en-US" w:eastAsia="ja-JP"/>
              </w:rPr>
            </w:pPr>
          </w:p>
        </w:tc>
      </w:tr>
    </w:tbl>
    <w:p w14:paraId="087A641C" w14:textId="4F173BB8" w:rsidR="00F713FE" w:rsidRDefault="00F713FE">
      <w:pPr>
        <w:pStyle w:val="BodyText"/>
        <w:rPr>
          <w:lang w:val="en-GB"/>
        </w:rPr>
      </w:pPr>
    </w:p>
    <w:p w14:paraId="7FF8A7DC" w14:textId="09069AB4" w:rsidR="00A64B67" w:rsidRDefault="00A64B67" w:rsidP="00A64B67">
      <w:pPr>
        <w:pStyle w:val="Heading3"/>
        <w:rPr>
          <w:lang w:val="en-US" w:eastAsia="zh-CN"/>
        </w:rPr>
      </w:pPr>
      <w:r>
        <w:rPr>
          <w:lang w:val="en-US" w:eastAsia="zh-CN"/>
        </w:rPr>
        <w:t>Discussion Point 2</w:t>
      </w:r>
    </w:p>
    <w:p w14:paraId="43AAEBEB" w14:textId="57C2177B"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3"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3"/>
    <w:p w14:paraId="2763F99C" w14:textId="53A46FB3"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ListParagraph"/>
        <w:numPr>
          <w:ilvl w:val="2"/>
          <w:numId w:val="7"/>
        </w:numPr>
        <w:overflowPunct/>
        <w:autoSpaceDE/>
        <w:autoSpaceDN/>
        <w:adjustRightInd/>
        <w:spacing w:after="160" w:line="259" w:lineRule="auto"/>
        <w:textAlignment w:val="auto"/>
      </w:pPr>
      <w:r>
        <w:lastRenderedPageBreak/>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BF2F55"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77777777" w:rsidR="00BF2F55" w:rsidRDefault="00BF2F55" w:rsidP="00914BE7">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362E8784"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169ABC8D" w14:textId="77777777" w:rsidR="007B697A" w:rsidRDefault="007B697A" w:rsidP="003B7449">
      <w:pPr>
        <w:pStyle w:val="ListParagraph"/>
        <w:overflowPunct/>
        <w:autoSpaceDE/>
        <w:autoSpaceDN/>
        <w:adjustRightInd/>
        <w:spacing w:after="160" w:line="259" w:lineRule="auto"/>
        <w:ind w:left="2880"/>
        <w:textAlignment w:val="auto"/>
      </w:pPr>
    </w:p>
    <w:p w14:paraId="5D4AB5A1" w14:textId="5CDBE264" w:rsidR="00F062AA" w:rsidRDefault="00F062AA" w:rsidP="00F062AA">
      <w:pPr>
        <w:pStyle w:val="Heading3"/>
        <w:rPr>
          <w:lang w:val="en-US" w:eastAsia="zh-CN"/>
        </w:rPr>
      </w:pPr>
      <w:r>
        <w:rPr>
          <w:lang w:val="en-US" w:eastAsia="zh-CN"/>
        </w:rPr>
        <w:t>Proposal 3 (for conclusion)</w:t>
      </w:r>
    </w:p>
    <w:p w14:paraId="1626D388" w14:textId="71D411AF"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77777777" w:rsidR="00BF2F55" w:rsidRPr="00BF2F55" w:rsidRDefault="00BF2F55" w:rsidP="00914BE7">
            <w:pPr>
              <w:spacing w:after="120"/>
              <w:jc w:val="both"/>
              <w:rPr>
                <w:rFonts w:eastAsia="MS Mincho"/>
                <w:lang w:eastAsia="ja-JP"/>
              </w:rPr>
            </w:pPr>
          </w:p>
        </w:tc>
        <w:tc>
          <w:tcPr>
            <w:tcW w:w="8460" w:type="dxa"/>
            <w:tcBorders>
              <w:top w:val="single" w:sz="4" w:space="0" w:color="auto"/>
              <w:left w:val="single" w:sz="4" w:space="0" w:color="auto"/>
              <w:bottom w:val="single" w:sz="4" w:space="0" w:color="auto"/>
              <w:right w:val="single" w:sz="4" w:space="0" w:color="auto"/>
            </w:tcBorders>
          </w:tcPr>
          <w:p w14:paraId="4059D0EA"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Heading3"/>
        <w:rPr>
          <w:lang w:val="en-US" w:eastAsia="zh-CN"/>
        </w:rPr>
      </w:pPr>
      <w:r>
        <w:rPr>
          <w:lang w:val="en-US" w:eastAsia="zh-CN"/>
        </w:rPr>
        <w:t>Proposal 4</w:t>
      </w:r>
    </w:p>
    <w:p w14:paraId="7208C57B" w14:textId="77777777"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Heading3"/>
        <w:rPr>
          <w:lang w:val="en-US" w:eastAsia="zh-CN"/>
        </w:rPr>
      </w:pPr>
      <w:r>
        <w:rPr>
          <w:lang w:val="en-US" w:eastAsia="zh-CN"/>
        </w:rPr>
        <w:lastRenderedPageBreak/>
        <w:t>Proposal 5</w:t>
      </w:r>
      <w:r w:rsidR="000E005D">
        <w:rPr>
          <w:lang w:val="en-US" w:eastAsia="zh-CN"/>
        </w:rPr>
        <w:t xml:space="preserve"> (for conclusion)</w:t>
      </w:r>
    </w:p>
    <w:p w14:paraId="7D6A82C1" w14:textId="1BC781D2"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Heading3"/>
        <w:rPr>
          <w:lang w:val="en-US" w:eastAsia="zh-CN"/>
        </w:rPr>
      </w:pPr>
      <w:r w:rsidRPr="00A42203">
        <w:rPr>
          <w:lang w:val="en-US" w:eastAsia="zh-CN"/>
        </w:rPr>
        <w:t>Proposal 6</w:t>
      </w:r>
    </w:p>
    <w:p w14:paraId="3D93A5D2" w14:textId="0647828E"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ListParagraph"/>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ListParagraph"/>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ListParagraph"/>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lastRenderedPageBreak/>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4528C94"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UEs, the proposal is also unnecessary as deactivation of the sSCell means low scheduling activity for the UE and RRC reconfiguration, if any, is fine. </w:t>
            </w:r>
          </w:p>
          <w:p w14:paraId="404086CB" w14:textId="77677301"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3CBC0881"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3A2C05F0" w14:textId="77777777" w:rsidR="00A41E88" w:rsidRDefault="004A395A" w:rsidP="00A41E88">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4917B44E"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35A42FA9"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BF2F55"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77777777" w:rsidR="00BF2F55" w:rsidRDefault="00BF2F55" w:rsidP="00B52D55">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084DFECA"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ListParagraph"/>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ListParagraph"/>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ListParagraph"/>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lastRenderedPageBreak/>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14:paraId="75DF3F41" w14:textId="77777777" w:rsidR="0055744D" w:rsidRDefault="0055744D" w:rsidP="00B52D55">
            <w:pPr>
              <w:pStyle w:val="ListParagraph"/>
              <w:overflowPunct/>
              <w:autoSpaceDE/>
              <w:autoSpaceDN/>
              <w:adjustRightInd/>
              <w:spacing w:after="160" w:line="259" w:lineRule="auto"/>
              <w:ind w:left="0"/>
              <w:textAlignment w:val="auto"/>
            </w:pPr>
          </w:p>
          <w:p w14:paraId="4514F757" w14:textId="14112B3C"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ListParagraph"/>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ListParagraph"/>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ListParagraph"/>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ListParagraph"/>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ListParagraph"/>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ListParagraph"/>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ListParagraph"/>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ListParagraph"/>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ListParagraph"/>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ListParagraph"/>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ListParagraph"/>
        <w:numPr>
          <w:ilvl w:val="0"/>
          <w:numId w:val="24"/>
        </w:numPr>
        <w:rPr>
          <w:lang w:eastAsia="zh-CN"/>
        </w:rPr>
      </w:pPr>
      <w:r>
        <w:rPr>
          <w:lang w:eastAsia="zh-CN"/>
        </w:rPr>
        <w:lastRenderedPageBreak/>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ListParagraph"/>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ListParagraph"/>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ListParagraph"/>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ListParagraph"/>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ListParagraph"/>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ListParagraph"/>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ListParagraph"/>
        <w:ind w:left="450"/>
        <w:rPr>
          <w:lang w:eastAsia="zh-CN"/>
        </w:rPr>
      </w:pPr>
    </w:p>
    <w:p w14:paraId="1545E4F7" w14:textId="77777777" w:rsidR="00F713FE" w:rsidRDefault="00853400">
      <w:pPr>
        <w:pStyle w:val="ListParagraph"/>
        <w:numPr>
          <w:ilvl w:val="0"/>
          <w:numId w:val="24"/>
        </w:numPr>
      </w:pPr>
      <w:r>
        <w:br w:type="page"/>
      </w:r>
    </w:p>
    <w:p w14:paraId="356D91CD"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Heading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Heading2"/>
      </w:pPr>
      <w:r>
        <w:t>Agreements from RAN1#103-e</w:t>
      </w:r>
    </w:p>
    <w:p w14:paraId="2763D1B0" w14:textId="77777777" w:rsidR="00F713FE" w:rsidRDefault="00853400">
      <w:pPr>
        <w:pStyle w:val="ListParagraph"/>
        <w:ind w:left="360"/>
        <w:rPr>
          <w:b/>
          <w:bCs/>
          <w:u w:val="single"/>
          <w:lang w:eastAsia="zh-CN"/>
        </w:rPr>
      </w:pPr>
      <w:r>
        <w:rPr>
          <w:b/>
          <w:bCs/>
          <w:u w:val="single"/>
          <w:lang w:eastAsia="zh-CN"/>
        </w:rPr>
        <w:t>Conclusion</w:t>
      </w:r>
    </w:p>
    <w:p w14:paraId="3B700E20"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ListParagraph"/>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ListParagraph"/>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 w:name="_Hlk72981840"/>
      <w:r>
        <w:rPr>
          <w:lang w:eastAsia="zh-CN"/>
        </w:rPr>
        <w:t xml:space="preserve">UE cannot be configured to monitor </w:t>
      </w:r>
      <w:bookmarkStart w:id="5" w:name="_Hlk72859933"/>
      <w:r>
        <w:rPr>
          <w:lang w:eastAsia="zh-CN"/>
        </w:rPr>
        <w:t xml:space="preserve">DCI formats 0_1,1_1,0_2,1_2 </w:t>
      </w:r>
      <w:bookmarkEnd w:id="5"/>
      <w:r>
        <w:rPr>
          <w:lang w:eastAsia="zh-CN"/>
        </w:rPr>
        <w:t>on PCell/PSCell USS set(s), and can be configured to monitor them only on the sSCell USS set(s)</w:t>
      </w:r>
      <w:bookmarkEnd w:id="4"/>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6" w:name="_Hlk72302031"/>
      <w:bookmarkStart w:id="7" w:name="_Hlk72859368"/>
      <w:r>
        <w:rPr>
          <w:lang w:eastAsia="zh-CN"/>
        </w:rPr>
        <w:t xml:space="preserve">UE can monitor DCI formats 0_1,1_1,0_2,1_2 on both PCell USS set(s) and sSCell USS sets </w:t>
      </w:r>
      <w:bookmarkEnd w:id="6"/>
      <w:r>
        <w:rPr>
          <w:lang w:eastAsia="zh-CN"/>
        </w:rPr>
        <w:t>simultaneously</w:t>
      </w:r>
    </w:p>
    <w:bookmarkEnd w:id="7"/>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8" w:name="_Hlk72302558"/>
      <w:r>
        <w:rPr>
          <w:lang w:eastAsia="zh-CN"/>
        </w:rPr>
        <w:t>Dynamic switching of PDCCH monitoring of DCI formats 0_1,1_1,0_2,1_2 between monitoring on PCell/PSCell USS sets and monitoring on sSCell USS sets is supported</w:t>
      </w:r>
    </w:p>
    <w:bookmarkEnd w:id="8"/>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Heading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Heading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9"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9"/>
    <w:p w14:paraId="53C1ACBE" w14:textId="77777777" w:rsidR="00F713FE" w:rsidRDefault="00853400">
      <w:pPr>
        <w:pStyle w:val="Heading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4A395A">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4A395A">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4A395A">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4A395A">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Heading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49F7" w14:textId="77777777" w:rsidR="004A395A" w:rsidRDefault="004A395A">
      <w:pPr>
        <w:spacing w:line="240" w:lineRule="auto"/>
      </w:pPr>
      <w:r>
        <w:separator/>
      </w:r>
    </w:p>
  </w:endnote>
  <w:endnote w:type="continuationSeparator" w:id="0">
    <w:p w14:paraId="7F43BEBD" w14:textId="77777777" w:rsidR="004A395A" w:rsidRDefault="004A3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A5AE" w14:textId="77777777" w:rsidR="004A395A" w:rsidRDefault="004A3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005C3" w14:textId="77777777" w:rsidR="004A395A" w:rsidRDefault="004A3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9800" w14:textId="47055264" w:rsidR="004A395A" w:rsidRDefault="004A39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B157" w14:textId="77777777" w:rsidR="00B00958" w:rsidRDefault="00B0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501FA" w14:textId="77777777" w:rsidR="004A395A" w:rsidRDefault="004A395A">
      <w:pPr>
        <w:spacing w:after="0" w:line="240" w:lineRule="auto"/>
      </w:pPr>
      <w:r>
        <w:separator/>
      </w:r>
    </w:p>
  </w:footnote>
  <w:footnote w:type="continuationSeparator" w:id="0">
    <w:p w14:paraId="1DAAE858" w14:textId="77777777" w:rsidR="004A395A" w:rsidRDefault="004A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81F4" w14:textId="77777777" w:rsidR="004A395A" w:rsidRDefault="004A395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8C6B" w14:textId="77777777" w:rsidR="00B00958" w:rsidRDefault="00B00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ABD1" w14:textId="77777777" w:rsidR="00B00958" w:rsidRDefault="00B00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7"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34"/>
  </w:num>
  <w:num w:numId="4">
    <w:abstractNumId w:val="7"/>
  </w:num>
  <w:num w:numId="5">
    <w:abstractNumId w:val="30"/>
  </w:num>
  <w:num w:numId="6">
    <w:abstractNumId w:val="17"/>
  </w:num>
  <w:num w:numId="7">
    <w:abstractNumId w:val="22"/>
  </w:num>
  <w:num w:numId="8">
    <w:abstractNumId w:val="24"/>
  </w:num>
  <w:num w:numId="9">
    <w:abstractNumId w:val="18"/>
  </w:num>
  <w:num w:numId="10">
    <w:abstractNumId w:val="16"/>
  </w:num>
  <w:num w:numId="11">
    <w:abstractNumId w:val="13"/>
  </w:num>
  <w:num w:numId="12">
    <w:abstractNumId w:val="3"/>
  </w:num>
  <w:num w:numId="13">
    <w:abstractNumId w:val="8"/>
  </w:num>
  <w:num w:numId="14">
    <w:abstractNumId w:val="4"/>
  </w:num>
  <w:num w:numId="15">
    <w:abstractNumId w:val="2"/>
  </w:num>
  <w:num w:numId="16">
    <w:abstractNumId w:val="28"/>
  </w:num>
  <w:num w:numId="17">
    <w:abstractNumId w:val="27"/>
  </w:num>
  <w:num w:numId="18">
    <w:abstractNumId w:val="19"/>
  </w:num>
  <w:num w:numId="19">
    <w:abstractNumId w:val="1"/>
  </w:num>
  <w:num w:numId="20">
    <w:abstractNumId w:val="5"/>
  </w:num>
  <w:num w:numId="21">
    <w:abstractNumId w:val="12"/>
  </w:num>
  <w:num w:numId="22">
    <w:abstractNumId w:val="25"/>
  </w:num>
  <w:num w:numId="23">
    <w:abstractNumId w:val="36"/>
  </w:num>
  <w:num w:numId="24">
    <w:abstractNumId w:val="10"/>
  </w:num>
  <w:num w:numId="25">
    <w:abstractNumId w:val="9"/>
  </w:num>
  <w:num w:numId="26">
    <w:abstractNumId w:val="29"/>
  </w:num>
  <w:num w:numId="27">
    <w:abstractNumId w:val="33"/>
  </w:num>
  <w:num w:numId="28">
    <w:abstractNumId w:val="0"/>
  </w:num>
  <w:num w:numId="29">
    <w:abstractNumId w:val="20"/>
  </w:num>
  <w:num w:numId="30">
    <w:abstractNumId w:val="22"/>
  </w:num>
  <w:num w:numId="31">
    <w:abstractNumId w:val="25"/>
  </w:num>
  <w:num w:numId="32">
    <w:abstractNumId w:val="11"/>
  </w:num>
  <w:num w:numId="33">
    <w:abstractNumId w:val="31"/>
  </w:num>
  <w:num w:numId="34">
    <w:abstractNumId w:val="26"/>
  </w:num>
  <w:num w:numId="35">
    <w:abstractNumId w:val="21"/>
  </w:num>
  <w:num w:numId="36">
    <w:abstractNumId w:val="37"/>
  </w:num>
  <w:num w:numId="37">
    <w:abstractNumId w:val="6"/>
  </w:num>
  <w:num w:numId="38">
    <w:abstractNumId w:val="35"/>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2280"/>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DA5"/>
    <w:rsid w:val="008C313A"/>
    <w:rsid w:val="008C3626"/>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7359</Words>
  <Characters>41952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Li, Yingyang</cp:lastModifiedBy>
  <cp:revision>2</cp:revision>
  <dcterms:created xsi:type="dcterms:W3CDTF">2021-10-12T01:48:00Z</dcterms:created>
  <dcterms:modified xsi:type="dcterms:W3CDTF">2021-10-12T01:48:00Z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ies>
</file>