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C4D4" w14:textId="502854F2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r w:rsidRPr="000B4383">
        <w:rPr>
          <w:rStyle w:val="1"/>
        </w:rPr>
        <w:t xml:space="preserve">3GPP TSG RAN WG1 Meeting #106bis-e     </w:t>
      </w:r>
      <w:r w:rsidRPr="000B4383">
        <w:rPr>
          <w:rStyle w:val="1"/>
        </w:rPr>
        <w:tab/>
      </w:r>
      <w:r w:rsidRPr="000B4383">
        <w:rPr>
          <w:rStyle w:val="1"/>
        </w:rPr>
        <w:tab/>
      </w:r>
      <w:r w:rsidRPr="000B4383">
        <w:rPr>
          <w:rStyle w:val="1"/>
        </w:rPr>
        <w:tab/>
        <w:t xml:space="preserve">                                             R1</w:t>
      </w:r>
      <w:r>
        <w:rPr>
          <w:rStyle w:val="1"/>
        </w:rPr>
        <w:t>-</w:t>
      </w:r>
      <w:r w:rsidRPr="000B4383">
        <w:rPr>
          <w:rStyle w:val="1"/>
        </w:rPr>
        <w:t>21</w:t>
      </w:r>
      <w:r w:rsidR="00DC2E16">
        <w:rPr>
          <w:rStyle w:val="1"/>
        </w:rPr>
        <w:t>1</w:t>
      </w:r>
      <w:r w:rsidRPr="000B4383">
        <w:rPr>
          <w:rStyle w:val="1"/>
        </w:rPr>
        <w:t>xxxx</w:t>
      </w:r>
    </w:p>
    <w:p w14:paraId="5EB6C67D" w14:textId="77777777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bookmarkStart w:id="0" w:name="_Hlk61804542"/>
      <w:r w:rsidRPr="000B4383">
        <w:rPr>
          <w:rStyle w:val="1"/>
        </w:rPr>
        <w:t>11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– 19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2021</w:t>
      </w:r>
      <w:bookmarkEnd w:id="0"/>
    </w:p>
    <w:p w14:paraId="6A3638BB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3D2B43FD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FDC0386" w14:textId="4B24858B" w:rsidR="000249F5" w:rsidRDefault="00C65226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="00C02247">
        <w:rPr>
          <w:rStyle w:val="SubtitleChar"/>
        </w:rPr>
        <w:t xml:space="preserve">Draft moderator summary of </w:t>
      </w:r>
      <w:r w:rsidR="00C02247" w:rsidRPr="00C02247">
        <w:rPr>
          <w:rStyle w:val="SubtitleChar"/>
        </w:rPr>
        <w:t>[106bis-e-R17-RRC-eIAB] Email discussion on Rel-17 RRC parameters for eIAB</w:t>
      </w:r>
    </w:p>
    <w:p w14:paraId="767FF183" w14:textId="779F4BF3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 w:rsidR="0002162B">
        <w:rPr>
          <w:rStyle w:val="SubtitleChar"/>
        </w:rPr>
        <w:t>Discussion and decision</w:t>
      </w:r>
    </w:p>
    <w:p w14:paraId="25611385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1836A292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upper layer parameters to support eIAB physical layer operation:</w:t>
      </w:r>
    </w:p>
    <w:p w14:paraId="77A0F3E0" w14:textId="77777777" w:rsidR="00C02247" w:rsidRDefault="00C02247" w:rsidP="00C02247">
      <w:pPr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R17-RRC-eIAB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eIAB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74B8DDD2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October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14</w:t>
      </w:r>
    </w:p>
    <w:p w14:paraId="7322AE75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October</w:t>
      </w:r>
      <w:r>
        <w:rPr>
          <w:rFonts w:hint="eastAsia"/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19</w:t>
      </w:r>
    </w:p>
    <w:p w14:paraId="148BB15F" w14:textId="77777777" w:rsidR="00C02247" w:rsidRDefault="00C02247" w:rsidP="00C02247">
      <w:pPr>
        <w:rPr>
          <w:i/>
          <w:iCs/>
        </w:rPr>
      </w:pPr>
    </w:p>
    <w:p w14:paraId="660C4BC3" w14:textId="2BA36B21" w:rsidR="002E7E89" w:rsidRDefault="002E7E89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post RAN1#106-e email discussion </w:t>
      </w:r>
      <w:r w:rsidRPr="002E7E89">
        <w:rPr>
          <w:rFonts w:ascii="Times New Roman" w:hAnsi="Times New Roman" w:cs="Times New Roman"/>
          <w:bCs/>
          <w:i/>
          <w:iCs/>
          <w:lang w:eastAsia="zh-CN"/>
        </w:rPr>
        <w:t>“[Post-106-e-Rel17-RRC-10] Summary of email discussion on RRC parameters for eIAB</w:t>
      </w:r>
      <w:r>
        <w:rPr>
          <w:rFonts w:ascii="Times New Roman" w:hAnsi="Times New Roman" w:cs="Times New Roman"/>
          <w:bCs/>
          <w:lang w:eastAsia="zh-CN"/>
        </w:rPr>
        <w:t>”, which is summarized in [1].</w:t>
      </w:r>
    </w:p>
    <w:p w14:paraId="602FB13C" w14:textId="7B0076B4" w:rsidR="002E7E89" w:rsidRDefault="00F873C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Additional input was provided in [2]: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F873CA" w14:paraId="08A3D214" w14:textId="77777777" w:rsidTr="00F873CA">
        <w:tc>
          <w:tcPr>
            <w:tcW w:w="1345" w:type="dxa"/>
          </w:tcPr>
          <w:p w14:paraId="59BB8594" w14:textId="77777777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Ericsson</w:t>
            </w:r>
          </w:p>
          <w:p w14:paraId="06B7EF68" w14:textId="3EE89E00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R1-2110333</w:t>
            </w:r>
          </w:p>
        </w:tc>
        <w:tc>
          <w:tcPr>
            <w:tcW w:w="8005" w:type="dxa"/>
          </w:tcPr>
          <w:p w14:paraId="596812BD" w14:textId="026FBF7F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F873CA">
              <w:rPr>
                <w:rFonts w:ascii="Times New Roman" w:hAnsi="Times New Roman" w:cs="Times New Roman"/>
                <w:bCs/>
                <w:noProof/>
                <w:lang w:eastAsia="zh-CN"/>
              </w:rPr>
              <w:drawing>
                <wp:inline distT="0" distB="0" distL="0" distR="0" wp14:anchorId="14120C55" wp14:editId="477C51C0">
                  <wp:extent cx="4790661" cy="4846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502" cy="4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E36E" w14:textId="4EC33E1B" w:rsidR="00F873CA" w:rsidRDefault="00F873CA">
      <w:pPr>
        <w:rPr>
          <w:rFonts w:ascii="Times New Roman" w:hAnsi="Times New Roman" w:cs="Times New Roman"/>
          <w:bCs/>
          <w:lang w:eastAsia="zh-CN"/>
        </w:rPr>
      </w:pPr>
    </w:p>
    <w:p w14:paraId="33327CCF" w14:textId="00446D5B" w:rsidR="008C2788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moderator assessment is that the proposal in [2] makes sense, however it should be discussed and agreed as part of the 8.10.1 agenda item.</w:t>
      </w:r>
    </w:p>
    <w:p w14:paraId="44E5275E" w14:textId="1324E9BF" w:rsidR="000249F5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As a result it is recommended to use as a starting point the output from </w:t>
      </w:r>
      <w:r w:rsidR="001449C8">
        <w:rPr>
          <w:rFonts w:ascii="Times New Roman" w:hAnsi="Times New Roman" w:cs="Times New Roman"/>
          <w:bCs/>
          <w:lang w:eastAsia="zh-CN"/>
        </w:rPr>
        <w:t>[1], which is included below.</w:t>
      </w:r>
    </w:p>
    <w:p w14:paraId="501585A3" w14:textId="27FB079E" w:rsidR="000249F5" w:rsidRDefault="001449C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It is also recommended that until further notice we continue the discussion using this format. In the meantime the moderator will start preparing the required xls format as per the guidance from [3].</w:t>
      </w:r>
    </w:p>
    <w:p w14:paraId="64B496DA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F0C24D3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0FEDA79E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0249F5" w14:paraId="4798E172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B4420B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6FA77E1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79D3D5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36478F6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255E10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63A6854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6532C5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FD8C6A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4974E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F163D9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4344F5D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0249F5" w14:paraId="08EA14B1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B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118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192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B939" w14:textId="69DB4981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frequency-domain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133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H/S/NA attributes per RB set, per D/U/F resource type within a slot.</w:t>
            </w:r>
          </w:p>
          <w:p w14:paraId="74304290" w14:textId="1C9FCB28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81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5F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14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B1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B17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8E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4CDC32D8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36976E86" w14:textId="77777777" w:rsidR="000249F5" w:rsidRDefault="00C65226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6A77CD4A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0B7C15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00A3F033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If an IAB node is configured with a frequency-domain H/S/NA configuration down select between the following options:</w:t>
            </w:r>
          </w:p>
          <w:p w14:paraId="2C427B57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D8295E5" w14:textId="77777777" w:rsidR="000249F5" w:rsidRDefault="00C65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65BD36A3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2 The Rel-16 H/S/NA configuration and frequency domain configuration are jointly applied</w:t>
            </w:r>
          </w:p>
          <w:p w14:paraId="26E5F581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080F6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343F5CD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399E53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7BC2B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0249F5" w14:paraId="420FB2A4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D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82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D18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992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A5" w14:textId="77777777" w:rsidR="000249F5" w:rsidRDefault="00C6522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16CB7E1F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2350" w14:textId="224800FB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List of values {2, 4, 8, 16, 32, 64}</w:t>
            </w:r>
          </w:p>
          <w:p w14:paraId="582A7399" w14:textId="12103FF1" w:rsidR="000249F5" w:rsidRPr="00C65226" w:rsidRDefault="00613F1E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>N is at least the # PRBs corresponding to the MT’s #PRB of an RBG</w:t>
            </w:r>
            <w:r>
              <w:rPr>
                <w:rFonts w:eastAsia="Times New Roman"/>
                <w:bCs/>
                <w:sz w:val="16"/>
                <w:szCs w:val="16"/>
              </w:rPr>
              <w:t>]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  <w:p w14:paraId="6FA199A8" w14:textId="028D505E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38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4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22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A38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2F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029647F7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A5382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CDFBE5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54F9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minimum resource size for configuring the frequency domain granularity is a set of N RBs:</w:t>
            </w:r>
          </w:p>
          <w:p w14:paraId="430C28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Candidate values for N: {4, 8, 16, other values TBD}</w:t>
            </w:r>
          </w:p>
          <w:p w14:paraId="447CA65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N is at least the # PRBs that are corresponding to the MT’s # PRBs of an RBG).</w:t>
            </w:r>
          </w:p>
          <w:p w14:paraId="7D06B19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Scaling or configuration of N based on system BW or size of IAB-MT BWP</w:t>
            </w:r>
          </w:p>
          <w:p w14:paraId="04D716F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97DA6A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EA2FD8F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E623C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F65D8F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6700481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is a configured number of PRBs, where the CU configures N</w:t>
            </w:r>
          </w:p>
          <w:p w14:paraId="62697C43" w14:textId="77777777" w:rsidR="000249F5" w:rsidRDefault="00C65226">
            <w:pPr>
              <w:pStyle w:val="ListParagraph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14:paraId="03D10769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14:paraId="0515FE4C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37C9511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38FB5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2D4971CC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C9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C9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796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6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0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4F8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2AF5B7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9D3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A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7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4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1B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B2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8CBEAEC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0273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ED4DC2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0CCCF115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3EAB4DD6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02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4E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D4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7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38B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(e.g.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3D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(e.g.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EE6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0B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F54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69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1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1C2FCE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D51E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CEC1443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D2263A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(e.g. SSB, CORESET 0, and RACH and configurations) from/for different parent nodes.</w:t>
            </w:r>
          </w:p>
          <w:p w14:paraId="541181BF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05B1D84B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60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6F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C5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1CB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3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A43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C8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4A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5E20805A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1FE8DCA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366CCD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9CD0E79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 w14:paraId="2AB124E8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(e.g. using the same Rel-16 MAC-CE design) to support indication of guard symbols additionally required for Case #6 and Case #7 timing cases.</w:t>
            </w:r>
          </w:p>
          <w:p w14:paraId="68E18FCD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30569C2B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0249F5" w14:paraId="3E1D6893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1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E40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EC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D68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Heading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28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413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B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38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352629A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419D56D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694498D2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F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96FB" w14:textId="0250C52C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FFS: Resource multiplexing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or Interference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E1E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9D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277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from a parent node to a child node indicating beams of an IAB-DU in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D10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B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6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2A8E182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E006C0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46FDB6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23FD3BB" w14:textId="77777777" w:rsidR="000249F5" w:rsidRDefault="00C65226">
            <w:pPr>
              <w:spacing w:line="256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16"/>
                <w:szCs w:val="16"/>
                <w:highlight w:val="green"/>
                <w:lang w:eastAsia="zh-CN"/>
              </w:rPr>
              <w:lastRenderedPageBreak/>
              <w:t>Agreement</w:t>
            </w:r>
          </w:p>
          <w:p w14:paraId="15AA8F51" w14:textId="77777777" w:rsidR="000249F5" w:rsidRDefault="00C65226">
            <w:pPr>
              <w:spacing w:line="256" w:lineRule="auto"/>
              <w:rPr>
                <w:rFonts w:ascii="Times New Roman" w:eastAsia="DengXi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4B48DCEF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(e.g. TCI state ID, Spatial relation information ID, RS ID (including CSI-RS, SRS, SSB, etc.))</w:t>
            </w:r>
          </w:p>
          <w:p w14:paraId="455093BE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3F40AE79" w14:textId="77777777" w:rsidR="000249F5" w:rsidRDefault="000249F5">
            <w:pPr>
              <w:spacing w:after="0" w:line="240" w:lineRule="auto"/>
              <w:rPr>
                <w:bCs/>
              </w:rPr>
            </w:pPr>
          </w:p>
          <w:p w14:paraId="2F72389E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BF2C503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3B7CE61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4194170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0249F5" w14:paraId="5EBDC2C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7A7A75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BF33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3EAF2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D1E553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7748C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0C1EFF12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2C11B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B0211F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3905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F4E03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49DDC4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3BCD8ED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7EE3B8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696F81D0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Rel-16 CLI coordination signalling (Intended TDD DL-UL Configuration) is extended to support IAB specific UFD patterns.</w:t>
            </w:r>
          </w:p>
          <w:p w14:paraId="75D3F07C" w14:textId="77777777" w:rsidR="000249F5" w:rsidRDefault="00C652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FFS: Support the exchange of IAB-DU H/S/NA resource configuration information among neighbouring IAB-nodes/IAB-donors for CLI management purposes.</w:t>
            </w:r>
          </w:p>
        </w:tc>
      </w:tr>
      <w:tr w:rsidR="000249F5" w14:paraId="64CF311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30E61E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6C57A" w14:textId="6FA8E41A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FFS: Resource multiplexing or 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7292F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77BF52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79A014" w14:textId="3D43B659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peer IAB-node or donor DU that can be used for resource coordination in case of DC, and/or  for interference management</w:t>
            </w:r>
          </w:p>
          <w:p w14:paraId="49FF0C3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8451A7" w14:textId="69B73EBC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SCS, DUF TX periodicity, DUF config, HSNA periodicity and HSNA config) 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Rel-17 frequency-domain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gNB-DU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“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and “</w:t>
            </w: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3D4BEE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96E89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6B23D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3D0BAE1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F1AP and Xn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0FCED0D" w14:textId="2B789BEA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44DD1352" w14:textId="4626FE77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2192A801" w14:textId="69C38F1C" w:rsidR="005A45E6" w:rsidRPr="00346113" w:rsidRDefault="005A45E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299E3929" w14:textId="0E6C90B9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603914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2C31C8" w14:textId="47C4B152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Support the exchange of semi-static Rel-16 IAB-DU H/S/NA resource configuration information and Rel-17 frequency domain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IAB-DU H/S/NA resource configuration information among neighbouring IAB-nodes/IAB-donors</w:t>
            </w:r>
          </w:p>
          <w:p w14:paraId="4F7E810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14:paraId="4327B172" w14:textId="77777777" w:rsidR="000249F5" w:rsidRDefault="000249F5">
            <w:pPr>
              <w:spacing w:after="0"/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0249F5" w14:paraId="7DC80C30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B9B0E8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A37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7482A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3C54CC9" w14:textId="228A4C29" w:rsidR="000249F5" w:rsidRDefault="00A96234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[</w:t>
            </w:r>
            <w:r w:rsidR="00C65226"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  <w:r>
              <w:rPr>
                <w:rStyle w:val="fontstyle01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F884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5BBBA352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48755BFA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595661D5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  <w:p w14:paraId="61F40450" w14:textId="77777777" w:rsidR="000249F5" w:rsidRDefault="00C65226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[FFS] whether the indication should be associated with another dimensions, e.g. multiplexing cases</w:t>
            </w:r>
          </w:p>
          <w:p w14:paraId="69566C64" w14:textId="77777777" w:rsidR="000249F5" w:rsidRDefault="000249F5" w:rsidP="00C65226">
            <w:pPr>
              <w:pStyle w:val="ListParagraph"/>
              <w:spacing w:after="0"/>
              <w:ind w:left="720" w:firstLineChars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8937C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2DCC5F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634C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2743A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D1C40A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95A8DD8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22008BFC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0A07076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4AB3F7D9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Case 6 and Case 7 timing shall be restricted to certain resources, e.g. excluding resources used for access or TDM backhaul</w:t>
            </w:r>
          </w:p>
          <w:p w14:paraId="75381C37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049F68C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7282C13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1D3AC2DB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5212D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1A8ABC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ED3A339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2829B40D" w14:textId="77777777" w:rsidR="000249F5" w:rsidRDefault="00C65226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(e.g. semi-static and/or dynamic, implicit and/or explicit, linkage to multiplexing capability, etc.).</w:t>
            </w:r>
          </w:p>
          <w:p w14:paraId="62ED113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BBB4C0B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14:paraId="1B6117A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6D4B9A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59E33C05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7D826B7F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whether the indication should be associated with another dimensions, e.g. multiplexing cases</w:t>
            </w:r>
          </w:p>
          <w:p w14:paraId="0F62E59E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00FA940" w14:textId="77777777" w:rsidR="000249F5" w:rsidRDefault="00024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CE7B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5CB183A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2113D43E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10C201B4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for signalling details</w:t>
            </w:r>
          </w:p>
        </w:tc>
      </w:tr>
      <w:tr w:rsidR="000249F5" w14:paraId="49367CF5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E88774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604D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05732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3200D2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A4F3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26E24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C3D3E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40B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EA509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EE0EA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47B5FCD5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BB1462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ADC419F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14:paraId="7ECE3E3C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0249F5" w14:paraId="7536804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A6491E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E2F0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EC66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92F4E3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D86F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2DA0A2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7842C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7145A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499C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4C8CBC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DBFE48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15AF264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7B5B2DDA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73FB04C5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7FF2EE14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 w14:paraId="25A4607D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whether this information is provided to the parent-node, the CU, or both.</w:t>
            </w:r>
          </w:p>
          <w:p w14:paraId="2E16728E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(e.g. relation to beams or multiplexing modes)</w:t>
            </w:r>
          </w:p>
          <w:p w14:paraId="2E356E94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52DFF80F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3C3E8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23387EA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96018B3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06A055CF" w14:textId="77777777" w:rsidR="000249F5" w:rsidRDefault="00C65226">
            <w:pPr>
              <w:pStyle w:val="ListParagraph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applicability of assistance information, e.g. per multiplexing scenario, per resource, etc.</w:t>
            </w:r>
          </w:p>
          <w:p w14:paraId="5008A450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694812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A2BAB2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852E0D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5E88B634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DC2CCC5" w14:textId="77777777" w:rsidR="000249F5" w:rsidRDefault="00C65226">
            <w:pPr>
              <w:numPr>
                <w:ilvl w:val="0"/>
                <w:numId w:val="14"/>
              </w:num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details, e.g. indication via MAC-CE, PUCCH, or legacy CSI framework.</w:t>
            </w:r>
          </w:p>
        </w:tc>
      </w:tr>
      <w:tr w:rsidR="000249F5" w14:paraId="22171B38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6E3EE0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01C8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221A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B92FF7B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5FE169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5736D0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DE8FD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4139D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EE5C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48FF8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880FD5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0784F8F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509C8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1691139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56A8BAE7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FFS: signalling details.</w:t>
            </w:r>
          </w:p>
        </w:tc>
      </w:tr>
      <w:tr w:rsidR="000249F5" w14:paraId="20F55DDA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6B7BEB0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3D0B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9AFB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BBA18C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62E9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46209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5CEA25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F443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8C35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1AB37B9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085A0D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178B393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2E8DC2DB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0F79103C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32708043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  <w:tr w:rsidR="000249F5" w14:paraId="12AEC7E2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01E255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A373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Dual Connectivity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75A75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0A291F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Rx Tx Intra-Band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C64D2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Donor CU on IAB-MT’s capability regarding simultaneous TX and RX within the same band. </w:t>
            </w:r>
          </w:p>
          <w:p w14:paraId="0D8B2EB3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8B359C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947E7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33D3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05F7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2B3510" w14:textId="36ED63F9" w:rsidR="000249F5" w:rsidRDefault="00D24D2D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D9FA909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124B2C8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  <w:t>Agreement</w:t>
            </w:r>
          </w:p>
          <w:p w14:paraId="27EB8DE1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</w:tc>
      </w:tr>
    </w:tbl>
    <w:p w14:paraId="1325FB04" w14:textId="35EE9A4C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331B8931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82A04F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524CF986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14:paraId="138A2D2A" w14:textId="41CD0291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</w:t>
      </w:r>
      <w:r w:rsidR="00C02247">
        <w:rPr>
          <w:rFonts w:ascii="Times New Roman" w:hAnsi="Times New Roman" w:cs="Times New Roman"/>
          <w:bCs/>
          <w:lang w:eastAsia="zh-CN"/>
        </w:rPr>
        <w:t xml:space="preserve"> on the above</w:t>
      </w:r>
      <w:r>
        <w:rPr>
          <w:rFonts w:ascii="Times New Roman" w:hAnsi="Times New Roman" w:cs="Times New Roman"/>
          <w:bCs/>
          <w:lang w:eastAsia="zh-CN"/>
        </w:rPr>
        <w:t>, in the following</w:t>
      </w:r>
      <w:r w:rsidR="005B6C9C">
        <w:rPr>
          <w:rFonts w:ascii="Times New Roman" w:hAnsi="Times New Roman" w:cs="Times New Roman"/>
          <w:bCs/>
          <w:lang w:eastAsia="zh-CN"/>
        </w:rPr>
        <w:t xml:space="preserve"> table</w:t>
      </w:r>
      <w:r>
        <w:rPr>
          <w:rFonts w:ascii="Times New Roman" w:hAnsi="Times New Roman" w:cs="Times New Roman"/>
          <w:bCs/>
          <w:lang w:eastAsia="zh-CN"/>
        </w:rPr>
        <w:t>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0249F5" w14:paraId="5BB9D51A" w14:textId="77777777" w:rsidTr="0002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F35124" w14:textId="77777777" w:rsidR="000249F5" w:rsidRDefault="00C6522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2F7CA45A" w14:textId="77777777" w:rsidR="000249F5" w:rsidRDefault="00C65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0249F5" w14:paraId="69F96787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31406F" w14:textId="52F38389" w:rsidR="000249F5" w:rsidRPr="009F2456" w:rsidRDefault="00CC2E2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AT&amp;T</w:t>
            </w:r>
          </w:p>
        </w:tc>
        <w:tc>
          <w:tcPr>
            <w:tcW w:w="7830" w:type="dxa"/>
          </w:tcPr>
          <w:p w14:paraId="7D78BE7D" w14:textId="255AA8B6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16"/>
                <w:szCs w:val="16"/>
              </w:rPr>
            </w:pPr>
            <w:r>
              <w:rPr>
                <w:rFonts w:cs="Times"/>
                <w:szCs w:val="20"/>
                <w:lang w:eastAsia="zh-CN"/>
              </w:rPr>
              <w:t>P12: Suggest to rename parameter as “Child IAB-DU Restricted Beam Indication”</w:t>
            </w:r>
          </w:p>
          <w:p w14:paraId="0716395F" w14:textId="77777777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P20: May be appropriate to handle this capability indication as an IAB-MT FG in 8.17.10 instead of as a regular RRC parameter</w:t>
            </w:r>
          </w:p>
          <w:p w14:paraId="5D44C559" w14:textId="5422D40D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P21: Should add a new parameter “Child IAB-MT Link NA Resource Configuration” based on the following RAN1#106bis-e agreement:</w:t>
            </w:r>
          </w:p>
          <w:p w14:paraId="3253DC12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highlight w:val="green"/>
              </w:rPr>
            </w:pPr>
            <w:r w:rsidRPr="00527789">
              <w:rPr>
                <w:rFonts w:ascii="Calibri" w:hAnsi="Calibri" w:cs="Calibri"/>
                <w:b/>
                <w:highlight w:val="green"/>
              </w:rPr>
              <w:t xml:space="preserve">Agreement: </w:t>
            </w:r>
          </w:p>
          <w:p w14:paraId="562E783A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27789">
              <w:rPr>
                <w:rFonts w:ascii="Calibri" w:hAnsi="Calibri" w:cs="Calibri"/>
                <w:b/>
              </w:rPr>
              <w:t>In DC scenarios, support per-child MT link-NA resource configuration.</w:t>
            </w:r>
          </w:p>
          <w:p w14:paraId="4FC7332B" w14:textId="77777777" w:rsidR="00CC2E24" w:rsidRPr="00527789" w:rsidRDefault="00CC2E24" w:rsidP="00CC2E24">
            <w:pPr>
              <w:numPr>
                <w:ilvl w:val="0"/>
                <w:numId w:val="33"/>
              </w:num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kern w:val="24"/>
              </w:rPr>
            </w:pPr>
            <w:r w:rsidRPr="00527789">
              <w:rPr>
                <w:rFonts w:ascii="Calibri" w:hAnsi="Calibri" w:cs="Calibri"/>
                <w:b/>
              </w:rPr>
              <w:t>This configuration can be made available to IAB node as well</w:t>
            </w:r>
          </w:p>
          <w:p w14:paraId="36EE2B21" w14:textId="11C2124D" w:rsidR="00CC2E24" w:rsidRPr="009F2456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0249F5" w14:paraId="7FCACD89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059E61" w14:textId="0664B3B3" w:rsidR="000249F5" w:rsidRPr="009F2456" w:rsidRDefault="00444601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3893F8A4" w14:textId="279B5525" w:rsidR="00AF6C81" w:rsidRDefault="00444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3610E7">
              <w:rPr>
                <w:rFonts w:ascii="Times New Roman" w:hAnsi="Times New Roman" w:cs="Times New Roman"/>
                <w:b/>
                <w:lang w:eastAsia="zh-CN"/>
              </w:rPr>
              <w:t>P10</w:t>
            </w:r>
            <w:r w:rsidR="00DA650F" w:rsidRPr="003610E7">
              <w:rPr>
                <w:rFonts w:ascii="Times New Roman" w:hAnsi="Times New Roman" w:cs="Times New Roman"/>
                <w:b/>
                <w:lang w:eastAsia="zh-CN"/>
              </w:rPr>
              <w:t>, P11</w:t>
            </w:r>
            <w:r w:rsidRPr="003610E7">
              <w:rPr>
                <w:rFonts w:ascii="Times New Roman" w:hAnsi="Times New Roman" w:cs="Times New Roman"/>
                <w:b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DA650F">
              <w:rPr>
                <w:rFonts w:ascii="Times New Roman" w:hAnsi="Times New Roman" w:cs="Times New Roman"/>
                <w:bCs/>
                <w:lang w:eastAsia="zh-CN"/>
              </w:rPr>
              <w:t>We think we need to consider switching between all combinations of Case-1, Case-6 and Case-7, also in the direction to Case-1.</w:t>
            </w:r>
          </w:p>
          <w:p w14:paraId="380C6CD6" w14:textId="5BE03D5D" w:rsidR="00DA650F" w:rsidRDefault="00361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1E0C16">
              <w:rPr>
                <w:rFonts w:ascii="Times New Roman" w:hAnsi="Times New Roman" w:cs="Times New Roman"/>
                <w:b/>
                <w:lang w:eastAsia="zh-CN"/>
              </w:rPr>
              <w:t>P12: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Agree with AT&amp;T.</w:t>
            </w:r>
            <w:r w:rsidR="00845298">
              <w:rPr>
                <w:rFonts w:ascii="Times New Roman" w:hAnsi="Times New Roman" w:cs="Times New Roman"/>
                <w:bCs/>
                <w:lang w:eastAsia="zh-CN"/>
              </w:rPr>
              <w:t xml:space="preserve"> Furthermore, we think the description field should clarify that this restriction is only valid for SDM operation and is no general restriction.</w:t>
            </w:r>
          </w:p>
          <w:p w14:paraId="3674CF29" w14:textId="6F1A37EC" w:rsidR="007D5320" w:rsidRDefault="00774781" w:rsidP="00DA6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In relation to P12, a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>dditionally, we think a new parameter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 xml:space="preserve">, </w:t>
            </w:r>
            <w:r w:rsidR="009A70F4"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Child Node Recommended Beam Indication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>,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8E73D8">
              <w:rPr>
                <w:rFonts w:ascii="Times New Roman" w:hAnsi="Times New Roman" w:cs="Times New Roman"/>
                <w:bCs/>
                <w:lang w:eastAsia="zh-CN"/>
              </w:rPr>
              <w:t xml:space="preserve">will be needed </w:t>
            </w:r>
            <w:r w:rsidR="001E0C16">
              <w:rPr>
                <w:rFonts w:ascii="Times New Roman" w:hAnsi="Times New Roman" w:cs="Times New Roman"/>
                <w:bCs/>
                <w:lang w:eastAsia="zh-CN"/>
              </w:rPr>
              <w:t xml:space="preserve">for the following </w:t>
            </w:r>
            <w:r w:rsidR="007D5320">
              <w:rPr>
                <w:rFonts w:ascii="Times New Roman" w:hAnsi="Times New Roman" w:cs="Times New Roman"/>
                <w:bCs/>
                <w:lang w:eastAsia="zh-CN"/>
              </w:rPr>
              <w:t>agreement:</w:t>
            </w:r>
          </w:p>
          <w:p w14:paraId="6B98EDAE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The child node indication of recommended beams to the parent node can include both IAB-MT DL beams and/or IAB-MT UL beams.</w:t>
            </w:r>
          </w:p>
          <w:p w14:paraId="146F2797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Indication via MAC-CE or UCI transmission</w:t>
            </w:r>
          </w:p>
          <w:p w14:paraId="25282E13" w14:textId="77777777" w:rsidR="007D5320" w:rsidRPr="009A70F4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Definition of IAB-MT DL beams and/or IAB-MT UL beams (e.g. TCI state ID, Spatial relation information ID, RS ID (including CSI-RS, SRS, SSB, etc.))</w:t>
            </w:r>
          </w:p>
          <w:p w14:paraId="3027F6FA" w14:textId="77777777" w:rsidR="00DA650F" w:rsidRDefault="007D5320" w:rsidP="007D53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9A70F4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FFS: Whether indication of “not preferred” beams is supported</w:t>
            </w:r>
          </w:p>
          <w:p w14:paraId="25A3C854" w14:textId="77777777" w:rsidR="009A70F4" w:rsidRDefault="009A70F4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although some details remain to be sorted out.</w:t>
            </w:r>
          </w:p>
          <w:p w14:paraId="207E396C" w14:textId="77777777" w:rsidR="00BE65DF" w:rsidRDefault="00BE65DF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BE65DF">
              <w:rPr>
                <w:rFonts w:ascii="Times New Roman" w:hAnsi="Times New Roman" w:cs="Times New Roman"/>
                <w:b/>
                <w:lang w:eastAsia="zh-CN"/>
              </w:rPr>
              <w:t>P16: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MAC CE seems to be agreeable regarding signaling.</w:t>
            </w:r>
          </w:p>
          <w:p w14:paraId="5428D961" w14:textId="7F144FD0" w:rsidR="00774781" w:rsidRDefault="00774781" w:rsidP="009A7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14D85">
              <w:rPr>
                <w:rFonts w:ascii="Times New Roman" w:hAnsi="Times New Roman" w:cs="Times New Roman"/>
                <w:b/>
                <w:lang w:eastAsia="zh-CN"/>
              </w:rPr>
              <w:t>P20: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F14D85">
              <w:rPr>
                <w:rFonts w:ascii="Times New Roman" w:hAnsi="Times New Roman" w:cs="Times New Roman"/>
                <w:bCs/>
                <w:lang w:eastAsia="zh-CN"/>
              </w:rPr>
              <w:t xml:space="preserve">Agree with AT&amp;T. </w:t>
            </w:r>
            <w:r w:rsidR="00211279">
              <w:rPr>
                <w:rFonts w:ascii="Times New Roman" w:hAnsi="Times New Roman" w:cs="Times New Roman"/>
                <w:bCs/>
                <w:lang w:eastAsia="zh-CN"/>
              </w:rPr>
              <w:t>Generally, w</w:t>
            </w:r>
            <w:r w:rsidR="00E46CDF">
              <w:rPr>
                <w:rFonts w:ascii="Times New Roman" w:hAnsi="Times New Roman" w:cs="Times New Roman"/>
                <w:bCs/>
                <w:lang w:eastAsia="zh-CN"/>
              </w:rPr>
              <w:t xml:space="preserve">e think that the present discussion </w:t>
            </w:r>
            <w:r w:rsidR="000E0758">
              <w:rPr>
                <w:rFonts w:ascii="Times New Roman" w:hAnsi="Times New Roman" w:cs="Times New Roman"/>
                <w:bCs/>
                <w:lang w:eastAsia="zh-CN"/>
              </w:rPr>
              <w:t>would be helped by sorting higher layer parameters and capabilities in sections similar to what was done for Rel-16:</w:t>
            </w:r>
          </w:p>
          <w:p w14:paraId="3ADE511B" w14:textId="7DE1BD6E" w:rsidR="000E0758" w:rsidRP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F1AP signaling from CU to IAB-DU or Donor DU</w:t>
            </w:r>
          </w:p>
          <w:p w14:paraId="6930BA15" w14:textId="582D24A3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RRC signaling from CU to IAB-MT</w:t>
            </w:r>
          </w:p>
          <w:p w14:paraId="610BB82C" w14:textId="77777777" w:rsidR="000E0758" w:rsidRDefault="000E0758" w:rsidP="000E0758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0E0758">
              <w:rPr>
                <w:rFonts w:ascii="Times New Roman" w:hAnsi="Times New Roman" w:cs="Times New Roman"/>
                <w:bCs/>
                <w:lang w:eastAsia="zh-CN"/>
              </w:rPr>
              <w:t>MAC-CE signaling between child IAB-MT and parent</w:t>
            </w:r>
          </w:p>
          <w:p w14:paraId="23898F5F" w14:textId="62C2BB21" w:rsidR="00522C32" w:rsidRDefault="00FA577A" w:rsidP="00FA5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  <w:r w:rsidRPr="00FA577A">
              <w:rPr>
                <w:rFonts w:ascii="Times New Roman" w:hAnsi="Times New Roman" w:cs="Times New Roman"/>
                <w:b/>
                <w:lang w:eastAsia="zh-CN"/>
              </w:rPr>
              <w:t>P21 (AT&amp;T):</w:t>
            </w:r>
            <w:r w:rsidRPr="00444D70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  <w:r w:rsidR="00444D70" w:rsidRPr="00444D70">
              <w:rPr>
                <w:rFonts w:ascii="Times New Roman" w:hAnsi="Times New Roman" w:cs="Times New Roman"/>
                <w:bCs/>
                <w:lang w:eastAsia="zh-CN"/>
              </w:rPr>
              <w:t>We agree with AT&amp;T that new parameters should be added but we think it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 xml:space="preserve"> is a bit more complex than only </w:t>
            </w:r>
            <w:r w:rsidR="00444D70">
              <w:rPr>
                <w:rFonts w:ascii="Times New Roman" w:hAnsi="Times New Roman" w:cs="Times New Roman"/>
                <w:bCs/>
                <w:lang w:eastAsia="zh-CN"/>
              </w:rPr>
              <w:t xml:space="preserve">adding </w:t>
            </w:r>
            <w:r w:rsidR="00522C32" w:rsidRPr="00522C32">
              <w:rPr>
                <w:rFonts w:ascii="Times New Roman" w:hAnsi="Times New Roman" w:cs="Times New Roman"/>
                <w:bCs/>
                <w:lang w:eastAsia="zh-CN"/>
              </w:rPr>
              <w:t>one parameter</w:t>
            </w:r>
            <w:r w:rsidR="00522C32">
              <w:rPr>
                <w:rFonts w:ascii="Times New Roman" w:hAnsi="Times New Roman" w:cs="Times New Roman"/>
                <w:bCs/>
                <w:lang w:eastAsia="zh-CN"/>
              </w:rPr>
              <w:t>:</w:t>
            </w:r>
          </w:p>
          <w:p w14:paraId="47E7B9C1" w14:textId="6D45544F" w:rsidR="00522C32" w:rsidRPr="00522C32" w:rsidRDefault="009175B7" w:rsidP="00522C32">
            <w:pPr>
              <w:pStyle w:val="ListParagraph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>Will this be one or two parameters</w:t>
            </w:r>
            <w:r w:rsidR="000528EC" w:rsidRPr="00522C32">
              <w:rPr>
                <w:bCs/>
                <w:lang w:eastAsia="zh-CN"/>
              </w:rPr>
              <w:t>, one for Rel-16 configuration parameters and another for Rel-17 (P01)</w:t>
            </w:r>
            <w:r w:rsidR="00444D70">
              <w:rPr>
                <w:bCs/>
                <w:lang w:eastAsia="zh-CN"/>
              </w:rPr>
              <w:t>?</w:t>
            </w:r>
          </w:p>
          <w:p w14:paraId="2F2028D2" w14:textId="72CA9FA8" w:rsidR="00522C32" w:rsidRPr="00522C32" w:rsidRDefault="00522C32" w:rsidP="00522C32">
            <w:pPr>
              <w:pStyle w:val="ListParagraph"/>
              <w:numPr>
                <w:ilvl w:val="0"/>
                <w:numId w:val="14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522C32">
              <w:rPr>
                <w:bCs/>
                <w:lang w:eastAsia="zh-CN"/>
              </w:rPr>
              <w:t xml:space="preserve">The parent gets a </w:t>
            </w:r>
            <w:r w:rsidRPr="00444D70">
              <w:rPr>
                <w:bCs/>
                <w:i/>
                <w:iCs/>
                <w:lang w:eastAsia="zh-CN"/>
              </w:rPr>
              <w:t>configuration</w:t>
            </w:r>
            <w:r w:rsidRPr="00522C32">
              <w:rPr>
                <w:bCs/>
                <w:lang w:eastAsia="zh-CN"/>
              </w:rPr>
              <w:t xml:space="preserve"> and the dual connected IAB node gets </w:t>
            </w:r>
            <w:r w:rsidRPr="00444D70">
              <w:rPr>
                <w:bCs/>
                <w:i/>
                <w:iCs/>
                <w:lang w:eastAsia="zh-CN"/>
              </w:rPr>
              <w:t>information</w:t>
            </w:r>
            <w:r w:rsidRPr="00522C32">
              <w:rPr>
                <w:bCs/>
                <w:lang w:eastAsia="zh-CN"/>
              </w:rPr>
              <w:t xml:space="preserve"> about this configuration.</w:t>
            </w:r>
            <w:r w:rsidR="00444D70">
              <w:rPr>
                <w:bCs/>
                <w:lang w:eastAsia="zh-CN"/>
              </w:rPr>
              <w:t xml:space="preserve"> This must somehow be clarified.</w:t>
            </w:r>
          </w:p>
        </w:tc>
      </w:tr>
      <w:tr w:rsidR="000249F5" w14:paraId="4B48997F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3C0B64" w14:textId="01F27B9C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2532895" w14:textId="374634B5" w:rsidR="00EC0E93" w:rsidRPr="009F2456" w:rsidRDefault="00EC0E93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</w:tc>
      </w:tr>
      <w:tr w:rsidR="000249F5" w14:paraId="5655F4B0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356DEA" w14:textId="77777777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BC66D26" w14:textId="77777777" w:rsidR="000249F5" w:rsidRPr="009F2456" w:rsidRDefault="0002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3A98F262" w14:textId="5F4C9FDC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199D9F7A" w14:textId="4EFBDC04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p w14:paraId="3E6FB82A" w14:textId="77777777" w:rsidR="00C02247" w:rsidRPr="00D17B55" w:rsidRDefault="00C02247" w:rsidP="00C02247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D17B55">
        <w:rPr>
          <w:rFonts w:ascii="Arial" w:eastAsia="Times New Roman" w:hAnsi="Arial" w:cs="Times New Roman"/>
          <w:sz w:val="32"/>
          <w:szCs w:val="20"/>
          <w:lang w:val="en-GB"/>
        </w:rPr>
        <w:lastRenderedPageBreak/>
        <w:t>References</w:t>
      </w:r>
    </w:p>
    <w:p w14:paraId="5EF8FD19" w14:textId="120224F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R1- 2108685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[Post-106-e-Rel17-RRC-10] Summary of email discussion on RRC parameters for eIAB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Qualcomm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</w:p>
    <w:p w14:paraId="797EF0D3" w14:textId="60E44AE4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R1-2110333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On RRC parameters in enhanced 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Ericsson</w:t>
      </w:r>
    </w:p>
    <w:p w14:paraId="41ACEDEF" w14:textId="4CA42E5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3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R1-2110415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Recommendations for RAN1 RRC Parameter Preparation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Moderator (Ericsson)</w:t>
      </w:r>
    </w:p>
    <w:p w14:paraId="774FF25C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11128825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347758" w14:textId="77777777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sectPr w:rsidR="009F2456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A5DA4"/>
    <w:multiLevelType w:val="multilevel"/>
    <w:tmpl w:val="0C6A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15A4"/>
    <w:multiLevelType w:val="hybridMultilevel"/>
    <w:tmpl w:val="085C221E"/>
    <w:lvl w:ilvl="0" w:tplc="3DDCB486">
      <w:start w:val="1"/>
      <w:numFmt w:val="decimal"/>
      <w:lvlText w:val="%1)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27CA2"/>
    <w:multiLevelType w:val="multilevel"/>
    <w:tmpl w:val="2812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851"/>
    <w:multiLevelType w:val="hybridMultilevel"/>
    <w:tmpl w:val="2BFA625C"/>
    <w:lvl w:ilvl="0" w:tplc="DB04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556C"/>
    <w:multiLevelType w:val="multilevel"/>
    <w:tmpl w:val="32E2556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6833"/>
    <w:multiLevelType w:val="multilevel"/>
    <w:tmpl w:val="3B016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CD1"/>
    <w:multiLevelType w:val="hybridMultilevel"/>
    <w:tmpl w:val="55C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3C1B"/>
    <w:multiLevelType w:val="hybridMultilevel"/>
    <w:tmpl w:val="203E3630"/>
    <w:lvl w:ilvl="0" w:tplc="4496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A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A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704311"/>
    <w:multiLevelType w:val="multilevel"/>
    <w:tmpl w:val="5E7043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4C"/>
    <w:multiLevelType w:val="hybridMultilevel"/>
    <w:tmpl w:val="F4F87480"/>
    <w:lvl w:ilvl="0" w:tplc="161E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C5975"/>
    <w:multiLevelType w:val="multilevel"/>
    <w:tmpl w:val="61FC59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F6F3A"/>
    <w:multiLevelType w:val="multilevel"/>
    <w:tmpl w:val="631F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7656CA"/>
    <w:multiLevelType w:val="multilevel"/>
    <w:tmpl w:val="68765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F3169"/>
    <w:multiLevelType w:val="hybridMultilevel"/>
    <w:tmpl w:val="3098A42A"/>
    <w:lvl w:ilvl="0" w:tplc="CC960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54978"/>
    <w:multiLevelType w:val="multilevel"/>
    <w:tmpl w:val="6D4549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24247"/>
    <w:multiLevelType w:val="multilevel"/>
    <w:tmpl w:val="7712424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30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26"/>
  </w:num>
  <w:num w:numId="11">
    <w:abstractNumId w:val="5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21"/>
  </w:num>
  <w:num w:numId="17">
    <w:abstractNumId w:val="6"/>
  </w:num>
  <w:num w:numId="18">
    <w:abstractNumId w:val="22"/>
  </w:num>
  <w:num w:numId="19">
    <w:abstractNumId w:val="2"/>
  </w:num>
  <w:num w:numId="20">
    <w:abstractNumId w:val="28"/>
  </w:num>
  <w:num w:numId="21">
    <w:abstractNumId w:val="18"/>
  </w:num>
  <w:num w:numId="22">
    <w:abstractNumId w:val="20"/>
  </w:num>
  <w:num w:numId="23">
    <w:abstractNumId w:val="24"/>
  </w:num>
  <w:num w:numId="24">
    <w:abstractNumId w:val="8"/>
  </w:num>
  <w:num w:numId="25">
    <w:abstractNumId w:val="10"/>
  </w:num>
  <w:num w:numId="26">
    <w:abstractNumId w:val="12"/>
  </w:num>
  <w:num w:numId="27">
    <w:abstractNumId w:val="11"/>
  </w:num>
  <w:num w:numId="28">
    <w:abstractNumId w:val="7"/>
  </w:num>
  <w:num w:numId="29">
    <w:abstractNumId w:val="19"/>
  </w:num>
  <w:num w:numId="30">
    <w:abstractNumId w:val="4"/>
  </w:num>
  <w:num w:numId="31">
    <w:abstractNumId w:val="23"/>
  </w:num>
  <w:num w:numId="32">
    <w:abstractNumId w:val="1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52519"/>
    <w:rsid w:val="000528EC"/>
    <w:rsid w:val="000648F6"/>
    <w:rsid w:val="00072B96"/>
    <w:rsid w:val="000731DC"/>
    <w:rsid w:val="000756F7"/>
    <w:rsid w:val="00084E7F"/>
    <w:rsid w:val="00086AD9"/>
    <w:rsid w:val="000875B9"/>
    <w:rsid w:val="0009034D"/>
    <w:rsid w:val="000A0BB5"/>
    <w:rsid w:val="000A1C88"/>
    <w:rsid w:val="000B0E71"/>
    <w:rsid w:val="000B248D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49C8"/>
    <w:rsid w:val="00146A38"/>
    <w:rsid w:val="00150FA5"/>
    <w:rsid w:val="00153104"/>
    <w:rsid w:val="00161BE8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70E0"/>
    <w:rsid w:val="001B09CD"/>
    <w:rsid w:val="001C4AA7"/>
    <w:rsid w:val="001C7C0D"/>
    <w:rsid w:val="001D2219"/>
    <w:rsid w:val="001D71DA"/>
    <w:rsid w:val="001E0253"/>
    <w:rsid w:val="001E0C16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73F5"/>
    <w:rsid w:val="002746DC"/>
    <w:rsid w:val="00284186"/>
    <w:rsid w:val="002861C4"/>
    <w:rsid w:val="00291EC6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E4315"/>
    <w:rsid w:val="002E4D0A"/>
    <w:rsid w:val="002E7E89"/>
    <w:rsid w:val="002F06E8"/>
    <w:rsid w:val="002F4267"/>
    <w:rsid w:val="002F5530"/>
    <w:rsid w:val="002F6D45"/>
    <w:rsid w:val="00315240"/>
    <w:rsid w:val="003163C7"/>
    <w:rsid w:val="00320761"/>
    <w:rsid w:val="00324859"/>
    <w:rsid w:val="003253C2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10E7"/>
    <w:rsid w:val="003616DC"/>
    <w:rsid w:val="0036362D"/>
    <w:rsid w:val="00365064"/>
    <w:rsid w:val="003738DA"/>
    <w:rsid w:val="00376593"/>
    <w:rsid w:val="0038251B"/>
    <w:rsid w:val="00384307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22309"/>
    <w:rsid w:val="0043260F"/>
    <w:rsid w:val="004331A9"/>
    <w:rsid w:val="00433EAC"/>
    <w:rsid w:val="00444240"/>
    <w:rsid w:val="00444601"/>
    <w:rsid w:val="00444D70"/>
    <w:rsid w:val="0045078A"/>
    <w:rsid w:val="00451616"/>
    <w:rsid w:val="00456826"/>
    <w:rsid w:val="00457730"/>
    <w:rsid w:val="00465A2E"/>
    <w:rsid w:val="00466D49"/>
    <w:rsid w:val="00466E37"/>
    <w:rsid w:val="00467251"/>
    <w:rsid w:val="0047282C"/>
    <w:rsid w:val="004751C6"/>
    <w:rsid w:val="0048558B"/>
    <w:rsid w:val="004978E6"/>
    <w:rsid w:val="004A1457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6C9C"/>
    <w:rsid w:val="005B7057"/>
    <w:rsid w:val="005C258A"/>
    <w:rsid w:val="005C7D2A"/>
    <w:rsid w:val="005D6029"/>
    <w:rsid w:val="005D6D9A"/>
    <w:rsid w:val="005E3EB0"/>
    <w:rsid w:val="006033F8"/>
    <w:rsid w:val="006051D4"/>
    <w:rsid w:val="00613F1E"/>
    <w:rsid w:val="00627CE7"/>
    <w:rsid w:val="00636AFF"/>
    <w:rsid w:val="00637DC9"/>
    <w:rsid w:val="00640C1C"/>
    <w:rsid w:val="00641A9A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D3827"/>
    <w:rsid w:val="006D7FD9"/>
    <w:rsid w:val="006F172F"/>
    <w:rsid w:val="006F7DA3"/>
    <w:rsid w:val="007163B1"/>
    <w:rsid w:val="007329E0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5483"/>
    <w:rsid w:val="00785F27"/>
    <w:rsid w:val="00790246"/>
    <w:rsid w:val="007941F8"/>
    <w:rsid w:val="007961B4"/>
    <w:rsid w:val="00797B67"/>
    <w:rsid w:val="007A12EC"/>
    <w:rsid w:val="007A2A62"/>
    <w:rsid w:val="007B21C1"/>
    <w:rsid w:val="007B2410"/>
    <w:rsid w:val="007B44D4"/>
    <w:rsid w:val="007C11E0"/>
    <w:rsid w:val="007C223B"/>
    <w:rsid w:val="007D40F9"/>
    <w:rsid w:val="007D4550"/>
    <w:rsid w:val="007D5320"/>
    <w:rsid w:val="007D779D"/>
    <w:rsid w:val="007E04AE"/>
    <w:rsid w:val="007E3F46"/>
    <w:rsid w:val="007E5050"/>
    <w:rsid w:val="007F01E2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41CF8"/>
    <w:rsid w:val="008434D5"/>
    <w:rsid w:val="00845298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C2788"/>
    <w:rsid w:val="008C4B4E"/>
    <w:rsid w:val="008D2EF3"/>
    <w:rsid w:val="008D5555"/>
    <w:rsid w:val="008D6178"/>
    <w:rsid w:val="008E0E58"/>
    <w:rsid w:val="008E1CF4"/>
    <w:rsid w:val="008E73D8"/>
    <w:rsid w:val="009175B7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2CEC"/>
    <w:rsid w:val="009E42FD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30D4"/>
    <w:rsid w:val="00A34E46"/>
    <w:rsid w:val="00A4206F"/>
    <w:rsid w:val="00A6371B"/>
    <w:rsid w:val="00A6515A"/>
    <w:rsid w:val="00A6606A"/>
    <w:rsid w:val="00A70ED6"/>
    <w:rsid w:val="00A74B3A"/>
    <w:rsid w:val="00A778AE"/>
    <w:rsid w:val="00A861A5"/>
    <w:rsid w:val="00A870C5"/>
    <w:rsid w:val="00A94DB3"/>
    <w:rsid w:val="00A96234"/>
    <w:rsid w:val="00AA02C1"/>
    <w:rsid w:val="00AA1747"/>
    <w:rsid w:val="00AB2C31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53D6D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5102E"/>
    <w:rsid w:val="00C53A87"/>
    <w:rsid w:val="00C55B59"/>
    <w:rsid w:val="00C57977"/>
    <w:rsid w:val="00C6086F"/>
    <w:rsid w:val="00C6422A"/>
    <w:rsid w:val="00C65154"/>
    <w:rsid w:val="00C65226"/>
    <w:rsid w:val="00C65358"/>
    <w:rsid w:val="00C65A34"/>
    <w:rsid w:val="00C74D40"/>
    <w:rsid w:val="00C8001A"/>
    <w:rsid w:val="00C956CD"/>
    <w:rsid w:val="00C956FF"/>
    <w:rsid w:val="00CA387D"/>
    <w:rsid w:val="00CA426F"/>
    <w:rsid w:val="00CB35C1"/>
    <w:rsid w:val="00CB577E"/>
    <w:rsid w:val="00CC2A4F"/>
    <w:rsid w:val="00CC2E24"/>
    <w:rsid w:val="00CC64B3"/>
    <w:rsid w:val="00CC73CE"/>
    <w:rsid w:val="00CD12DB"/>
    <w:rsid w:val="00CE1ED0"/>
    <w:rsid w:val="00CE6CF8"/>
    <w:rsid w:val="00CE75EA"/>
    <w:rsid w:val="00CE7FE5"/>
    <w:rsid w:val="00CF4663"/>
    <w:rsid w:val="00D11DCB"/>
    <w:rsid w:val="00D131D9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D1CC5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FF6"/>
    <w:rsid w:val="00E17446"/>
    <w:rsid w:val="00E2295C"/>
    <w:rsid w:val="00E324A1"/>
    <w:rsid w:val="00E46CDF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8554B"/>
    <w:rsid w:val="00E9001C"/>
    <w:rsid w:val="00E90624"/>
    <w:rsid w:val="00E959E8"/>
    <w:rsid w:val="00EA193F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2BD"/>
    <w:rsid w:val="00F11BFF"/>
    <w:rsid w:val="00F14D85"/>
    <w:rsid w:val="00F2347F"/>
    <w:rsid w:val="00F23F41"/>
    <w:rsid w:val="00F252BC"/>
    <w:rsid w:val="00F26D15"/>
    <w:rsid w:val="00F350B4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577A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F05F4"/>
    <w:rsid w:val="00FF06F4"/>
    <w:rsid w:val="00FF1395"/>
    <w:rsid w:val="00FF36A9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90E"/>
  <w15:docId w15:val="{8F6D7F17-4B6F-4789-B98B-D3F80E8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72DFE6A-4124-4070-8F33-A7FAE3A4A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2660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Magnus Åström</cp:lastModifiedBy>
  <cp:revision>5</cp:revision>
  <dcterms:created xsi:type="dcterms:W3CDTF">2021-10-13T09:04:00Z</dcterms:created>
  <dcterms:modified xsi:type="dcterms:W3CDTF">2021-10-13T09:53:00Z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(3)2hANCy6EwNQqMOMRvhcZHOi+kqtav82ex6VKADZU7VeuFxz6hD+3OYBfKzhUqgvfDH29YkVG
Xam1roocjsBxoQJHLlOrYVa+3fPLc19aYK3px/43s0rJlE8yqGx2hpYkJ4izhyaBvE2xUIl2
9Gp8duJuUigm3LvzZnb5F314tMC+l0FHGocZ2AGcbHP+NAt0WR95tgaEMXse0+4pQ2BW1cRR
jN1ZI+FQmgW3hmZCOL</vt:lpwstr>
  </property>
  <property fmtid="{D5CDD505-2E9C-101B-9397-08002B2CF9AE}" pid="3" name="_2015_ms_pID_7253431">
    <vt:lpwstr>ua0J7lG9wu1GULXqAz2g2RoZSNtfwooJFKx7ePpVfS5FWTIHbJdeZz
+4AuoeWNY88IaELtuQNf39KZH5jGG+JaxWqPw6/cglHodCh9CVM0Lpkxfb7Nd4XFQNQitvi5
Lbh+cQBXtepPtpxA9+aSP0nQ9xZpmDDzCmxyEVjtX0qBo0JUUSxb5EIPq3Z+8xucRTaMf3kU
L1nLsau5kq6HAgYmUjBqI1CNcodGRJitiQk0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aBTdzDCssJvhQG8PWaA4W9c=</vt:lpwstr>
  </property>
</Properties>
</file>