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lastRenderedPageBreak/>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1E15E73C"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p>
    <w:p w14:paraId="4CBE0116" w14:textId="489E6EA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77CDA474"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p>
    <w:p w14:paraId="7D6C3F84" w14:textId="35BAED1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lastRenderedPageBreak/>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at most one BFD RS set fails per CC, adopt alt 1 (e.g. association to non-failed BFD-RS set) if all failed BFD RS </w:t>
      </w:r>
      <w:r w:rsidRPr="00100C68">
        <w:rPr>
          <w:rFonts w:ascii="Times New Roman" w:hAnsi="Times New Roman" w:cs="Times New Roman"/>
          <w:b/>
          <w:i/>
          <w:iCs/>
          <w:sz w:val="20"/>
          <w:szCs w:val="20"/>
          <w:lang w:val="en-US"/>
        </w:rPr>
        <w:lastRenderedPageBreak/>
        <w:t>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74F20A40"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SCell and SpCell can be different. Second, the </w:t>
            </w:r>
            <w:r w:rsidRPr="000A33D8">
              <w:rPr>
                <w:rFonts w:eastAsiaTheme="minorEastAsia"/>
                <w:sz w:val="18"/>
                <w:szCs w:val="18"/>
                <w:lang w:eastAsia="zh-CN"/>
              </w:rPr>
              <w:t xml:space="preserve">interference conditions and BFD results on SCell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SCell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B70E48">
            <w:pPr>
              <w:pStyle w:val="ListParagraph"/>
              <w:numPr>
                <w:ilvl w:val="0"/>
                <w:numId w:val="58"/>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4E72720"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SCell,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lastRenderedPageBreak/>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Issue 2.7: Content of MAC-CE related to SpCell when transmitted on msg3, msgA</w:t>
      </w:r>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77777777"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Sony,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Pr>
                <w:rFonts w:eastAsiaTheme="minorEastAsia"/>
                <w:szCs w:val="20"/>
                <w:lang w:val="fr-FR" w:eastAsia="zh-CN"/>
              </w:rPr>
              <w:t>his issue of association has been dicussed a lot in rel-16. It has big impact all many aspects of mTRP uplink transmisison. We cannot simply make a conclusion here by only considering this particular issue.</w:t>
            </w:r>
          </w:p>
        </w:tc>
      </w:tr>
    </w:tbl>
    <w:p w14:paraId="719A8924" w14:textId="77777777" w:rsidR="00432C17" w:rsidRPr="003E4EA5" w:rsidRDefault="00432C17" w:rsidP="00432C17">
      <w:pPr>
        <w:pStyle w:val="ListParagraph"/>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 xml:space="preserve">t is better to support association between TCI state and BFD-RS set. In that case, after </w:t>
            </w:r>
            <w:r w:rsidRPr="003E4EA5">
              <w:rPr>
                <w:rFonts w:eastAsiaTheme="minorEastAsia"/>
                <w:sz w:val="18"/>
                <w:szCs w:val="18"/>
                <w:lang w:eastAsia="zh-CN"/>
              </w:rPr>
              <w:lastRenderedPageBreak/>
              <w:t>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22C76394" w:rsidR="00334CAA" w:rsidRDefault="00334CAA" w:rsidP="00F123F9">
            <w:pPr>
              <w:rPr>
                <w:rFonts w:eastAsiaTheme="minorEastAsia"/>
                <w:sz w:val="18"/>
                <w:szCs w:val="18"/>
                <w:lang w:eastAsia="zh-CN"/>
              </w:rPr>
            </w:pPr>
          </w:p>
        </w:tc>
        <w:tc>
          <w:tcPr>
            <w:tcW w:w="7931" w:type="dxa"/>
          </w:tcPr>
          <w:p w14:paraId="3D7AA70C" w14:textId="4B63130C" w:rsidR="00334CAA" w:rsidRDefault="00334CAA" w:rsidP="00F123F9">
            <w:pPr>
              <w:rPr>
                <w:rFonts w:eastAsiaTheme="minorEastAsia"/>
                <w:sz w:val="18"/>
                <w:szCs w:val="18"/>
                <w:lang w:eastAsia="zh-CN"/>
              </w:rPr>
            </w:pP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lastRenderedPageBreak/>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lastRenderedPageBreak/>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lastRenderedPageBreak/>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0"/>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lastRenderedPageBreak/>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lastRenderedPageBreak/>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1C5A64"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6C79" w14:textId="77777777" w:rsidR="009F10DD" w:rsidRDefault="009F10DD" w:rsidP="005A0FB0">
      <w:r>
        <w:separator/>
      </w:r>
    </w:p>
  </w:endnote>
  <w:endnote w:type="continuationSeparator" w:id="0">
    <w:p w14:paraId="7E35068E" w14:textId="77777777" w:rsidR="009F10DD" w:rsidRDefault="009F10D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CF33A" w14:textId="77777777" w:rsidR="009F10DD" w:rsidRDefault="009F10DD" w:rsidP="005A0FB0">
      <w:r>
        <w:separator/>
      </w:r>
    </w:p>
  </w:footnote>
  <w:footnote w:type="continuationSeparator" w:id="0">
    <w:p w14:paraId="4DBBB292" w14:textId="77777777" w:rsidR="009F10DD" w:rsidRDefault="009F10DD"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3"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6B073649"/>
    <w:multiLevelType w:val="hybridMultilevel"/>
    <w:tmpl w:val="91E6B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8"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51"/>
  </w:num>
  <w:num w:numId="6">
    <w:abstractNumId w:val="2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5"/>
  </w:num>
  <w:num w:numId="14">
    <w:abstractNumId w:val="55"/>
  </w:num>
  <w:num w:numId="15">
    <w:abstractNumId w:val="0"/>
  </w:num>
  <w:num w:numId="16">
    <w:abstractNumId w:val="50"/>
  </w:num>
  <w:num w:numId="17">
    <w:abstractNumId w:val="36"/>
  </w:num>
  <w:num w:numId="18">
    <w:abstractNumId w:val="34"/>
  </w:num>
  <w:num w:numId="19">
    <w:abstractNumId w:val="21"/>
  </w:num>
  <w:num w:numId="20">
    <w:abstractNumId w:val="56"/>
  </w:num>
  <w:num w:numId="21">
    <w:abstractNumId w:val="18"/>
  </w:num>
  <w:num w:numId="22">
    <w:abstractNumId w:val="35"/>
  </w:num>
  <w:num w:numId="23">
    <w:abstractNumId w:val="44"/>
  </w:num>
  <w:num w:numId="24">
    <w:abstractNumId w:val="53"/>
  </w:num>
  <w:num w:numId="25">
    <w:abstractNumId w:val="26"/>
  </w:num>
  <w:num w:numId="26">
    <w:abstractNumId w:val="6"/>
  </w:num>
  <w:num w:numId="27">
    <w:abstractNumId w:val="52"/>
  </w:num>
  <w:num w:numId="28">
    <w:abstractNumId w:val="33"/>
  </w:num>
  <w:num w:numId="29">
    <w:abstractNumId w:val="4"/>
  </w:num>
  <w:num w:numId="30">
    <w:abstractNumId w:val="14"/>
  </w:num>
  <w:num w:numId="31">
    <w:abstractNumId w:val="7"/>
  </w:num>
  <w:num w:numId="32">
    <w:abstractNumId w:val="48"/>
  </w:num>
  <w:num w:numId="33">
    <w:abstractNumId w:val="16"/>
  </w:num>
  <w:num w:numId="34">
    <w:abstractNumId w:val="19"/>
  </w:num>
  <w:num w:numId="35">
    <w:abstractNumId w:val="38"/>
  </w:num>
  <w:num w:numId="36">
    <w:abstractNumId w:val="25"/>
  </w:num>
  <w:num w:numId="37">
    <w:abstractNumId w:val="37"/>
  </w:num>
  <w:num w:numId="38">
    <w:abstractNumId w:val="8"/>
  </w:num>
  <w:num w:numId="39">
    <w:abstractNumId w:val="43"/>
  </w:num>
  <w:num w:numId="40">
    <w:abstractNumId w:val="28"/>
  </w:num>
  <w:num w:numId="41">
    <w:abstractNumId w:val="2"/>
  </w:num>
  <w:num w:numId="42">
    <w:abstractNumId w:val="47"/>
  </w:num>
  <w:num w:numId="43">
    <w:abstractNumId w:val="23"/>
  </w:num>
  <w:num w:numId="44">
    <w:abstractNumId w:val="27"/>
  </w:num>
  <w:num w:numId="45">
    <w:abstractNumId w:val="58"/>
  </w:num>
  <w:num w:numId="46">
    <w:abstractNumId w:val="13"/>
  </w:num>
  <w:num w:numId="47">
    <w:abstractNumId w:val="20"/>
  </w:num>
  <w:num w:numId="48">
    <w:abstractNumId w:val="42"/>
  </w:num>
  <w:num w:numId="49">
    <w:abstractNumId w:val="11"/>
  </w:num>
  <w:num w:numId="50">
    <w:abstractNumId w:val="39"/>
  </w:num>
  <w:num w:numId="51">
    <w:abstractNumId w:val="41"/>
  </w:num>
  <w:num w:numId="52">
    <w:abstractNumId w:val="9"/>
  </w:num>
  <w:num w:numId="53">
    <w:abstractNumId w:val="12"/>
  </w:num>
  <w:num w:numId="54">
    <w:abstractNumId w:val="24"/>
  </w:num>
  <w:num w:numId="55">
    <w:abstractNumId w:val="3"/>
  </w:num>
  <w:num w:numId="56">
    <w:abstractNumId w:val="57"/>
  </w:num>
  <w:num w:numId="57">
    <w:abstractNumId w:val="54"/>
  </w:num>
  <w:num w:numId="58">
    <w:abstractNumId w:val="30"/>
  </w:num>
  <w:num w:numId="59">
    <w:abstractNumId w:val="10"/>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8D5BBF0-695B-4D0F-91ED-BB85F7B1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59"/>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59"/>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90062ACD-627A-421C-9653-BECAD826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5994</Words>
  <Characters>34172</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12</cp:revision>
  <dcterms:created xsi:type="dcterms:W3CDTF">2021-10-13T14:23:00Z</dcterms:created>
  <dcterms:modified xsi:type="dcterms:W3CDTF">2021-10-13T19:46:00Z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