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80C62" w14:textId="0D04B834" w:rsidR="00575F16" w:rsidRPr="0052548E" w:rsidRDefault="00575F16" w:rsidP="00575F16">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w:t>
      </w:r>
      <w:r w:rsidR="00826AA9">
        <w:rPr>
          <w:rFonts w:ascii="Arial" w:hAnsi="Arial" w:cs="Arial"/>
          <w:b/>
          <w:bCs/>
          <w:sz w:val="28"/>
        </w:rPr>
        <w:t>10120</w:t>
      </w:r>
    </w:p>
    <w:p w14:paraId="3BCFE25E" w14:textId="77777777" w:rsidR="00575F16" w:rsidRPr="009513AC" w:rsidRDefault="00575F16" w:rsidP="00575F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B78BA6E" w14:textId="77777777" w:rsidR="005004DB" w:rsidRPr="00A2299C" w:rsidRDefault="005004DB" w:rsidP="005004DB">
      <w:pPr>
        <w:rPr>
          <w:rFonts w:ascii="Arial" w:hAnsi="Arial" w:cs="Arial"/>
          <w:sz w:val="22"/>
        </w:rPr>
      </w:pPr>
    </w:p>
    <w:p w14:paraId="2FABF9AA" w14:textId="1D81C79C" w:rsidR="004607C3" w:rsidRPr="00A2299C" w:rsidRDefault="005D20F1" w:rsidP="00B610E8">
      <w:pPr>
        <w:spacing w:after="60"/>
        <w:ind w:left="1985" w:hanging="1985"/>
        <w:jc w:val="left"/>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B610E8">
        <w:rPr>
          <w:rFonts w:ascii="Arial" w:hAnsi="Arial" w:cs="Arial"/>
          <w:b/>
          <w:sz w:val="22"/>
        </w:rPr>
        <w:t xml:space="preserve">3 </w:t>
      </w:r>
      <w:r w:rsidR="00B610E8" w:rsidRPr="00B610E8">
        <w:rPr>
          <w:rFonts w:ascii="Arial" w:hAnsi="Arial" w:cs="Arial"/>
          <w:b/>
          <w:sz w:val="22"/>
        </w:rPr>
        <w:t>Basic functions for broadcast/multicast for RRC_IDLE/RRC_INACTIVE</w:t>
      </w:r>
      <w:r w:rsidR="005004DB" w:rsidRPr="005004DB">
        <w:rPr>
          <w:rFonts w:ascii="Arial" w:hAnsi="Arial" w:cs="Arial"/>
          <w:b/>
          <w:sz w:val="22"/>
        </w:rPr>
        <w:t xml:space="preserve"> UEs</w:t>
      </w:r>
    </w:p>
    <w:p w14:paraId="7395AB72" w14:textId="59197364"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27D9E">
        <w:rPr>
          <w:rFonts w:ascii="Arial" w:hAnsi="Arial" w:cs="Arial"/>
          <w:b/>
          <w:sz w:val="22"/>
        </w:rPr>
        <w:t>Dis</w:t>
      </w:r>
      <w:r w:rsidR="00C75582">
        <w:rPr>
          <w:rFonts w:ascii="Arial" w:hAnsi="Arial" w:cs="Arial"/>
          <w:b/>
          <w:sz w:val="22"/>
        </w:rPr>
        <w:t>cu</w:t>
      </w:r>
      <w:r w:rsidR="00F27D9E">
        <w:rPr>
          <w:rFonts w:ascii="Arial" w:hAnsi="Arial" w:cs="Arial"/>
          <w:b/>
          <w:sz w:val="22"/>
        </w:rPr>
        <w:t>ssion o</w:t>
      </w:r>
      <w:r w:rsidR="00F0032C">
        <w:rPr>
          <w:rFonts w:ascii="Arial" w:hAnsi="Arial" w:cs="Arial"/>
          <w:b/>
          <w:sz w:val="22"/>
        </w:rPr>
        <w:t>n</w:t>
      </w:r>
      <w:r w:rsidR="00B51139">
        <w:rPr>
          <w:rFonts w:ascii="Arial" w:hAnsi="Arial" w:cs="Arial"/>
          <w:b/>
          <w:sz w:val="22"/>
        </w:rPr>
        <w:t xml:space="preserve"> </w:t>
      </w:r>
      <w:r w:rsidR="00F27D9E">
        <w:rPr>
          <w:rFonts w:ascii="Arial" w:hAnsi="Arial" w:cs="Arial"/>
          <w:b/>
          <w:sz w:val="22"/>
        </w:rPr>
        <w:t>MBS</w:t>
      </w:r>
      <w:r w:rsidR="00B610E8">
        <w:rPr>
          <w:rFonts w:ascii="Arial" w:hAnsi="Arial" w:cs="Arial"/>
          <w:b/>
          <w:sz w:val="22"/>
        </w:rPr>
        <w:t xml:space="preserve"> for</w:t>
      </w:r>
      <w:r w:rsidR="00B610E8" w:rsidRPr="00B610E8">
        <w:rPr>
          <w:rFonts w:ascii="Arial" w:hAnsi="Arial" w:cs="Arial"/>
          <w:b/>
          <w:sz w:val="22"/>
        </w:rPr>
        <w:t xml:space="preserve"> </w:t>
      </w:r>
      <w:bookmarkStart w:id="0" w:name="_Hlk53739662"/>
      <w:r w:rsidR="00B610E8" w:rsidRPr="00B610E8">
        <w:rPr>
          <w:rFonts w:ascii="Arial" w:hAnsi="Arial" w:cs="Arial"/>
          <w:b/>
          <w:sz w:val="22"/>
        </w:rPr>
        <w:t>RRC_IDLE/RRC_INACTIVE</w:t>
      </w:r>
      <w:r w:rsidR="00B610E8" w:rsidRPr="005004DB">
        <w:rPr>
          <w:rFonts w:ascii="Arial" w:hAnsi="Arial" w:cs="Arial"/>
          <w:b/>
          <w:sz w:val="22"/>
        </w:rPr>
        <w:t xml:space="preserve">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903E1E2"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1EF9AFDD" w:rsidR="004607C3" w:rsidRDefault="004607C3" w:rsidP="00A23578">
      <w:pPr>
        <w:pBdr>
          <w:bottom w:val="single" w:sz="4" w:space="1" w:color="auto"/>
        </w:pBdr>
        <w:rPr>
          <w:rFonts w:ascii="Arial" w:hAnsi="Arial" w:cs="Arial"/>
        </w:rPr>
      </w:pPr>
    </w:p>
    <w:p w14:paraId="0F3DAC40" w14:textId="18C22166" w:rsidR="004607C3" w:rsidRDefault="005D20F1" w:rsidP="00905F64">
      <w:pPr>
        <w:pStyle w:val="Heading1"/>
        <w:numPr>
          <w:ilvl w:val="0"/>
          <w:numId w:val="24"/>
        </w:numPr>
      </w:pPr>
      <w:r w:rsidRPr="000D37D3">
        <w:t>Introduction</w:t>
      </w:r>
    </w:p>
    <w:p w14:paraId="7DDF4FDC" w14:textId="6BDC6C07" w:rsidR="000E60EA" w:rsidRPr="000E60EA" w:rsidRDefault="00EB389B" w:rsidP="000E60EA">
      <w:pPr>
        <w:spacing w:before="0" w:after="0"/>
        <w:jc w:val="left"/>
        <w:rPr>
          <w:rFonts w:eastAsia="Batang"/>
          <w:sz w:val="24"/>
          <w:szCs w:val="24"/>
        </w:rPr>
      </w:pPr>
      <w:r>
        <w:rPr>
          <w:noProof/>
        </w:rPr>
        <mc:AlternateContent>
          <mc:Choice Requires="wps">
            <w:drawing>
              <wp:anchor distT="0" distB="0" distL="114300" distR="114300" simplePos="0" relativeHeight="251659264" behindDoc="0" locked="0" layoutInCell="1" allowOverlap="1" wp14:anchorId="596BD659" wp14:editId="75088E70">
                <wp:simplePos x="0" y="0"/>
                <wp:positionH relativeFrom="column">
                  <wp:posOffset>7620</wp:posOffset>
                </wp:positionH>
                <wp:positionV relativeFrom="paragraph">
                  <wp:posOffset>451485</wp:posOffset>
                </wp:positionV>
                <wp:extent cx="1828800" cy="5931535"/>
                <wp:effectExtent l="0" t="0" r="15875" b="120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931535"/>
                        </a:xfrm>
                        <a:prstGeom prst="rect">
                          <a:avLst/>
                        </a:prstGeom>
                        <a:noFill/>
                        <a:ln w="6350">
                          <a:solidFill>
                            <a:prstClr val="black"/>
                          </a:solidFill>
                        </a:ln>
                      </wps:spPr>
                      <wps:txbx>
                        <w:txbxContent>
                          <w:p w14:paraId="2ECAF425"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3B04F593" w14:textId="77777777" w:rsidR="00EB389B" w:rsidRPr="00EB389B" w:rsidRDefault="00EB389B" w:rsidP="00EB389B">
                            <w:pPr>
                              <w:rPr>
                                <w:sz w:val="18"/>
                                <w:szCs w:val="18"/>
                              </w:rPr>
                            </w:pPr>
                            <w:r w:rsidRPr="00EB389B">
                              <w:rPr>
                                <w:sz w:val="18"/>
                                <w:szCs w:val="18"/>
                              </w:rPr>
                              <w:t>For RRC_IDLE/RRC_INACTIVE UEs, one common frequency resource for group-common PDCCH/PDSCH can be defined/configured.</w:t>
                            </w:r>
                          </w:p>
                          <w:p w14:paraId="42779729" w14:textId="4673C3B2" w:rsidR="001B711A" w:rsidRPr="00EB389B" w:rsidRDefault="00EB389B" w:rsidP="00EB389B">
                            <w:pPr>
                              <w:pStyle w:val="ListParagraph"/>
                              <w:numPr>
                                <w:ilvl w:val="0"/>
                                <w:numId w:val="39"/>
                              </w:numPr>
                              <w:overflowPunct w:val="0"/>
                              <w:autoSpaceDE w:val="0"/>
                              <w:autoSpaceDN w:val="0"/>
                              <w:adjustRightInd w:val="0"/>
                              <w:spacing w:before="0" w:line="240" w:lineRule="auto"/>
                              <w:jc w:val="left"/>
                              <w:textAlignment w:val="baseline"/>
                              <w:rPr>
                                <w:sz w:val="18"/>
                                <w:szCs w:val="18"/>
                              </w:rPr>
                            </w:pPr>
                            <w:r w:rsidRPr="00EB389B">
                              <w:rPr>
                                <w:sz w:val="18"/>
                                <w:szCs w:val="18"/>
                              </w:rPr>
                              <w:t>FFS: whether to define/configure more than one common frequency resources</w:t>
                            </w:r>
                          </w:p>
                          <w:p w14:paraId="2C3C0FCE"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1737126D" w14:textId="77777777" w:rsidR="00EB389B" w:rsidRPr="00EB389B" w:rsidRDefault="00EB389B" w:rsidP="00EB389B">
                            <w:pPr>
                              <w:rPr>
                                <w:sz w:val="18"/>
                                <w:szCs w:val="18"/>
                              </w:rPr>
                            </w:pPr>
                            <w:r w:rsidRPr="00EB389B">
                              <w:rPr>
                                <w:sz w:val="18"/>
                                <w:szCs w:val="18"/>
                              </w:rPr>
                              <w:t xml:space="preserve">For RRC_IDLE/RRC_INACTIVE UEs, for broadcast reception, further study the following cases of a configured/defined specific common frequency resource (CFR) for group-common PDCCH/PDSCH, </w:t>
                            </w:r>
                            <w:r w:rsidRPr="00EB389B">
                              <w:rPr>
                                <w:sz w:val="18"/>
                                <w:szCs w:val="18"/>
                                <w:u w:val="single"/>
                              </w:rPr>
                              <w:t>and identify which case(s) will be supported</w:t>
                            </w:r>
                            <w:r w:rsidRPr="00EB389B">
                              <w:rPr>
                                <w:sz w:val="18"/>
                                <w:szCs w:val="18"/>
                              </w:rPr>
                              <w:t>:</w:t>
                            </w:r>
                          </w:p>
                          <w:p w14:paraId="36CAA91A"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[Case E] the case where a CFR is defined based on a configured BWP. </w:t>
                            </w:r>
                          </w:p>
                          <w:p w14:paraId="17C62B8E"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2881A9A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a configured BWP for MBS is needed or not.</w:t>
                            </w:r>
                          </w:p>
                          <w:p w14:paraId="11560E9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whether </w:t>
                            </w:r>
                            <w:r w:rsidRPr="00EB389B">
                              <w:rPr>
                                <w:sz w:val="18"/>
                                <w:szCs w:val="18"/>
                                <w:lang w:eastAsia="zh-CN"/>
                              </w:rPr>
                              <w:t>BWP switching is needed or not.</w:t>
                            </w:r>
                          </w:p>
                          <w:p w14:paraId="2D7A5CB2"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configured BWP has the following properties:</w:t>
                            </w:r>
                          </w:p>
                          <w:p w14:paraId="4A42E81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is different than the initial BWP where the frequency resources of this initial BWP are configured smaller than the full carrier bandwidth. </w:t>
                            </w:r>
                          </w:p>
                          <w:p w14:paraId="03CE8284"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CFR has the frequency resources identical to the configured BWP.</w:t>
                            </w:r>
                          </w:p>
                          <w:p w14:paraId="2471B25C"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needs to fully contain the initial BWP in frequency domain and has the same SCS and CP as the initial BWP. </w:t>
                            </w:r>
                          </w:p>
                          <w:p w14:paraId="38D433F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Note: The configured BWP is not larger than the carrier bandwidth</w:t>
                            </w:r>
                          </w:p>
                          <w:p w14:paraId="3FD940B9"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case where the initial BWP fully contains the CFR in the frequency domain.</w:t>
                            </w:r>
                          </w:p>
                          <w:p w14:paraId="0C94DE7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sub-cases are considered:</w:t>
                            </w:r>
                          </w:p>
                          <w:p w14:paraId="46263160"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4240FCAD"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522A59A7"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3DBE4F95"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smaller size than the initial BWP are needed or not for MBS.</w:t>
                            </w:r>
                          </w:p>
                          <w:p w14:paraId="48FFE0E5"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case where the initial BWP has same size as the CFR in the frequency domain. </w:t>
                            </w:r>
                          </w:p>
                          <w:p w14:paraId="1B637BE6"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two sub-cases are considered:</w:t>
                            </w:r>
                          </w:p>
                          <w:p w14:paraId="5294DDB3"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A] A CFR with the same size as the initial BWP, where the initial BWP has the same frequency resources as CORESET0. In this case the CFR has the same frequency resources and same SCS and CP as the initial BWP.</w:t>
                            </w:r>
                          </w:p>
                          <w:p w14:paraId="340A103E"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C] A CFR with same size as the initial BWP, where the initial BWP has the frequency resources configured by SIB1. In this case the CFR has the same frequency resources and same SCS and CP as the initial BWP.</w:t>
                            </w:r>
                          </w:p>
                          <w:p w14:paraId="011DE9CD"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739F17B0"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the same size as the initial BWP are needed or not for MBS.</w:t>
                            </w:r>
                          </w:p>
                          <w:p w14:paraId="709F74C7" w14:textId="77777777" w:rsidR="000C2147" w:rsidRPr="00EB389B" w:rsidRDefault="000C2147" w:rsidP="000E60EA">
                            <w:pPr>
                              <w:spacing w:before="0" w:after="0"/>
                              <w:jc w:val="left"/>
                              <w:rPr>
                                <w:color w:val="000000"/>
                                <w:sz w:val="22"/>
                                <w:szCs w:val="22"/>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96BD659" id="_x0000_t202" coordsize="21600,21600" o:spt="202" path="m,l,21600r21600,l21600,xe">
                <v:stroke joinstyle="miter"/>
                <v:path gradientshapeok="t" o:connecttype="rect"/>
              </v:shapetype>
              <v:shape id="Text Box 2" o:spid="_x0000_s1026" type="#_x0000_t202" style="position:absolute;margin-left:.6pt;margin-top:35.55pt;width:2in;height:467.0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" filled="f" strokeweight=".5pt">
                <v:textbox>
                  <w:txbxContent>
                    <w:p w14:paraId="2ECAF425"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3B04F593" w14:textId="77777777" w:rsidR="00EB389B" w:rsidRPr="00EB389B" w:rsidRDefault="00EB389B" w:rsidP="00EB389B">
                      <w:pPr>
                        <w:rPr>
                          <w:sz w:val="18"/>
                          <w:szCs w:val="18"/>
                        </w:rPr>
                      </w:pPr>
                      <w:r w:rsidRPr="00EB389B">
                        <w:rPr>
                          <w:sz w:val="18"/>
                          <w:szCs w:val="18"/>
                        </w:rPr>
                        <w:t>For RRC_IDLE/RRC_INACTIVE UEs, one common frequency resource for group-common PDCCH/PDSCH can be defined/configured.</w:t>
                      </w:r>
                    </w:p>
                    <w:p w14:paraId="42779729" w14:textId="4673C3B2" w:rsidR="001B711A" w:rsidRPr="00EB389B" w:rsidRDefault="00EB389B" w:rsidP="00EB389B">
                      <w:pPr>
                        <w:pStyle w:val="ListParagraph"/>
                        <w:numPr>
                          <w:ilvl w:val="0"/>
                          <w:numId w:val="39"/>
                        </w:numPr>
                        <w:overflowPunct w:val="0"/>
                        <w:autoSpaceDE w:val="0"/>
                        <w:autoSpaceDN w:val="0"/>
                        <w:adjustRightInd w:val="0"/>
                        <w:spacing w:before="0" w:line="240" w:lineRule="auto"/>
                        <w:jc w:val="left"/>
                        <w:textAlignment w:val="baseline"/>
                        <w:rPr>
                          <w:sz w:val="18"/>
                          <w:szCs w:val="18"/>
                        </w:rPr>
                      </w:pPr>
                      <w:r w:rsidRPr="00EB389B">
                        <w:rPr>
                          <w:sz w:val="18"/>
                          <w:szCs w:val="18"/>
                        </w:rPr>
                        <w:t>FFS: whether to define/configure more than one common frequency resources</w:t>
                      </w:r>
                    </w:p>
                    <w:p w14:paraId="2C3C0FCE" w14:textId="77777777" w:rsidR="00EB389B" w:rsidRPr="00EB389B" w:rsidRDefault="00EB389B" w:rsidP="00EB389B">
                      <w:pPr>
                        <w:rPr>
                          <w:sz w:val="18"/>
                          <w:szCs w:val="18"/>
                          <w:lang w:eastAsia="x-none"/>
                        </w:rPr>
                      </w:pPr>
                      <w:r w:rsidRPr="00EB389B">
                        <w:rPr>
                          <w:sz w:val="18"/>
                          <w:szCs w:val="18"/>
                          <w:highlight w:val="green"/>
                          <w:lang w:eastAsia="x-none"/>
                        </w:rPr>
                        <w:t>Agreement:</w:t>
                      </w:r>
                    </w:p>
                    <w:p w14:paraId="1737126D" w14:textId="77777777" w:rsidR="00EB389B" w:rsidRPr="00EB389B" w:rsidRDefault="00EB389B" w:rsidP="00EB389B">
                      <w:pPr>
                        <w:rPr>
                          <w:sz w:val="18"/>
                          <w:szCs w:val="18"/>
                        </w:rPr>
                      </w:pPr>
                      <w:r w:rsidRPr="00EB389B">
                        <w:rPr>
                          <w:sz w:val="18"/>
                          <w:szCs w:val="18"/>
                        </w:rPr>
                        <w:t xml:space="preserve">For RRC_IDLE/RRC_INACTIVE UEs, for broadcast reception, further study the following cases of a configured/defined specific common frequency resource (CFR) for group-common PDCCH/PDSCH, </w:t>
                      </w:r>
                      <w:r w:rsidRPr="00EB389B">
                        <w:rPr>
                          <w:sz w:val="18"/>
                          <w:szCs w:val="18"/>
                          <w:u w:val="single"/>
                        </w:rPr>
                        <w:t>and identify which case(s) will be supported</w:t>
                      </w:r>
                      <w:r w:rsidRPr="00EB389B">
                        <w:rPr>
                          <w:sz w:val="18"/>
                          <w:szCs w:val="18"/>
                        </w:rPr>
                        <w:t>:</w:t>
                      </w:r>
                    </w:p>
                    <w:p w14:paraId="36CAA91A"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[Case E] the case where a CFR is defined based on a configured BWP. </w:t>
                      </w:r>
                    </w:p>
                    <w:p w14:paraId="17C62B8E"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2881A9A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a configured BWP for MBS is needed or not.</w:t>
                      </w:r>
                    </w:p>
                    <w:p w14:paraId="11560E9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whether </w:t>
                      </w:r>
                      <w:r w:rsidRPr="00EB389B">
                        <w:rPr>
                          <w:sz w:val="18"/>
                          <w:szCs w:val="18"/>
                          <w:lang w:eastAsia="zh-CN"/>
                        </w:rPr>
                        <w:t>BWP switching is needed or not.</w:t>
                      </w:r>
                    </w:p>
                    <w:p w14:paraId="2D7A5CB2"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configured BWP has the following properties:</w:t>
                      </w:r>
                    </w:p>
                    <w:p w14:paraId="4A42E816"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is different than the initial BWP where the frequency resources of this initial BWP are configured smaller than the full carrier bandwidth. </w:t>
                      </w:r>
                    </w:p>
                    <w:p w14:paraId="03CE8284"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CFR has the frequency resources identical to the configured BWP.</w:t>
                      </w:r>
                    </w:p>
                    <w:p w14:paraId="2471B25C"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configured BWP needs to fully contain the initial BWP in frequency domain and has the same SCS and CP as the initial BWP. </w:t>
                      </w:r>
                    </w:p>
                    <w:p w14:paraId="38D433F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Note: The configured BWP is not larger than the carrier bandwidth</w:t>
                      </w:r>
                    </w:p>
                    <w:p w14:paraId="3FD940B9"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the case where the initial BWP fully contains the CFR in the frequency domain.</w:t>
                      </w:r>
                    </w:p>
                    <w:p w14:paraId="0C94DE70"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sub-cases are considered:</w:t>
                      </w:r>
                    </w:p>
                    <w:p w14:paraId="46263160"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4240FCAD" w14:textId="77777777" w:rsidR="00EB389B" w:rsidRPr="00EB389B" w:rsidRDefault="00EB389B" w:rsidP="00EB389B">
                      <w:pPr>
                        <w:numPr>
                          <w:ilvl w:val="2"/>
                          <w:numId w:val="40"/>
                        </w:numPr>
                        <w:overflowPunct w:val="0"/>
                        <w:autoSpaceDE w:val="0"/>
                        <w:autoSpaceDN w:val="0"/>
                        <w:adjustRightInd w:val="0"/>
                        <w:spacing w:before="0" w:after="0"/>
                        <w:jc w:val="left"/>
                        <w:textAlignment w:val="baseline"/>
                        <w:rPr>
                          <w:sz w:val="18"/>
                          <w:szCs w:val="18"/>
                        </w:rPr>
                      </w:pPr>
                      <w:r w:rsidRPr="00EB389B">
                        <w:rPr>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522A59A7"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3DBE4F95"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smaller size than the initial BWP are needed or not for MBS.</w:t>
                      </w:r>
                    </w:p>
                    <w:p w14:paraId="48FFE0E5" w14:textId="77777777" w:rsidR="00EB389B" w:rsidRPr="00EB389B" w:rsidRDefault="00EB389B" w:rsidP="00EB389B">
                      <w:pPr>
                        <w:pStyle w:val="ListParagraph"/>
                        <w:numPr>
                          <w:ilvl w:val="0"/>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 xml:space="preserve">the case where the initial BWP has same size as the CFR in the frequency domain. </w:t>
                      </w:r>
                    </w:p>
                    <w:p w14:paraId="1B637BE6"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this study the following two sub-cases are considered:</w:t>
                      </w:r>
                    </w:p>
                    <w:p w14:paraId="5294DDB3"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A] A CFR with the same size as the initial BWP, where the initial BWP has the same frequency resources as CORESET0. In this case the CFR has the same frequency resources and same SCS and CP as the initial BWP.</w:t>
                      </w:r>
                    </w:p>
                    <w:p w14:paraId="340A103E"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[Case C] A CFR with same size as the initial BWP, where the initial BWP has the frequency resources configured by SIB1. In this case the CFR has the same frequency resources and same SCS and CP as the initial BWP.</w:t>
                      </w:r>
                    </w:p>
                    <w:p w14:paraId="011DE9CD" w14:textId="77777777" w:rsidR="00EB389B" w:rsidRPr="00EB389B" w:rsidRDefault="00EB389B" w:rsidP="00EB389B">
                      <w:pPr>
                        <w:pStyle w:val="ListParagraph"/>
                        <w:numPr>
                          <w:ilvl w:val="1"/>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In particular, study the following:</w:t>
                      </w:r>
                    </w:p>
                    <w:p w14:paraId="739F17B0" w14:textId="77777777" w:rsidR="00EB389B" w:rsidRPr="00EB389B" w:rsidRDefault="00EB389B" w:rsidP="00EB389B">
                      <w:pPr>
                        <w:pStyle w:val="ListParagraph"/>
                        <w:numPr>
                          <w:ilvl w:val="2"/>
                          <w:numId w:val="40"/>
                        </w:numPr>
                        <w:overflowPunct w:val="0"/>
                        <w:autoSpaceDE w:val="0"/>
                        <w:autoSpaceDN w:val="0"/>
                        <w:adjustRightInd w:val="0"/>
                        <w:spacing w:before="0" w:after="0" w:line="240" w:lineRule="auto"/>
                        <w:jc w:val="left"/>
                        <w:textAlignment w:val="baseline"/>
                        <w:rPr>
                          <w:sz w:val="18"/>
                          <w:szCs w:val="18"/>
                        </w:rPr>
                      </w:pPr>
                      <w:r w:rsidRPr="00EB389B">
                        <w:rPr>
                          <w:sz w:val="18"/>
                          <w:szCs w:val="18"/>
                        </w:rPr>
                        <w:t>Whether the considered two options with a CFR with the same size as the initial BWP are needed or not for MBS.</w:t>
                      </w:r>
                    </w:p>
                    <w:p w14:paraId="709F74C7" w14:textId="77777777" w:rsidR="000C2147" w:rsidRPr="00EB389B" w:rsidRDefault="000C2147" w:rsidP="000E60EA">
                      <w:pPr>
                        <w:spacing w:before="0" w:after="0"/>
                        <w:jc w:val="left"/>
                        <w:rPr>
                          <w:color w:val="000000"/>
                          <w:sz w:val="22"/>
                          <w:szCs w:val="22"/>
                          <w:lang w:val="en-US"/>
                        </w:rPr>
                      </w:pPr>
                    </w:p>
                  </w:txbxContent>
                </v:textbox>
                <w10:wrap type="square"/>
              </v:shape>
            </w:pict>
          </mc:Fallback>
        </mc:AlternateContent>
      </w:r>
      <w:r w:rsidR="000E60EA" w:rsidRPr="000E60EA">
        <w:rPr>
          <w:rFonts w:eastAsia="Batang"/>
          <w:sz w:val="24"/>
          <w:szCs w:val="24"/>
        </w:rPr>
        <w:t>In the RAN1 #10</w:t>
      </w:r>
      <w:r w:rsidR="00F34931">
        <w:rPr>
          <w:rFonts w:eastAsia="Batang"/>
          <w:sz w:val="24"/>
          <w:szCs w:val="24"/>
        </w:rPr>
        <w:t>4</w:t>
      </w:r>
      <w:r w:rsidR="000E60EA" w:rsidRPr="000E60EA">
        <w:rPr>
          <w:rFonts w:eastAsia="Batang"/>
          <w:sz w:val="24"/>
          <w:szCs w:val="24"/>
        </w:rPr>
        <w:t xml:space="preserve">-e meeting, the following agreements were reached on MBS </w:t>
      </w:r>
      <w:r w:rsidR="000E60EA" w:rsidRPr="00B610E8">
        <w:rPr>
          <w:rFonts w:eastAsia="Batang"/>
          <w:sz w:val="24"/>
          <w:szCs w:val="24"/>
        </w:rPr>
        <w:t>for RRC_IDLE</w:t>
      </w:r>
      <w:r w:rsidR="000E60EA">
        <w:rPr>
          <w:rFonts w:eastAsia="Batang"/>
          <w:sz w:val="24"/>
          <w:szCs w:val="24"/>
        </w:rPr>
        <w:t xml:space="preserve"> UEs and </w:t>
      </w:r>
      <w:r w:rsidR="000E60EA" w:rsidRPr="00B610E8">
        <w:rPr>
          <w:rFonts w:eastAsia="Batang"/>
          <w:sz w:val="24"/>
          <w:szCs w:val="24"/>
        </w:rPr>
        <w:t>RRC_INACTIVE UEs</w:t>
      </w:r>
      <w:r w:rsidR="000E60EA" w:rsidRPr="000E60EA">
        <w:rPr>
          <w:rFonts w:eastAsia="Batang"/>
          <w:sz w:val="24"/>
          <w:szCs w:val="24"/>
        </w:rPr>
        <w:t xml:space="preserve"> [1]:</w:t>
      </w:r>
    </w:p>
    <w:p w14:paraId="6F45877E" w14:textId="16AD4703" w:rsidR="000E60EA" w:rsidRPr="000E60EA" w:rsidRDefault="000E60EA" w:rsidP="000E60EA">
      <w:pPr>
        <w:spacing w:before="0" w:after="0"/>
        <w:jc w:val="left"/>
        <w:rPr>
          <w:rFonts w:eastAsia="Batang"/>
          <w:sz w:val="24"/>
          <w:szCs w:val="24"/>
        </w:rPr>
      </w:pPr>
    </w:p>
    <w:p w14:paraId="6B929AAA" w14:textId="3EB6B6C9" w:rsidR="00B610E8" w:rsidRDefault="00B610E8" w:rsidP="00B610E8">
      <w:pPr>
        <w:spacing w:before="0" w:after="0" w:line="276" w:lineRule="auto"/>
        <w:jc w:val="left"/>
        <w:rPr>
          <w:rFonts w:eastAsia="Batang"/>
          <w:sz w:val="24"/>
          <w:szCs w:val="24"/>
        </w:rPr>
      </w:pPr>
      <w:r w:rsidRPr="00B610E8">
        <w:rPr>
          <w:rFonts w:eastAsia="Batang"/>
          <w:sz w:val="24"/>
          <w:szCs w:val="24"/>
        </w:rPr>
        <w:lastRenderedPageBreak/>
        <w:t>In this contribution, we provide our views on NR multicast and broadcast for RRC_IDLE</w:t>
      </w:r>
      <w:r>
        <w:rPr>
          <w:rFonts w:eastAsia="Batang"/>
          <w:sz w:val="24"/>
          <w:szCs w:val="24"/>
        </w:rPr>
        <w:t xml:space="preserve"> UEs and </w:t>
      </w:r>
      <w:r w:rsidRPr="00B610E8">
        <w:rPr>
          <w:rFonts w:eastAsia="Batang"/>
          <w:sz w:val="24"/>
          <w:szCs w:val="24"/>
        </w:rPr>
        <w:t>RRC_INACTIVE UEs.</w:t>
      </w:r>
    </w:p>
    <w:p w14:paraId="028F1165" w14:textId="77777777" w:rsidR="00B610E8" w:rsidRDefault="00B610E8" w:rsidP="00B610E8">
      <w:pPr>
        <w:spacing w:before="0" w:after="0" w:line="276" w:lineRule="auto"/>
        <w:jc w:val="left"/>
        <w:rPr>
          <w:rFonts w:eastAsia="Batang"/>
          <w:sz w:val="24"/>
          <w:szCs w:val="24"/>
        </w:rPr>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t>Discussion</w:t>
      </w:r>
    </w:p>
    <w:p w14:paraId="3262AAA6" w14:textId="35F9BB0B" w:rsidR="0046736A" w:rsidRDefault="0046736A" w:rsidP="00DF59D6">
      <w:pPr>
        <w:spacing w:after="0" w:line="276" w:lineRule="auto"/>
        <w:jc w:val="left"/>
        <w:rPr>
          <w:rFonts w:eastAsia="Batang"/>
          <w:sz w:val="24"/>
          <w:szCs w:val="24"/>
        </w:rPr>
      </w:pPr>
      <w:r>
        <w:rPr>
          <w:noProof/>
        </w:rPr>
        <mc:AlternateContent>
          <mc:Choice Requires="wps">
            <w:drawing>
              <wp:anchor distT="0" distB="0" distL="114300" distR="114300" simplePos="0" relativeHeight="251661312" behindDoc="0" locked="0" layoutInCell="1" allowOverlap="1" wp14:anchorId="6C1EA244" wp14:editId="7B5819AC">
                <wp:simplePos x="0" y="0"/>
                <wp:positionH relativeFrom="column">
                  <wp:posOffset>-635</wp:posOffset>
                </wp:positionH>
                <wp:positionV relativeFrom="paragraph">
                  <wp:posOffset>977900</wp:posOffset>
                </wp:positionV>
                <wp:extent cx="1828800" cy="1381125"/>
                <wp:effectExtent l="0" t="0" r="15875" b="285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381125"/>
                        </a:xfrm>
                        <a:prstGeom prst="rect">
                          <a:avLst/>
                        </a:prstGeom>
                        <a:noFill/>
                        <a:ln w="6350">
                          <a:solidFill>
                            <a:prstClr val="black"/>
                          </a:solidFill>
                        </a:ln>
                      </wps:spPr>
                      <wps:txbx>
                        <w:txbxContent>
                          <w:p w14:paraId="6F6BDC97" w14:textId="77777777" w:rsidR="00B453B7" w:rsidRPr="00817640" w:rsidRDefault="00B453B7" w:rsidP="00B453B7">
                            <w:pPr>
                              <w:spacing w:after="0"/>
                            </w:pPr>
                            <w:r>
                              <w:rPr>
                                <w:highlight w:val="green"/>
                                <w:lang w:val="en-US"/>
                              </w:rPr>
                              <w:t>Agreement (Updated p</w:t>
                            </w:r>
                            <w:r w:rsidRPr="00817640">
                              <w:rPr>
                                <w:highlight w:val="green"/>
                                <w:lang w:val="en-US"/>
                              </w:rPr>
                              <w:t>roposal from RAN1#106e):</w:t>
                            </w:r>
                          </w:p>
                          <w:p w14:paraId="096D2271" w14:textId="715E0C4B" w:rsidR="0046736A" w:rsidRDefault="0046736A" w:rsidP="0046736A">
                            <w:r>
                              <w:t>For a configured/defined CFR for GC-PDCCH/PDSCH carrying MCCH and MTCH for broadcast reception with UEs in RRC IDLE/INACTIVE state:</w:t>
                            </w:r>
                          </w:p>
                          <w:p w14:paraId="3ACF0A64" w14:textId="77777777" w:rsidR="0046736A" w:rsidRDefault="0046736A" w:rsidP="0046736A">
                            <w:r>
                              <w:t>- Support Case-C</w:t>
                            </w:r>
                          </w:p>
                          <w:p w14:paraId="33CE60CA" w14:textId="77777777" w:rsidR="0046736A" w:rsidRDefault="0046736A" w:rsidP="0046736A">
                            <w:r>
                              <w:t>- Support at least one of Case D and Case E. Down-selection to be made at RAN1#106b-e</w:t>
                            </w:r>
                          </w:p>
                          <w:p w14:paraId="0F6403A5" w14:textId="77777777" w:rsidR="0046736A" w:rsidRDefault="0046736A" w:rsidP="0046736A">
                            <w:r>
                              <w:t>Note: Case C, D and E are defined in previous agreements.</w:t>
                            </w:r>
                          </w:p>
                          <w:p w14:paraId="6F9484CE" w14:textId="77777777" w:rsidR="0046736A" w:rsidRPr="0046736A" w:rsidRDefault="0046736A" w:rsidP="0046736A">
                            <w:pPr>
                              <w:spacing w:before="0" w:after="0"/>
                              <w:jc w:val="left"/>
                              <w:rPr>
                                <w:color w:val="000000"/>
                                <w:sz w:val="22"/>
                                <w:szCs w:val="2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C1EA244" id="Text Box 1" o:spid="_x0000_s1027" type="#_x0000_t202" style="position:absolute;margin-left:-.05pt;margin-top:77pt;width:2in;height:108.7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" filled="f" strokeweight=".5pt">
                <v:textbox>
                  <w:txbxContent>
                    <w:p w14:paraId="6F6BDC97" w14:textId="77777777" w:rsidR="00B453B7" w:rsidRPr="00817640" w:rsidRDefault="00B453B7" w:rsidP="00B453B7">
                      <w:pPr>
                        <w:spacing w:after="0"/>
                      </w:pPr>
                      <w:r>
                        <w:rPr>
                          <w:highlight w:val="green"/>
                          <w:lang w:val="en-US"/>
                        </w:rPr>
                        <w:t>Agreement (Updated p</w:t>
                      </w:r>
                      <w:r w:rsidRPr="00817640">
                        <w:rPr>
                          <w:highlight w:val="green"/>
                          <w:lang w:val="en-US"/>
                        </w:rPr>
                        <w:t>roposal from RAN1#106e):</w:t>
                      </w:r>
                    </w:p>
                    <w:p w14:paraId="096D2271" w14:textId="715E0C4B" w:rsidR="0046736A" w:rsidRDefault="0046736A" w:rsidP="0046736A">
                      <w:r>
                        <w:t>For a configured/defined CFR for GC-PDCCH/PDSCH carrying MCCH and MTCH for broadcast reception with UEs in RRC IDLE/INACTIVE state:</w:t>
                      </w:r>
                    </w:p>
                    <w:p w14:paraId="3ACF0A64" w14:textId="77777777" w:rsidR="0046736A" w:rsidRDefault="0046736A" w:rsidP="0046736A">
                      <w:r>
                        <w:t>- Support Case-C</w:t>
                      </w:r>
                    </w:p>
                    <w:p w14:paraId="33CE60CA" w14:textId="77777777" w:rsidR="0046736A" w:rsidRDefault="0046736A" w:rsidP="0046736A">
                      <w:r>
                        <w:t>- Support at least one of Case D and Case E. Down-selection to be made at RAN1#106b-e</w:t>
                      </w:r>
                    </w:p>
                    <w:p w14:paraId="0F6403A5" w14:textId="77777777" w:rsidR="0046736A" w:rsidRDefault="0046736A" w:rsidP="0046736A">
                      <w:r>
                        <w:t>Note: Case C, D and E are defined in previous agreements.</w:t>
                      </w:r>
                    </w:p>
                    <w:p w14:paraId="6F9484CE" w14:textId="77777777" w:rsidR="0046736A" w:rsidRPr="0046736A" w:rsidRDefault="0046736A" w:rsidP="0046736A">
                      <w:pPr>
                        <w:spacing w:before="0" w:after="0"/>
                        <w:jc w:val="left"/>
                        <w:rPr>
                          <w:color w:val="000000"/>
                          <w:sz w:val="22"/>
                          <w:szCs w:val="22"/>
                        </w:rPr>
                      </w:pPr>
                    </w:p>
                  </w:txbxContent>
                </v:textbox>
                <w10:wrap type="square"/>
              </v:shape>
            </w:pict>
          </mc:Fallback>
        </mc:AlternateContent>
      </w:r>
      <w:r w:rsidR="003541D8" w:rsidRPr="000E60EA">
        <w:rPr>
          <w:rFonts w:eastAsia="Batang"/>
          <w:sz w:val="24"/>
          <w:szCs w:val="24"/>
        </w:rPr>
        <w:t>In the RAN1 #10</w:t>
      </w:r>
      <w:r w:rsidR="003541D8">
        <w:rPr>
          <w:rFonts w:eastAsia="Batang"/>
          <w:sz w:val="24"/>
          <w:szCs w:val="24"/>
        </w:rPr>
        <w:t>4</w:t>
      </w:r>
      <w:r w:rsidR="003541D8" w:rsidRPr="000E60EA">
        <w:rPr>
          <w:rFonts w:eastAsia="Batang"/>
          <w:sz w:val="24"/>
          <w:szCs w:val="24"/>
        </w:rPr>
        <w:t>-e meeting</w:t>
      </w:r>
      <w:r w:rsidR="003541D8">
        <w:rPr>
          <w:rFonts w:eastAsia="Batang"/>
          <w:sz w:val="24"/>
          <w:szCs w:val="24"/>
        </w:rPr>
        <w:t xml:space="preserve">, 5 cases </w:t>
      </w:r>
      <w:r w:rsidR="00A53009">
        <w:rPr>
          <w:rFonts w:eastAsia="Batang"/>
          <w:sz w:val="24"/>
          <w:szCs w:val="24"/>
          <w:lang w:val="en-US"/>
        </w:rPr>
        <w:t xml:space="preserve">were </w:t>
      </w:r>
      <w:r w:rsidR="003541D8">
        <w:rPr>
          <w:rFonts w:eastAsia="Batang"/>
          <w:sz w:val="24"/>
          <w:szCs w:val="24"/>
        </w:rPr>
        <w:t>raised</w:t>
      </w:r>
      <w:r w:rsidR="00295588">
        <w:rPr>
          <w:rFonts w:eastAsia="Batang"/>
          <w:sz w:val="24"/>
          <w:szCs w:val="24"/>
        </w:rPr>
        <w:t>,</w:t>
      </w:r>
      <w:r w:rsidR="003541D8">
        <w:rPr>
          <w:rFonts w:eastAsia="Batang"/>
          <w:sz w:val="24"/>
          <w:szCs w:val="24"/>
        </w:rPr>
        <w:t xml:space="preserve"> </w:t>
      </w:r>
      <w:r w:rsidR="00D27A7C">
        <w:rPr>
          <w:rFonts w:eastAsia="Batang"/>
          <w:sz w:val="24"/>
          <w:szCs w:val="24"/>
        </w:rPr>
        <w:t>and th</w:t>
      </w:r>
      <w:r w:rsidR="00295588">
        <w:rPr>
          <w:rFonts w:eastAsia="Batang"/>
          <w:sz w:val="24"/>
          <w:szCs w:val="24"/>
        </w:rPr>
        <w:t>e</w:t>
      </w:r>
      <w:r w:rsidR="00D27A7C">
        <w:rPr>
          <w:rFonts w:eastAsia="Batang"/>
          <w:sz w:val="24"/>
          <w:szCs w:val="24"/>
        </w:rPr>
        <w:t xml:space="preserve"> target is to identify which case(s) will be supported. </w:t>
      </w:r>
      <w:r w:rsidR="00D16879">
        <w:rPr>
          <w:rFonts w:eastAsia="Batang"/>
          <w:sz w:val="24"/>
          <w:szCs w:val="24"/>
        </w:rPr>
        <w:t xml:space="preserve">In the </w:t>
      </w:r>
      <w:r>
        <w:rPr>
          <w:rFonts w:eastAsia="Batang"/>
          <w:sz w:val="24"/>
          <w:szCs w:val="24"/>
        </w:rPr>
        <w:t xml:space="preserve">past </w:t>
      </w:r>
      <w:r w:rsidR="00D16879">
        <w:rPr>
          <w:rFonts w:eastAsia="Batang"/>
          <w:sz w:val="24"/>
          <w:szCs w:val="24"/>
        </w:rPr>
        <w:t>RAN1 #105-e</w:t>
      </w:r>
      <w:r>
        <w:rPr>
          <w:rFonts w:eastAsia="Batang"/>
          <w:sz w:val="24"/>
          <w:szCs w:val="24"/>
        </w:rPr>
        <w:t xml:space="preserve"> and #106-e</w:t>
      </w:r>
      <w:r w:rsidR="00D16879">
        <w:rPr>
          <w:rFonts w:eastAsia="Batang"/>
          <w:sz w:val="24"/>
          <w:szCs w:val="24"/>
        </w:rPr>
        <w:t xml:space="preserve"> meeting</w:t>
      </w:r>
      <w:r>
        <w:rPr>
          <w:rFonts w:eastAsia="Batang"/>
          <w:sz w:val="24"/>
          <w:szCs w:val="24"/>
        </w:rPr>
        <w:t>s</w:t>
      </w:r>
      <w:r w:rsidR="00D16879">
        <w:rPr>
          <w:rFonts w:eastAsia="Batang"/>
          <w:sz w:val="24"/>
          <w:szCs w:val="24"/>
        </w:rPr>
        <w:t>, the RAN1 group has agreed to support Case A</w:t>
      </w:r>
      <w:r>
        <w:rPr>
          <w:rFonts w:eastAsia="Batang"/>
          <w:sz w:val="24"/>
          <w:szCs w:val="24"/>
        </w:rPr>
        <w:t xml:space="preserve"> and has concluded that there is </w:t>
      </w:r>
      <w:r w:rsidRPr="0046736A">
        <w:rPr>
          <w:rFonts w:eastAsia="Batang"/>
          <w:sz w:val="24"/>
          <w:szCs w:val="24"/>
        </w:rPr>
        <w:t>no specification support in Rel-17 for</w:t>
      </w:r>
      <w:r>
        <w:rPr>
          <w:rFonts w:eastAsia="Batang"/>
          <w:sz w:val="24"/>
          <w:szCs w:val="24"/>
        </w:rPr>
        <w:t xml:space="preserve"> case B. In the RAN Plenary #93-e meeting</w:t>
      </w:r>
      <w:r w:rsidR="00B453B7">
        <w:rPr>
          <w:rFonts w:eastAsia="Batang"/>
          <w:sz w:val="24"/>
          <w:szCs w:val="24"/>
        </w:rPr>
        <w:t xml:space="preserve"> [2]</w:t>
      </w:r>
      <w:r>
        <w:rPr>
          <w:rFonts w:eastAsia="Batang"/>
          <w:sz w:val="24"/>
          <w:szCs w:val="24"/>
        </w:rPr>
        <w:t xml:space="preserve">, the following proposal has been endorsed. </w:t>
      </w:r>
    </w:p>
    <w:p w14:paraId="4C25B12F" w14:textId="3E6F8A3B" w:rsidR="0046736A" w:rsidRDefault="0046736A" w:rsidP="00DF59D6">
      <w:pPr>
        <w:spacing w:after="0" w:line="276" w:lineRule="auto"/>
        <w:jc w:val="left"/>
        <w:rPr>
          <w:rFonts w:eastAsia="Batang"/>
          <w:sz w:val="24"/>
          <w:szCs w:val="24"/>
        </w:rPr>
      </w:pPr>
    </w:p>
    <w:p w14:paraId="0BD0CB43" w14:textId="687D8423" w:rsidR="006E43F5" w:rsidRDefault="0046736A" w:rsidP="00DF59D6">
      <w:pPr>
        <w:spacing w:after="0" w:line="276" w:lineRule="auto"/>
        <w:jc w:val="left"/>
        <w:rPr>
          <w:rFonts w:eastAsia="Batang"/>
          <w:sz w:val="24"/>
          <w:szCs w:val="24"/>
        </w:rPr>
      </w:pPr>
      <w:r>
        <w:rPr>
          <w:rFonts w:eastAsia="Batang"/>
          <w:sz w:val="24"/>
          <w:szCs w:val="24"/>
        </w:rPr>
        <w:t xml:space="preserve">Regarding the case D and case E, </w:t>
      </w:r>
      <w:r w:rsidR="00AC60FD">
        <w:rPr>
          <w:rFonts w:eastAsia="Batang"/>
          <w:sz w:val="24"/>
          <w:szCs w:val="24"/>
        </w:rPr>
        <w:t xml:space="preserve">we believe that RAN1 group has already had very detailed discussion and debating on it. It is clear that </w:t>
      </w:r>
      <w:r w:rsidR="00D7100D">
        <w:rPr>
          <w:rFonts w:eastAsia="Batang"/>
          <w:sz w:val="24"/>
          <w:szCs w:val="24"/>
        </w:rPr>
        <w:t xml:space="preserve">there are several drawbacks if case E is not supported. </w:t>
      </w:r>
      <w:r w:rsidR="00AB7558">
        <w:rPr>
          <w:rFonts w:eastAsia="Batang"/>
          <w:sz w:val="24"/>
          <w:szCs w:val="24"/>
        </w:rPr>
        <w:t xml:space="preserve">As the legacy NR UEs only monitor the initial BWP with the frequency size equals to the CORESET #0 in RRC idle/inactive state, to </w:t>
      </w:r>
      <w:r w:rsidR="006E43F5">
        <w:rPr>
          <w:rFonts w:eastAsia="Batang"/>
          <w:sz w:val="24"/>
          <w:szCs w:val="24"/>
        </w:rPr>
        <w:t>accommodate</w:t>
      </w:r>
      <w:r w:rsidR="00AB7558">
        <w:rPr>
          <w:rFonts w:eastAsia="Batang"/>
          <w:sz w:val="24"/>
          <w:szCs w:val="24"/>
        </w:rPr>
        <w:t xml:space="preserve"> the use</w:t>
      </w:r>
      <w:r w:rsidR="00B453B7">
        <w:rPr>
          <w:rFonts w:eastAsia="Batang"/>
          <w:sz w:val="24"/>
          <w:szCs w:val="24"/>
        </w:rPr>
        <w:t xml:space="preserve"> </w:t>
      </w:r>
      <w:r w:rsidR="00AB7558">
        <w:rPr>
          <w:rFonts w:eastAsia="Batang"/>
          <w:sz w:val="24"/>
          <w:szCs w:val="24"/>
        </w:rPr>
        <w:t xml:space="preserve">case that the MBS service with large payload size, it is </w:t>
      </w:r>
      <w:r w:rsidR="006E43F5">
        <w:rPr>
          <w:rFonts w:eastAsia="Batang"/>
          <w:sz w:val="24"/>
          <w:szCs w:val="24"/>
        </w:rPr>
        <w:t>necessary</w:t>
      </w:r>
      <w:r w:rsidR="00AB7558">
        <w:rPr>
          <w:rFonts w:eastAsia="Batang"/>
          <w:sz w:val="24"/>
          <w:szCs w:val="24"/>
        </w:rPr>
        <w:t xml:space="preserve"> that the MBS service can be delivered with a </w:t>
      </w:r>
      <w:r w:rsidR="006E43F5">
        <w:rPr>
          <w:rFonts w:eastAsia="Batang"/>
          <w:sz w:val="24"/>
          <w:szCs w:val="24"/>
        </w:rPr>
        <w:t>CFR</w:t>
      </w:r>
      <w:r w:rsidR="00AB7558">
        <w:rPr>
          <w:rFonts w:eastAsia="Batang"/>
          <w:sz w:val="24"/>
          <w:szCs w:val="24"/>
        </w:rPr>
        <w:t xml:space="preserve"> wider than the CORESET #0. </w:t>
      </w:r>
      <w:r w:rsidR="006E43F5">
        <w:rPr>
          <w:rFonts w:eastAsia="Batang"/>
          <w:sz w:val="24"/>
          <w:szCs w:val="24"/>
        </w:rPr>
        <w:t>For case E, the size of the MBS BWP can be flexibly configured,</w:t>
      </w:r>
      <w:r w:rsidR="00BE4133">
        <w:rPr>
          <w:rFonts w:eastAsia="Batang"/>
          <w:sz w:val="24"/>
          <w:szCs w:val="24"/>
        </w:rPr>
        <w:t xml:space="preserve"> therefore </w:t>
      </w:r>
      <w:r w:rsidR="006E43F5">
        <w:rPr>
          <w:rFonts w:eastAsia="Batang"/>
          <w:sz w:val="24"/>
          <w:szCs w:val="24"/>
        </w:rPr>
        <w:t xml:space="preserve">it provides the full flexibility for the gNB to configure the size of the CFR to fulfil different requirements which can perfectly solve this problem. </w:t>
      </w:r>
    </w:p>
    <w:p w14:paraId="00E8A9D1" w14:textId="77777777" w:rsidR="009555DD" w:rsidRDefault="006E43F5" w:rsidP="00DF59D6">
      <w:pPr>
        <w:spacing w:after="0" w:line="276" w:lineRule="auto"/>
        <w:jc w:val="left"/>
        <w:rPr>
          <w:rFonts w:eastAsia="Batang"/>
          <w:sz w:val="24"/>
          <w:szCs w:val="24"/>
        </w:rPr>
      </w:pPr>
      <w:r>
        <w:rPr>
          <w:rFonts w:eastAsia="Batang"/>
          <w:sz w:val="24"/>
          <w:szCs w:val="24"/>
        </w:rPr>
        <w:t>Although using case C, the gNB can achieve a wider CFR for RRC idle/inactive UEs by configuring a wider SIB1 configured initial BWP. However, since the SIB1 configured initial BWP is defined for the UE in RRC connected state, such solution will have negative impacts to the RRC connected UEs. Also,</w:t>
      </w:r>
      <w:r w:rsidR="009555DD">
        <w:rPr>
          <w:rFonts w:eastAsia="Batang"/>
          <w:sz w:val="24"/>
          <w:szCs w:val="24"/>
        </w:rPr>
        <w:t xml:space="preserve"> since the size of the CFR can be only equal to the</w:t>
      </w:r>
      <w:r>
        <w:rPr>
          <w:rFonts w:eastAsia="Batang"/>
          <w:sz w:val="24"/>
          <w:szCs w:val="24"/>
        </w:rPr>
        <w:t xml:space="preserve"> </w:t>
      </w:r>
      <w:r w:rsidR="009555DD">
        <w:rPr>
          <w:rFonts w:eastAsia="Batang"/>
          <w:sz w:val="24"/>
          <w:szCs w:val="24"/>
        </w:rPr>
        <w:t xml:space="preserve">SIB1 configured initial BWP, this solution is very restrictive which is not desirable. In addition, </w:t>
      </w:r>
      <w:r>
        <w:rPr>
          <w:rFonts w:eastAsia="Batang"/>
          <w:sz w:val="24"/>
          <w:szCs w:val="24"/>
        </w:rPr>
        <w:t xml:space="preserve">case C itself requires the RRC idle/inactive UEs to monitor the SIB1 configured initial BWP, </w:t>
      </w:r>
      <w:r w:rsidR="009555DD">
        <w:rPr>
          <w:rFonts w:eastAsia="Batang"/>
          <w:sz w:val="24"/>
          <w:szCs w:val="24"/>
        </w:rPr>
        <w:t xml:space="preserve">this design already conflicts with the legacy behaviour of the NR RRC idle/inactive. </w:t>
      </w:r>
    </w:p>
    <w:p w14:paraId="5816CC3A" w14:textId="07943B6E" w:rsidR="0046736A" w:rsidRDefault="009555DD" w:rsidP="00DF59D6">
      <w:pPr>
        <w:spacing w:after="0" w:line="276" w:lineRule="auto"/>
        <w:jc w:val="left"/>
        <w:rPr>
          <w:rFonts w:eastAsia="Batang"/>
          <w:sz w:val="24"/>
          <w:szCs w:val="24"/>
        </w:rPr>
      </w:pPr>
      <w:r>
        <w:rPr>
          <w:rFonts w:eastAsia="Batang"/>
          <w:sz w:val="24"/>
          <w:szCs w:val="24"/>
        </w:rPr>
        <w:t>Overall, we think it is important to support case E</w:t>
      </w:r>
      <w:r w:rsidR="00BE4133">
        <w:rPr>
          <w:rFonts w:eastAsia="Batang"/>
          <w:sz w:val="24"/>
          <w:szCs w:val="24"/>
        </w:rPr>
        <w:t xml:space="preserve"> from system operation flexibility and performance point of view</w:t>
      </w:r>
      <w:r>
        <w:rPr>
          <w:rFonts w:eastAsia="Batang"/>
          <w:sz w:val="24"/>
          <w:szCs w:val="24"/>
        </w:rPr>
        <w:t xml:space="preserve">. Since there are only two RAN1 meetings left before the </w:t>
      </w:r>
      <w:r w:rsidR="00BE4133">
        <w:rPr>
          <w:rFonts w:eastAsia="Batang"/>
          <w:sz w:val="24"/>
          <w:szCs w:val="24"/>
        </w:rPr>
        <w:t xml:space="preserve">completion </w:t>
      </w:r>
      <w:r>
        <w:rPr>
          <w:rFonts w:eastAsia="Batang"/>
          <w:sz w:val="24"/>
          <w:szCs w:val="24"/>
        </w:rPr>
        <w:t xml:space="preserve">of the Rel-17, RAN1 group should agree with the case E as early as possible to leave time for the discussion on the detail designs.   </w:t>
      </w:r>
    </w:p>
    <w:p w14:paraId="3E4082E0" w14:textId="77777777" w:rsidR="00AB2F0A" w:rsidRDefault="00AB2F0A" w:rsidP="00DF59D6">
      <w:pPr>
        <w:spacing w:after="0" w:line="276" w:lineRule="auto"/>
        <w:jc w:val="left"/>
        <w:rPr>
          <w:rFonts w:eastAsia="Batang"/>
          <w:sz w:val="24"/>
          <w:szCs w:val="24"/>
        </w:rPr>
      </w:pPr>
    </w:p>
    <w:p w14:paraId="4917E91C" w14:textId="3688FE5A" w:rsidR="0046736A" w:rsidRDefault="00AB2F0A" w:rsidP="00DF59D6">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Support Case E for the CFR design for the </w:t>
      </w:r>
      <w:r w:rsidRPr="003E755D">
        <w:rPr>
          <w:rFonts w:cs="Calibri"/>
          <w:b/>
          <w:bCs/>
          <w:i/>
          <w:iCs/>
          <w:color w:val="000000"/>
          <w:sz w:val="24"/>
          <w:szCs w:val="16"/>
          <w:lang w:eastAsia="zh-CN"/>
        </w:rPr>
        <w:t>RRC_IDLE/RRC_INACTIVE UEs</w:t>
      </w:r>
      <w:r w:rsidRPr="00F405CA">
        <w:rPr>
          <w:rFonts w:cs="Calibri"/>
          <w:b/>
          <w:bCs/>
          <w:i/>
          <w:iCs/>
          <w:color w:val="000000"/>
          <w:sz w:val="24"/>
          <w:szCs w:val="16"/>
          <w:lang w:eastAsia="zh-CN"/>
        </w:rPr>
        <w:t>.</w:t>
      </w:r>
    </w:p>
    <w:p w14:paraId="5A5AA458" w14:textId="77777777" w:rsidR="00AB2F0A" w:rsidRDefault="00AB2F0A" w:rsidP="00DF59D6">
      <w:pPr>
        <w:spacing w:after="0" w:line="276" w:lineRule="auto"/>
        <w:jc w:val="left"/>
        <w:rPr>
          <w:rFonts w:eastAsia="Batang"/>
          <w:sz w:val="24"/>
          <w:szCs w:val="24"/>
        </w:rPr>
      </w:pPr>
    </w:p>
    <w:p w14:paraId="59D78054" w14:textId="3D7B626B" w:rsidR="00AB2F0A" w:rsidRDefault="00AB2F0A" w:rsidP="00DF59D6">
      <w:pPr>
        <w:spacing w:after="0" w:line="276" w:lineRule="auto"/>
        <w:jc w:val="left"/>
        <w:rPr>
          <w:rFonts w:eastAsia="Batang"/>
          <w:sz w:val="24"/>
          <w:szCs w:val="24"/>
        </w:rPr>
      </w:pPr>
      <w:r>
        <w:rPr>
          <w:rFonts w:eastAsia="Batang"/>
          <w:sz w:val="24"/>
          <w:szCs w:val="24"/>
        </w:rPr>
        <w:t xml:space="preserve">Looking at the agreement made in RAN1 </w:t>
      </w:r>
      <w:r w:rsidRPr="000E60EA">
        <w:rPr>
          <w:rFonts w:eastAsia="Batang"/>
          <w:sz w:val="24"/>
          <w:szCs w:val="24"/>
        </w:rPr>
        <w:t>#10</w:t>
      </w:r>
      <w:r>
        <w:rPr>
          <w:rFonts w:eastAsia="Batang"/>
          <w:sz w:val="24"/>
          <w:szCs w:val="24"/>
        </w:rPr>
        <w:t>4</w:t>
      </w:r>
      <w:r w:rsidRPr="000E60EA">
        <w:rPr>
          <w:rFonts w:eastAsia="Batang"/>
          <w:sz w:val="24"/>
          <w:szCs w:val="24"/>
        </w:rPr>
        <w:t>-e</w:t>
      </w:r>
      <w:r>
        <w:rPr>
          <w:rFonts w:eastAsia="Batang"/>
          <w:sz w:val="24"/>
          <w:szCs w:val="24"/>
        </w:rPr>
        <w:t xml:space="preserve"> on case E, it says that ‘</w:t>
      </w:r>
      <w:r w:rsidRPr="00AB2F0A">
        <w:rPr>
          <w:rFonts w:eastAsia="Batang"/>
          <w:sz w:val="24"/>
          <w:szCs w:val="24"/>
        </w:rPr>
        <w:t xml:space="preserve">The configured BWP needs to fully contain the initial BWP in frequency domain and has the same SCS and CP as the initial </w:t>
      </w:r>
      <w:r w:rsidRPr="00AB2F0A">
        <w:rPr>
          <w:rFonts w:eastAsia="Batang"/>
          <w:sz w:val="24"/>
          <w:szCs w:val="24"/>
        </w:rPr>
        <w:lastRenderedPageBreak/>
        <w:t>BWP</w:t>
      </w:r>
      <w:r>
        <w:rPr>
          <w:rFonts w:eastAsia="Batang"/>
          <w:sz w:val="24"/>
          <w:szCs w:val="24"/>
        </w:rPr>
        <w:t>’. In our view, the initial BWP here refers to the initial BWP monitor</w:t>
      </w:r>
      <w:r w:rsidR="00D52F13">
        <w:rPr>
          <w:rFonts w:eastAsia="Batang"/>
          <w:sz w:val="24"/>
          <w:szCs w:val="24"/>
        </w:rPr>
        <w:t>ed</w:t>
      </w:r>
      <w:r>
        <w:rPr>
          <w:rFonts w:eastAsia="Batang"/>
          <w:sz w:val="24"/>
          <w:szCs w:val="24"/>
        </w:rPr>
        <w:t xml:space="preserve"> by the legacy RRC idle/inactive UEs, i.e., the initial BWP that is equal to the CORESET #0. Therefore, the size of the MBS BWP has the full flexibility, e.g., wider than the CORESET #0 but narrower than the SIB1 configured initial BWP; has the same size as the SIB1 configured initial BWP; or wider than the SIB1 configured BWP. By supporting all these cases, it can also give the gNB full flexibility to configure the MBS BWP to </w:t>
      </w:r>
      <w:r w:rsidR="00190FBB">
        <w:rPr>
          <w:rFonts w:eastAsia="Batang"/>
          <w:sz w:val="24"/>
          <w:szCs w:val="24"/>
        </w:rPr>
        <w:t xml:space="preserve">serve </w:t>
      </w:r>
      <w:r>
        <w:rPr>
          <w:rFonts w:eastAsia="Batang"/>
          <w:sz w:val="24"/>
          <w:szCs w:val="24"/>
        </w:rPr>
        <w:t>different use</w:t>
      </w:r>
      <w:r w:rsidR="00B453B7">
        <w:rPr>
          <w:rFonts w:eastAsia="Batang"/>
          <w:sz w:val="24"/>
          <w:szCs w:val="24"/>
        </w:rPr>
        <w:t xml:space="preserve"> </w:t>
      </w:r>
      <w:r>
        <w:rPr>
          <w:rFonts w:eastAsia="Batang"/>
          <w:sz w:val="24"/>
          <w:szCs w:val="24"/>
        </w:rPr>
        <w:t>cases.</w:t>
      </w:r>
    </w:p>
    <w:p w14:paraId="0D6734ED" w14:textId="2371A519" w:rsidR="00AB2F0A" w:rsidRDefault="00AB2F0A" w:rsidP="00DF59D6">
      <w:pPr>
        <w:spacing w:after="0" w:line="276" w:lineRule="auto"/>
        <w:jc w:val="left"/>
        <w:rPr>
          <w:rFonts w:eastAsia="Batang"/>
          <w:sz w:val="24"/>
          <w:szCs w:val="24"/>
        </w:rPr>
      </w:pPr>
      <w:r>
        <w:rPr>
          <w:rFonts w:eastAsia="Batang"/>
          <w:sz w:val="24"/>
          <w:szCs w:val="24"/>
        </w:rPr>
        <w:t xml:space="preserve"> </w:t>
      </w:r>
    </w:p>
    <w:p w14:paraId="75EF4345" w14:textId="56B06086" w:rsidR="001A2023" w:rsidRDefault="001A2023" w:rsidP="00DF59D6">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w:t>
      </w:r>
      <w:r>
        <w:rPr>
          <w:rFonts w:cs="Calibri"/>
          <w:b/>
          <w:bCs/>
          <w:i/>
          <w:iCs/>
          <w:color w:val="000000"/>
          <w:sz w:val="24"/>
          <w:szCs w:val="16"/>
          <w:lang w:eastAsia="zh-CN"/>
        </w:rPr>
        <w:t xml:space="preserve"> For case E, the size of the MBS BWP can be </w:t>
      </w:r>
    </w:p>
    <w:p w14:paraId="2BB04538" w14:textId="53F25090" w:rsidR="00AB2F0A" w:rsidRPr="001A2023" w:rsidRDefault="001A2023" w:rsidP="001A2023">
      <w:pPr>
        <w:pStyle w:val="ListParagraph"/>
        <w:numPr>
          <w:ilvl w:val="0"/>
          <w:numId w:val="42"/>
        </w:numPr>
        <w:spacing w:after="0" w:line="276" w:lineRule="auto"/>
        <w:jc w:val="left"/>
        <w:rPr>
          <w:rFonts w:eastAsia="SimSun" w:cs="Calibri"/>
          <w:b/>
          <w:bCs/>
          <w:i/>
          <w:iCs/>
          <w:color w:val="000000"/>
          <w:sz w:val="24"/>
          <w:szCs w:val="16"/>
          <w:lang w:eastAsia="zh-CN"/>
        </w:rPr>
      </w:pPr>
      <w:r w:rsidRPr="001A2023">
        <w:rPr>
          <w:rFonts w:cs="Calibri"/>
          <w:b/>
          <w:bCs/>
          <w:i/>
          <w:iCs/>
          <w:color w:val="000000"/>
          <w:sz w:val="24"/>
          <w:szCs w:val="16"/>
          <w:lang w:eastAsia="zh-CN"/>
        </w:rPr>
        <w:t>wider than the CORESET #0 but narrower than the SIB1 configured initial BWP</w:t>
      </w:r>
    </w:p>
    <w:p w14:paraId="79DEFB33" w14:textId="3A807DB6" w:rsidR="001A2023" w:rsidRPr="001A2023" w:rsidRDefault="001A2023" w:rsidP="001A2023">
      <w:pPr>
        <w:pStyle w:val="ListParagraph"/>
        <w:numPr>
          <w:ilvl w:val="0"/>
          <w:numId w:val="42"/>
        </w:numPr>
        <w:spacing w:after="0" w:line="276" w:lineRule="auto"/>
        <w:jc w:val="left"/>
        <w:rPr>
          <w:rFonts w:cs="Calibri"/>
          <w:b/>
          <w:bCs/>
          <w:i/>
          <w:iCs/>
          <w:color w:val="000000"/>
          <w:sz w:val="24"/>
          <w:szCs w:val="16"/>
          <w:lang w:eastAsia="zh-CN"/>
        </w:rPr>
      </w:pPr>
      <w:r w:rsidRPr="001A2023">
        <w:rPr>
          <w:rFonts w:cs="Calibri"/>
          <w:b/>
          <w:bCs/>
          <w:i/>
          <w:iCs/>
          <w:color w:val="000000"/>
          <w:sz w:val="24"/>
          <w:szCs w:val="16"/>
          <w:lang w:eastAsia="zh-CN"/>
        </w:rPr>
        <w:t>same as the SIB1 configured initial BWP</w:t>
      </w:r>
    </w:p>
    <w:p w14:paraId="6E637998" w14:textId="7AF3F6C3" w:rsidR="001A2023" w:rsidRPr="001A2023" w:rsidRDefault="001A2023" w:rsidP="001A2023">
      <w:pPr>
        <w:pStyle w:val="ListParagraph"/>
        <w:numPr>
          <w:ilvl w:val="0"/>
          <w:numId w:val="42"/>
        </w:numPr>
        <w:spacing w:after="0" w:line="276" w:lineRule="auto"/>
        <w:jc w:val="left"/>
        <w:rPr>
          <w:rFonts w:cs="Calibri"/>
          <w:b/>
          <w:bCs/>
          <w:i/>
          <w:iCs/>
          <w:color w:val="000000"/>
          <w:sz w:val="24"/>
          <w:szCs w:val="16"/>
          <w:lang w:eastAsia="zh-CN"/>
        </w:rPr>
      </w:pPr>
      <w:r w:rsidRPr="001A2023">
        <w:rPr>
          <w:rFonts w:cs="Calibri"/>
          <w:b/>
          <w:bCs/>
          <w:i/>
          <w:iCs/>
          <w:color w:val="000000"/>
          <w:sz w:val="24"/>
          <w:szCs w:val="16"/>
          <w:lang w:eastAsia="zh-CN"/>
        </w:rPr>
        <w:t>wider than the SIB1 configured BWP</w:t>
      </w:r>
    </w:p>
    <w:p w14:paraId="3DD1DE47" w14:textId="77777777" w:rsidR="001A2023" w:rsidRDefault="001A2023" w:rsidP="00DF59D6">
      <w:pPr>
        <w:spacing w:after="0" w:line="276" w:lineRule="auto"/>
        <w:jc w:val="left"/>
        <w:rPr>
          <w:rFonts w:eastAsia="Batang"/>
          <w:sz w:val="24"/>
          <w:szCs w:val="24"/>
        </w:rPr>
      </w:pPr>
    </w:p>
    <w:p w14:paraId="07A5C137" w14:textId="6D487DE4" w:rsidR="00DF59D6" w:rsidRDefault="001A2023" w:rsidP="00024AF9">
      <w:pPr>
        <w:spacing w:after="0"/>
        <w:jc w:val="left"/>
        <w:rPr>
          <w:rFonts w:eastAsia="Batang"/>
          <w:sz w:val="24"/>
          <w:szCs w:val="24"/>
        </w:rPr>
      </w:pPr>
      <w:r>
        <w:rPr>
          <w:rFonts w:eastAsia="Batang"/>
          <w:sz w:val="24"/>
          <w:szCs w:val="24"/>
        </w:rPr>
        <w:t>Regarding the case D, we believe the targeted use</w:t>
      </w:r>
      <w:r w:rsidR="00B453B7">
        <w:rPr>
          <w:rFonts w:eastAsia="Batang"/>
          <w:sz w:val="24"/>
          <w:szCs w:val="24"/>
        </w:rPr>
        <w:t xml:space="preserve"> </w:t>
      </w:r>
      <w:r>
        <w:rPr>
          <w:rFonts w:eastAsia="Batang"/>
          <w:sz w:val="24"/>
          <w:szCs w:val="24"/>
        </w:rPr>
        <w:t>case</w:t>
      </w:r>
      <w:r w:rsidR="00B453B7">
        <w:rPr>
          <w:rFonts w:eastAsia="Batang"/>
          <w:sz w:val="24"/>
          <w:szCs w:val="24"/>
        </w:rPr>
        <w:t>s</w:t>
      </w:r>
      <w:r>
        <w:rPr>
          <w:rFonts w:eastAsia="Batang"/>
          <w:sz w:val="24"/>
          <w:szCs w:val="24"/>
        </w:rPr>
        <w:t xml:space="preserve"> can be already addressed by the case E as case E has the full flexibility, and the MBS BWP can be configured with a size that is </w:t>
      </w:r>
      <w:r w:rsidRPr="001A2023">
        <w:rPr>
          <w:rFonts w:eastAsia="Batang"/>
          <w:sz w:val="24"/>
          <w:szCs w:val="24"/>
        </w:rPr>
        <w:t>wider than the CORESET #0 but narrower than the SIB1 configured initial BWP</w:t>
      </w:r>
      <w:r>
        <w:rPr>
          <w:rFonts w:eastAsia="Batang"/>
          <w:sz w:val="24"/>
          <w:szCs w:val="24"/>
        </w:rPr>
        <w:t>. However</w:t>
      </w:r>
      <w:r w:rsidR="00A41FB4">
        <w:rPr>
          <w:rFonts w:eastAsia="Batang"/>
          <w:sz w:val="24"/>
          <w:szCs w:val="24"/>
        </w:rPr>
        <w:t xml:space="preserve">, for sake of progress, we are OK to support it in addition to case E as a </w:t>
      </w:r>
      <w:r w:rsidR="00A41FB4" w:rsidRPr="00A41FB4">
        <w:rPr>
          <w:rFonts w:eastAsia="Batang"/>
          <w:sz w:val="24"/>
          <w:szCs w:val="24"/>
        </w:rPr>
        <w:t xml:space="preserve">supplemental </w:t>
      </w:r>
      <w:r w:rsidR="00A41FB4">
        <w:rPr>
          <w:rFonts w:eastAsia="Batang"/>
          <w:sz w:val="24"/>
          <w:szCs w:val="24"/>
        </w:rPr>
        <w:t>case.</w:t>
      </w:r>
    </w:p>
    <w:p w14:paraId="536B69AE" w14:textId="5AC20ED4" w:rsidR="00A41FB4" w:rsidRDefault="00A41FB4" w:rsidP="00024AF9">
      <w:pPr>
        <w:spacing w:after="0"/>
        <w:jc w:val="left"/>
        <w:rPr>
          <w:rFonts w:eastAsia="Batang"/>
          <w:sz w:val="24"/>
          <w:szCs w:val="24"/>
        </w:rPr>
      </w:pPr>
    </w:p>
    <w:p w14:paraId="31241972" w14:textId="4227AB27" w:rsidR="00A41FB4" w:rsidRDefault="00A41FB4" w:rsidP="00A41FB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Pr>
          <w:rFonts w:cs="Calibri"/>
          <w:b/>
          <w:bCs/>
          <w:i/>
          <w:iCs/>
          <w:color w:val="000000"/>
          <w:sz w:val="24"/>
          <w:szCs w:val="16"/>
          <w:lang w:eastAsia="zh-CN"/>
        </w:rPr>
        <w:t>I</w:t>
      </w:r>
      <w:r w:rsidRPr="00A41FB4">
        <w:rPr>
          <w:rFonts w:cs="Calibri"/>
          <w:b/>
          <w:bCs/>
          <w:i/>
          <w:iCs/>
          <w:color w:val="000000"/>
          <w:sz w:val="24"/>
          <w:szCs w:val="16"/>
          <w:lang w:eastAsia="zh-CN"/>
        </w:rPr>
        <w:t>n addition to case E</w:t>
      </w:r>
      <w:r>
        <w:rPr>
          <w:rFonts w:cs="Calibri"/>
          <w:b/>
          <w:bCs/>
          <w:i/>
          <w:iCs/>
          <w:color w:val="000000"/>
          <w:sz w:val="24"/>
          <w:szCs w:val="16"/>
          <w:lang w:eastAsia="zh-CN"/>
        </w:rPr>
        <w:t xml:space="preserve">, case D can </w:t>
      </w:r>
      <w:r w:rsidR="001B69C4">
        <w:rPr>
          <w:rFonts w:cs="Calibri"/>
          <w:b/>
          <w:bCs/>
          <w:i/>
          <w:iCs/>
          <w:color w:val="000000"/>
          <w:sz w:val="24"/>
          <w:szCs w:val="16"/>
          <w:lang w:eastAsia="zh-CN"/>
        </w:rPr>
        <w:t xml:space="preserve">also </w:t>
      </w:r>
      <w:r>
        <w:rPr>
          <w:rFonts w:cs="Calibri"/>
          <w:b/>
          <w:bCs/>
          <w:i/>
          <w:iCs/>
          <w:color w:val="000000"/>
          <w:sz w:val="24"/>
          <w:szCs w:val="16"/>
          <w:lang w:eastAsia="zh-CN"/>
        </w:rPr>
        <w:t xml:space="preserve">be supported. </w:t>
      </w:r>
    </w:p>
    <w:p w14:paraId="0B514283" w14:textId="77777777" w:rsidR="004E526D" w:rsidRPr="00A41FB4" w:rsidRDefault="004E526D" w:rsidP="00B85993">
      <w:pPr>
        <w:spacing w:after="0" w:line="276" w:lineRule="auto"/>
        <w:jc w:val="left"/>
        <w:rPr>
          <w:color w:val="000000"/>
          <w:sz w:val="24"/>
          <w:szCs w:val="24"/>
        </w:rPr>
      </w:pPr>
    </w:p>
    <w:p w14:paraId="2675515D" w14:textId="68EA6975" w:rsidR="00B85993" w:rsidRDefault="004E526D" w:rsidP="00B85993">
      <w:pPr>
        <w:spacing w:after="0" w:line="276" w:lineRule="auto"/>
        <w:jc w:val="left"/>
        <w:rPr>
          <w:sz w:val="24"/>
          <w:szCs w:val="24"/>
          <w:lang w:eastAsia="zh-CN"/>
        </w:rPr>
      </w:pPr>
      <w:r>
        <w:rPr>
          <w:color w:val="000000"/>
          <w:sz w:val="24"/>
          <w:szCs w:val="24"/>
        </w:rPr>
        <w:t xml:space="preserve">Within the </w:t>
      </w:r>
      <w:r w:rsidRPr="004E526D">
        <w:rPr>
          <w:color w:val="000000"/>
          <w:sz w:val="24"/>
          <w:szCs w:val="24"/>
        </w:rPr>
        <w:t>MBS specific BWP</w:t>
      </w:r>
      <w:r>
        <w:rPr>
          <w:color w:val="000000"/>
          <w:sz w:val="24"/>
          <w:szCs w:val="24"/>
        </w:rPr>
        <w:t xml:space="preserve">, dedicated </w:t>
      </w:r>
      <w:r w:rsidRPr="000159A5">
        <w:rPr>
          <w:sz w:val="24"/>
          <w:szCs w:val="24"/>
          <w:lang w:eastAsia="zh-CN"/>
        </w:rPr>
        <w:t xml:space="preserve">CORESET </w:t>
      </w:r>
      <w:r w:rsidR="00701438">
        <w:rPr>
          <w:sz w:val="24"/>
          <w:szCs w:val="24"/>
          <w:lang w:eastAsia="zh-CN"/>
        </w:rPr>
        <w:t xml:space="preserve">and CSS </w:t>
      </w:r>
      <w:r w:rsidRPr="000159A5">
        <w:rPr>
          <w:sz w:val="24"/>
          <w:szCs w:val="24"/>
          <w:lang w:eastAsia="zh-CN"/>
        </w:rPr>
        <w:t>can be configured</w:t>
      </w:r>
      <w:r w:rsidRPr="004E526D">
        <w:rPr>
          <w:sz w:val="24"/>
          <w:szCs w:val="24"/>
          <w:lang w:eastAsia="zh-CN"/>
        </w:rPr>
        <w:t xml:space="preserve"> </w:t>
      </w:r>
      <w:r w:rsidRPr="000159A5">
        <w:rPr>
          <w:sz w:val="24"/>
          <w:szCs w:val="24"/>
          <w:lang w:eastAsia="zh-CN"/>
        </w:rPr>
        <w:t xml:space="preserve">for </w:t>
      </w:r>
      <w:r>
        <w:rPr>
          <w:sz w:val="24"/>
          <w:szCs w:val="24"/>
          <w:lang w:eastAsia="zh-CN"/>
        </w:rPr>
        <w:t xml:space="preserve">the </w:t>
      </w:r>
      <w:r w:rsidRPr="000159A5">
        <w:rPr>
          <w:sz w:val="24"/>
          <w:szCs w:val="24"/>
          <w:lang w:eastAsia="zh-CN"/>
        </w:rPr>
        <w:t>group-common PDCCH</w:t>
      </w:r>
      <w:r>
        <w:rPr>
          <w:sz w:val="24"/>
          <w:szCs w:val="24"/>
          <w:lang w:eastAsia="zh-CN"/>
        </w:rPr>
        <w:t>. W</w:t>
      </w:r>
      <w:r w:rsidRPr="004E526D">
        <w:rPr>
          <w:sz w:val="24"/>
          <w:szCs w:val="24"/>
          <w:lang w:eastAsia="zh-CN"/>
        </w:rPr>
        <w:t>ithin one cell</w:t>
      </w:r>
      <w:r>
        <w:rPr>
          <w:sz w:val="24"/>
          <w:szCs w:val="24"/>
          <w:lang w:eastAsia="zh-CN"/>
        </w:rPr>
        <w:t>,</w:t>
      </w:r>
      <w:r w:rsidRPr="004E526D">
        <w:rPr>
          <w:sz w:val="24"/>
          <w:szCs w:val="24"/>
          <w:lang w:eastAsia="zh-CN"/>
        </w:rPr>
        <w:t xml:space="preserve"> </w:t>
      </w:r>
      <w:r>
        <w:rPr>
          <w:sz w:val="24"/>
          <w:szCs w:val="24"/>
          <w:lang w:eastAsia="zh-CN"/>
        </w:rPr>
        <w:t xml:space="preserve">different </w:t>
      </w:r>
      <w:r w:rsidRPr="004E526D">
        <w:rPr>
          <w:sz w:val="24"/>
          <w:szCs w:val="24"/>
          <w:lang w:eastAsia="zh-CN"/>
        </w:rPr>
        <w:t xml:space="preserve">multicast/broadcast services </w:t>
      </w:r>
      <w:r>
        <w:rPr>
          <w:sz w:val="24"/>
          <w:szCs w:val="24"/>
          <w:lang w:eastAsia="zh-CN"/>
        </w:rPr>
        <w:t xml:space="preserve">can be provided. The UE may be only interested in one or part of the provided </w:t>
      </w:r>
      <w:r w:rsidRPr="004E526D">
        <w:rPr>
          <w:sz w:val="24"/>
          <w:szCs w:val="24"/>
          <w:lang w:eastAsia="zh-CN"/>
        </w:rPr>
        <w:t>multicast/broadcast services</w:t>
      </w:r>
      <w:r>
        <w:rPr>
          <w:sz w:val="24"/>
          <w:szCs w:val="24"/>
          <w:lang w:eastAsia="zh-CN"/>
        </w:rPr>
        <w:t xml:space="preserve">. Therefore, it would be </w:t>
      </w:r>
      <w:r w:rsidR="00895C7A">
        <w:rPr>
          <w:sz w:val="24"/>
          <w:szCs w:val="24"/>
          <w:lang w:eastAsia="zh-CN"/>
        </w:rPr>
        <w:t>beneficial</w:t>
      </w:r>
      <w:r>
        <w:rPr>
          <w:sz w:val="24"/>
          <w:szCs w:val="24"/>
          <w:lang w:eastAsia="zh-CN"/>
        </w:rPr>
        <w:t xml:space="preserve"> to configure different </w:t>
      </w:r>
      <w:r w:rsidRPr="000159A5">
        <w:rPr>
          <w:sz w:val="24"/>
          <w:szCs w:val="24"/>
          <w:lang w:eastAsia="zh-CN"/>
        </w:rPr>
        <w:t>CORESET</w:t>
      </w:r>
      <w:r>
        <w:rPr>
          <w:sz w:val="24"/>
          <w:szCs w:val="24"/>
          <w:lang w:eastAsia="zh-CN"/>
        </w:rPr>
        <w:t xml:space="preserve">s for each </w:t>
      </w:r>
      <w:r w:rsidRPr="004E526D">
        <w:rPr>
          <w:sz w:val="24"/>
          <w:szCs w:val="24"/>
          <w:lang w:eastAsia="zh-CN"/>
        </w:rPr>
        <w:t>multicast/broadcast service</w:t>
      </w:r>
      <w:r>
        <w:rPr>
          <w:sz w:val="24"/>
          <w:szCs w:val="24"/>
          <w:lang w:eastAsia="zh-CN"/>
        </w:rPr>
        <w:t xml:space="preserve"> or service sub-group</w:t>
      </w:r>
      <w:r w:rsidR="001A1C78">
        <w:rPr>
          <w:sz w:val="24"/>
          <w:szCs w:val="24"/>
          <w:lang w:eastAsia="zh-CN"/>
        </w:rPr>
        <w:t xml:space="preserve"> separately</w:t>
      </w:r>
      <w:r>
        <w:rPr>
          <w:sz w:val="24"/>
          <w:szCs w:val="24"/>
          <w:lang w:eastAsia="zh-CN"/>
        </w:rPr>
        <w:t xml:space="preserve">. </w:t>
      </w:r>
      <w:r w:rsidR="00701438">
        <w:rPr>
          <w:sz w:val="24"/>
          <w:szCs w:val="24"/>
          <w:lang w:eastAsia="zh-CN"/>
        </w:rPr>
        <w:t xml:space="preserve">Also, </w:t>
      </w:r>
      <w:r w:rsidR="00370648">
        <w:rPr>
          <w:sz w:val="24"/>
          <w:szCs w:val="24"/>
          <w:lang w:eastAsia="zh-CN"/>
        </w:rPr>
        <w:t xml:space="preserve">similar to RRC connected state, </w:t>
      </w:r>
      <w:r w:rsidR="00701438" w:rsidRPr="000159A5">
        <w:rPr>
          <w:sz w:val="24"/>
          <w:szCs w:val="24"/>
        </w:rPr>
        <w:t>a new CSS type</w:t>
      </w:r>
      <w:r w:rsidR="00701438">
        <w:rPr>
          <w:sz w:val="24"/>
          <w:szCs w:val="24"/>
        </w:rPr>
        <w:t xml:space="preserve"> should be defined </w:t>
      </w:r>
      <w:r w:rsidR="00701438" w:rsidRPr="000159A5">
        <w:rPr>
          <w:sz w:val="24"/>
          <w:szCs w:val="24"/>
          <w:lang w:eastAsia="zh-CN"/>
        </w:rPr>
        <w:t>for</w:t>
      </w:r>
      <w:r w:rsidR="00701438">
        <w:rPr>
          <w:sz w:val="24"/>
          <w:szCs w:val="24"/>
          <w:lang w:eastAsia="zh-CN"/>
        </w:rPr>
        <w:t xml:space="preserve"> monitoring</w:t>
      </w:r>
      <w:r w:rsidR="00701438" w:rsidRPr="000159A5">
        <w:rPr>
          <w:sz w:val="24"/>
          <w:szCs w:val="24"/>
          <w:lang w:eastAsia="zh-CN"/>
        </w:rPr>
        <w:t xml:space="preserve"> </w:t>
      </w:r>
      <w:r w:rsidR="00701438">
        <w:rPr>
          <w:sz w:val="24"/>
          <w:szCs w:val="24"/>
          <w:lang w:eastAsia="zh-CN"/>
        </w:rPr>
        <w:t xml:space="preserve">the </w:t>
      </w:r>
      <w:r w:rsidR="00701438" w:rsidRPr="000159A5">
        <w:rPr>
          <w:sz w:val="24"/>
          <w:szCs w:val="24"/>
          <w:lang w:eastAsia="zh-CN"/>
        </w:rPr>
        <w:t>group-common PDCCH</w:t>
      </w:r>
      <w:r w:rsidR="00370648">
        <w:rPr>
          <w:sz w:val="24"/>
          <w:szCs w:val="24"/>
          <w:lang w:eastAsia="zh-CN"/>
        </w:rPr>
        <w:t xml:space="preserve">, e.g., the CSS for MBS may not always be prioritized in </w:t>
      </w:r>
      <w:r w:rsidR="00370648" w:rsidRPr="00370648">
        <w:rPr>
          <w:sz w:val="24"/>
          <w:szCs w:val="24"/>
          <w:lang w:eastAsia="zh-CN"/>
        </w:rPr>
        <w:t>PDCCH overbooking</w:t>
      </w:r>
      <w:r w:rsidR="00701438">
        <w:rPr>
          <w:sz w:val="24"/>
          <w:szCs w:val="24"/>
          <w:lang w:eastAsia="zh-CN"/>
        </w:rPr>
        <w:t>.</w:t>
      </w:r>
    </w:p>
    <w:p w14:paraId="2A855F02" w14:textId="77777777" w:rsidR="004E526D" w:rsidRDefault="004E526D" w:rsidP="00B85993">
      <w:pPr>
        <w:spacing w:after="0" w:line="276" w:lineRule="auto"/>
        <w:jc w:val="left"/>
        <w:rPr>
          <w:color w:val="000000"/>
          <w:sz w:val="24"/>
          <w:szCs w:val="24"/>
        </w:rPr>
      </w:pPr>
    </w:p>
    <w:p w14:paraId="739526A0" w14:textId="213666D3" w:rsidR="004E526D" w:rsidRDefault="004E526D" w:rsidP="004E526D">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41FB4">
        <w:rPr>
          <w:rFonts w:cs="Calibri"/>
          <w:b/>
          <w:bCs/>
          <w:i/>
          <w:iCs/>
          <w:color w:val="000000"/>
          <w:sz w:val="24"/>
          <w:szCs w:val="16"/>
          <w:lang w:eastAsia="zh-CN"/>
        </w:rPr>
        <w:t>4</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One or more CORESETs can be configured </w:t>
      </w:r>
      <w:r w:rsidRPr="004E526D">
        <w:rPr>
          <w:rFonts w:cs="Calibri"/>
          <w:b/>
          <w:bCs/>
          <w:i/>
          <w:iCs/>
          <w:color w:val="000000"/>
          <w:sz w:val="24"/>
          <w:szCs w:val="16"/>
          <w:lang w:eastAsia="zh-CN"/>
        </w:rPr>
        <w:t>for group-common PDCCH</w:t>
      </w:r>
      <w:r>
        <w:rPr>
          <w:rFonts w:cs="Calibri"/>
          <w:b/>
          <w:bCs/>
          <w:i/>
          <w:iCs/>
          <w:color w:val="000000"/>
          <w:sz w:val="24"/>
          <w:szCs w:val="16"/>
          <w:lang w:eastAsia="zh-CN"/>
        </w:rPr>
        <w:t xml:space="preserve"> within an </w:t>
      </w:r>
      <w:r w:rsidRPr="00BC5C1A">
        <w:rPr>
          <w:rFonts w:cs="Calibri"/>
          <w:b/>
          <w:bCs/>
          <w:i/>
          <w:iCs/>
          <w:color w:val="000000"/>
          <w:sz w:val="24"/>
          <w:szCs w:val="16"/>
          <w:lang w:eastAsia="zh-CN"/>
        </w:rPr>
        <w:t>MBS specific BWP</w:t>
      </w:r>
      <w:r w:rsidR="00502E3D" w:rsidRPr="00502E3D">
        <w:rPr>
          <w:rFonts w:cs="Calibri"/>
          <w:b/>
          <w:bCs/>
          <w:i/>
          <w:iCs/>
          <w:color w:val="000000"/>
          <w:sz w:val="24"/>
          <w:szCs w:val="16"/>
          <w:lang w:eastAsia="zh-CN"/>
        </w:rPr>
        <w:t xml:space="preserve"> </w:t>
      </w:r>
      <w:r w:rsidR="00502E3D" w:rsidRPr="00B85993">
        <w:rPr>
          <w:rFonts w:cs="Calibri"/>
          <w:b/>
          <w:bCs/>
          <w:i/>
          <w:iCs/>
          <w:color w:val="000000"/>
          <w:sz w:val="24"/>
          <w:szCs w:val="16"/>
          <w:lang w:eastAsia="zh-CN"/>
        </w:rPr>
        <w:t>for UEs in RRC_IDLE/RRC_INACTIVE states</w:t>
      </w:r>
      <w:r w:rsidRPr="00F405CA">
        <w:rPr>
          <w:rFonts w:cs="Calibri"/>
          <w:b/>
          <w:bCs/>
          <w:i/>
          <w:iCs/>
          <w:color w:val="000000"/>
          <w:sz w:val="24"/>
          <w:szCs w:val="16"/>
          <w:lang w:eastAsia="zh-CN"/>
        </w:rPr>
        <w:t>.</w:t>
      </w:r>
    </w:p>
    <w:p w14:paraId="5FD39DC7" w14:textId="69B131BD" w:rsidR="004E526D" w:rsidRDefault="00701438" w:rsidP="00A74889">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41FB4">
        <w:rPr>
          <w:rFonts w:cs="Calibri"/>
          <w:b/>
          <w:bCs/>
          <w:i/>
          <w:iCs/>
          <w:color w:val="000000"/>
          <w:sz w:val="24"/>
          <w:szCs w:val="16"/>
          <w:lang w:eastAsia="zh-CN"/>
        </w:rPr>
        <w:t>5</w:t>
      </w:r>
      <w:r w:rsidRPr="00F405CA">
        <w:rPr>
          <w:rFonts w:cs="Calibri"/>
          <w:b/>
          <w:bCs/>
          <w:i/>
          <w:iCs/>
          <w:color w:val="000000"/>
          <w:sz w:val="24"/>
          <w:szCs w:val="16"/>
          <w:lang w:eastAsia="zh-CN"/>
        </w:rPr>
        <w:t xml:space="preserve">: </w:t>
      </w:r>
      <w:r>
        <w:rPr>
          <w:rFonts w:cs="Calibri"/>
          <w:b/>
          <w:bCs/>
          <w:i/>
          <w:iCs/>
          <w:color w:val="000000"/>
          <w:sz w:val="24"/>
          <w:szCs w:val="16"/>
          <w:lang w:eastAsia="zh-CN"/>
        </w:rPr>
        <w:t>A</w:t>
      </w:r>
      <w:r w:rsidRPr="00701438">
        <w:rPr>
          <w:rFonts w:cs="Calibri"/>
          <w:b/>
          <w:bCs/>
          <w:i/>
          <w:iCs/>
          <w:color w:val="000000"/>
          <w:sz w:val="24"/>
          <w:szCs w:val="16"/>
          <w:lang w:eastAsia="zh-CN"/>
        </w:rPr>
        <w:t xml:space="preserve"> new CSS type should be defined for monitoring the group-common PDCCH.</w:t>
      </w:r>
    </w:p>
    <w:p w14:paraId="76FFC51B" w14:textId="77777777" w:rsidR="00701438" w:rsidRDefault="00701438" w:rsidP="00A74889">
      <w:pPr>
        <w:spacing w:after="0" w:line="276" w:lineRule="auto"/>
        <w:jc w:val="left"/>
        <w:rPr>
          <w:color w:val="000000"/>
          <w:sz w:val="24"/>
          <w:szCs w:val="24"/>
        </w:rPr>
      </w:pPr>
    </w:p>
    <w:p w14:paraId="0E2E4AA2" w14:textId="43F01968" w:rsidR="00701438" w:rsidRDefault="008364E0" w:rsidP="00A74889">
      <w:pPr>
        <w:spacing w:after="0" w:line="276" w:lineRule="auto"/>
        <w:jc w:val="left"/>
        <w:rPr>
          <w:rFonts w:eastAsia="Batang"/>
          <w:sz w:val="24"/>
          <w:szCs w:val="24"/>
        </w:rPr>
      </w:pPr>
      <w:r w:rsidRPr="008364E0">
        <w:rPr>
          <w:rFonts w:eastAsia="Batang"/>
          <w:sz w:val="24"/>
          <w:szCs w:val="24"/>
        </w:rPr>
        <w:t xml:space="preserve">Besides dynamically scheduled by the gNB, </w:t>
      </w:r>
      <w:r>
        <w:rPr>
          <w:rFonts w:eastAsia="Batang"/>
          <w:sz w:val="24"/>
          <w:szCs w:val="24"/>
        </w:rPr>
        <w:t xml:space="preserve">it may be beneficial to support scheduling </w:t>
      </w:r>
      <w:r w:rsidRPr="008364E0">
        <w:rPr>
          <w:rFonts w:eastAsia="Batang"/>
          <w:sz w:val="24"/>
          <w:szCs w:val="24"/>
        </w:rPr>
        <w:t>the transmission of the MBS PDSCH for the UEs in RRC idle/inactive state without dynamic grant</w:t>
      </w:r>
      <w:r w:rsidRPr="008364E0">
        <w:t xml:space="preserve"> </w:t>
      </w:r>
      <w:r w:rsidRPr="008364E0">
        <w:rPr>
          <w:rFonts w:eastAsia="Batang"/>
          <w:sz w:val="24"/>
          <w:szCs w:val="24"/>
        </w:rPr>
        <w:t>e.g., the resources used for the MBS PDSCH transmission in RRC idle/inactive may be pre-configured</w:t>
      </w:r>
      <w:r>
        <w:rPr>
          <w:rFonts w:eastAsia="Batang"/>
          <w:sz w:val="24"/>
          <w:szCs w:val="24"/>
        </w:rPr>
        <w:t xml:space="preserve"> or semi-persistently allocated</w:t>
      </w:r>
      <w:r w:rsidRPr="008364E0">
        <w:rPr>
          <w:rFonts w:eastAsia="Batang"/>
          <w:sz w:val="24"/>
          <w:szCs w:val="24"/>
        </w:rPr>
        <w:t>. For example,</w:t>
      </w:r>
      <w:r>
        <w:rPr>
          <w:rFonts w:eastAsia="Batang"/>
          <w:sz w:val="24"/>
          <w:szCs w:val="24"/>
        </w:rPr>
        <w:t xml:space="preserve"> one use case </w:t>
      </w:r>
      <w:r w:rsidR="001D3894">
        <w:rPr>
          <w:rFonts w:eastAsia="Batang"/>
          <w:sz w:val="24"/>
          <w:szCs w:val="24"/>
        </w:rPr>
        <w:t>is</w:t>
      </w:r>
      <w:r>
        <w:rPr>
          <w:rFonts w:eastAsia="Batang"/>
          <w:sz w:val="24"/>
          <w:szCs w:val="24"/>
        </w:rPr>
        <w:t xml:space="preserve"> that</w:t>
      </w:r>
      <w:r w:rsidRPr="008364E0">
        <w:rPr>
          <w:rFonts w:eastAsia="Batang"/>
          <w:sz w:val="24"/>
          <w:szCs w:val="24"/>
        </w:rPr>
        <w:t xml:space="preserve"> the gNB/TRP may periodically broadcast the advertisements to the customers in the shopping mall using the pre-configured resources</w:t>
      </w:r>
      <w:r>
        <w:rPr>
          <w:rFonts w:eastAsia="Batang"/>
          <w:sz w:val="24"/>
          <w:szCs w:val="24"/>
        </w:rPr>
        <w:t xml:space="preserve"> without </w:t>
      </w:r>
      <w:r w:rsidRPr="008364E0">
        <w:rPr>
          <w:rFonts w:eastAsia="Batang"/>
          <w:sz w:val="24"/>
          <w:szCs w:val="24"/>
        </w:rPr>
        <w:t>dynamic grant.</w:t>
      </w:r>
      <w:r>
        <w:rPr>
          <w:rFonts w:eastAsia="Batang"/>
          <w:sz w:val="24"/>
          <w:szCs w:val="24"/>
        </w:rPr>
        <w:t xml:space="preserve"> Therefore, we propose to support scheduling without </w:t>
      </w:r>
      <w:r w:rsidRPr="008364E0">
        <w:rPr>
          <w:rFonts w:eastAsia="Batang"/>
          <w:sz w:val="24"/>
          <w:szCs w:val="24"/>
        </w:rPr>
        <w:t>dynamic grant</w:t>
      </w:r>
      <w:r>
        <w:rPr>
          <w:rFonts w:eastAsia="Batang"/>
          <w:sz w:val="24"/>
          <w:szCs w:val="24"/>
        </w:rPr>
        <w:t xml:space="preserve"> for </w:t>
      </w:r>
      <w:r w:rsidRPr="008364E0">
        <w:rPr>
          <w:rFonts w:eastAsia="Batang"/>
          <w:sz w:val="24"/>
          <w:szCs w:val="24"/>
        </w:rPr>
        <w:t>the RRC_IDLE/RRC_INACTIVE UEs</w:t>
      </w:r>
      <w:r>
        <w:rPr>
          <w:rFonts w:eastAsia="Batang"/>
          <w:sz w:val="24"/>
          <w:szCs w:val="24"/>
        </w:rPr>
        <w:t>.</w:t>
      </w:r>
    </w:p>
    <w:p w14:paraId="5E51C08A" w14:textId="77777777" w:rsidR="008364E0" w:rsidRDefault="008364E0" w:rsidP="00A74889">
      <w:pPr>
        <w:spacing w:after="0" w:line="276" w:lineRule="auto"/>
        <w:jc w:val="left"/>
        <w:rPr>
          <w:rFonts w:eastAsia="Batang"/>
          <w:sz w:val="24"/>
          <w:szCs w:val="24"/>
        </w:rPr>
      </w:pPr>
    </w:p>
    <w:p w14:paraId="611DA7E0" w14:textId="74EBD282" w:rsidR="008364E0" w:rsidRDefault="008364E0" w:rsidP="008364E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41FB4">
        <w:rPr>
          <w:rFonts w:cs="Calibri"/>
          <w:b/>
          <w:bCs/>
          <w:i/>
          <w:iCs/>
          <w:color w:val="000000"/>
          <w:sz w:val="24"/>
          <w:szCs w:val="16"/>
          <w:lang w:eastAsia="zh-CN"/>
        </w:rPr>
        <w:t>6</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upport scheduling without dynamic grant for the RRC_IDLE/RRC_INACTIVE UEs</w:t>
      </w:r>
      <w:r w:rsidRPr="00701438">
        <w:rPr>
          <w:rFonts w:cs="Calibri"/>
          <w:b/>
          <w:bCs/>
          <w:i/>
          <w:iCs/>
          <w:color w:val="000000"/>
          <w:sz w:val="24"/>
          <w:szCs w:val="16"/>
          <w:lang w:eastAsia="zh-CN"/>
        </w:rPr>
        <w:t>.</w:t>
      </w:r>
    </w:p>
    <w:p w14:paraId="47CA6E1F" w14:textId="657FE348" w:rsidR="008364E0" w:rsidRDefault="008364E0" w:rsidP="00A74889">
      <w:pPr>
        <w:spacing w:after="0" w:line="276" w:lineRule="auto"/>
        <w:jc w:val="left"/>
        <w:rPr>
          <w:rFonts w:eastAsia="Batang"/>
          <w:sz w:val="24"/>
          <w:szCs w:val="24"/>
        </w:rPr>
      </w:pPr>
    </w:p>
    <w:p w14:paraId="763F20CD" w14:textId="074A86E9" w:rsidR="00ED00EC" w:rsidRDefault="00ED00EC" w:rsidP="00A74889">
      <w:pPr>
        <w:spacing w:after="0" w:line="276" w:lineRule="auto"/>
        <w:jc w:val="left"/>
        <w:rPr>
          <w:rFonts w:eastAsia="Batang"/>
          <w:sz w:val="24"/>
          <w:szCs w:val="24"/>
        </w:rPr>
      </w:pPr>
      <w:r>
        <w:rPr>
          <w:rFonts w:eastAsia="Batang"/>
          <w:sz w:val="24"/>
          <w:szCs w:val="24"/>
        </w:rPr>
        <w:t xml:space="preserve">To improve the reliability and the coverage for the </w:t>
      </w:r>
      <w:r w:rsidR="003412B0">
        <w:rPr>
          <w:rFonts w:eastAsia="Batang"/>
          <w:sz w:val="24"/>
          <w:szCs w:val="24"/>
        </w:rPr>
        <w:t xml:space="preserve">MBS transmission in </w:t>
      </w:r>
      <w:r w:rsidR="003412B0" w:rsidRPr="008364E0">
        <w:rPr>
          <w:rFonts w:eastAsia="Batang"/>
          <w:sz w:val="24"/>
          <w:szCs w:val="24"/>
        </w:rPr>
        <w:t>RRC idle/inactive state</w:t>
      </w:r>
      <w:r w:rsidR="003412B0">
        <w:rPr>
          <w:rFonts w:eastAsia="Batang"/>
          <w:sz w:val="24"/>
          <w:szCs w:val="24"/>
        </w:rPr>
        <w:t>, repetition may be supported. As PDSCH repetition has been already agreed to be supported for</w:t>
      </w:r>
      <w:r w:rsidR="003412B0" w:rsidRPr="003412B0">
        <w:rPr>
          <w:rFonts w:eastAsia="Batang"/>
          <w:sz w:val="24"/>
          <w:szCs w:val="24"/>
        </w:rPr>
        <w:t xml:space="preserve"> </w:t>
      </w:r>
      <w:r w:rsidR="003412B0">
        <w:rPr>
          <w:rFonts w:eastAsia="Batang"/>
          <w:sz w:val="24"/>
          <w:szCs w:val="24"/>
        </w:rPr>
        <w:t xml:space="preserve">MBS in </w:t>
      </w:r>
      <w:r w:rsidR="003412B0" w:rsidRPr="008364E0">
        <w:rPr>
          <w:rFonts w:eastAsia="Batang"/>
          <w:sz w:val="24"/>
          <w:szCs w:val="24"/>
        </w:rPr>
        <w:t xml:space="preserve">RRC </w:t>
      </w:r>
      <w:r w:rsidR="003412B0">
        <w:rPr>
          <w:rFonts w:eastAsia="Batang"/>
          <w:sz w:val="24"/>
          <w:szCs w:val="24"/>
        </w:rPr>
        <w:t>connected</w:t>
      </w:r>
      <w:r w:rsidR="003412B0" w:rsidRPr="008364E0">
        <w:rPr>
          <w:rFonts w:eastAsia="Batang"/>
          <w:sz w:val="24"/>
          <w:szCs w:val="24"/>
        </w:rPr>
        <w:t xml:space="preserve"> state</w:t>
      </w:r>
      <w:r w:rsidR="003412B0">
        <w:rPr>
          <w:rFonts w:eastAsia="Batang"/>
          <w:sz w:val="24"/>
          <w:szCs w:val="24"/>
        </w:rPr>
        <w:t>, it should be also considered to support MBS PDSCH repetition</w:t>
      </w:r>
      <w:r w:rsidR="003412B0" w:rsidRPr="003412B0">
        <w:rPr>
          <w:rFonts w:eastAsia="Batang"/>
          <w:sz w:val="24"/>
          <w:szCs w:val="24"/>
        </w:rPr>
        <w:t xml:space="preserve"> </w:t>
      </w:r>
      <w:r w:rsidR="003412B0" w:rsidRPr="008364E0">
        <w:rPr>
          <w:rFonts w:eastAsia="Batang"/>
          <w:sz w:val="24"/>
          <w:szCs w:val="24"/>
        </w:rPr>
        <w:t>RRC idle/inactive state</w:t>
      </w:r>
      <w:r w:rsidR="003412B0">
        <w:rPr>
          <w:rFonts w:eastAsia="Batang"/>
          <w:sz w:val="24"/>
          <w:szCs w:val="24"/>
        </w:rPr>
        <w:t xml:space="preserve">. Meanwhile, PDCCH repetition could also be considered to improve the performance of the dynamic scheduling DCI and/or the activation/deactivation DCI. </w:t>
      </w:r>
    </w:p>
    <w:p w14:paraId="7BEAB628" w14:textId="511CF9F6" w:rsidR="008364E0" w:rsidRDefault="008364E0" w:rsidP="00A74889">
      <w:pPr>
        <w:spacing w:after="0" w:line="276" w:lineRule="auto"/>
        <w:jc w:val="left"/>
        <w:rPr>
          <w:rFonts w:eastAsia="Batang"/>
          <w:sz w:val="24"/>
          <w:szCs w:val="24"/>
        </w:rPr>
      </w:pPr>
    </w:p>
    <w:p w14:paraId="37530565" w14:textId="5E831184" w:rsidR="003412B0" w:rsidRDefault="003412B0" w:rsidP="003412B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41FB4">
        <w:rPr>
          <w:rFonts w:cs="Calibri"/>
          <w:b/>
          <w:bCs/>
          <w:i/>
          <w:iCs/>
          <w:color w:val="000000"/>
          <w:sz w:val="24"/>
          <w:szCs w:val="16"/>
          <w:lang w:eastAsia="zh-CN"/>
        </w:rPr>
        <w:t>7</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 xml:space="preserve">upport </w:t>
      </w:r>
      <w:r w:rsidRPr="003412B0">
        <w:rPr>
          <w:rFonts w:cs="Calibri"/>
          <w:b/>
          <w:bCs/>
          <w:i/>
          <w:iCs/>
          <w:color w:val="000000"/>
          <w:sz w:val="24"/>
          <w:szCs w:val="16"/>
          <w:lang w:eastAsia="zh-CN"/>
        </w:rPr>
        <w:t>PDSCH repetition</w:t>
      </w:r>
      <w:r>
        <w:rPr>
          <w:rFonts w:cs="Calibri"/>
          <w:b/>
          <w:bCs/>
          <w:i/>
          <w:iCs/>
          <w:color w:val="000000"/>
          <w:sz w:val="24"/>
          <w:szCs w:val="16"/>
          <w:lang w:eastAsia="zh-CN"/>
        </w:rPr>
        <w:t xml:space="preserve"> and PDCCH repetition for MBS</w:t>
      </w:r>
      <w:r w:rsidRPr="008364E0">
        <w:rPr>
          <w:rFonts w:cs="Calibri"/>
          <w:b/>
          <w:bCs/>
          <w:i/>
          <w:iCs/>
          <w:color w:val="000000"/>
          <w:sz w:val="24"/>
          <w:szCs w:val="16"/>
          <w:lang w:eastAsia="zh-CN"/>
        </w:rPr>
        <w:t xml:space="preserve"> for the RRC_IDLE/RRC_INACTIVE UEs</w:t>
      </w:r>
      <w:r w:rsidRPr="00701438">
        <w:rPr>
          <w:rFonts w:cs="Calibri"/>
          <w:b/>
          <w:bCs/>
          <w:i/>
          <w:iCs/>
          <w:color w:val="000000"/>
          <w:sz w:val="24"/>
          <w:szCs w:val="16"/>
          <w:lang w:eastAsia="zh-CN"/>
        </w:rPr>
        <w:t>.</w:t>
      </w:r>
    </w:p>
    <w:p w14:paraId="0C1307C0" w14:textId="77777777" w:rsidR="003412B0" w:rsidRDefault="003412B0" w:rsidP="00A74889">
      <w:pPr>
        <w:spacing w:after="0" w:line="276" w:lineRule="auto"/>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76BAF4CD"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p>
    <w:p w14:paraId="6D3448C7" w14:textId="77777777" w:rsidR="00A41FB4" w:rsidRDefault="00A41FB4" w:rsidP="00A41FB4">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Support Case E for the CFR design for the </w:t>
      </w:r>
      <w:r w:rsidRPr="003E755D">
        <w:rPr>
          <w:rFonts w:cs="Calibri"/>
          <w:b/>
          <w:bCs/>
          <w:i/>
          <w:iCs/>
          <w:color w:val="000000"/>
          <w:sz w:val="24"/>
          <w:szCs w:val="16"/>
          <w:lang w:eastAsia="zh-CN"/>
        </w:rPr>
        <w:t>RRC_IDLE/RRC_INACTIVE UEs</w:t>
      </w:r>
      <w:r w:rsidRPr="00F405CA">
        <w:rPr>
          <w:rFonts w:cs="Calibri"/>
          <w:b/>
          <w:bCs/>
          <w:i/>
          <w:iCs/>
          <w:color w:val="000000"/>
          <w:sz w:val="24"/>
          <w:szCs w:val="16"/>
          <w:lang w:eastAsia="zh-CN"/>
        </w:rPr>
        <w:t>.</w:t>
      </w:r>
    </w:p>
    <w:p w14:paraId="0A6FDFCA" w14:textId="77777777" w:rsidR="00A41FB4" w:rsidRDefault="00A41FB4" w:rsidP="00A41FB4">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w:t>
      </w:r>
      <w:r>
        <w:rPr>
          <w:rFonts w:cs="Calibri"/>
          <w:b/>
          <w:bCs/>
          <w:i/>
          <w:iCs/>
          <w:color w:val="000000"/>
          <w:sz w:val="24"/>
          <w:szCs w:val="16"/>
          <w:lang w:eastAsia="zh-CN"/>
        </w:rPr>
        <w:t xml:space="preserve"> For case E, the size of the MBS BWP can be </w:t>
      </w:r>
    </w:p>
    <w:p w14:paraId="00E90C92" w14:textId="77777777" w:rsidR="00A41FB4" w:rsidRPr="001A2023" w:rsidRDefault="00A41FB4" w:rsidP="00A41FB4">
      <w:pPr>
        <w:pStyle w:val="ListParagraph"/>
        <w:numPr>
          <w:ilvl w:val="0"/>
          <w:numId w:val="42"/>
        </w:numPr>
        <w:spacing w:after="0" w:line="276" w:lineRule="auto"/>
        <w:jc w:val="left"/>
        <w:rPr>
          <w:rFonts w:eastAsia="SimSun" w:cs="Calibri"/>
          <w:b/>
          <w:bCs/>
          <w:i/>
          <w:iCs/>
          <w:color w:val="000000"/>
          <w:sz w:val="24"/>
          <w:szCs w:val="16"/>
          <w:lang w:eastAsia="zh-CN"/>
        </w:rPr>
      </w:pPr>
      <w:r w:rsidRPr="001A2023">
        <w:rPr>
          <w:rFonts w:cs="Calibri"/>
          <w:b/>
          <w:bCs/>
          <w:i/>
          <w:iCs/>
          <w:color w:val="000000"/>
          <w:sz w:val="24"/>
          <w:szCs w:val="16"/>
          <w:lang w:eastAsia="zh-CN"/>
        </w:rPr>
        <w:t>wider than the CORESET #0 but narrower than the SIB1 configured initial BWP</w:t>
      </w:r>
    </w:p>
    <w:p w14:paraId="0793FBC2" w14:textId="77777777" w:rsidR="00A41FB4" w:rsidRPr="001A2023" w:rsidRDefault="00A41FB4" w:rsidP="00A41FB4">
      <w:pPr>
        <w:pStyle w:val="ListParagraph"/>
        <w:numPr>
          <w:ilvl w:val="0"/>
          <w:numId w:val="42"/>
        </w:numPr>
        <w:spacing w:after="0" w:line="276" w:lineRule="auto"/>
        <w:jc w:val="left"/>
        <w:rPr>
          <w:rFonts w:cs="Calibri"/>
          <w:b/>
          <w:bCs/>
          <w:i/>
          <w:iCs/>
          <w:color w:val="000000"/>
          <w:sz w:val="24"/>
          <w:szCs w:val="16"/>
          <w:lang w:eastAsia="zh-CN"/>
        </w:rPr>
      </w:pPr>
      <w:r w:rsidRPr="001A2023">
        <w:rPr>
          <w:rFonts w:cs="Calibri"/>
          <w:b/>
          <w:bCs/>
          <w:i/>
          <w:iCs/>
          <w:color w:val="000000"/>
          <w:sz w:val="24"/>
          <w:szCs w:val="16"/>
          <w:lang w:eastAsia="zh-CN"/>
        </w:rPr>
        <w:t>same as the SIB1 configured initial BWP</w:t>
      </w:r>
    </w:p>
    <w:p w14:paraId="532DF63A" w14:textId="77777777" w:rsidR="00A41FB4" w:rsidRPr="001A2023" w:rsidRDefault="00A41FB4" w:rsidP="00A41FB4">
      <w:pPr>
        <w:pStyle w:val="ListParagraph"/>
        <w:numPr>
          <w:ilvl w:val="0"/>
          <w:numId w:val="42"/>
        </w:numPr>
        <w:spacing w:after="0" w:line="276" w:lineRule="auto"/>
        <w:jc w:val="left"/>
        <w:rPr>
          <w:rFonts w:cs="Calibri"/>
          <w:b/>
          <w:bCs/>
          <w:i/>
          <w:iCs/>
          <w:color w:val="000000"/>
          <w:sz w:val="24"/>
          <w:szCs w:val="16"/>
          <w:lang w:eastAsia="zh-CN"/>
        </w:rPr>
      </w:pPr>
      <w:r w:rsidRPr="001A2023">
        <w:rPr>
          <w:rFonts w:cs="Calibri"/>
          <w:b/>
          <w:bCs/>
          <w:i/>
          <w:iCs/>
          <w:color w:val="000000"/>
          <w:sz w:val="24"/>
          <w:szCs w:val="16"/>
          <w:lang w:eastAsia="zh-CN"/>
        </w:rPr>
        <w:t>wider than the SIB1 configured BWP</w:t>
      </w:r>
    </w:p>
    <w:p w14:paraId="2E454264" w14:textId="77296EF4" w:rsidR="00A41FB4" w:rsidRDefault="00A41FB4" w:rsidP="00A41FB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Pr>
          <w:rFonts w:cs="Calibri"/>
          <w:b/>
          <w:bCs/>
          <w:i/>
          <w:iCs/>
          <w:color w:val="000000"/>
          <w:sz w:val="24"/>
          <w:szCs w:val="16"/>
          <w:lang w:eastAsia="zh-CN"/>
        </w:rPr>
        <w:t>I</w:t>
      </w:r>
      <w:r w:rsidRPr="00A41FB4">
        <w:rPr>
          <w:rFonts w:cs="Calibri"/>
          <w:b/>
          <w:bCs/>
          <w:i/>
          <w:iCs/>
          <w:color w:val="000000"/>
          <w:sz w:val="24"/>
          <w:szCs w:val="16"/>
          <w:lang w:eastAsia="zh-CN"/>
        </w:rPr>
        <w:t>n addition to case E</w:t>
      </w:r>
      <w:r>
        <w:rPr>
          <w:rFonts w:cs="Calibri"/>
          <w:b/>
          <w:bCs/>
          <w:i/>
          <w:iCs/>
          <w:color w:val="000000"/>
          <w:sz w:val="24"/>
          <w:szCs w:val="16"/>
          <w:lang w:eastAsia="zh-CN"/>
        </w:rPr>
        <w:t xml:space="preserve">, case D can </w:t>
      </w:r>
      <w:r w:rsidR="001B69C4">
        <w:rPr>
          <w:rFonts w:cs="Calibri"/>
          <w:b/>
          <w:bCs/>
          <w:i/>
          <w:iCs/>
          <w:color w:val="000000"/>
          <w:sz w:val="24"/>
          <w:szCs w:val="16"/>
          <w:lang w:eastAsia="zh-CN"/>
        </w:rPr>
        <w:t xml:space="preserve">also </w:t>
      </w:r>
      <w:r>
        <w:rPr>
          <w:rFonts w:cs="Calibri"/>
          <w:b/>
          <w:bCs/>
          <w:i/>
          <w:iCs/>
          <w:color w:val="000000"/>
          <w:sz w:val="24"/>
          <w:szCs w:val="16"/>
          <w:lang w:eastAsia="zh-CN"/>
        </w:rPr>
        <w:t xml:space="preserve">be supported. </w:t>
      </w:r>
    </w:p>
    <w:p w14:paraId="5ED6A4F5" w14:textId="495C9B50" w:rsidR="00E17A73" w:rsidRDefault="00E17A73" w:rsidP="00E17A73">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41FB4">
        <w:rPr>
          <w:rFonts w:cs="Calibri"/>
          <w:b/>
          <w:bCs/>
          <w:i/>
          <w:iCs/>
          <w:color w:val="000000"/>
          <w:sz w:val="24"/>
          <w:szCs w:val="16"/>
          <w:lang w:eastAsia="zh-CN"/>
        </w:rPr>
        <w:t>4</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One or more CORESETs can be configured </w:t>
      </w:r>
      <w:r w:rsidRPr="004E526D">
        <w:rPr>
          <w:rFonts w:cs="Calibri"/>
          <w:b/>
          <w:bCs/>
          <w:i/>
          <w:iCs/>
          <w:color w:val="000000"/>
          <w:sz w:val="24"/>
          <w:szCs w:val="16"/>
          <w:lang w:eastAsia="zh-CN"/>
        </w:rPr>
        <w:t>for group-common PDCCH</w:t>
      </w:r>
      <w:r>
        <w:rPr>
          <w:rFonts w:cs="Calibri"/>
          <w:b/>
          <w:bCs/>
          <w:i/>
          <w:iCs/>
          <w:color w:val="000000"/>
          <w:sz w:val="24"/>
          <w:szCs w:val="16"/>
          <w:lang w:eastAsia="zh-CN"/>
        </w:rPr>
        <w:t xml:space="preserve"> within an </w:t>
      </w:r>
      <w:r w:rsidRPr="00BC5C1A">
        <w:rPr>
          <w:rFonts w:cs="Calibri"/>
          <w:b/>
          <w:bCs/>
          <w:i/>
          <w:iCs/>
          <w:color w:val="000000"/>
          <w:sz w:val="24"/>
          <w:szCs w:val="16"/>
          <w:lang w:eastAsia="zh-CN"/>
        </w:rPr>
        <w:t>MBS specific BWP</w:t>
      </w:r>
      <w:r w:rsidRPr="00502E3D">
        <w:rPr>
          <w:rFonts w:cs="Calibri"/>
          <w:b/>
          <w:bCs/>
          <w:i/>
          <w:iCs/>
          <w:color w:val="000000"/>
          <w:sz w:val="24"/>
          <w:szCs w:val="16"/>
          <w:lang w:eastAsia="zh-CN"/>
        </w:rPr>
        <w:t xml:space="preserve"> </w:t>
      </w:r>
      <w:r w:rsidRPr="00B85993">
        <w:rPr>
          <w:rFonts w:cs="Calibri"/>
          <w:b/>
          <w:bCs/>
          <w:i/>
          <w:iCs/>
          <w:color w:val="000000"/>
          <w:sz w:val="24"/>
          <w:szCs w:val="16"/>
          <w:lang w:eastAsia="zh-CN"/>
        </w:rPr>
        <w:t>for UEs in RRC_IDLE/RRC_INACTIVE states</w:t>
      </w:r>
      <w:r w:rsidRPr="00F405CA">
        <w:rPr>
          <w:rFonts w:cs="Calibri"/>
          <w:b/>
          <w:bCs/>
          <w:i/>
          <w:iCs/>
          <w:color w:val="000000"/>
          <w:sz w:val="24"/>
          <w:szCs w:val="16"/>
          <w:lang w:eastAsia="zh-CN"/>
        </w:rPr>
        <w:t>.</w:t>
      </w:r>
    </w:p>
    <w:p w14:paraId="6B8324B1" w14:textId="3E1877DE" w:rsidR="00E17A73" w:rsidRDefault="00E17A73" w:rsidP="00E17A73">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41FB4">
        <w:rPr>
          <w:rFonts w:cs="Calibri"/>
          <w:b/>
          <w:bCs/>
          <w:i/>
          <w:iCs/>
          <w:color w:val="000000"/>
          <w:sz w:val="24"/>
          <w:szCs w:val="16"/>
          <w:lang w:eastAsia="zh-CN"/>
        </w:rPr>
        <w:t>5</w:t>
      </w:r>
      <w:r w:rsidRPr="00F405CA">
        <w:rPr>
          <w:rFonts w:cs="Calibri"/>
          <w:b/>
          <w:bCs/>
          <w:i/>
          <w:iCs/>
          <w:color w:val="000000"/>
          <w:sz w:val="24"/>
          <w:szCs w:val="16"/>
          <w:lang w:eastAsia="zh-CN"/>
        </w:rPr>
        <w:t xml:space="preserve">: </w:t>
      </w:r>
      <w:r>
        <w:rPr>
          <w:rFonts w:cs="Calibri"/>
          <w:b/>
          <w:bCs/>
          <w:i/>
          <w:iCs/>
          <w:color w:val="000000"/>
          <w:sz w:val="24"/>
          <w:szCs w:val="16"/>
          <w:lang w:eastAsia="zh-CN"/>
        </w:rPr>
        <w:t>A</w:t>
      </w:r>
      <w:r w:rsidRPr="00701438">
        <w:rPr>
          <w:rFonts w:cs="Calibri"/>
          <w:b/>
          <w:bCs/>
          <w:i/>
          <w:iCs/>
          <w:color w:val="000000"/>
          <w:sz w:val="24"/>
          <w:szCs w:val="16"/>
          <w:lang w:eastAsia="zh-CN"/>
        </w:rPr>
        <w:t xml:space="preserve"> new CSS type should be defined for monitoring the group-common PDCCH.</w:t>
      </w:r>
    </w:p>
    <w:p w14:paraId="422B1057" w14:textId="6F421813" w:rsidR="008364E0" w:rsidRDefault="008364E0" w:rsidP="008364E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41FB4">
        <w:rPr>
          <w:rFonts w:cs="Calibri"/>
          <w:b/>
          <w:bCs/>
          <w:i/>
          <w:iCs/>
          <w:color w:val="000000"/>
          <w:sz w:val="24"/>
          <w:szCs w:val="16"/>
          <w:lang w:eastAsia="zh-CN"/>
        </w:rPr>
        <w:t>6</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upport scheduling without dynamic grant for the RRC_IDLE/RRC_INACTIVE UEs</w:t>
      </w:r>
      <w:r w:rsidRPr="00701438">
        <w:rPr>
          <w:rFonts w:cs="Calibri"/>
          <w:b/>
          <w:bCs/>
          <w:i/>
          <w:iCs/>
          <w:color w:val="000000"/>
          <w:sz w:val="24"/>
          <w:szCs w:val="16"/>
          <w:lang w:eastAsia="zh-CN"/>
        </w:rPr>
        <w:t>.</w:t>
      </w:r>
    </w:p>
    <w:p w14:paraId="1F429C56" w14:textId="5857EDF9" w:rsidR="003412B0" w:rsidRDefault="003412B0" w:rsidP="003412B0">
      <w:pPr>
        <w:spacing w:after="0" w:line="276" w:lineRule="auto"/>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41FB4">
        <w:rPr>
          <w:rFonts w:cs="Calibri"/>
          <w:b/>
          <w:bCs/>
          <w:i/>
          <w:iCs/>
          <w:color w:val="000000"/>
          <w:sz w:val="24"/>
          <w:szCs w:val="16"/>
          <w:lang w:eastAsia="zh-CN"/>
        </w:rPr>
        <w:t>7</w:t>
      </w:r>
      <w:r w:rsidRPr="00F405CA">
        <w:rPr>
          <w:rFonts w:cs="Calibri"/>
          <w:b/>
          <w:bCs/>
          <w:i/>
          <w:iCs/>
          <w:color w:val="000000"/>
          <w:sz w:val="24"/>
          <w:szCs w:val="16"/>
          <w:lang w:eastAsia="zh-CN"/>
        </w:rPr>
        <w:t xml:space="preserve">: </w:t>
      </w:r>
      <w:r>
        <w:rPr>
          <w:rFonts w:cs="Calibri"/>
          <w:b/>
          <w:bCs/>
          <w:i/>
          <w:iCs/>
          <w:color w:val="000000"/>
          <w:sz w:val="24"/>
          <w:szCs w:val="16"/>
          <w:lang w:eastAsia="zh-CN"/>
        </w:rPr>
        <w:t>S</w:t>
      </w:r>
      <w:r w:rsidRPr="008364E0">
        <w:rPr>
          <w:rFonts w:cs="Calibri"/>
          <w:b/>
          <w:bCs/>
          <w:i/>
          <w:iCs/>
          <w:color w:val="000000"/>
          <w:sz w:val="24"/>
          <w:szCs w:val="16"/>
          <w:lang w:eastAsia="zh-CN"/>
        </w:rPr>
        <w:t xml:space="preserve">upport </w:t>
      </w:r>
      <w:r w:rsidRPr="003412B0">
        <w:rPr>
          <w:rFonts w:cs="Calibri"/>
          <w:b/>
          <w:bCs/>
          <w:i/>
          <w:iCs/>
          <w:color w:val="000000"/>
          <w:sz w:val="24"/>
          <w:szCs w:val="16"/>
          <w:lang w:eastAsia="zh-CN"/>
        </w:rPr>
        <w:t>PDSCH repetition</w:t>
      </w:r>
      <w:r>
        <w:rPr>
          <w:rFonts w:cs="Calibri"/>
          <w:b/>
          <w:bCs/>
          <w:i/>
          <w:iCs/>
          <w:color w:val="000000"/>
          <w:sz w:val="24"/>
          <w:szCs w:val="16"/>
          <w:lang w:eastAsia="zh-CN"/>
        </w:rPr>
        <w:t xml:space="preserve"> and PDCCH repetition for MBS</w:t>
      </w:r>
      <w:r w:rsidRPr="008364E0">
        <w:rPr>
          <w:rFonts w:cs="Calibri"/>
          <w:b/>
          <w:bCs/>
          <w:i/>
          <w:iCs/>
          <w:color w:val="000000"/>
          <w:sz w:val="24"/>
          <w:szCs w:val="16"/>
          <w:lang w:eastAsia="zh-CN"/>
        </w:rPr>
        <w:t xml:space="preserve"> for the RRC_IDLE/RRC_INACTIVE UEs</w:t>
      </w:r>
      <w:r w:rsidRPr="00701438">
        <w:rPr>
          <w:rFonts w:cs="Calibri"/>
          <w:b/>
          <w:bCs/>
          <w:i/>
          <w:iCs/>
          <w:color w:val="000000"/>
          <w:sz w:val="24"/>
          <w:szCs w:val="16"/>
          <w:lang w:eastAsia="zh-CN"/>
        </w:rPr>
        <w:t>.</w:t>
      </w:r>
    </w:p>
    <w:p w14:paraId="3BDEC2A1" w14:textId="4D185793" w:rsidR="009F4B00" w:rsidRDefault="009F4B00" w:rsidP="00905F64">
      <w:pPr>
        <w:spacing w:before="0"/>
        <w:rPr>
          <w:b/>
          <w:i/>
          <w:szCs w:val="22"/>
        </w:rPr>
      </w:pPr>
    </w:p>
    <w:p w14:paraId="39E477E5" w14:textId="77777777" w:rsidR="00034079" w:rsidRPr="00722E26" w:rsidRDefault="00034079"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316AFEDE" w14:textId="32AF263A" w:rsidR="000E60EA" w:rsidRPr="009503E2" w:rsidRDefault="00531FCE" w:rsidP="00531FCE">
      <w:pPr>
        <w:pStyle w:val="iReference"/>
        <w:numPr>
          <w:ilvl w:val="0"/>
          <w:numId w:val="5"/>
        </w:numPr>
        <w:spacing w:after="120"/>
        <w:rPr>
          <w:rFonts w:ascii="Times New Roman" w:eastAsia="PMingLiU" w:hAnsi="Times New Roman" w:cs="Times New Roman"/>
          <w:color w:val="000000" w:themeColor="text1"/>
          <w:sz w:val="22"/>
        </w:rPr>
      </w:pPr>
      <w:bookmarkStart w:id="1" w:name="_Ref47528408"/>
      <w:bookmarkStart w:id="2" w:name="_Ref40344426"/>
      <w:bookmarkStart w:id="3" w:name="_Ref37248950"/>
      <w:bookmarkStart w:id="4" w:name="_Ref37161100"/>
      <w:bookmarkStart w:id="5" w:name="_Ref37160229"/>
      <w:r w:rsidRPr="00734421">
        <w:rPr>
          <w:rFonts w:ascii="Times New Roman" w:eastAsia="PMingLiU" w:hAnsi="Times New Roman" w:cs="Times New Roman"/>
          <w:color w:val="000000" w:themeColor="text1"/>
          <w:sz w:val="22"/>
        </w:rPr>
        <w:t>Chairman Notes, RAN1 #10</w:t>
      </w:r>
      <w:r w:rsidR="005E4B57">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1"/>
      <w:r w:rsidR="005E4B57" w:rsidRPr="005E4B57">
        <w:rPr>
          <w:rFonts w:ascii="Times New Roman" w:eastAsia="MS Mincho" w:hAnsi="Times New Roman" w:cs="Times New Roman"/>
          <w:bCs/>
          <w:sz w:val="22"/>
          <w:szCs w:val="22"/>
          <w:lang w:val="en-GB" w:eastAsia="ja-JP"/>
        </w:rPr>
        <w:t>January 25</w:t>
      </w:r>
      <w:r w:rsidR="005E4B57" w:rsidRPr="005E4B57">
        <w:rPr>
          <w:rFonts w:ascii="Times New Roman" w:eastAsia="MS Mincho" w:hAnsi="Times New Roman" w:cs="Times New Roman"/>
          <w:bCs/>
          <w:sz w:val="22"/>
          <w:szCs w:val="22"/>
          <w:vertAlign w:val="superscript"/>
          <w:lang w:val="en-GB" w:eastAsia="ja-JP"/>
        </w:rPr>
        <w:t>th</w:t>
      </w:r>
      <w:r w:rsidR="005E4B57" w:rsidRPr="005E4B57">
        <w:rPr>
          <w:rFonts w:ascii="Times New Roman" w:eastAsia="MS Mincho" w:hAnsi="Times New Roman" w:cs="Times New Roman"/>
          <w:bCs/>
          <w:sz w:val="22"/>
          <w:szCs w:val="22"/>
          <w:lang w:val="en-GB" w:eastAsia="ja-JP"/>
        </w:rPr>
        <w:t xml:space="preserve"> – February 5</w:t>
      </w:r>
      <w:r w:rsidR="005E4B57" w:rsidRPr="005E4B57">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045A5C5C" w14:textId="3469DA2B" w:rsidR="00B453B7" w:rsidRPr="00531FCE" w:rsidRDefault="009C4D42" w:rsidP="00531FCE">
      <w:pPr>
        <w:pStyle w:val="iReference"/>
        <w:numPr>
          <w:ilvl w:val="0"/>
          <w:numId w:val="5"/>
        </w:numPr>
        <w:spacing w:after="120"/>
        <w:rPr>
          <w:rFonts w:ascii="Times New Roman" w:eastAsia="PMingLiU" w:hAnsi="Times New Roman" w:cs="Times New Roman"/>
          <w:color w:val="000000" w:themeColor="text1"/>
          <w:sz w:val="22"/>
        </w:rPr>
      </w:pPr>
      <w:r w:rsidRPr="009C4D42">
        <w:rPr>
          <w:rFonts w:ascii="Times New Roman" w:eastAsia="PMingLiU" w:hAnsi="Times New Roman" w:cs="Times New Roman"/>
          <w:color w:val="000000" w:themeColor="text1"/>
          <w:sz w:val="22"/>
          <w:lang w:val="en-GB"/>
        </w:rPr>
        <w:t>RP-212559</w:t>
      </w:r>
      <w:r>
        <w:rPr>
          <w:rFonts w:ascii="Times New Roman" w:eastAsia="PMingLiU" w:hAnsi="Times New Roman" w:cs="Times New Roman"/>
          <w:color w:val="000000" w:themeColor="text1"/>
          <w:sz w:val="22"/>
          <w:lang w:val="en-GB"/>
        </w:rPr>
        <w:t xml:space="preserve"> </w:t>
      </w:r>
      <w:r w:rsidR="00B453B7" w:rsidRPr="00B453B7">
        <w:rPr>
          <w:rFonts w:ascii="Times New Roman" w:eastAsia="PMingLiU" w:hAnsi="Times New Roman" w:cs="Times New Roman"/>
          <w:color w:val="000000" w:themeColor="text1"/>
          <w:sz w:val="22"/>
          <w:lang w:val="en-GB"/>
        </w:rPr>
        <w:t>Moderator's summary for email discussion [93e-19-MBS-WI]</w:t>
      </w:r>
      <w:r w:rsidR="00B453B7">
        <w:rPr>
          <w:rFonts w:ascii="Times New Roman" w:eastAsia="PMingLiU" w:hAnsi="Times New Roman" w:cs="Times New Roman"/>
          <w:color w:val="000000" w:themeColor="text1"/>
          <w:sz w:val="22"/>
          <w:lang w:val="en-GB"/>
        </w:rPr>
        <w:t xml:space="preserve">, </w:t>
      </w:r>
      <w:r w:rsidR="00B453B7" w:rsidRPr="00B453B7">
        <w:rPr>
          <w:rFonts w:ascii="Times New Roman" w:eastAsia="PMingLiU" w:hAnsi="Times New Roman" w:cs="Times New Roman"/>
          <w:color w:val="000000" w:themeColor="text1"/>
          <w:sz w:val="22"/>
          <w:lang w:val="en-GB"/>
        </w:rPr>
        <w:t>RAN Meeting #93e</w:t>
      </w:r>
      <w:r w:rsidR="00B453B7">
        <w:rPr>
          <w:rFonts w:ascii="Times New Roman" w:eastAsia="PMingLiU" w:hAnsi="Times New Roman" w:cs="Times New Roman"/>
          <w:color w:val="000000" w:themeColor="text1"/>
          <w:sz w:val="22"/>
          <w:lang w:val="en-GB"/>
        </w:rPr>
        <w:t xml:space="preserve">, </w:t>
      </w:r>
      <w:r w:rsidR="00B453B7" w:rsidRPr="00B453B7">
        <w:rPr>
          <w:rFonts w:ascii="Times New Roman" w:eastAsia="PMingLiU" w:hAnsi="Times New Roman" w:cs="Times New Roman"/>
          <w:color w:val="000000" w:themeColor="text1"/>
          <w:sz w:val="22"/>
          <w:lang w:val="en-GB"/>
        </w:rPr>
        <w:t>Sept. 13 - 17, 202</w:t>
      </w:r>
      <w:r w:rsidR="00B453B7">
        <w:rPr>
          <w:rFonts w:ascii="Times New Roman" w:eastAsia="PMingLiU" w:hAnsi="Times New Roman" w:cs="Times New Roman"/>
          <w:color w:val="000000" w:themeColor="text1"/>
          <w:sz w:val="22"/>
          <w:lang w:val="en-GB"/>
        </w:rPr>
        <w:t>1.</w:t>
      </w:r>
    </w:p>
    <w:bookmarkEnd w:id="2"/>
    <w:bookmarkEnd w:id="3"/>
    <w:bookmarkEnd w:id="4"/>
    <w:bookmarkEnd w:id="5"/>
    <w:p w14:paraId="6283EB2A" w14:textId="19328952" w:rsidR="002E6AD0" w:rsidRPr="004655C2" w:rsidRDefault="002E6AD0" w:rsidP="00B049FC">
      <w:pPr>
        <w:pStyle w:val="iReference"/>
        <w:spacing w:after="120"/>
        <w:ind w:left="360"/>
        <w:rPr>
          <w:rFonts w:ascii="Times New Roman" w:eastAsia="PMingLiU" w:hAnsi="Times New Roman" w:cs="Times New Roman"/>
          <w:color w:val="000000" w:themeColor="text1"/>
          <w:sz w:val="22"/>
        </w:rPr>
      </w:pP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1EB9" w14:textId="77777777" w:rsidR="00C75DAF" w:rsidRDefault="00C75DAF">
      <w:r>
        <w:separator/>
      </w:r>
    </w:p>
  </w:endnote>
  <w:endnote w:type="continuationSeparator" w:id="0">
    <w:p w14:paraId="631B51A0" w14:textId="77777777" w:rsidR="00C75DAF" w:rsidRDefault="00C7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6473B" w14:textId="77777777" w:rsidR="00C75DAF" w:rsidRDefault="00C75DAF">
      <w:r>
        <w:separator/>
      </w:r>
    </w:p>
  </w:footnote>
  <w:footnote w:type="continuationSeparator" w:id="0">
    <w:p w14:paraId="61A42E9D" w14:textId="77777777" w:rsidR="00C75DAF" w:rsidRDefault="00C75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6A0A5A"/>
    <w:multiLevelType w:val="hybridMultilevel"/>
    <w:tmpl w:val="9B7EA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F32044"/>
    <w:multiLevelType w:val="hybridMultilevel"/>
    <w:tmpl w:val="1CE0422A"/>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38"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32"/>
  </w:num>
  <w:num w:numId="2">
    <w:abstractNumId w:val="28"/>
  </w:num>
  <w:num w:numId="3">
    <w:abstractNumId w:val="23"/>
  </w:num>
  <w:num w:numId="4">
    <w:abstractNumId w:val="8"/>
  </w:num>
  <w:num w:numId="5">
    <w:abstractNumId w:val="0"/>
  </w:num>
  <w:num w:numId="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3"/>
  </w:num>
  <w:num w:numId="9">
    <w:abstractNumId w:val="18"/>
  </w:num>
  <w:num w:numId="10">
    <w:abstractNumId w:val="11"/>
  </w:num>
  <w:num w:numId="11">
    <w:abstractNumId w:val="40"/>
  </w:num>
  <w:num w:numId="12">
    <w:abstractNumId w:val="24"/>
  </w:num>
  <w:num w:numId="13">
    <w:abstractNumId w:val="21"/>
  </w:num>
  <w:num w:numId="14">
    <w:abstractNumId w:val="20"/>
  </w:num>
  <w:num w:numId="15">
    <w:abstractNumId w:val="16"/>
  </w:num>
  <w:num w:numId="16">
    <w:abstractNumId w:val="19"/>
  </w:num>
  <w:num w:numId="17">
    <w:abstractNumId w:val="5"/>
  </w:num>
  <w:num w:numId="18">
    <w:abstractNumId w:val="31"/>
  </w:num>
  <w:num w:numId="19">
    <w:abstractNumId w:val="1"/>
  </w:num>
  <w:num w:numId="20">
    <w:abstractNumId w:val="39"/>
  </w:num>
  <w:num w:numId="21">
    <w:abstractNumId w:val="4"/>
  </w:num>
  <w:num w:numId="22">
    <w:abstractNumId w:val="9"/>
  </w:num>
  <w:num w:numId="23">
    <w:abstractNumId w:val="10"/>
  </w:num>
  <w:num w:numId="24">
    <w:abstractNumId w:val="41"/>
  </w:num>
  <w:num w:numId="25">
    <w:abstractNumId w:val="38"/>
  </w:num>
  <w:num w:numId="26">
    <w:abstractNumId w:val="12"/>
  </w:num>
  <w:num w:numId="27">
    <w:abstractNumId w:val="15"/>
  </w:num>
  <w:num w:numId="28">
    <w:abstractNumId w:val="7"/>
  </w:num>
  <w:num w:numId="29">
    <w:abstractNumId w:val="35"/>
  </w:num>
  <w:num w:numId="30">
    <w:abstractNumId w:val="29"/>
  </w:num>
  <w:num w:numId="31">
    <w:abstractNumId w:val="25"/>
  </w:num>
  <w:num w:numId="32">
    <w:abstractNumId w:val="26"/>
  </w:num>
  <w:num w:numId="33">
    <w:abstractNumId w:val="27"/>
  </w:num>
  <w:num w:numId="34">
    <w:abstractNumId w:val="36"/>
  </w:num>
  <w:num w:numId="35">
    <w:abstractNumId w:val="2"/>
  </w:num>
  <w:num w:numId="36">
    <w:abstractNumId w:val="17"/>
  </w:num>
  <w:num w:numId="37">
    <w:abstractNumId w:val="13"/>
  </w:num>
  <w:num w:numId="38">
    <w:abstractNumId w:val="34"/>
  </w:num>
  <w:num w:numId="39">
    <w:abstractNumId w:val="3"/>
  </w:num>
  <w:num w:numId="40">
    <w:abstractNumId w:val="30"/>
  </w:num>
  <w:num w:numId="41">
    <w:abstractNumId w:val="37"/>
  </w:num>
  <w:num w:numId="4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59A5"/>
    <w:rsid w:val="00016953"/>
    <w:rsid w:val="0001718E"/>
    <w:rsid w:val="00022E5D"/>
    <w:rsid w:val="00024AF9"/>
    <w:rsid w:val="00024B1D"/>
    <w:rsid w:val="00025F13"/>
    <w:rsid w:val="00026407"/>
    <w:rsid w:val="000319FD"/>
    <w:rsid w:val="00032BAB"/>
    <w:rsid w:val="00034079"/>
    <w:rsid w:val="00035021"/>
    <w:rsid w:val="0003533D"/>
    <w:rsid w:val="000355D7"/>
    <w:rsid w:val="00037201"/>
    <w:rsid w:val="0004009F"/>
    <w:rsid w:val="0004013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2147"/>
    <w:rsid w:val="000C377B"/>
    <w:rsid w:val="000C40EF"/>
    <w:rsid w:val="000C5B22"/>
    <w:rsid w:val="000D00F4"/>
    <w:rsid w:val="000D27A6"/>
    <w:rsid w:val="000D37D3"/>
    <w:rsid w:val="000D6FAC"/>
    <w:rsid w:val="000E070A"/>
    <w:rsid w:val="000E2378"/>
    <w:rsid w:val="000E29E8"/>
    <w:rsid w:val="000E60EA"/>
    <w:rsid w:val="000E783A"/>
    <w:rsid w:val="000F1176"/>
    <w:rsid w:val="000F2AFF"/>
    <w:rsid w:val="000F421F"/>
    <w:rsid w:val="000F5EB5"/>
    <w:rsid w:val="000F7CA1"/>
    <w:rsid w:val="00104EBE"/>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CD5"/>
    <w:rsid w:val="00172677"/>
    <w:rsid w:val="00177616"/>
    <w:rsid w:val="00185133"/>
    <w:rsid w:val="00186EBA"/>
    <w:rsid w:val="00187149"/>
    <w:rsid w:val="00187541"/>
    <w:rsid w:val="00190FBB"/>
    <w:rsid w:val="001A1C78"/>
    <w:rsid w:val="001A2023"/>
    <w:rsid w:val="001A2C84"/>
    <w:rsid w:val="001A33D3"/>
    <w:rsid w:val="001A36E9"/>
    <w:rsid w:val="001A3AD4"/>
    <w:rsid w:val="001A41A1"/>
    <w:rsid w:val="001A4370"/>
    <w:rsid w:val="001A5BE4"/>
    <w:rsid w:val="001B03EA"/>
    <w:rsid w:val="001B1175"/>
    <w:rsid w:val="001B2C52"/>
    <w:rsid w:val="001B2F23"/>
    <w:rsid w:val="001B3AF1"/>
    <w:rsid w:val="001B6720"/>
    <w:rsid w:val="001B69C4"/>
    <w:rsid w:val="001B711A"/>
    <w:rsid w:val="001C225C"/>
    <w:rsid w:val="001C4DB9"/>
    <w:rsid w:val="001C6945"/>
    <w:rsid w:val="001D1A67"/>
    <w:rsid w:val="001D3894"/>
    <w:rsid w:val="001D4EA1"/>
    <w:rsid w:val="001E18D6"/>
    <w:rsid w:val="001E3155"/>
    <w:rsid w:val="001E3B88"/>
    <w:rsid w:val="001E533C"/>
    <w:rsid w:val="001E5393"/>
    <w:rsid w:val="001F0B78"/>
    <w:rsid w:val="001F3CA0"/>
    <w:rsid w:val="001F4117"/>
    <w:rsid w:val="001F6638"/>
    <w:rsid w:val="001F76F0"/>
    <w:rsid w:val="00200E11"/>
    <w:rsid w:val="002119E3"/>
    <w:rsid w:val="00214FB9"/>
    <w:rsid w:val="00215377"/>
    <w:rsid w:val="00215E4F"/>
    <w:rsid w:val="00217347"/>
    <w:rsid w:val="002263AA"/>
    <w:rsid w:val="00231627"/>
    <w:rsid w:val="00231AEA"/>
    <w:rsid w:val="00231E42"/>
    <w:rsid w:val="00232C5E"/>
    <w:rsid w:val="00233C1E"/>
    <w:rsid w:val="002372D7"/>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95588"/>
    <w:rsid w:val="002A0913"/>
    <w:rsid w:val="002A161A"/>
    <w:rsid w:val="002A4DB3"/>
    <w:rsid w:val="002A56D3"/>
    <w:rsid w:val="002A62EA"/>
    <w:rsid w:val="002A7310"/>
    <w:rsid w:val="002B1D6E"/>
    <w:rsid w:val="002B22E3"/>
    <w:rsid w:val="002B318E"/>
    <w:rsid w:val="002B3C03"/>
    <w:rsid w:val="002B4F54"/>
    <w:rsid w:val="002B52A6"/>
    <w:rsid w:val="002B5C4F"/>
    <w:rsid w:val="002B728D"/>
    <w:rsid w:val="002C3191"/>
    <w:rsid w:val="002C6875"/>
    <w:rsid w:val="002C7317"/>
    <w:rsid w:val="002D0FA4"/>
    <w:rsid w:val="002D1794"/>
    <w:rsid w:val="002D2246"/>
    <w:rsid w:val="002D32BE"/>
    <w:rsid w:val="002D40BC"/>
    <w:rsid w:val="002D49E1"/>
    <w:rsid w:val="002E166E"/>
    <w:rsid w:val="002E6AD0"/>
    <w:rsid w:val="002F2971"/>
    <w:rsid w:val="002F4A9B"/>
    <w:rsid w:val="002F71FE"/>
    <w:rsid w:val="00300E4B"/>
    <w:rsid w:val="00305D68"/>
    <w:rsid w:val="003068B5"/>
    <w:rsid w:val="00306C5F"/>
    <w:rsid w:val="00311110"/>
    <w:rsid w:val="00311369"/>
    <w:rsid w:val="003118DA"/>
    <w:rsid w:val="00315276"/>
    <w:rsid w:val="0031577A"/>
    <w:rsid w:val="003170D5"/>
    <w:rsid w:val="00317EC9"/>
    <w:rsid w:val="003201E7"/>
    <w:rsid w:val="00322338"/>
    <w:rsid w:val="0032366B"/>
    <w:rsid w:val="003240B7"/>
    <w:rsid w:val="003252F1"/>
    <w:rsid w:val="00327B5B"/>
    <w:rsid w:val="00335638"/>
    <w:rsid w:val="003412B0"/>
    <w:rsid w:val="00342A22"/>
    <w:rsid w:val="00343812"/>
    <w:rsid w:val="0034698C"/>
    <w:rsid w:val="00350B4E"/>
    <w:rsid w:val="00352982"/>
    <w:rsid w:val="003541D8"/>
    <w:rsid w:val="00355806"/>
    <w:rsid w:val="003558A2"/>
    <w:rsid w:val="003567E2"/>
    <w:rsid w:val="003673C1"/>
    <w:rsid w:val="00370648"/>
    <w:rsid w:val="00372E07"/>
    <w:rsid w:val="00374A5B"/>
    <w:rsid w:val="0037504A"/>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E755D"/>
    <w:rsid w:val="003F2578"/>
    <w:rsid w:val="003F4847"/>
    <w:rsid w:val="00404F25"/>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36A"/>
    <w:rsid w:val="00467491"/>
    <w:rsid w:val="00467F08"/>
    <w:rsid w:val="00470E2A"/>
    <w:rsid w:val="004778AF"/>
    <w:rsid w:val="00483A74"/>
    <w:rsid w:val="00485C27"/>
    <w:rsid w:val="004865B9"/>
    <w:rsid w:val="00491E32"/>
    <w:rsid w:val="004929C9"/>
    <w:rsid w:val="004A3FAE"/>
    <w:rsid w:val="004A40C9"/>
    <w:rsid w:val="004A4C8C"/>
    <w:rsid w:val="004A6090"/>
    <w:rsid w:val="004A6BBB"/>
    <w:rsid w:val="004A71E2"/>
    <w:rsid w:val="004A7BB0"/>
    <w:rsid w:val="004B547B"/>
    <w:rsid w:val="004B5C52"/>
    <w:rsid w:val="004C0855"/>
    <w:rsid w:val="004C0B49"/>
    <w:rsid w:val="004C14CA"/>
    <w:rsid w:val="004C301F"/>
    <w:rsid w:val="004C38CC"/>
    <w:rsid w:val="004C52B0"/>
    <w:rsid w:val="004D12A4"/>
    <w:rsid w:val="004D29B6"/>
    <w:rsid w:val="004D2C6E"/>
    <w:rsid w:val="004D7818"/>
    <w:rsid w:val="004E257E"/>
    <w:rsid w:val="004E2EEE"/>
    <w:rsid w:val="004E526D"/>
    <w:rsid w:val="004E5D0A"/>
    <w:rsid w:val="004F1B6F"/>
    <w:rsid w:val="004F4C93"/>
    <w:rsid w:val="004F7B29"/>
    <w:rsid w:val="005004DB"/>
    <w:rsid w:val="00500B8F"/>
    <w:rsid w:val="00502C90"/>
    <w:rsid w:val="00502E3D"/>
    <w:rsid w:val="00506FCC"/>
    <w:rsid w:val="005072FC"/>
    <w:rsid w:val="005079EB"/>
    <w:rsid w:val="0051679B"/>
    <w:rsid w:val="00521D95"/>
    <w:rsid w:val="0053076A"/>
    <w:rsid w:val="00531ECF"/>
    <w:rsid w:val="00531FCE"/>
    <w:rsid w:val="00532CCA"/>
    <w:rsid w:val="00532F9A"/>
    <w:rsid w:val="00532FF9"/>
    <w:rsid w:val="00533170"/>
    <w:rsid w:val="0053719A"/>
    <w:rsid w:val="00546B64"/>
    <w:rsid w:val="005506CE"/>
    <w:rsid w:val="00550A71"/>
    <w:rsid w:val="00550ADC"/>
    <w:rsid w:val="00550FF9"/>
    <w:rsid w:val="00554E84"/>
    <w:rsid w:val="00557B02"/>
    <w:rsid w:val="005658B2"/>
    <w:rsid w:val="00566B53"/>
    <w:rsid w:val="00575F16"/>
    <w:rsid w:val="005764E8"/>
    <w:rsid w:val="005800CA"/>
    <w:rsid w:val="00580381"/>
    <w:rsid w:val="00580910"/>
    <w:rsid w:val="005820DF"/>
    <w:rsid w:val="00584A9C"/>
    <w:rsid w:val="005918CA"/>
    <w:rsid w:val="00591A33"/>
    <w:rsid w:val="0059238B"/>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2C3"/>
    <w:rsid w:val="005D3981"/>
    <w:rsid w:val="005D4738"/>
    <w:rsid w:val="005D4BE2"/>
    <w:rsid w:val="005E1727"/>
    <w:rsid w:val="005E1ABD"/>
    <w:rsid w:val="005E363C"/>
    <w:rsid w:val="005E4B57"/>
    <w:rsid w:val="005E7958"/>
    <w:rsid w:val="005F2539"/>
    <w:rsid w:val="005F318B"/>
    <w:rsid w:val="00600072"/>
    <w:rsid w:val="00600805"/>
    <w:rsid w:val="00602F21"/>
    <w:rsid w:val="00607022"/>
    <w:rsid w:val="006136C8"/>
    <w:rsid w:val="0061417F"/>
    <w:rsid w:val="006149BF"/>
    <w:rsid w:val="00614D21"/>
    <w:rsid w:val="00615CBE"/>
    <w:rsid w:val="00616D0B"/>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97FB4"/>
    <w:rsid w:val="006A192B"/>
    <w:rsid w:val="006A7DD0"/>
    <w:rsid w:val="006B1113"/>
    <w:rsid w:val="006B1946"/>
    <w:rsid w:val="006B2C44"/>
    <w:rsid w:val="006B6069"/>
    <w:rsid w:val="006B6D77"/>
    <w:rsid w:val="006C06DC"/>
    <w:rsid w:val="006C4867"/>
    <w:rsid w:val="006C60AC"/>
    <w:rsid w:val="006C70F4"/>
    <w:rsid w:val="006D02B6"/>
    <w:rsid w:val="006D1D99"/>
    <w:rsid w:val="006D313A"/>
    <w:rsid w:val="006E01B4"/>
    <w:rsid w:val="006E43F5"/>
    <w:rsid w:val="006E4459"/>
    <w:rsid w:val="006E5968"/>
    <w:rsid w:val="006E5DD2"/>
    <w:rsid w:val="006F55A6"/>
    <w:rsid w:val="006F67A6"/>
    <w:rsid w:val="006F6D95"/>
    <w:rsid w:val="006F73F9"/>
    <w:rsid w:val="00700FCA"/>
    <w:rsid w:val="00701438"/>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4AD1"/>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5F31"/>
    <w:rsid w:val="007A71C0"/>
    <w:rsid w:val="007B02DD"/>
    <w:rsid w:val="007B06D3"/>
    <w:rsid w:val="007B2090"/>
    <w:rsid w:val="007B5072"/>
    <w:rsid w:val="007B53E2"/>
    <w:rsid w:val="007C578E"/>
    <w:rsid w:val="007C67AF"/>
    <w:rsid w:val="007C6943"/>
    <w:rsid w:val="007D7A47"/>
    <w:rsid w:val="007E3CA1"/>
    <w:rsid w:val="007E42CC"/>
    <w:rsid w:val="007E527D"/>
    <w:rsid w:val="007F4B66"/>
    <w:rsid w:val="007F5921"/>
    <w:rsid w:val="00801B7D"/>
    <w:rsid w:val="0080303A"/>
    <w:rsid w:val="00803297"/>
    <w:rsid w:val="00803C6A"/>
    <w:rsid w:val="00804AC2"/>
    <w:rsid w:val="00804D19"/>
    <w:rsid w:val="00806879"/>
    <w:rsid w:val="00807AFB"/>
    <w:rsid w:val="0081071B"/>
    <w:rsid w:val="008114B2"/>
    <w:rsid w:val="008127C1"/>
    <w:rsid w:val="00820F09"/>
    <w:rsid w:val="00821C45"/>
    <w:rsid w:val="008235BF"/>
    <w:rsid w:val="0082419C"/>
    <w:rsid w:val="00824394"/>
    <w:rsid w:val="008243D3"/>
    <w:rsid w:val="008254B6"/>
    <w:rsid w:val="00826AA9"/>
    <w:rsid w:val="00832094"/>
    <w:rsid w:val="008325D3"/>
    <w:rsid w:val="00832C39"/>
    <w:rsid w:val="00833404"/>
    <w:rsid w:val="00834051"/>
    <w:rsid w:val="008364E0"/>
    <w:rsid w:val="00837728"/>
    <w:rsid w:val="0083798C"/>
    <w:rsid w:val="008418C8"/>
    <w:rsid w:val="00842B97"/>
    <w:rsid w:val="00844138"/>
    <w:rsid w:val="00846D78"/>
    <w:rsid w:val="00847425"/>
    <w:rsid w:val="00850E99"/>
    <w:rsid w:val="00851F53"/>
    <w:rsid w:val="00855868"/>
    <w:rsid w:val="00855CBF"/>
    <w:rsid w:val="00861449"/>
    <w:rsid w:val="00861C54"/>
    <w:rsid w:val="0086209D"/>
    <w:rsid w:val="00871771"/>
    <w:rsid w:val="008717F2"/>
    <w:rsid w:val="00871C72"/>
    <w:rsid w:val="008720A5"/>
    <w:rsid w:val="00875276"/>
    <w:rsid w:val="00876F4B"/>
    <w:rsid w:val="008818BC"/>
    <w:rsid w:val="0089044B"/>
    <w:rsid w:val="00890C52"/>
    <w:rsid w:val="008911D1"/>
    <w:rsid w:val="008917F5"/>
    <w:rsid w:val="0089215D"/>
    <w:rsid w:val="00893E68"/>
    <w:rsid w:val="00895C7A"/>
    <w:rsid w:val="008A19A6"/>
    <w:rsid w:val="008A2272"/>
    <w:rsid w:val="008A7500"/>
    <w:rsid w:val="008A7A18"/>
    <w:rsid w:val="008B2885"/>
    <w:rsid w:val="008B629D"/>
    <w:rsid w:val="008C10C7"/>
    <w:rsid w:val="008C23BC"/>
    <w:rsid w:val="008C27D4"/>
    <w:rsid w:val="008D07FE"/>
    <w:rsid w:val="008D363A"/>
    <w:rsid w:val="008E4BDE"/>
    <w:rsid w:val="008E7B1A"/>
    <w:rsid w:val="008F10AD"/>
    <w:rsid w:val="00904CBF"/>
    <w:rsid w:val="00905F64"/>
    <w:rsid w:val="009072FB"/>
    <w:rsid w:val="00914FD3"/>
    <w:rsid w:val="00924347"/>
    <w:rsid w:val="009276FA"/>
    <w:rsid w:val="00932371"/>
    <w:rsid w:val="00937EB5"/>
    <w:rsid w:val="009404A5"/>
    <w:rsid w:val="0094059C"/>
    <w:rsid w:val="00940ED3"/>
    <w:rsid w:val="00946429"/>
    <w:rsid w:val="009503E2"/>
    <w:rsid w:val="00952D2C"/>
    <w:rsid w:val="00953495"/>
    <w:rsid w:val="009555DD"/>
    <w:rsid w:val="0095582D"/>
    <w:rsid w:val="00957A0C"/>
    <w:rsid w:val="009655A6"/>
    <w:rsid w:val="009671DC"/>
    <w:rsid w:val="00970ADB"/>
    <w:rsid w:val="00971976"/>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A5458"/>
    <w:rsid w:val="009B2E97"/>
    <w:rsid w:val="009B75D2"/>
    <w:rsid w:val="009C17CE"/>
    <w:rsid w:val="009C3031"/>
    <w:rsid w:val="009C4D42"/>
    <w:rsid w:val="009C59C4"/>
    <w:rsid w:val="009C5C20"/>
    <w:rsid w:val="009C5D61"/>
    <w:rsid w:val="009C5EE1"/>
    <w:rsid w:val="009C6E6E"/>
    <w:rsid w:val="009D5348"/>
    <w:rsid w:val="009D7B86"/>
    <w:rsid w:val="009E1249"/>
    <w:rsid w:val="009F4B00"/>
    <w:rsid w:val="00A00857"/>
    <w:rsid w:val="00A01D4B"/>
    <w:rsid w:val="00A064C2"/>
    <w:rsid w:val="00A07508"/>
    <w:rsid w:val="00A1110C"/>
    <w:rsid w:val="00A11B4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1FB4"/>
    <w:rsid w:val="00A43392"/>
    <w:rsid w:val="00A44733"/>
    <w:rsid w:val="00A45A88"/>
    <w:rsid w:val="00A53009"/>
    <w:rsid w:val="00A55592"/>
    <w:rsid w:val="00A574EC"/>
    <w:rsid w:val="00A57ACE"/>
    <w:rsid w:val="00A60B3C"/>
    <w:rsid w:val="00A650EE"/>
    <w:rsid w:val="00A67031"/>
    <w:rsid w:val="00A67FE3"/>
    <w:rsid w:val="00A744E2"/>
    <w:rsid w:val="00A74889"/>
    <w:rsid w:val="00A77147"/>
    <w:rsid w:val="00A8042E"/>
    <w:rsid w:val="00A83382"/>
    <w:rsid w:val="00A85A4A"/>
    <w:rsid w:val="00A91310"/>
    <w:rsid w:val="00A921DF"/>
    <w:rsid w:val="00A92725"/>
    <w:rsid w:val="00A95E10"/>
    <w:rsid w:val="00A96440"/>
    <w:rsid w:val="00A97DE8"/>
    <w:rsid w:val="00AA1EA1"/>
    <w:rsid w:val="00AA27DF"/>
    <w:rsid w:val="00AA293A"/>
    <w:rsid w:val="00AA39C3"/>
    <w:rsid w:val="00AB2DD3"/>
    <w:rsid w:val="00AB2F0A"/>
    <w:rsid w:val="00AB36E6"/>
    <w:rsid w:val="00AB4813"/>
    <w:rsid w:val="00AB6B86"/>
    <w:rsid w:val="00AB7558"/>
    <w:rsid w:val="00AC45F7"/>
    <w:rsid w:val="00AC60FD"/>
    <w:rsid w:val="00AC7C87"/>
    <w:rsid w:val="00AD0C58"/>
    <w:rsid w:val="00AD308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329B4"/>
    <w:rsid w:val="00B40553"/>
    <w:rsid w:val="00B41368"/>
    <w:rsid w:val="00B453B7"/>
    <w:rsid w:val="00B50BE6"/>
    <w:rsid w:val="00B51139"/>
    <w:rsid w:val="00B51159"/>
    <w:rsid w:val="00B56608"/>
    <w:rsid w:val="00B5790C"/>
    <w:rsid w:val="00B610E8"/>
    <w:rsid w:val="00B61B07"/>
    <w:rsid w:val="00B65AE1"/>
    <w:rsid w:val="00B65CB6"/>
    <w:rsid w:val="00B65E0E"/>
    <w:rsid w:val="00B67BB0"/>
    <w:rsid w:val="00B704F3"/>
    <w:rsid w:val="00B72128"/>
    <w:rsid w:val="00B7530F"/>
    <w:rsid w:val="00B7736F"/>
    <w:rsid w:val="00B77F6C"/>
    <w:rsid w:val="00B81A88"/>
    <w:rsid w:val="00B85993"/>
    <w:rsid w:val="00B86953"/>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5C0C"/>
    <w:rsid w:val="00BB5E8F"/>
    <w:rsid w:val="00BC05B2"/>
    <w:rsid w:val="00BC1306"/>
    <w:rsid w:val="00BC2D59"/>
    <w:rsid w:val="00BC5C1A"/>
    <w:rsid w:val="00BD576A"/>
    <w:rsid w:val="00BD5E42"/>
    <w:rsid w:val="00BD7A63"/>
    <w:rsid w:val="00BE169E"/>
    <w:rsid w:val="00BE27C3"/>
    <w:rsid w:val="00BE4133"/>
    <w:rsid w:val="00BE5037"/>
    <w:rsid w:val="00BE6002"/>
    <w:rsid w:val="00BE67A0"/>
    <w:rsid w:val="00BE6ABC"/>
    <w:rsid w:val="00BF00F3"/>
    <w:rsid w:val="00BF2679"/>
    <w:rsid w:val="00C0078F"/>
    <w:rsid w:val="00C00954"/>
    <w:rsid w:val="00C00997"/>
    <w:rsid w:val="00C01BD3"/>
    <w:rsid w:val="00C1285C"/>
    <w:rsid w:val="00C23138"/>
    <w:rsid w:val="00C26CFB"/>
    <w:rsid w:val="00C26EA8"/>
    <w:rsid w:val="00C33430"/>
    <w:rsid w:val="00C33A64"/>
    <w:rsid w:val="00C37233"/>
    <w:rsid w:val="00C43C21"/>
    <w:rsid w:val="00C47595"/>
    <w:rsid w:val="00C507CE"/>
    <w:rsid w:val="00C5571A"/>
    <w:rsid w:val="00C5734F"/>
    <w:rsid w:val="00C6005C"/>
    <w:rsid w:val="00C60E87"/>
    <w:rsid w:val="00C63754"/>
    <w:rsid w:val="00C7022E"/>
    <w:rsid w:val="00C70E00"/>
    <w:rsid w:val="00C71F3C"/>
    <w:rsid w:val="00C75582"/>
    <w:rsid w:val="00C75DAF"/>
    <w:rsid w:val="00C90821"/>
    <w:rsid w:val="00C91703"/>
    <w:rsid w:val="00C91A22"/>
    <w:rsid w:val="00C94273"/>
    <w:rsid w:val="00CA2985"/>
    <w:rsid w:val="00CA320E"/>
    <w:rsid w:val="00CA7D84"/>
    <w:rsid w:val="00CB0DAD"/>
    <w:rsid w:val="00CB1B6A"/>
    <w:rsid w:val="00CB32AF"/>
    <w:rsid w:val="00CC048C"/>
    <w:rsid w:val="00CC26B7"/>
    <w:rsid w:val="00CD2ADC"/>
    <w:rsid w:val="00CD3705"/>
    <w:rsid w:val="00CD6381"/>
    <w:rsid w:val="00CD7558"/>
    <w:rsid w:val="00CD77C0"/>
    <w:rsid w:val="00CE2146"/>
    <w:rsid w:val="00CE58D7"/>
    <w:rsid w:val="00CE6089"/>
    <w:rsid w:val="00D001A9"/>
    <w:rsid w:val="00D0127D"/>
    <w:rsid w:val="00D03252"/>
    <w:rsid w:val="00D04C7A"/>
    <w:rsid w:val="00D04E12"/>
    <w:rsid w:val="00D06481"/>
    <w:rsid w:val="00D067A6"/>
    <w:rsid w:val="00D07A83"/>
    <w:rsid w:val="00D111C4"/>
    <w:rsid w:val="00D16879"/>
    <w:rsid w:val="00D168E8"/>
    <w:rsid w:val="00D16F81"/>
    <w:rsid w:val="00D20405"/>
    <w:rsid w:val="00D224B7"/>
    <w:rsid w:val="00D23AAE"/>
    <w:rsid w:val="00D23D86"/>
    <w:rsid w:val="00D255C5"/>
    <w:rsid w:val="00D26F3E"/>
    <w:rsid w:val="00D27A7C"/>
    <w:rsid w:val="00D303B9"/>
    <w:rsid w:val="00D40195"/>
    <w:rsid w:val="00D412E5"/>
    <w:rsid w:val="00D42774"/>
    <w:rsid w:val="00D448BD"/>
    <w:rsid w:val="00D44E97"/>
    <w:rsid w:val="00D50C5F"/>
    <w:rsid w:val="00D52F13"/>
    <w:rsid w:val="00D54E7D"/>
    <w:rsid w:val="00D618D4"/>
    <w:rsid w:val="00D649A6"/>
    <w:rsid w:val="00D64C83"/>
    <w:rsid w:val="00D6552D"/>
    <w:rsid w:val="00D66202"/>
    <w:rsid w:val="00D677EE"/>
    <w:rsid w:val="00D7100D"/>
    <w:rsid w:val="00D71808"/>
    <w:rsid w:val="00D71A24"/>
    <w:rsid w:val="00D72EEC"/>
    <w:rsid w:val="00D83ED2"/>
    <w:rsid w:val="00D849E4"/>
    <w:rsid w:val="00D84FF1"/>
    <w:rsid w:val="00D86BCC"/>
    <w:rsid w:val="00D90ABB"/>
    <w:rsid w:val="00D91E14"/>
    <w:rsid w:val="00D92C9C"/>
    <w:rsid w:val="00D93BDE"/>
    <w:rsid w:val="00D940E0"/>
    <w:rsid w:val="00D94330"/>
    <w:rsid w:val="00D975CC"/>
    <w:rsid w:val="00DA1039"/>
    <w:rsid w:val="00DA1794"/>
    <w:rsid w:val="00DA21AE"/>
    <w:rsid w:val="00DA3170"/>
    <w:rsid w:val="00DA75A3"/>
    <w:rsid w:val="00DB3467"/>
    <w:rsid w:val="00DB5D0E"/>
    <w:rsid w:val="00DC274E"/>
    <w:rsid w:val="00DC2A92"/>
    <w:rsid w:val="00DC4922"/>
    <w:rsid w:val="00DC6AAB"/>
    <w:rsid w:val="00DC77CA"/>
    <w:rsid w:val="00DD63B9"/>
    <w:rsid w:val="00DD6FB5"/>
    <w:rsid w:val="00DE1688"/>
    <w:rsid w:val="00DE1E71"/>
    <w:rsid w:val="00DE2795"/>
    <w:rsid w:val="00DE2EBE"/>
    <w:rsid w:val="00DF0255"/>
    <w:rsid w:val="00DF59D6"/>
    <w:rsid w:val="00E01442"/>
    <w:rsid w:val="00E027E3"/>
    <w:rsid w:val="00E02F45"/>
    <w:rsid w:val="00E03511"/>
    <w:rsid w:val="00E03839"/>
    <w:rsid w:val="00E0498C"/>
    <w:rsid w:val="00E06E33"/>
    <w:rsid w:val="00E109B4"/>
    <w:rsid w:val="00E124A6"/>
    <w:rsid w:val="00E144CB"/>
    <w:rsid w:val="00E148CB"/>
    <w:rsid w:val="00E17A73"/>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7E27"/>
    <w:rsid w:val="00E627E6"/>
    <w:rsid w:val="00E62FFC"/>
    <w:rsid w:val="00E6471F"/>
    <w:rsid w:val="00E654BD"/>
    <w:rsid w:val="00E71F7E"/>
    <w:rsid w:val="00E734E3"/>
    <w:rsid w:val="00E74E37"/>
    <w:rsid w:val="00E8052D"/>
    <w:rsid w:val="00E80548"/>
    <w:rsid w:val="00E80AD3"/>
    <w:rsid w:val="00E8262A"/>
    <w:rsid w:val="00E8348E"/>
    <w:rsid w:val="00E856D7"/>
    <w:rsid w:val="00E87A0C"/>
    <w:rsid w:val="00E905DC"/>
    <w:rsid w:val="00E90C25"/>
    <w:rsid w:val="00E922AA"/>
    <w:rsid w:val="00E9379A"/>
    <w:rsid w:val="00E95F7C"/>
    <w:rsid w:val="00E96998"/>
    <w:rsid w:val="00E971C0"/>
    <w:rsid w:val="00EA4532"/>
    <w:rsid w:val="00EA4CA8"/>
    <w:rsid w:val="00EA50F2"/>
    <w:rsid w:val="00EA5108"/>
    <w:rsid w:val="00EB16FB"/>
    <w:rsid w:val="00EB18E4"/>
    <w:rsid w:val="00EB1E5F"/>
    <w:rsid w:val="00EB389B"/>
    <w:rsid w:val="00EB7358"/>
    <w:rsid w:val="00EB7CDB"/>
    <w:rsid w:val="00EC0519"/>
    <w:rsid w:val="00EC5E9C"/>
    <w:rsid w:val="00EC733C"/>
    <w:rsid w:val="00ED00EC"/>
    <w:rsid w:val="00ED0AF6"/>
    <w:rsid w:val="00ED1B26"/>
    <w:rsid w:val="00ED218B"/>
    <w:rsid w:val="00ED2F30"/>
    <w:rsid w:val="00ED34FA"/>
    <w:rsid w:val="00ED448D"/>
    <w:rsid w:val="00ED4E56"/>
    <w:rsid w:val="00ED65C1"/>
    <w:rsid w:val="00EE08FB"/>
    <w:rsid w:val="00EE0D27"/>
    <w:rsid w:val="00EE348F"/>
    <w:rsid w:val="00EE3859"/>
    <w:rsid w:val="00EE40D8"/>
    <w:rsid w:val="00EE4538"/>
    <w:rsid w:val="00EE73B5"/>
    <w:rsid w:val="00EF036E"/>
    <w:rsid w:val="00EF1127"/>
    <w:rsid w:val="00EF142E"/>
    <w:rsid w:val="00EF4360"/>
    <w:rsid w:val="00EF449C"/>
    <w:rsid w:val="00F0032C"/>
    <w:rsid w:val="00F00A22"/>
    <w:rsid w:val="00F02052"/>
    <w:rsid w:val="00F02081"/>
    <w:rsid w:val="00F05F56"/>
    <w:rsid w:val="00F1100F"/>
    <w:rsid w:val="00F12037"/>
    <w:rsid w:val="00F12CD8"/>
    <w:rsid w:val="00F1463A"/>
    <w:rsid w:val="00F14CFA"/>
    <w:rsid w:val="00F162BE"/>
    <w:rsid w:val="00F20D4A"/>
    <w:rsid w:val="00F237D5"/>
    <w:rsid w:val="00F27D9E"/>
    <w:rsid w:val="00F32F70"/>
    <w:rsid w:val="00F33AB2"/>
    <w:rsid w:val="00F34931"/>
    <w:rsid w:val="00F34A34"/>
    <w:rsid w:val="00F35F53"/>
    <w:rsid w:val="00F35FDC"/>
    <w:rsid w:val="00F366D5"/>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0090"/>
    <w:rsid w:val="00FA17CF"/>
    <w:rsid w:val="00FA5527"/>
    <w:rsid w:val="00FA592D"/>
    <w:rsid w:val="00FA701D"/>
    <w:rsid w:val="00FA78C4"/>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6834"/>
    <w:rsid w:val="00FF7210"/>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tabs>
        <w:tab w:val="clear" w:pos="360"/>
      </w:tabs>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F4B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63541">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648165607">
      <w:bodyDiv w:val="1"/>
      <w:marLeft w:val="0"/>
      <w:marRight w:val="0"/>
      <w:marTop w:val="0"/>
      <w:marBottom w:val="0"/>
      <w:divBdr>
        <w:top w:val="none" w:sz="0" w:space="0" w:color="auto"/>
        <w:left w:val="none" w:sz="0" w:space="0" w:color="auto"/>
        <w:bottom w:val="none" w:sz="0" w:space="0" w:color="auto"/>
        <w:right w:val="none" w:sz="0" w:space="0" w:color="auto"/>
      </w:divBdr>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018A4-D1FD-4177-A9C9-50A7C9C5CE48}">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d78def48-27c6-4979-bba9-c862a2df76a0"/>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D119027-73C3-4E19-B3C2-C459B5F55CEF}">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1056</Words>
  <Characters>6020</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2021-10-02T03:27:00Z</dcterms:created>
  <dcterms:modified xsi:type="dcterms:W3CDTF">2021-10-02T03:27:00Z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